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2EA769" w14:textId="77777777" w:rsidR="00974F81" w:rsidRPr="005D76B6" w:rsidRDefault="00974F81" w:rsidP="00974F81">
      <w:pPr>
        <w:rPr>
          <w:rFonts w:ascii="Arial" w:hAnsi="Arial" w:cs="Arial"/>
          <w:b/>
          <w:bCs/>
          <w:sz w:val="22"/>
          <w:szCs w:val="22"/>
          <w:u w:val="single"/>
          <w:lang w:val="en-US"/>
        </w:rPr>
      </w:pPr>
      <w:bookmarkStart w:id="0" w:name="OLE_LINK3"/>
      <w:r>
        <w:rPr>
          <w:rFonts w:ascii="Arial" w:hAnsi="Arial" w:cs="Arial"/>
          <w:b/>
          <w:bCs/>
          <w:sz w:val="22"/>
          <w:szCs w:val="22"/>
          <w:u w:val="single"/>
          <w:lang w:val="en-US"/>
        </w:rPr>
        <w:t xml:space="preserve">                                    </w:t>
      </w:r>
    </w:p>
    <w:p w14:paraId="3BD9585D" w14:textId="77777777" w:rsidR="00974F81" w:rsidRDefault="00974F81" w:rsidP="00974F81">
      <w:pPr>
        <w:tabs>
          <w:tab w:val="left" w:pos="4512"/>
        </w:tabs>
        <w:rPr>
          <w:color w:val="000000" w:themeColor="text1"/>
          <w:sz w:val="22"/>
          <w:szCs w:val="22"/>
        </w:rPr>
      </w:pPr>
    </w:p>
    <w:p w14:paraId="063A8C7F" w14:textId="0B3D6378" w:rsidR="00974F81" w:rsidRPr="00493095" w:rsidRDefault="00974F81" w:rsidP="00493095">
      <w:pPr>
        <w:jc w:val="center"/>
        <w:rPr>
          <w:sz w:val="22"/>
          <w:szCs w:val="22"/>
          <w:lang w:val="en-US"/>
        </w:rPr>
      </w:pPr>
      <w:r w:rsidRPr="00AA1F3F">
        <w:rPr>
          <w:noProof/>
          <w:sz w:val="22"/>
          <w:szCs w:val="22"/>
          <w:lang w:val="en-US"/>
        </w:rPr>
        <w:drawing>
          <wp:inline distT="0" distB="0" distL="0" distR="0" wp14:anchorId="303C9694" wp14:editId="1F697D4A">
            <wp:extent cx="3208020" cy="1432560"/>
            <wp:effectExtent l="0" t="0" r="0" b="0"/>
            <wp:docPr id="1374420262" name="Picture 6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420262" name="Picture 6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0F2C89AE" w14:textId="77777777" w:rsidR="00974F81" w:rsidRDefault="00974F81" w:rsidP="00974F81">
      <w:pPr>
        <w:jc w:val="center"/>
        <w:rPr>
          <w:b/>
          <w:sz w:val="36"/>
          <w:szCs w:val="36"/>
        </w:rPr>
      </w:pPr>
    </w:p>
    <w:p w14:paraId="3AAA8BC3" w14:textId="4ED3A7A9" w:rsidR="00974F81" w:rsidRPr="00643A7A" w:rsidRDefault="00974F81" w:rsidP="00974F81">
      <w:pPr>
        <w:jc w:val="center"/>
        <w:rPr>
          <w:b/>
          <w:bCs/>
          <w:sz w:val="36"/>
          <w:szCs w:val="36"/>
        </w:rPr>
      </w:pPr>
      <w:r w:rsidRPr="00734AAF">
        <w:rPr>
          <w:b/>
          <w:sz w:val="36"/>
          <w:szCs w:val="36"/>
        </w:rPr>
        <w:t>BSc (Hons) Health and Social Care</w:t>
      </w:r>
      <w:r>
        <w:rPr>
          <w:b/>
          <w:sz w:val="36"/>
          <w:szCs w:val="36"/>
        </w:rPr>
        <w:t xml:space="preserve"> (</w:t>
      </w:r>
      <w:r w:rsidRPr="00643A7A">
        <w:rPr>
          <w:b/>
          <w:bCs/>
          <w:sz w:val="36"/>
          <w:szCs w:val="36"/>
        </w:rPr>
        <w:t>BMHP501</w:t>
      </w:r>
      <w:r>
        <w:rPr>
          <w:b/>
          <w:bCs/>
          <w:sz w:val="36"/>
          <w:szCs w:val="36"/>
        </w:rPr>
        <w:t>9</w:t>
      </w:r>
      <w:r w:rsidRPr="00643A7A">
        <w:rPr>
          <w:b/>
          <w:bCs/>
          <w:sz w:val="36"/>
          <w:szCs w:val="36"/>
        </w:rPr>
        <w:t>_BIRM</w:t>
      </w:r>
      <w:r>
        <w:rPr>
          <w:b/>
          <w:bCs/>
          <w:sz w:val="36"/>
          <w:szCs w:val="36"/>
        </w:rPr>
        <w:t>)</w:t>
      </w:r>
    </w:p>
    <w:p w14:paraId="07E8A743" w14:textId="77777777" w:rsidR="00BB3982" w:rsidRDefault="00BB3982" w:rsidP="00BB3982">
      <w:pPr>
        <w:jc w:val="center"/>
        <w:rPr>
          <w:b/>
          <w:bCs/>
          <w:sz w:val="36"/>
          <w:szCs w:val="36"/>
        </w:rPr>
      </w:pPr>
    </w:p>
    <w:p w14:paraId="101CF139" w14:textId="157D6DC4" w:rsidR="00BB3982" w:rsidRPr="00BB3982" w:rsidRDefault="00BB3982" w:rsidP="00BB3982">
      <w:pPr>
        <w:jc w:val="center"/>
        <w:rPr>
          <w:b/>
          <w:bCs/>
          <w:sz w:val="36"/>
          <w:szCs w:val="36"/>
        </w:rPr>
      </w:pPr>
      <w:r w:rsidRPr="00BB3982">
        <w:rPr>
          <w:b/>
          <w:bCs/>
          <w:sz w:val="36"/>
          <w:szCs w:val="36"/>
        </w:rPr>
        <w:t>Introduction to Independent Research Skills</w:t>
      </w:r>
    </w:p>
    <w:p w14:paraId="786500C0" w14:textId="77777777" w:rsidR="00974F81" w:rsidRDefault="00974F81" w:rsidP="00BB3982">
      <w:pPr>
        <w:rPr>
          <w:b/>
          <w:sz w:val="36"/>
          <w:szCs w:val="36"/>
        </w:rPr>
      </w:pPr>
    </w:p>
    <w:p w14:paraId="55DAC9D9" w14:textId="288C587B" w:rsidR="00974F81" w:rsidRDefault="00974F81" w:rsidP="00974F81">
      <w:pPr>
        <w:jc w:val="center"/>
        <w:rPr>
          <w:b/>
          <w:sz w:val="36"/>
          <w:szCs w:val="36"/>
        </w:rPr>
      </w:pPr>
      <w:r w:rsidRPr="00734AAF">
        <w:rPr>
          <w:b/>
          <w:sz w:val="36"/>
          <w:szCs w:val="36"/>
        </w:rPr>
        <w:t xml:space="preserve">Component </w:t>
      </w:r>
      <w:r>
        <w:rPr>
          <w:b/>
          <w:sz w:val="36"/>
          <w:szCs w:val="36"/>
        </w:rPr>
        <w:t>2</w:t>
      </w:r>
      <w:r w:rsidRPr="00734AAF">
        <w:rPr>
          <w:b/>
          <w:sz w:val="36"/>
          <w:szCs w:val="36"/>
        </w:rPr>
        <w:t>:</w:t>
      </w:r>
      <w:r w:rsidR="003E6770">
        <w:rPr>
          <w:b/>
          <w:sz w:val="36"/>
          <w:szCs w:val="36"/>
        </w:rPr>
        <w:t xml:space="preserve"> Research report </w:t>
      </w:r>
      <w:r w:rsidR="00C1219C">
        <w:rPr>
          <w:b/>
          <w:sz w:val="36"/>
          <w:szCs w:val="36"/>
        </w:rPr>
        <w:t>- Scoping</w:t>
      </w:r>
      <w:r>
        <w:rPr>
          <w:b/>
          <w:sz w:val="36"/>
          <w:szCs w:val="36"/>
        </w:rPr>
        <w:t xml:space="preserve"> review</w:t>
      </w:r>
    </w:p>
    <w:p w14:paraId="2F86345A" w14:textId="77777777" w:rsidR="007016E2" w:rsidRDefault="007016E2" w:rsidP="007016E2">
      <w:pPr>
        <w:rPr>
          <w:rFonts w:ascii="Arial" w:hAnsi="Arial" w:cs="Arial"/>
          <w:sz w:val="22"/>
          <w:szCs w:val="22"/>
        </w:rPr>
      </w:pPr>
    </w:p>
    <w:p w14:paraId="03254573" w14:textId="6465C6BD" w:rsidR="007016E2" w:rsidRPr="007016E2" w:rsidRDefault="007016E2" w:rsidP="007016E2">
      <w:pPr>
        <w:rPr>
          <w:rFonts w:ascii="Arial" w:hAnsi="Arial" w:cs="Arial"/>
          <w:b/>
          <w:bCs/>
          <w:sz w:val="28"/>
          <w:szCs w:val="28"/>
        </w:rPr>
      </w:pPr>
      <w:r w:rsidRPr="007016E2">
        <w:rPr>
          <w:rFonts w:ascii="Arial" w:hAnsi="Arial" w:cs="Arial"/>
          <w:b/>
          <w:bCs/>
          <w:sz w:val="28"/>
          <w:szCs w:val="28"/>
        </w:rPr>
        <w:t>What is known from UK adult studies about the relationship between substance misuse and schizophrenia or schizophrenia-spectrum disorders, including proposed causal pathways?</w:t>
      </w:r>
    </w:p>
    <w:p w14:paraId="457E6CAA" w14:textId="77777777" w:rsidR="00974F81" w:rsidRDefault="00974F81" w:rsidP="00BE7ABB">
      <w:pPr>
        <w:rPr>
          <w:b/>
          <w:sz w:val="36"/>
          <w:szCs w:val="36"/>
        </w:rPr>
      </w:pPr>
    </w:p>
    <w:p w14:paraId="1E1B7FA4" w14:textId="3529DFAF" w:rsidR="00974F81" w:rsidRDefault="00974F81" w:rsidP="00974F81">
      <w:pPr>
        <w:jc w:val="center"/>
        <w:rPr>
          <w:b/>
          <w:sz w:val="36"/>
          <w:szCs w:val="36"/>
        </w:rPr>
      </w:pPr>
      <w:r>
        <w:rPr>
          <w:b/>
          <w:sz w:val="36"/>
          <w:szCs w:val="36"/>
        </w:rPr>
        <w:t>Dr Rizwan Ahmed</w:t>
      </w:r>
    </w:p>
    <w:p w14:paraId="1FFC6DCD" w14:textId="77777777" w:rsidR="00974F81" w:rsidRDefault="00974F81" w:rsidP="00974F81">
      <w:pPr>
        <w:jc w:val="center"/>
        <w:rPr>
          <w:b/>
          <w:sz w:val="36"/>
          <w:szCs w:val="36"/>
        </w:rPr>
      </w:pPr>
    </w:p>
    <w:p w14:paraId="320D264B" w14:textId="77777777" w:rsidR="00974F81" w:rsidRPr="009A26BA" w:rsidRDefault="00974F81" w:rsidP="00974F81">
      <w:pPr>
        <w:jc w:val="center"/>
        <w:rPr>
          <w:b/>
          <w:sz w:val="36"/>
          <w:szCs w:val="36"/>
        </w:rPr>
      </w:pPr>
      <w:r>
        <w:rPr>
          <w:b/>
          <w:sz w:val="36"/>
          <w:szCs w:val="36"/>
        </w:rPr>
        <w:t>Thara Bi (2243859)</w:t>
      </w:r>
    </w:p>
    <w:p w14:paraId="3D82D666" w14:textId="77777777" w:rsidR="00974F81" w:rsidRDefault="00974F81" w:rsidP="00974F81">
      <w:pPr>
        <w:jc w:val="center"/>
        <w:rPr>
          <w:b/>
          <w:sz w:val="36"/>
          <w:szCs w:val="36"/>
        </w:rPr>
      </w:pPr>
    </w:p>
    <w:p w14:paraId="35A72687" w14:textId="70E91F6F" w:rsidR="003C2639" w:rsidRDefault="00974F81" w:rsidP="00974F81">
      <w:pPr>
        <w:jc w:val="center"/>
        <w:rPr>
          <w:rFonts w:asciiTheme="majorHAnsi" w:eastAsiaTheme="majorEastAsia" w:hAnsiTheme="majorHAnsi" w:cstheme="majorBidi"/>
          <w:color w:val="0F4761" w:themeColor="accent1" w:themeShade="BF"/>
          <w:sz w:val="40"/>
          <w:szCs w:val="40"/>
        </w:rPr>
      </w:pPr>
      <w:r>
        <w:rPr>
          <w:b/>
          <w:sz w:val="32"/>
          <w:szCs w:val="32"/>
        </w:rPr>
        <w:t>17</w:t>
      </w:r>
      <w:r w:rsidRPr="00E10867">
        <w:rPr>
          <w:b/>
          <w:sz w:val="32"/>
          <w:szCs w:val="32"/>
          <w:vertAlign w:val="superscript"/>
        </w:rPr>
        <w:t>th</w:t>
      </w:r>
      <w:r w:rsidRPr="00E10867">
        <w:rPr>
          <w:b/>
          <w:sz w:val="32"/>
          <w:szCs w:val="32"/>
        </w:rPr>
        <w:t xml:space="preserve"> November 2025</w:t>
      </w:r>
      <w:r w:rsidR="003C2639">
        <w:br w:type="page"/>
      </w:r>
    </w:p>
    <w:sdt>
      <w:sdtPr>
        <w:rPr>
          <w:rFonts w:ascii="Arial" w:eastAsiaTheme="minorHAnsi" w:hAnsi="Arial" w:cs="Arial"/>
          <w:color w:val="auto"/>
          <w:kern w:val="2"/>
          <w:sz w:val="22"/>
          <w:szCs w:val="22"/>
          <w:lang w:eastAsia="en-US"/>
          <w14:ligatures w14:val="standardContextual"/>
        </w:rPr>
        <w:id w:val="-1903277829"/>
        <w:docPartObj>
          <w:docPartGallery w:val="Table of Contents"/>
          <w:docPartUnique/>
        </w:docPartObj>
      </w:sdtPr>
      <w:sdtEndPr>
        <w:rPr>
          <w:b/>
          <w:bCs/>
        </w:rPr>
      </w:sdtEndPr>
      <w:sdtContent>
        <w:p w14:paraId="1AE7E7EA" w14:textId="3DC4F069" w:rsidR="003C2639" w:rsidRPr="002818D9" w:rsidRDefault="003C2639" w:rsidP="002818D9">
          <w:pPr>
            <w:pStyle w:val="TOCHeading"/>
            <w:spacing w:line="360" w:lineRule="auto"/>
            <w:rPr>
              <w:rFonts w:ascii="Arial" w:hAnsi="Arial" w:cs="Arial"/>
              <w:b/>
              <w:bCs/>
              <w:color w:val="auto"/>
              <w:sz w:val="22"/>
              <w:szCs w:val="22"/>
              <w:u w:val="single"/>
            </w:rPr>
          </w:pPr>
          <w:r w:rsidRPr="002818D9">
            <w:rPr>
              <w:rFonts w:ascii="Arial" w:hAnsi="Arial" w:cs="Arial"/>
              <w:b/>
              <w:bCs/>
              <w:color w:val="auto"/>
              <w:sz w:val="22"/>
              <w:szCs w:val="22"/>
              <w:u w:val="single"/>
            </w:rPr>
            <w:t>Contents</w:t>
          </w:r>
        </w:p>
        <w:p w14:paraId="0158C44E" w14:textId="77777777" w:rsidR="00692ADF" w:rsidRPr="002818D9" w:rsidRDefault="00692ADF" w:rsidP="002818D9">
          <w:pPr>
            <w:spacing w:line="360" w:lineRule="auto"/>
            <w:rPr>
              <w:rFonts w:ascii="Arial" w:hAnsi="Arial" w:cs="Arial"/>
              <w:sz w:val="22"/>
              <w:szCs w:val="22"/>
              <w:lang w:eastAsia="en-GB"/>
            </w:rPr>
          </w:pPr>
        </w:p>
        <w:p w14:paraId="2E519A36" w14:textId="6C6FCC46" w:rsidR="002818D9" w:rsidRPr="002818D9" w:rsidRDefault="003C2639" w:rsidP="002818D9">
          <w:pPr>
            <w:pStyle w:val="TOC1"/>
            <w:tabs>
              <w:tab w:val="right" w:leader="dot" w:pos="9016"/>
            </w:tabs>
            <w:spacing w:line="360" w:lineRule="auto"/>
            <w:rPr>
              <w:rFonts w:ascii="Arial" w:eastAsiaTheme="minorEastAsia" w:hAnsi="Arial" w:cs="Arial"/>
              <w:noProof/>
              <w:sz w:val="22"/>
              <w:szCs w:val="22"/>
              <w:lang w:eastAsia="en-GB"/>
            </w:rPr>
          </w:pPr>
          <w:r w:rsidRPr="002818D9">
            <w:rPr>
              <w:rFonts w:ascii="Arial" w:hAnsi="Arial" w:cs="Arial"/>
              <w:sz w:val="22"/>
              <w:szCs w:val="22"/>
            </w:rPr>
            <w:fldChar w:fldCharType="begin"/>
          </w:r>
          <w:r w:rsidRPr="002818D9">
            <w:rPr>
              <w:rFonts w:ascii="Arial" w:hAnsi="Arial" w:cs="Arial"/>
              <w:sz w:val="22"/>
              <w:szCs w:val="22"/>
            </w:rPr>
            <w:instrText xml:space="preserve"> TOC \o "1-3" \h \z \u </w:instrText>
          </w:r>
          <w:r w:rsidRPr="002818D9">
            <w:rPr>
              <w:rFonts w:ascii="Arial" w:hAnsi="Arial" w:cs="Arial"/>
              <w:sz w:val="22"/>
              <w:szCs w:val="22"/>
            </w:rPr>
            <w:fldChar w:fldCharType="separate"/>
          </w:r>
          <w:hyperlink w:anchor="_Toc213958309" w:history="1">
            <w:r w:rsidR="002818D9" w:rsidRPr="002818D9">
              <w:rPr>
                <w:rStyle w:val="Hyperlink"/>
                <w:rFonts w:ascii="Arial" w:hAnsi="Arial" w:cs="Arial"/>
                <w:b/>
                <w:bCs/>
                <w:noProof/>
                <w:sz w:val="22"/>
                <w:szCs w:val="22"/>
              </w:rPr>
              <w:t>Abstract</w:t>
            </w:r>
            <w:r w:rsidR="002818D9" w:rsidRPr="002818D9">
              <w:rPr>
                <w:rFonts w:ascii="Arial" w:hAnsi="Arial" w:cs="Arial"/>
                <w:noProof/>
                <w:webHidden/>
                <w:sz w:val="22"/>
                <w:szCs w:val="22"/>
              </w:rPr>
              <w:tab/>
            </w:r>
            <w:r w:rsidR="002818D9" w:rsidRPr="002818D9">
              <w:rPr>
                <w:rFonts w:ascii="Arial" w:hAnsi="Arial" w:cs="Arial"/>
                <w:noProof/>
                <w:webHidden/>
                <w:sz w:val="22"/>
                <w:szCs w:val="22"/>
              </w:rPr>
              <w:fldChar w:fldCharType="begin"/>
            </w:r>
            <w:r w:rsidR="002818D9" w:rsidRPr="002818D9">
              <w:rPr>
                <w:rFonts w:ascii="Arial" w:hAnsi="Arial" w:cs="Arial"/>
                <w:noProof/>
                <w:webHidden/>
                <w:sz w:val="22"/>
                <w:szCs w:val="22"/>
              </w:rPr>
              <w:instrText xml:space="preserve"> PAGEREF _Toc213958309 \h </w:instrText>
            </w:r>
            <w:r w:rsidR="002818D9" w:rsidRPr="002818D9">
              <w:rPr>
                <w:rFonts w:ascii="Arial" w:hAnsi="Arial" w:cs="Arial"/>
                <w:noProof/>
                <w:webHidden/>
                <w:sz w:val="22"/>
                <w:szCs w:val="22"/>
              </w:rPr>
            </w:r>
            <w:r w:rsidR="002818D9" w:rsidRPr="002818D9">
              <w:rPr>
                <w:rFonts w:ascii="Arial" w:hAnsi="Arial" w:cs="Arial"/>
                <w:noProof/>
                <w:webHidden/>
                <w:sz w:val="22"/>
                <w:szCs w:val="22"/>
              </w:rPr>
              <w:fldChar w:fldCharType="separate"/>
            </w:r>
            <w:r w:rsidR="002818D9" w:rsidRPr="002818D9">
              <w:rPr>
                <w:rFonts w:ascii="Arial" w:hAnsi="Arial" w:cs="Arial"/>
                <w:noProof/>
                <w:webHidden/>
                <w:sz w:val="22"/>
                <w:szCs w:val="22"/>
              </w:rPr>
              <w:t>3</w:t>
            </w:r>
            <w:r w:rsidR="002818D9" w:rsidRPr="002818D9">
              <w:rPr>
                <w:rFonts w:ascii="Arial" w:hAnsi="Arial" w:cs="Arial"/>
                <w:noProof/>
                <w:webHidden/>
                <w:sz w:val="22"/>
                <w:szCs w:val="22"/>
              </w:rPr>
              <w:fldChar w:fldCharType="end"/>
            </w:r>
          </w:hyperlink>
        </w:p>
        <w:p w14:paraId="0B95DC6B" w14:textId="4B96E789" w:rsidR="002818D9" w:rsidRPr="002818D9" w:rsidRDefault="002818D9" w:rsidP="002818D9">
          <w:pPr>
            <w:pStyle w:val="TOC1"/>
            <w:tabs>
              <w:tab w:val="right" w:leader="dot" w:pos="9016"/>
            </w:tabs>
            <w:spacing w:line="360" w:lineRule="auto"/>
            <w:rPr>
              <w:rFonts w:ascii="Arial" w:eastAsiaTheme="minorEastAsia" w:hAnsi="Arial" w:cs="Arial"/>
              <w:noProof/>
              <w:sz w:val="22"/>
              <w:szCs w:val="22"/>
              <w:lang w:eastAsia="en-GB"/>
            </w:rPr>
          </w:pPr>
          <w:hyperlink w:anchor="_Toc213958310" w:history="1">
            <w:r w:rsidRPr="002818D9">
              <w:rPr>
                <w:rStyle w:val="Hyperlink"/>
                <w:rFonts w:ascii="Arial" w:hAnsi="Arial" w:cs="Arial"/>
                <w:b/>
                <w:bCs/>
                <w:noProof/>
                <w:sz w:val="22"/>
                <w:szCs w:val="22"/>
              </w:rPr>
              <w:t>Introduction</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_Toc213958310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3</w:t>
            </w:r>
            <w:r w:rsidRPr="002818D9">
              <w:rPr>
                <w:rFonts w:ascii="Arial" w:hAnsi="Arial" w:cs="Arial"/>
                <w:noProof/>
                <w:webHidden/>
                <w:sz w:val="22"/>
                <w:szCs w:val="22"/>
              </w:rPr>
              <w:fldChar w:fldCharType="end"/>
            </w:r>
          </w:hyperlink>
        </w:p>
        <w:p w14:paraId="0F359D56" w14:textId="0762DAD2"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11" w:history="1">
            <w:r w:rsidRPr="002818D9">
              <w:rPr>
                <w:rStyle w:val="Hyperlink"/>
                <w:rFonts w:ascii="Arial" w:hAnsi="Arial" w:cs="Arial"/>
                <w:b/>
                <w:bCs/>
                <w:noProof/>
                <w:sz w:val="22"/>
                <w:szCs w:val="22"/>
              </w:rPr>
              <w:t>Review Question</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_Toc213958311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4</w:t>
            </w:r>
            <w:r w:rsidRPr="002818D9">
              <w:rPr>
                <w:rFonts w:ascii="Arial" w:hAnsi="Arial" w:cs="Arial"/>
                <w:noProof/>
                <w:webHidden/>
                <w:sz w:val="22"/>
                <w:szCs w:val="22"/>
              </w:rPr>
              <w:fldChar w:fldCharType="end"/>
            </w:r>
          </w:hyperlink>
        </w:p>
        <w:p w14:paraId="16E1A305" w14:textId="74D3C922"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12" w:history="1">
            <w:r w:rsidRPr="002818D9">
              <w:rPr>
                <w:rStyle w:val="Hyperlink"/>
                <w:rFonts w:ascii="Arial" w:hAnsi="Arial" w:cs="Arial"/>
                <w:b/>
                <w:bCs/>
                <w:noProof/>
                <w:sz w:val="22"/>
                <w:szCs w:val="22"/>
              </w:rPr>
              <w:t>Objectives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_Toc213958312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4</w:t>
            </w:r>
            <w:r w:rsidRPr="002818D9">
              <w:rPr>
                <w:rFonts w:ascii="Arial" w:hAnsi="Arial" w:cs="Arial"/>
                <w:noProof/>
                <w:webHidden/>
                <w:sz w:val="22"/>
                <w:szCs w:val="22"/>
              </w:rPr>
              <w:fldChar w:fldCharType="end"/>
            </w:r>
          </w:hyperlink>
        </w:p>
        <w:p w14:paraId="6937A1D3" w14:textId="2B043894" w:rsidR="002818D9" w:rsidRPr="002818D9" w:rsidRDefault="002818D9" w:rsidP="002818D9">
          <w:pPr>
            <w:pStyle w:val="TOC1"/>
            <w:tabs>
              <w:tab w:val="right" w:leader="dot" w:pos="9016"/>
            </w:tabs>
            <w:spacing w:line="360" w:lineRule="auto"/>
            <w:rPr>
              <w:rFonts w:ascii="Arial" w:eastAsiaTheme="minorEastAsia" w:hAnsi="Arial" w:cs="Arial"/>
              <w:noProof/>
              <w:sz w:val="22"/>
              <w:szCs w:val="22"/>
              <w:lang w:eastAsia="en-GB"/>
            </w:rPr>
          </w:pPr>
          <w:hyperlink w:anchor="_Toc213958313" w:history="1">
            <w:r w:rsidRPr="002818D9">
              <w:rPr>
                <w:rStyle w:val="Hyperlink"/>
                <w:rFonts w:ascii="Arial" w:hAnsi="Arial" w:cs="Arial"/>
                <w:b/>
                <w:bCs/>
                <w:noProof/>
                <w:sz w:val="22"/>
                <w:szCs w:val="22"/>
              </w:rPr>
              <w:t>Background</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_Toc213958313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4</w:t>
            </w:r>
            <w:r w:rsidRPr="002818D9">
              <w:rPr>
                <w:rFonts w:ascii="Arial" w:hAnsi="Arial" w:cs="Arial"/>
                <w:noProof/>
                <w:webHidden/>
                <w:sz w:val="22"/>
                <w:szCs w:val="22"/>
              </w:rPr>
              <w:fldChar w:fldCharType="end"/>
            </w:r>
          </w:hyperlink>
        </w:p>
        <w:p w14:paraId="1647FF89" w14:textId="538A2642"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14" w:history="1">
            <w:r w:rsidRPr="002818D9">
              <w:rPr>
                <w:rStyle w:val="Hyperlink"/>
                <w:rFonts w:ascii="Arial" w:hAnsi="Arial" w:cs="Arial"/>
                <w:b/>
                <w:bCs/>
                <w:noProof/>
                <w:sz w:val="22"/>
                <w:szCs w:val="22"/>
              </w:rPr>
              <w:t>Policy and Legislative Context</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_Toc213958314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4</w:t>
            </w:r>
            <w:r w:rsidRPr="002818D9">
              <w:rPr>
                <w:rFonts w:ascii="Arial" w:hAnsi="Arial" w:cs="Arial"/>
                <w:noProof/>
                <w:webHidden/>
                <w:sz w:val="22"/>
                <w:szCs w:val="22"/>
              </w:rPr>
              <w:fldChar w:fldCharType="end"/>
            </w:r>
          </w:hyperlink>
        </w:p>
        <w:p w14:paraId="6322E31D" w14:textId="43DFCD21"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15" w:history="1">
            <w:r w:rsidRPr="002818D9">
              <w:rPr>
                <w:rStyle w:val="Hyperlink"/>
                <w:rFonts w:ascii="Arial" w:hAnsi="Arial" w:cs="Arial"/>
                <w:b/>
                <w:bCs/>
                <w:noProof/>
                <w:sz w:val="22"/>
                <w:szCs w:val="22"/>
              </w:rPr>
              <w:t>Current Services and Practice</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_Toc213958315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5</w:t>
            </w:r>
            <w:r w:rsidRPr="002818D9">
              <w:rPr>
                <w:rFonts w:ascii="Arial" w:hAnsi="Arial" w:cs="Arial"/>
                <w:noProof/>
                <w:webHidden/>
                <w:sz w:val="22"/>
                <w:szCs w:val="22"/>
              </w:rPr>
              <w:fldChar w:fldCharType="end"/>
            </w:r>
          </w:hyperlink>
        </w:p>
        <w:p w14:paraId="4C6FC027" w14:textId="0DBC4058"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16" w:history="1">
            <w:r w:rsidRPr="002818D9">
              <w:rPr>
                <w:rStyle w:val="Hyperlink"/>
                <w:rFonts w:ascii="Arial" w:hAnsi="Arial" w:cs="Arial"/>
                <w:b/>
                <w:bCs/>
                <w:noProof/>
                <w:sz w:val="22"/>
                <w:szCs w:val="22"/>
              </w:rPr>
              <w:t>Key Challenges and Issues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_Toc213958316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6</w:t>
            </w:r>
            <w:r w:rsidRPr="002818D9">
              <w:rPr>
                <w:rFonts w:ascii="Arial" w:hAnsi="Arial" w:cs="Arial"/>
                <w:noProof/>
                <w:webHidden/>
                <w:sz w:val="22"/>
                <w:szCs w:val="22"/>
              </w:rPr>
              <w:fldChar w:fldCharType="end"/>
            </w:r>
          </w:hyperlink>
        </w:p>
        <w:p w14:paraId="762B723B" w14:textId="519003B4" w:rsidR="002818D9" w:rsidRPr="002818D9" w:rsidRDefault="002818D9" w:rsidP="002818D9">
          <w:pPr>
            <w:pStyle w:val="TOC1"/>
            <w:tabs>
              <w:tab w:val="right" w:leader="dot" w:pos="9016"/>
            </w:tabs>
            <w:spacing w:line="360" w:lineRule="auto"/>
            <w:rPr>
              <w:rFonts w:ascii="Arial" w:eastAsiaTheme="minorEastAsia" w:hAnsi="Arial" w:cs="Arial"/>
              <w:noProof/>
              <w:sz w:val="22"/>
              <w:szCs w:val="22"/>
              <w:lang w:eastAsia="en-GB"/>
            </w:rPr>
          </w:pPr>
          <w:hyperlink w:anchor="_Toc213958317" w:history="1">
            <w:r w:rsidRPr="002818D9">
              <w:rPr>
                <w:rStyle w:val="Hyperlink"/>
                <w:rFonts w:ascii="Arial" w:hAnsi="Arial" w:cs="Arial"/>
                <w:b/>
                <w:bCs/>
                <w:noProof/>
                <w:sz w:val="22"/>
                <w:szCs w:val="22"/>
              </w:rPr>
              <w:t>Methods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_Toc213958317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7</w:t>
            </w:r>
            <w:r w:rsidRPr="002818D9">
              <w:rPr>
                <w:rFonts w:ascii="Arial" w:hAnsi="Arial" w:cs="Arial"/>
                <w:noProof/>
                <w:webHidden/>
                <w:sz w:val="22"/>
                <w:szCs w:val="22"/>
              </w:rPr>
              <w:fldChar w:fldCharType="end"/>
            </w:r>
          </w:hyperlink>
        </w:p>
        <w:p w14:paraId="7BCA2802" w14:textId="7B95E630"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18" w:history="1">
            <w:r w:rsidRPr="002818D9">
              <w:rPr>
                <w:rStyle w:val="Hyperlink"/>
                <w:rFonts w:ascii="Arial" w:hAnsi="Arial" w:cs="Arial"/>
                <w:b/>
                <w:bCs/>
                <w:noProof/>
                <w:sz w:val="22"/>
                <w:szCs w:val="22"/>
              </w:rPr>
              <w:t>Search Strategy</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_Toc213958318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7</w:t>
            </w:r>
            <w:r w:rsidRPr="002818D9">
              <w:rPr>
                <w:rFonts w:ascii="Arial" w:hAnsi="Arial" w:cs="Arial"/>
                <w:noProof/>
                <w:webHidden/>
                <w:sz w:val="22"/>
                <w:szCs w:val="22"/>
              </w:rPr>
              <w:fldChar w:fldCharType="end"/>
            </w:r>
          </w:hyperlink>
        </w:p>
        <w:p w14:paraId="156DC832" w14:textId="3DB6CE88"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19" w:history="1">
            <w:r w:rsidRPr="002818D9">
              <w:rPr>
                <w:rStyle w:val="Hyperlink"/>
                <w:rFonts w:ascii="Arial" w:hAnsi="Arial" w:cs="Arial"/>
                <w:b/>
                <w:bCs/>
                <w:noProof/>
                <w:sz w:val="22"/>
                <w:szCs w:val="22"/>
              </w:rPr>
              <w:t>Inclusion criteria</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_Toc213958319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8</w:t>
            </w:r>
            <w:r w:rsidRPr="002818D9">
              <w:rPr>
                <w:rFonts w:ascii="Arial" w:hAnsi="Arial" w:cs="Arial"/>
                <w:noProof/>
                <w:webHidden/>
                <w:sz w:val="22"/>
                <w:szCs w:val="22"/>
              </w:rPr>
              <w:fldChar w:fldCharType="end"/>
            </w:r>
          </w:hyperlink>
        </w:p>
        <w:p w14:paraId="2FA5D632" w14:textId="036879F7"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20" w:history="1">
            <w:r w:rsidRPr="002818D9">
              <w:rPr>
                <w:rStyle w:val="Hyperlink"/>
                <w:rFonts w:ascii="Arial" w:hAnsi="Arial" w:cs="Arial"/>
                <w:b/>
                <w:bCs/>
                <w:noProof/>
                <w:sz w:val="22"/>
                <w:szCs w:val="22"/>
              </w:rPr>
              <w:t>Exclusion criteria</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_Toc213958320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8</w:t>
            </w:r>
            <w:r w:rsidRPr="002818D9">
              <w:rPr>
                <w:rFonts w:ascii="Arial" w:hAnsi="Arial" w:cs="Arial"/>
                <w:noProof/>
                <w:webHidden/>
                <w:sz w:val="22"/>
                <w:szCs w:val="22"/>
              </w:rPr>
              <w:fldChar w:fldCharType="end"/>
            </w:r>
          </w:hyperlink>
        </w:p>
        <w:p w14:paraId="08170034" w14:textId="72F21BB1" w:rsidR="002818D9" w:rsidRPr="002818D9" w:rsidRDefault="002818D9" w:rsidP="002818D9">
          <w:pPr>
            <w:pStyle w:val="TOC1"/>
            <w:tabs>
              <w:tab w:val="right" w:leader="dot" w:pos="9016"/>
            </w:tabs>
            <w:spacing w:line="360" w:lineRule="auto"/>
            <w:rPr>
              <w:rFonts w:ascii="Arial" w:eastAsiaTheme="minorEastAsia" w:hAnsi="Arial" w:cs="Arial"/>
              <w:noProof/>
              <w:sz w:val="22"/>
              <w:szCs w:val="22"/>
              <w:lang w:eastAsia="en-GB"/>
            </w:rPr>
          </w:pPr>
          <w:hyperlink w:anchor="_Toc213958321" w:history="1">
            <w:r w:rsidRPr="002818D9">
              <w:rPr>
                <w:rStyle w:val="Hyperlink"/>
                <w:rFonts w:ascii="Arial" w:hAnsi="Arial" w:cs="Arial"/>
                <w:b/>
                <w:bCs/>
                <w:noProof/>
                <w:sz w:val="22"/>
                <w:szCs w:val="22"/>
              </w:rPr>
              <w:t>Results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_Toc213958321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9</w:t>
            </w:r>
            <w:r w:rsidRPr="002818D9">
              <w:rPr>
                <w:rFonts w:ascii="Arial" w:hAnsi="Arial" w:cs="Arial"/>
                <w:noProof/>
                <w:webHidden/>
                <w:sz w:val="22"/>
                <w:szCs w:val="22"/>
              </w:rPr>
              <w:fldChar w:fldCharType="end"/>
            </w:r>
          </w:hyperlink>
        </w:p>
        <w:p w14:paraId="756F7BAA" w14:textId="7563D5DA"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22" w:history="1">
            <w:r w:rsidRPr="002818D9">
              <w:rPr>
                <w:rStyle w:val="Hyperlink"/>
                <w:rFonts w:ascii="Arial" w:hAnsi="Arial" w:cs="Arial"/>
                <w:b/>
                <w:bCs/>
                <w:noProof/>
                <w:sz w:val="22"/>
                <w:szCs w:val="22"/>
              </w:rPr>
              <w:t>Thematic analysis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_Toc213958322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12</w:t>
            </w:r>
            <w:r w:rsidRPr="002818D9">
              <w:rPr>
                <w:rFonts w:ascii="Arial" w:hAnsi="Arial" w:cs="Arial"/>
                <w:noProof/>
                <w:webHidden/>
                <w:sz w:val="22"/>
                <w:szCs w:val="22"/>
              </w:rPr>
              <w:fldChar w:fldCharType="end"/>
            </w:r>
          </w:hyperlink>
        </w:p>
        <w:p w14:paraId="50E8327A" w14:textId="0B00AAAB"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23" w:history="1">
            <w:r w:rsidRPr="002818D9">
              <w:rPr>
                <w:rStyle w:val="Hyperlink"/>
                <w:rFonts w:ascii="Arial" w:hAnsi="Arial" w:cs="Arial"/>
                <w:b/>
                <w:bCs/>
                <w:noProof/>
                <w:sz w:val="22"/>
                <w:szCs w:val="22"/>
              </w:rPr>
              <w:t>Theme 1:  Cannabis and other substances as key risk factors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_Toc213958323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12</w:t>
            </w:r>
            <w:r w:rsidRPr="002818D9">
              <w:rPr>
                <w:rFonts w:ascii="Arial" w:hAnsi="Arial" w:cs="Arial"/>
                <w:noProof/>
                <w:webHidden/>
                <w:sz w:val="22"/>
                <w:szCs w:val="22"/>
              </w:rPr>
              <w:fldChar w:fldCharType="end"/>
            </w:r>
          </w:hyperlink>
        </w:p>
        <w:p w14:paraId="76E546C3" w14:textId="1E300E5A"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24" w:history="1">
            <w:r w:rsidRPr="002818D9">
              <w:rPr>
                <w:rStyle w:val="Hyperlink"/>
                <w:rFonts w:ascii="Arial" w:hAnsi="Arial" w:cs="Arial"/>
                <w:b/>
                <w:bCs/>
                <w:noProof/>
                <w:sz w:val="22"/>
                <w:szCs w:val="22"/>
              </w:rPr>
              <w:t>Theme 2:  Moderate causal influences and two-way relationships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_Toc213958324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12</w:t>
            </w:r>
            <w:r w:rsidRPr="002818D9">
              <w:rPr>
                <w:rFonts w:ascii="Arial" w:hAnsi="Arial" w:cs="Arial"/>
                <w:noProof/>
                <w:webHidden/>
                <w:sz w:val="22"/>
                <w:szCs w:val="22"/>
              </w:rPr>
              <w:fldChar w:fldCharType="end"/>
            </w:r>
          </w:hyperlink>
        </w:p>
        <w:p w14:paraId="54D89BE0" w14:textId="7ACA097C"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25" w:history="1">
            <w:r w:rsidRPr="002818D9">
              <w:rPr>
                <w:rStyle w:val="Hyperlink"/>
                <w:rFonts w:ascii="Arial" w:hAnsi="Arial" w:cs="Arial"/>
                <w:b/>
                <w:bCs/>
                <w:noProof/>
                <w:sz w:val="22"/>
                <w:szCs w:val="22"/>
              </w:rPr>
              <w:t>Theme 3:  Separate genetic and environmental influences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_Toc213958325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12</w:t>
            </w:r>
            <w:r w:rsidRPr="002818D9">
              <w:rPr>
                <w:rFonts w:ascii="Arial" w:hAnsi="Arial" w:cs="Arial"/>
                <w:noProof/>
                <w:webHidden/>
                <w:sz w:val="22"/>
                <w:szCs w:val="22"/>
              </w:rPr>
              <w:fldChar w:fldCharType="end"/>
            </w:r>
          </w:hyperlink>
        </w:p>
        <w:p w14:paraId="14E0D617" w14:textId="6BDFD2FF"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26" w:history="1">
            <w:r w:rsidRPr="002818D9">
              <w:rPr>
                <w:rStyle w:val="Hyperlink"/>
                <w:rFonts w:ascii="Arial" w:hAnsi="Arial" w:cs="Arial"/>
                <w:b/>
                <w:bCs/>
                <w:noProof/>
                <w:sz w:val="22"/>
                <w:szCs w:val="22"/>
              </w:rPr>
              <w:t>Theme 4: Timeline of progression and clinical predictors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_Toc213958326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12</w:t>
            </w:r>
            <w:r w:rsidRPr="002818D9">
              <w:rPr>
                <w:rFonts w:ascii="Arial" w:hAnsi="Arial" w:cs="Arial"/>
                <w:noProof/>
                <w:webHidden/>
                <w:sz w:val="22"/>
                <w:szCs w:val="22"/>
              </w:rPr>
              <w:fldChar w:fldCharType="end"/>
            </w:r>
          </w:hyperlink>
        </w:p>
        <w:p w14:paraId="1081F18C" w14:textId="311C5D45" w:rsidR="002818D9" w:rsidRPr="002818D9" w:rsidRDefault="002818D9" w:rsidP="002818D9">
          <w:pPr>
            <w:pStyle w:val="TOC1"/>
            <w:tabs>
              <w:tab w:val="right" w:leader="dot" w:pos="9016"/>
            </w:tabs>
            <w:spacing w:line="360" w:lineRule="auto"/>
            <w:rPr>
              <w:rFonts w:ascii="Arial" w:eastAsiaTheme="minorEastAsia" w:hAnsi="Arial" w:cs="Arial"/>
              <w:noProof/>
              <w:sz w:val="22"/>
              <w:szCs w:val="22"/>
              <w:lang w:eastAsia="en-GB"/>
            </w:rPr>
          </w:pPr>
          <w:hyperlink w:anchor="_Toc213958327" w:history="1">
            <w:r w:rsidRPr="002818D9">
              <w:rPr>
                <w:rStyle w:val="Hyperlink"/>
                <w:rFonts w:ascii="Arial" w:hAnsi="Arial" w:cs="Arial"/>
                <w:b/>
                <w:bCs/>
                <w:noProof/>
                <w:sz w:val="22"/>
                <w:szCs w:val="22"/>
              </w:rPr>
              <w:t>Discussion</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_Toc213958327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13</w:t>
            </w:r>
            <w:r w:rsidRPr="002818D9">
              <w:rPr>
                <w:rFonts w:ascii="Arial" w:hAnsi="Arial" w:cs="Arial"/>
                <w:noProof/>
                <w:webHidden/>
                <w:sz w:val="22"/>
                <w:szCs w:val="22"/>
              </w:rPr>
              <w:fldChar w:fldCharType="end"/>
            </w:r>
          </w:hyperlink>
        </w:p>
        <w:p w14:paraId="641C3C62" w14:textId="46A72B15"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28" w:history="1">
            <w:r w:rsidRPr="002818D9">
              <w:rPr>
                <w:rStyle w:val="Hyperlink"/>
                <w:rFonts w:ascii="Arial" w:hAnsi="Arial" w:cs="Arial"/>
                <w:b/>
                <w:bCs/>
                <w:noProof/>
                <w:sz w:val="22"/>
                <w:szCs w:val="22"/>
              </w:rPr>
              <w:t>Cannabis as the predominant substance</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_Toc213958328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13</w:t>
            </w:r>
            <w:r w:rsidRPr="002818D9">
              <w:rPr>
                <w:rFonts w:ascii="Arial" w:hAnsi="Arial" w:cs="Arial"/>
                <w:noProof/>
                <w:webHidden/>
                <w:sz w:val="22"/>
                <w:szCs w:val="22"/>
              </w:rPr>
              <w:fldChar w:fldCharType="end"/>
            </w:r>
          </w:hyperlink>
        </w:p>
        <w:p w14:paraId="2A45621B" w14:textId="49550CEE"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29" w:history="1">
            <w:r w:rsidRPr="002818D9">
              <w:rPr>
                <w:rStyle w:val="Hyperlink"/>
                <w:rFonts w:ascii="Arial" w:hAnsi="Arial" w:cs="Arial"/>
                <w:b/>
                <w:bCs/>
                <w:noProof/>
                <w:sz w:val="22"/>
                <w:szCs w:val="22"/>
              </w:rPr>
              <w:t>Bidirectional relationships and shared genetic liability</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_Toc213958329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14</w:t>
            </w:r>
            <w:r w:rsidRPr="002818D9">
              <w:rPr>
                <w:rFonts w:ascii="Arial" w:hAnsi="Arial" w:cs="Arial"/>
                <w:noProof/>
                <w:webHidden/>
                <w:sz w:val="22"/>
                <w:szCs w:val="22"/>
              </w:rPr>
              <w:fldChar w:fldCharType="end"/>
            </w:r>
          </w:hyperlink>
        </w:p>
        <w:p w14:paraId="42D16BDE" w14:textId="7F5D6DE0"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30" w:history="1">
            <w:r w:rsidRPr="002818D9">
              <w:rPr>
                <w:rStyle w:val="Hyperlink"/>
                <w:rFonts w:ascii="Arial" w:hAnsi="Arial" w:cs="Arial"/>
                <w:b/>
                <w:bCs/>
                <w:noProof/>
                <w:sz w:val="22"/>
                <w:szCs w:val="22"/>
              </w:rPr>
              <w:t>Independent genetic and environmental effects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_Toc213958330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15</w:t>
            </w:r>
            <w:r w:rsidRPr="002818D9">
              <w:rPr>
                <w:rFonts w:ascii="Arial" w:hAnsi="Arial" w:cs="Arial"/>
                <w:noProof/>
                <w:webHidden/>
                <w:sz w:val="22"/>
                <w:szCs w:val="22"/>
              </w:rPr>
              <w:fldChar w:fldCharType="end"/>
            </w:r>
          </w:hyperlink>
        </w:p>
        <w:p w14:paraId="7723F71E" w14:textId="322D9884"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31" w:history="1">
            <w:r w:rsidRPr="002818D9">
              <w:rPr>
                <w:rStyle w:val="Hyperlink"/>
                <w:rFonts w:ascii="Arial" w:hAnsi="Arial" w:cs="Arial"/>
                <w:b/>
                <w:bCs/>
                <w:noProof/>
                <w:sz w:val="22"/>
                <w:szCs w:val="22"/>
              </w:rPr>
              <w:t>Temporal progression and clinical risk factors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_Toc213958331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15</w:t>
            </w:r>
            <w:r w:rsidRPr="002818D9">
              <w:rPr>
                <w:rFonts w:ascii="Arial" w:hAnsi="Arial" w:cs="Arial"/>
                <w:noProof/>
                <w:webHidden/>
                <w:sz w:val="22"/>
                <w:szCs w:val="22"/>
              </w:rPr>
              <w:fldChar w:fldCharType="end"/>
            </w:r>
          </w:hyperlink>
        </w:p>
        <w:p w14:paraId="39CC2113" w14:textId="42804E7B"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32" w:history="1">
            <w:r w:rsidRPr="002818D9">
              <w:rPr>
                <w:rStyle w:val="Hyperlink"/>
                <w:rFonts w:ascii="Arial" w:hAnsi="Arial" w:cs="Arial"/>
                <w:b/>
                <w:bCs/>
                <w:noProof/>
                <w:sz w:val="22"/>
                <w:szCs w:val="22"/>
              </w:rPr>
              <w:t>Integration across themes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_Toc213958332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16</w:t>
            </w:r>
            <w:r w:rsidRPr="002818D9">
              <w:rPr>
                <w:rFonts w:ascii="Arial" w:hAnsi="Arial" w:cs="Arial"/>
                <w:noProof/>
                <w:webHidden/>
                <w:sz w:val="22"/>
                <w:szCs w:val="22"/>
              </w:rPr>
              <w:fldChar w:fldCharType="end"/>
            </w:r>
          </w:hyperlink>
        </w:p>
        <w:p w14:paraId="671DB463" w14:textId="3E391891"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33" w:history="1">
            <w:r w:rsidRPr="002818D9">
              <w:rPr>
                <w:rStyle w:val="Hyperlink"/>
                <w:rFonts w:ascii="Arial" w:hAnsi="Arial" w:cs="Arial"/>
                <w:b/>
                <w:bCs/>
                <w:noProof/>
                <w:sz w:val="22"/>
                <w:szCs w:val="22"/>
              </w:rPr>
              <w:t>Implications for policy and practice</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_Toc213958333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17</w:t>
            </w:r>
            <w:r w:rsidRPr="002818D9">
              <w:rPr>
                <w:rFonts w:ascii="Arial" w:hAnsi="Arial" w:cs="Arial"/>
                <w:noProof/>
                <w:webHidden/>
                <w:sz w:val="22"/>
                <w:szCs w:val="22"/>
              </w:rPr>
              <w:fldChar w:fldCharType="end"/>
            </w:r>
          </w:hyperlink>
        </w:p>
        <w:p w14:paraId="799E15AD" w14:textId="7FA1F33D" w:rsidR="002818D9" w:rsidRPr="002818D9" w:rsidRDefault="002818D9" w:rsidP="002818D9">
          <w:pPr>
            <w:pStyle w:val="TOC1"/>
            <w:tabs>
              <w:tab w:val="right" w:leader="dot" w:pos="9016"/>
            </w:tabs>
            <w:spacing w:line="360" w:lineRule="auto"/>
            <w:rPr>
              <w:rFonts w:ascii="Arial" w:eastAsiaTheme="minorEastAsia" w:hAnsi="Arial" w:cs="Arial"/>
              <w:noProof/>
              <w:sz w:val="22"/>
              <w:szCs w:val="22"/>
              <w:lang w:eastAsia="en-GB"/>
            </w:rPr>
          </w:pPr>
          <w:hyperlink w:anchor="_Toc213958334" w:history="1">
            <w:r w:rsidRPr="002818D9">
              <w:rPr>
                <w:rStyle w:val="Hyperlink"/>
                <w:rFonts w:ascii="Arial" w:hAnsi="Arial" w:cs="Arial"/>
                <w:b/>
                <w:bCs/>
                <w:noProof/>
                <w:sz w:val="22"/>
                <w:szCs w:val="22"/>
              </w:rPr>
              <w:t>Recommendations for Future Research</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_Toc213958334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18</w:t>
            </w:r>
            <w:r w:rsidRPr="002818D9">
              <w:rPr>
                <w:rFonts w:ascii="Arial" w:hAnsi="Arial" w:cs="Arial"/>
                <w:noProof/>
                <w:webHidden/>
                <w:sz w:val="22"/>
                <w:szCs w:val="22"/>
              </w:rPr>
              <w:fldChar w:fldCharType="end"/>
            </w:r>
          </w:hyperlink>
        </w:p>
        <w:p w14:paraId="40B27446" w14:textId="4CAE1BBF"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35" w:history="1">
            <w:r w:rsidRPr="002818D9">
              <w:rPr>
                <w:rStyle w:val="Hyperlink"/>
                <w:rFonts w:ascii="Arial" w:hAnsi="Arial" w:cs="Arial"/>
                <w:b/>
                <w:bCs/>
                <w:noProof/>
                <w:sz w:val="22"/>
                <w:szCs w:val="22"/>
              </w:rPr>
              <w:t>Recommendations for Policy and Practice</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_Toc213958335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18</w:t>
            </w:r>
            <w:r w:rsidRPr="002818D9">
              <w:rPr>
                <w:rFonts w:ascii="Arial" w:hAnsi="Arial" w:cs="Arial"/>
                <w:noProof/>
                <w:webHidden/>
                <w:sz w:val="22"/>
                <w:szCs w:val="22"/>
              </w:rPr>
              <w:fldChar w:fldCharType="end"/>
            </w:r>
          </w:hyperlink>
        </w:p>
        <w:p w14:paraId="192386F6" w14:textId="02C1F8A4" w:rsidR="002818D9" w:rsidRPr="002818D9" w:rsidRDefault="002818D9" w:rsidP="002818D9">
          <w:pPr>
            <w:pStyle w:val="TOC2"/>
            <w:tabs>
              <w:tab w:val="right" w:leader="dot" w:pos="9016"/>
            </w:tabs>
            <w:spacing w:line="360" w:lineRule="auto"/>
            <w:rPr>
              <w:rFonts w:ascii="Arial" w:eastAsiaTheme="minorEastAsia" w:hAnsi="Arial" w:cs="Arial"/>
              <w:noProof/>
              <w:sz w:val="22"/>
              <w:szCs w:val="22"/>
              <w:lang w:eastAsia="en-GB"/>
            </w:rPr>
          </w:pPr>
          <w:hyperlink w:anchor="_Toc213958336" w:history="1">
            <w:r w:rsidRPr="002818D9">
              <w:rPr>
                <w:rStyle w:val="Hyperlink"/>
                <w:rFonts w:ascii="Arial" w:hAnsi="Arial" w:cs="Arial"/>
                <w:b/>
                <w:bCs/>
                <w:noProof/>
                <w:sz w:val="22"/>
                <w:szCs w:val="22"/>
              </w:rPr>
              <w:t>Conclusion</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_Toc213958336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19</w:t>
            </w:r>
            <w:r w:rsidRPr="002818D9">
              <w:rPr>
                <w:rFonts w:ascii="Arial" w:hAnsi="Arial" w:cs="Arial"/>
                <w:noProof/>
                <w:webHidden/>
                <w:sz w:val="22"/>
                <w:szCs w:val="22"/>
              </w:rPr>
              <w:fldChar w:fldCharType="end"/>
            </w:r>
          </w:hyperlink>
        </w:p>
        <w:p w14:paraId="02FD4391" w14:textId="652E7D47" w:rsidR="002818D9" w:rsidRPr="002818D9" w:rsidRDefault="002818D9" w:rsidP="002818D9">
          <w:pPr>
            <w:pStyle w:val="TOC1"/>
            <w:tabs>
              <w:tab w:val="right" w:leader="dot" w:pos="9016"/>
            </w:tabs>
            <w:spacing w:line="360" w:lineRule="auto"/>
            <w:rPr>
              <w:rFonts w:ascii="Arial" w:eastAsiaTheme="minorEastAsia" w:hAnsi="Arial" w:cs="Arial"/>
              <w:noProof/>
              <w:sz w:val="22"/>
              <w:szCs w:val="22"/>
              <w:lang w:eastAsia="en-GB"/>
            </w:rPr>
          </w:pPr>
          <w:hyperlink w:anchor="_Toc213958337" w:history="1">
            <w:r w:rsidRPr="002818D9">
              <w:rPr>
                <w:rStyle w:val="Hyperlink"/>
                <w:rFonts w:ascii="Arial" w:hAnsi="Arial" w:cs="Arial"/>
                <w:b/>
                <w:bCs/>
                <w:noProof/>
                <w:sz w:val="22"/>
                <w:szCs w:val="22"/>
              </w:rPr>
              <w:t>References:</w:t>
            </w:r>
            <w:r w:rsidRPr="002818D9">
              <w:rPr>
                <w:rFonts w:ascii="Arial" w:hAnsi="Arial" w:cs="Arial"/>
                <w:noProof/>
                <w:webHidden/>
                <w:sz w:val="22"/>
                <w:szCs w:val="22"/>
              </w:rPr>
              <w:tab/>
            </w:r>
            <w:r w:rsidRPr="002818D9">
              <w:rPr>
                <w:rFonts w:ascii="Arial" w:hAnsi="Arial" w:cs="Arial"/>
                <w:noProof/>
                <w:webHidden/>
                <w:sz w:val="22"/>
                <w:szCs w:val="22"/>
              </w:rPr>
              <w:fldChar w:fldCharType="begin"/>
            </w:r>
            <w:r w:rsidRPr="002818D9">
              <w:rPr>
                <w:rFonts w:ascii="Arial" w:hAnsi="Arial" w:cs="Arial"/>
                <w:noProof/>
                <w:webHidden/>
                <w:sz w:val="22"/>
                <w:szCs w:val="22"/>
              </w:rPr>
              <w:instrText xml:space="preserve"> PAGEREF _Toc213958337 \h </w:instrText>
            </w:r>
            <w:r w:rsidRPr="002818D9">
              <w:rPr>
                <w:rFonts w:ascii="Arial" w:hAnsi="Arial" w:cs="Arial"/>
                <w:noProof/>
                <w:webHidden/>
                <w:sz w:val="22"/>
                <w:szCs w:val="22"/>
              </w:rPr>
            </w:r>
            <w:r w:rsidRPr="002818D9">
              <w:rPr>
                <w:rFonts w:ascii="Arial" w:hAnsi="Arial" w:cs="Arial"/>
                <w:noProof/>
                <w:webHidden/>
                <w:sz w:val="22"/>
                <w:szCs w:val="22"/>
              </w:rPr>
              <w:fldChar w:fldCharType="separate"/>
            </w:r>
            <w:r w:rsidRPr="002818D9">
              <w:rPr>
                <w:rFonts w:ascii="Arial" w:hAnsi="Arial" w:cs="Arial"/>
                <w:noProof/>
                <w:webHidden/>
                <w:sz w:val="22"/>
                <w:szCs w:val="22"/>
              </w:rPr>
              <w:t>20</w:t>
            </w:r>
            <w:r w:rsidRPr="002818D9">
              <w:rPr>
                <w:rFonts w:ascii="Arial" w:hAnsi="Arial" w:cs="Arial"/>
                <w:noProof/>
                <w:webHidden/>
                <w:sz w:val="22"/>
                <w:szCs w:val="22"/>
              </w:rPr>
              <w:fldChar w:fldCharType="end"/>
            </w:r>
          </w:hyperlink>
        </w:p>
        <w:p w14:paraId="56BD7912" w14:textId="4915CDFE" w:rsidR="005B2584" w:rsidRPr="002818D9" w:rsidRDefault="003C2639" w:rsidP="002818D9">
          <w:pPr>
            <w:spacing w:line="360" w:lineRule="auto"/>
            <w:rPr>
              <w:rFonts w:ascii="Arial" w:hAnsi="Arial" w:cs="Arial"/>
              <w:b/>
              <w:bCs/>
              <w:sz w:val="22"/>
              <w:szCs w:val="22"/>
            </w:rPr>
          </w:pPr>
          <w:r w:rsidRPr="002818D9">
            <w:rPr>
              <w:rFonts w:ascii="Arial" w:hAnsi="Arial" w:cs="Arial"/>
              <w:b/>
              <w:bCs/>
              <w:sz w:val="22"/>
              <w:szCs w:val="22"/>
            </w:rPr>
            <w:fldChar w:fldCharType="end"/>
          </w:r>
        </w:p>
      </w:sdtContent>
    </w:sdt>
    <w:p w14:paraId="3E63A157" w14:textId="77777777" w:rsidR="00925C21" w:rsidRDefault="00925C21">
      <w:pPr>
        <w:rPr>
          <w:rFonts w:ascii="Arial" w:eastAsiaTheme="majorEastAsia" w:hAnsi="Arial" w:cs="Arial"/>
          <w:b/>
          <w:bCs/>
          <w:sz w:val="22"/>
          <w:szCs w:val="22"/>
          <w:u w:val="single"/>
        </w:rPr>
      </w:pPr>
      <w:bookmarkStart w:id="1" w:name="_Toc213958309"/>
      <w:r>
        <w:rPr>
          <w:rFonts w:ascii="Arial" w:hAnsi="Arial" w:cs="Arial"/>
          <w:b/>
          <w:bCs/>
          <w:sz w:val="22"/>
          <w:szCs w:val="22"/>
          <w:u w:val="single"/>
        </w:rPr>
        <w:br w:type="page"/>
      </w:r>
    </w:p>
    <w:p w14:paraId="04C72F23" w14:textId="2BA39A4F" w:rsidR="00C47114" w:rsidRPr="002818D9" w:rsidRDefault="00C47114" w:rsidP="002818D9">
      <w:pPr>
        <w:pStyle w:val="Heading1"/>
        <w:spacing w:line="360" w:lineRule="auto"/>
        <w:rPr>
          <w:rFonts w:ascii="Arial" w:hAnsi="Arial" w:cs="Arial"/>
          <w:b/>
          <w:bCs/>
          <w:color w:val="auto"/>
          <w:sz w:val="22"/>
          <w:szCs w:val="22"/>
          <w:u w:val="single"/>
        </w:rPr>
      </w:pPr>
      <w:r w:rsidRPr="002818D9">
        <w:rPr>
          <w:rFonts w:ascii="Arial" w:hAnsi="Arial" w:cs="Arial"/>
          <w:b/>
          <w:bCs/>
          <w:color w:val="auto"/>
          <w:sz w:val="22"/>
          <w:szCs w:val="22"/>
          <w:u w:val="single"/>
        </w:rPr>
        <w:lastRenderedPageBreak/>
        <w:t>Abstract</w:t>
      </w:r>
      <w:bookmarkEnd w:id="1"/>
    </w:p>
    <w:p w14:paraId="14F271E7" w14:textId="77777777" w:rsidR="00CE4709" w:rsidRPr="002818D9" w:rsidRDefault="00CE4709" w:rsidP="002818D9">
      <w:pPr>
        <w:spacing w:line="360" w:lineRule="auto"/>
        <w:rPr>
          <w:rFonts w:ascii="Arial" w:hAnsi="Arial" w:cs="Arial"/>
          <w:sz w:val="22"/>
          <w:szCs w:val="22"/>
        </w:rPr>
      </w:pPr>
    </w:p>
    <w:p w14:paraId="2F8AE1DB" w14:textId="33E16A78" w:rsidR="00CE4709" w:rsidRPr="002818D9" w:rsidRDefault="00CE4709" w:rsidP="002818D9">
      <w:pPr>
        <w:spacing w:line="360" w:lineRule="auto"/>
        <w:rPr>
          <w:rFonts w:ascii="Arial" w:hAnsi="Arial" w:cs="Arial"/>
          <w:sz w:val="22"/>
          <w:szCs w:val="22"/>
        </w:rPr>
      </w:pPr>
      <w:r w:rsidRPr="002818D9">
        <w:rPr>
          <w:rFonts w:ascii="Arial" w:hAnsi="Arial" w:cs="Arial"/>
          <w:b/>
          <w:bCs/>
          <w:sz w:val="22"/>
          <w:szCs w:val="22"/>
          <w:u w:val="single"/>
        </w:rPr>
        <w:t>Background</w:t>
      </w:r>
      <w:r w:rsidRPr="002818D9">
        <w:rPr>
          <w:rFonts w:ascii="Arial" w:hAnsi="Arial" w:cs="Arial"/>
          <w:b/>
          <w:bCs/>
          <w:sz w:val="22"/>
          <w:szCs w:val="22"/>
        </w:rPr>
        <w:t>:</w:t>
      </w:r>
      <w:r w:rsidRPr="002818D9">
        <w:rPr>
          <w:rFonts w:ascii="Arial" w:hAnsi="Arial" w:cs="Arial"/>
          <w:sz w:val="22"/>
          <w:szCs w:val="22"/>
        </w:rPr>
        <w:t xml:space="preserve"> </w:t>
      </w:r>
      <w:r w:rsidR="00705A05" w:rsidRPr="002818D9">
        <w:rPr>
          <w:rFonts w:ascii="Arial" w:hAnsi="Arial" w:cs="Arial"/>
          <w:sz w:val="22"/>
          <w:szCs w:val="22"/>
        </w:rPr>
        <w:t>The link between substance misuse and schizophrenia is debated, particularly regarding causation, shared genetics, and which develops first</w:t>
      </w:r>
      <w:r w:rsidR="00732291" w:rsidRPr="002818D9">
        <w:rPr>
          <w:rFonts w:ascii="Arial" w:hAnsi="Arial" w:cs="Arial"/>
          <w:sz w:val="22"/>
          <w:szCs w:val="22"/>
        </w:rPr>
        <w:t>.</w:t>
      </w:r>
    </w:p>
    <w:p w14:paraId="7E076AA4" w14:textId="72B2F20C" w:rsidR="00CE4709" w:rsidRPr="002818D9" w:rsidRDefault="00CE4709" w:rsidP="002818D9">
      <w:pPr>
        <w:spacing w:line="360" w:lineRule="auto"/>
        <w:rPr>
          <w:rFonts w:ascii="Arial" w:hAnsi="Arial" w:cs="Arial"/>
          <w:sz w:val="22"/>
          <w:szCs w:val="22"/>
        </w:rPr>
      </w:pPr>
      <w:r w:rsidRPr="002818D9">
        <w:rPr>
          <w:rFonts w:ascii="Arial" w:hAnsi="Arial" w:cs="Arial"/>
          <w:b/>
          <w:bCs/>
          <w:sz w:val="22"/>
          <w:szCs w:val="22"/>
          <w:u w:val="single"/>
        </w:rPr>
        <w:t>Objective</w:t>
      </w:r>
      <w:r w:rsidRPr="002818D9">
        <w:rPr>
          <w:rFonts w:ascii="Arial" w:hAnsi="Arial" w:cs="Arial"/>
          <w:b/>
          <w:bCs/>
          <w:sz w:val="22"/>
          <w:szCs w:val="22"/>
        </w:rPr>
        <w:t>:</w:t>
      </w:r>
      <w:r w:rsidRPr="002818D9">
        <w:rPr>
          <w:rFonts w:ascii="Arial" w:hAnsi="Arial" w:cs="Arial"/>
          <w:sz w:val="22"/>
          <w:szCs w:val="22"/>
        </w:rPr>
        <w:t xml:space="preserve"> </w:t>
      </w:r>
      <w:r w:rsidR="007E2003" w:rsidRPr="002818D9">
        <w:rPr>
          <w:rFonts w:ascii="Arial" w:hAnsi="Arial" w:cs="Arial"/>
          <w:sz w:val="22"/>
          <w:szCs w:val="22"/>
        </w:rPr>
        <w:t xml:space="preserve">To review UK evidence linking substance misuse and schizophrenia-spectrum disorders in </w:t>
      </w:r>
      <w:r w:rsidR="00AF57DA" w:rsidRPr="002818D9">
        <w:rPr>
          <w:rFonts w:ascii="Arial" w:hAnsi="Arial" w:cs="Arial"/>
          <w:sz w:val="22"/>
          <w:szCs w:val="22"/>
        </w:rPr>
        <w:t>adults and</w:t>
      </w:r>
      <w:r w:rsidR="007E2003" w:rsidRPr="002818D9">
        <w:rPr>
          <w:rFonts w:ascii="Arial" w:hAnsi="Arial" w:cs="Arial"/>
          <w:sz w:val="22"/>
          <w:szCs w:val="22"/>
        </w:rPr>
        <w:t xml:space="preserve"> summarise proposed mechanisms.</w:t>
      </w:r>
    </w:p>
    <w:p w14:paraId="7D931ED8" w14:textId="1C82A372" w:rsidR="00CE4709" w:rsidRPr="002818D9" w:rsidRDefault="00CE4709" w:rsidP="002818D9">
      <w:pPr>
        <w:spacing w:line="360" w:lineRule="auto"/>
        <w:rPr>
          <w:rFonts w:ascii="Arial" w:hAnsi="Arial" w:cs="Arial"/>
          <w:sz w:val="22"/>
          <w:szCs w:val="22"/>
        </w:rPr>
      </w:pPr>
      <w:r w:rsidRPr="002818D9">
        <w:rPr>
          <w:rFonts w:ascii="Arial" w:hAnsi="Arial" w:cs="Arial"/>
          <w:b/>
          <w:bCs/>
          <w:sz w:val="22"/>
          <w:szCs w:val="22"/>
          <w:u w:val="single"/>
        </w:rPr>
        <w:t>Methods</w:t>
      </w:r>
      <w:r w:rsidRPr="002818D9">
        <w:rPr>
          <w:rFonts w:ascii="Arial" w:hAnsi="Arial" w:cs="Arial"/>
          <w:b/>
          <w:bCs/>
          <w:sz w:val="22"/>
          <w:szCs w:val="22"/>
        </w:rPr>
        <w:t>:</w:t>
      </w:r>
      <w:r w:rsidRPr="002818D9">
        <w:rPr>
          <w:rFonts w:ascii="Arial" w:hAnsi="Arial" w:cs="Arial"/>
          <w:sz w:val="22"/>
          <w:szCs w:val="22"/>
        </w:rPr>
        <w:t xml:space="preserve">  </w:t>
      </w:r>
      <w:r w:rsidR="00796EC6" w:rsidRPr="002818D9">
        <w:rPr>
          <w:rFonts w:ascii="Arial" w:hAnsi="Arial" w:cs="Arial"/>
          <w:sz w:val="22"/>
          <w:szCs w:val="22"/>
        </w:rPr>
        <w:t>A scoping review following Arksey–O'Malley and PRISMA-ScR guidelines searched major databases (2015–2025) for peer-reviewed UK studies on adults. Data were charted and thematically synthesised</w:t>
      </w:r>
      <w:r w:rsidR="008866E8" w:rsidRPr="002818D9">
        <w:rPr>
          <w:rFonts w:ascii="Arial" w:hAnsi="Arial" w:cs="Arial"/>
          <w:sz w:val="22"/>
          <w:szCs w:val="22"/>
        </w:rPr>
        <w:t>.</w:t>
      </w:r>
    </w:p>
    <w:p w14:paraId="10133BAF" w14:textId="444D0509" w:rsidR="00CE4709" w:rsidRPr="002818D9" w:rsidRDefault="00CE4709" w:rsidP="002818D9">
      <w:pPr>
        <w:spacing w:line="360" w:lineRule="auto"/>
        <w:rPr>
          <w:rFonts w:ascii="Arial" w:hAnsi="Arial" w:cs="Arial"/>
          <w:color w:val="EE0000"/>
          <w:sz w:val="22"/>
          <w:szCs w:val="22"/>
        </w:rPr>
      </w:pPr>
      <w:r w:rsidRPr="002818D9">
        <w:rPr>
          <w:rFonts w:ascii="Arial" w:hAnsi="Arial" w:cs="Arial"/>
          <w:b/>
          <w:bCs/>
          <w:sz w:val="22"/>
          <w:szCs w:val="22"/>
          <w:u w:val="single"/>
        </w:rPr>
        <w:t>Results</w:t>
      </w:r>
      <w:r w:rsidRPr="002818D9">
        <w:rPr>
          <w:rFonts w:ascii="Arial" w:hAnsi="Arial" w:cs="Arial"/>
          <w:sz w:val="22"/>
          <w:szCs w:val="22"/>
        </w:rPr>
        <w:t>:</w:t>
      </w:r>
      <w:r w:rsidR="005C1D11" w:rsidRPr="002818D9">
        <w:rPr>
          <w:rFonts w:ascii="Arial" w:hAnsi="Arial" w:cs="Arial"/>
          <w:sz w:val="22"/>
          <w:szCs w:val="22"/>
        </w:rPr>
        <w:t xml:space="preserve"> Four themes emerged: (1) Cannabis and other substances as key risk factors; (2) Moderate causal influences and bidirectional relationships; (3) Separate genetic and environmental influences</w:t>
      </w:r>
      <w:r w:rsidR="00D612D0" w:rsidRPr="002818D9">
        <w:rPr>
          <w:rFonts w:ascii="Arial" w:hAnsi="Arial" w:cs="Arial"/>
          <w:sz w:val="22"/>
          <w:szCs w:val="22"/>
        </w:rPr>
        <w:t>,</w:t>
      </w:r>
      <w:r w:rsidR="005C1D11" w:rsidRPr="002818D9">
        <w:rPr>
          <w:rFonts w:ascii="Arial" w:hAnsi="Arial" w:cs="Arial"/>
          <w:sz w:val="22"/>
          <w:szCs w:val="22"/>
        </w:rPr>
        <w:t xml:space="preserve"> and (4) </w:t>
      </w:r>
      <w:r w:rsidR="004924A9" w:rsidRPr="002818D9">
        <w:rPr>
          <w:rFonts w:ascii="Arial" w:hAnsi="Arial" w:cs="Arial"/>
          <w:sz w:val="22"/>
          <w:szCs w:val="22"/>
        </w:rPr>
        <w:t>Time</w:t>
      </w:r>
      <w:r w:rsidR="00A112F7" w:rsidRPr="002818D9">
        <w:rPr>
          <w:rFonts w:ascii="Arial" w:hAnsi="Arial" w:cs="Arial"/>
          <w:sz w:val="22"/>
          <w:szCs w:val="22"/>
        </w:rPr>
        <w:t xml:space="preserve">line of </w:t>
      </w:r>
      <w:r w:rsidR="005C1D11" w:rsidRPr="002818D9">
        <w:rPr>
          <w:rFonts w:ascii="Arial" w:hAnsi="Arial" w:cs="Arial"/>
          <w:sz w:val="22"/>
          <w:szCs w:val="22"/>
        </w:rPr>
        <w:t>progression and clinical predictors</w:t>
      </w:r>
      <w:r w:rsidR="005C1D11" w:rsidRPr="002818D9">
        <w:rPr>
          <w:rFonts w:ascii="Arial" w:hAnsi="Arial" w:cs="Arial"/>
          <w:b/>
          <w:bCs/>
          <w:sz w:val="22"/>
          <w:szCs w:val="22"/>
        </w:rPr>
        <w:t>.</w:t>
      </w:r>
    </w:p>
    <w:p w14:paraId="4CE55BC0" w14:textId="072D52E2" w:rsidR="00CE4709" w:rsidRPr="002818D9" w:rsidRDefault="00CE4709" w:rsidP="002818D9">
      <w:pPr>
        <w:spacing w:line="360" w:lineRule="auto"/>
        <w:rPr>
          <w:rFonts w:ascii="Arial" w:hAnsi="Arial" w:cs="Arial"/>
          <w:sz w:val="22"/>
          <w:szCs w:val="22"/>
        </w:rPr>
      </w:pPr>
      <w:r w:rsidRPr="002818D9">
        <w:rPr>
          <w:rFonts w:ascii="Arial" w:hAnsi="Arial" w:cs="Arial"/>
          <w:b/>
          <w:bCs/>
          <w:sz w:val="22"/>
          <w:szCs w:val="22"/>
          <w:u w:val="single"/>
        </w:rPr>
        <w:t>Conclusion</w:t>
      </w:r>
      <w:r w:rsidRPr="002818D9">
        <w:rPr>
          <w:rFonts w:ascii="Arial" w:hAnsi="Arial" w:cs="Arial"/>
          <w:b/>
          <w:bCs/>
          <w:sz w:val="22"/>
          <w:szCs w:val="22"/>
        </w:rPr>
        <w:t>:</w:t>
      </w:r>
      <w:r w:rsidRPr="002818D9">
        <w:rPr>
          <w:rFonts w:ascii="Arial" w:hAnsi="Arial" w:cs="Arial"/>
          <w:sz w:val="22"/>
          <w:szCs w:val="22"/>
        </w:rPr>
        <w:t xml:space="preserve"> </w:t>
      </w:r>
      <w:r w:rsidR="00D612D0" w:rsidRPr="002818D9">
        <w:rPr>
          <w:rFonts w:ascii="Arial" w:hAnsi="Arial" w:cs="Arial"/>
          <w:sz w:val="22"/>
          <w:szCs w:val="22"/>
        </w:rPr>
        <w:t>UK evidence shows substance misuse, especially high-potency cannabis, contributes to schizophrenia risk alongside genetic and environmental factors, requiring integrated multifactorial interventions.</w:t>
      </w:r>
    </w:p>
    <w:p w14:paraId="1AD7FD7A" w14:textId="58AFFCFD" w:rsidR="00C47114" w:rsidRPr="002818D9" w:rsidRDefault="00C47114" w:rsidP="002818D9">
      <w:pPr>
        <w:pStyle w:val="Heading1"/>
        <w:spacing w:line="360" w:lineRule="auto"/>
        <w:rPr>
          <w:rFonts w:ascii="Arial" w:hAnsi="Arial" w:cs="Arial"/>
          <w:b/>
          <w:bCs/>
          <w:color w:val="auto"/>
          <w:sz w:val="22"/>
          <w:szCs w:val="22"/>
          <w:u w:val="single"/>
        </w:rPr>
      </w:pPr>
      <w:bookmarkStart w:id="2" w:name="_Toc213958310"/>
      <w:r w:rsidRPr="002818D9">
        <w:rPr>
          <w:rFonts w:ascii="Arial" w:hAnsi="Arial" w:cs="Arial"/>
          <w:b/>
          <w:bCs/>
          <w:color w:val="auto"/>
          <w:sz w:val="22"/>
          <w:szCs w:val="22"/>
          <w:u w:val="single"/>
        </w:rPr>
        <w:t>Introduction</w:t>
      </w:r>
      <w:bookmarkEnd w:id="2"/>
      <w:r w:rsidR="00141729" w:rsidRPr="002818D9">
        <w:rPr>
          <w:rFonts w:ascii="Arial" w:hAnsi="Arial" w:cs="Arial"/>
          <w:b/>
          <w:bCs/>
          <w:color w:val="auto"/>
          <w:sz w:val="22"/>
          <w:szCs w:val="22"/>
          <w:u w:val="single"/>
        </w:rPr>
        <w:t xml:space="preserve">   </w:t>
      </w:r>
    </w:p>
    <w:p w14:paraId="181E91ED" w14:textId="77777777" w:rsidR="005034C0" w:rsidRPr="002818D9" w:rsidRDefault="005034C0" w:rsidP="002818D9">
      <w:pPr>
        <w:spacing w:line="360" w:lineRule="auto"/>
        <w:rPr>
          <w:rFonts w:ascii="Arial" w:hAnsi="Arial" w:cs="Arial"/>
          <w:sz w:val="22"/>
          <w:szCs w:val="22"/>
        </w:rPr>
      </w:pPr>
    </w:p>
    <w:p w14:paraId="6B23E671" w14:textId="3B397ACF"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Schizophrenia, a serious and debilitating mental disorder, is marked by positive symptoms like hallucinations and delusions, negative symptoms such as reduced emotional expression and avolition, as well as cognitive deficits that impact memory, attention, and executive functioning (Correll and Schooler, 2020). Worldwide, schizophrenia affects over 24 million individuals (WHO, 2022). The prevalence of schizophrenia in the UK is thought to be around 1% of the population (Zacher, J.M., 2022).</w:t>
      </w:r>
      <w:r w:rsidRPr="002818D9">
        <w:rPr>
          <w:rFonts w:ascii="Arial" w:hAnsi="Arial" w:cs="Arial"/>
          <w:color w:val="000000"/>
          <w:sz w:val="22"/>
          <w:szCs w:val="22"/>
          <w:shd w:val="clear" w:color="auto" w:fill="FFFFFF"/>
        </w:rPr>
        <w:t xml:space="preserve"> Substance misuse is defined as the dangerous or damaging use of psychoactive chemicals, such as stimulants, alcohol, cannabis, and other illegal drugs, which results in dependence syndrome and related health issues (</w:t>
      </w:r>
      <w:r w:rsidR="000E189C" w:rsidRPr="002818D9">
        <w:rPr>
          <w:rFonts w:ascii="Arial" w:hAnsi="Arial" w:cs="Arial"/>
          <w:color w:val="000000"/>
          <w:sz w:val="22"/>
          <w:szCs w:val="22"/>
          <w:shd w:val="clear" w:color="auto" w:fill="FFFFFF"/>
        </w:rPr>
        <w:t xml:space="preserve">DHCC </w:t>
      </w:r>
      <w:r w:rsidR="001D1335" w:rsidRPr="002818D9">
        <w:rPr>
          <w:rFonts w:ascii="Arial" w:hAnsi="Arial" w:cs="Arial"/>
          <w:color w:val="000000"/>
          <w:sz w:val="22"/>
          <w:szCs w:val="22"/>
          <w:shd w:val="clear" w:color="auto" w:fill="FFFFFF"/>
        </w:rPr>
        <w:t xml:space="preserve"> 2017</w:t>
      </w:r>
      <w:r w:rsidRPr="002818D9">
        <w:rPr>
          <w:rFonts w:ascii="Arial" w:hAnsi="Arial" w:cs="Arial"/>
          <w:sz w:val="22"/>
          <w:szCs w:val="22"/>
        </w:rPr>
        <w:t xml:space="preserve">). Furthermore, research indicates that the prevalence of substance </w:t>
      </w:r>
      <w:r w:rsidR="00CD21FA" w:rsidRPr="002818D9">
        <w:rPr>
          <w:rFonts w:ascii="Arial" w:hAnsi="Arial" w:cs="Arial"/>
          <w:sz w:val="22"/>
          <w:szCs w:val="22"/>
        </w:rPr>
        <w:t>misuse</w:t>
      </w:r>
      <w:r w:rsidRPr="002818D9">
        <w:rPr>
          <w:rFonts w:ascii="Arial" w:hAnsi="Arial" w:cs="Arial"/>
          <w:sz w:val="22"/>
          <w:szCs w:val="22"/>
        </w:rPr>
        <w:t xml:space="preserve"> ranges from 24 to 36 per cent, 5 - 9% for drug abuse alone, and 8% for combined drug and alcohol abuse (NICE, 2009).</w:t>
      </w:r>
      <w:r w:rsidRPr="002818D9">
        <w:rPr>
          <w:rFonts w:ascii="Arial" w:eastAsia="Times New Roman" w:hAnsi="Arial" w:cs="Arial"/>
          <w:kern w:val="0"/>
          <w:sz w:val="22"/>
          <w:szCs w:val="22"/>
          <w:lang w:eastAsia="en-GB"/>
          <w14:ligatures w14:val="none"/>
        </w:rPr>
        <w:t xml:space="preserve"> </w:t>
      </w:r>
      <w:r w:rsidRPr="002818D9">
        <w:rPr>
          <w:rFonts w:ascii="Arial" w:hAnsi="Arial" w:cs="Arial"/>
          <w:sz w:val="22"/>
          <w:szCs w:val="22"/>
        </w:rPr>
        <w:t>Since substance use has been associated with an earlier onset age, more severe symptoms, higher relapse rates, and poorer treatment outcomes in individuals with schizophrenia, this comorbidity presents challenging clinical dilemmas (Barnes et al., 2018).</w:t>
      </w:r>
    </w:p>
    <w:p w14:paraId="551F9E97" w14:textId="56CBC673" w:rsidR="005034C0" w:rsidRPr="002818D9" w:rsidRDefault="00C47114" w:rsidP="002818D9">
      <w:pPr>
        <w:spacing w:line="360" w:lineRule="auto"/>
        <w:rPr>
          <w:rFonts w:ascii="Arial" w:hAnsi="Arial" w:cs="Arial"/>
          <w:sz w:val="22"/>
          <w:szCs w:val="22"/>
        </w:rPr>
      </w:pPr>
      <w:r w:rsidRPr="002818D9">
        <w:rPr>
          <w:rFonts w:ascii="Arial" w:hAnsi="Arial" w:cs="Arial"/>
          <w:sz w:val="22"/>
          <w:szCs w:val="22"/>
        </w:rPr>
        <w:lastRenderedPageBreak/>
        <w:t>The connection between substance misuse and schizophrenia remains a topic of debate in psychiatric research.</w:t>
      </w:r>
      <w:r w:rsidRPr="002818D9">
        <w:rPr>
          <w:rFonts w:ascii="Arial" w:eastAsia="Times New Roman" w:hAnsi="Arial" w:cs="Arial"/>
          <w:kern w:val="0"/>
          <w:sz w:val="22"/>
          <w:szCs w:val="22"/>
          <w:lang w:eastAsia="en-GB"/>
          <w14:ligatures w14:val="none"/>
        </w:rPr>
        <w:t xml:space="preserve"> </w:t>
      </w:r>
      <w:r w:rsidRPr="002818D9">
        <w:rPr>
          <w:rFonts w:ascii="Arial" w:hAnsi="Arial" w:cs="Arial"/>
          <w:sz w:val="22"/>
          <w:szCs w:val="22"/>
        </w:rPr>
        <w:t>Although epidemiological studies have consistently demonstrated associations between cannabis consumption and increased rates of psychotic disorders, establishing causation has proven challenging due to confounding factors, reverse causation, and shared genetic predispositions (Di Forti, M. et al., 2015). Recent developments in genetics, especially Mendelian randomisation studies, have yielded novel methodological strategies for evaluating causal links while reducing confounding variables (Davies, Holmes and Davey Smith, 2018)</w:t>
      </w:r>
      <w:r w:rsidR="004A75B3" w:rsidRPr="002818D9">
        <w:rPr>
          <w:rFonts w:ascii="Arial" w:hAnsi="Arial" w:cs="Arial"/>
          <w:sz w:val="22"/>
          <w:szCs w:val="22"/>
        </w:rPr>
        <w:t>.</w:t>
      </w:r>
    </w:p>
    <w:p w14:paraId="048CE634" w14:textId="67D0ECF7"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Considering the growing evidence base, the increasing strength of cannabis products in the UK, and recent genetic findings, it is crucial to conduct a comprehensive scoping assessment of recent UK research to synthesise current information and identify knowledge gaps.</w:t>
      </w:r>
    </w:p>
    <w:p w14:paraId="2C67FB6F" w14:textId="77777777" w:rsidR="00C47114" w:rsidRPr="002818D9" w:rsidRDefault="00C47114" w:rsidP="002818D9">
      <w:pPr>
        <w:pStyle w:val="Heading2"/>
        <w:spacing w:line="360" w:lineRule="auto"/>
        <w:rPr>
          <w:rFonts w:ascii="Arial" w:hAnsi="Arial" w:cs="Arial"/>
          <w:b/>
          <w:bCs/>
          <w:color w:val="auto"/>
          <w:sz w:val="22"/>
          <w:szCs w:val="22"/>
          <w:u w:val="single"/>
        </w:rPr>
      </w:pPr>
      <w:bookmarkStart w:id="3" w:name="_Toc213958311"/>
      <w:r w:rsidRPr="002818D9">
        <w:rPr>
          <w:rFonts w:ascii="Arial" w:hAnsi="Arial" w:cs="Arial"/>
          <w:b/>
          <w:bCs/>
          <w:color w:val="auto"/>
          <w:sz w:val="22"/>
          <w:szCs w:val="22"/>
          <w:u w:val="single"/>
        </w:rPr>
        <w:t>Review Question</w:t>
      </w:r>
      <w:bookmarkEnd w:id="3"/>
    </w:p>
    <w:p w14:paraId="0441E273" w14:textId="77777777" w:rsidR="001A1AA6" w:rsidRPr="002818D9" w:rsidRDefault="001A1AA6" w:rsidP="002818D9">
      <w:pPr>
        <w:spacing w:line="360" w:lineRule="auto"/>
        <w:rPr>
          <w:rFonts w:ascii="Arial" w:hAnsi="Arial" w:cs="Arial"/>
          <w:sz w:val="22"/>
          <w:szCs w:val="22"/>
        </w:rPr>
      </w:pPr>
    </w:p>
    <w:p w14:paraId="63D1478F" w14:textId="2A687449" w:rsidR="001A1AA6" w:rsidRPr="002818D9" w:rsidRDefault="001A1AA6" w:rsidP="002818D9">
      <w:pPr>
        <w:spacing w:line="360" w:lineRule="auto"/>
        <w:rPr>
          <w:rFonts w:ascii="Arial" w:hAnsi="Arial" w:cs="Arial"/>
          <w:sz w:val="22"/>
          <w:szCs w:val="22"/>
        </w:rPr>
      </w:pPr>
      <w:r w:rsidRPr="002818D9">
        <w:rPr>
          <w:rFonts w:ascii="Arial" w:hAnsi="Arial" w:cs="Arial"/>
          <w:sz w:val="22"/>
          <w:szCs w:val="22"/>
        </w:rPr>
        <w:t>What is known from UK adult studies about the relationship between substance misuse and schizophrenia or schizophrenia-spectrum disorders, including proposed causal pathways?</w:t>
      </w:r>
    </w:p>
    <w:p w14:paraId="4A60A12E" w14:textId="77777777" w:rsidR="005034C0" w:rsidRPr="002818D9" w:rsidRDefault="005034C0" w:rsidP="002818D9">
      <w:pPr>
        <w:spacing w:line="360" w:lineRule="auto"/>
        <w:rPr>
          <w:rFonts w:ascii="Arial" w:hAnsi="Arial" w:cs="Arial"/>
          <w:sz w:val="22"/>
          <w:szCs w:val="22"/>
        </w:rPr>
      </w:pPr>
    </w:p>
    <w:p w14:paraId="3AA02D64" w14:textId="77777777" w:rsidR="00C47114" w:rsidRPr="002818D9" w:rsidRDefault="00C47114" w:rsidP="002818D9">
      <w:pPr>
        <w:pStyle w:val="Heading2"/>
        <w:spacing w:line="360" w:lineRule="auto"/>
        <w:rPr>
          <w:rFonts w:ascii="Arial" w:hAnsi="Arial" w:cs="Arial"/>
          <w:b/>
          <w:bCs/>
          <w:color w:val="auto"/>
          <w:sz w:val="22"/>
          <w:szCs w:val="22"/>
          <w:u w:val="single"/>
        </w:rPr>
      </w:pPr>
      <w:bookmarkStart w:id="4" w:name="_Toc213958312"/>
      <w:r w:rsidRPr="002818D9">
        <w:rPr>
          <w:rFonts w:ascii="Arial" w:hAnsi="Arial" w:cs="Arial"/>
          <w:b/>
          <w:bCs/>
          <w:color w:val="auto"/>
          <w:sz w:val="22"/>
          <w:szCs w:val="22"/>
          <w:u w:val="single"/>
        </w:rPr>
        <w:t>Objectives</w:t>
      </w:r>
      <w:bookmarkEnd w:id="4"/>
    </w:p>
    <w:p w14:paraId="2DFA1B9D" w14:textId="77777777" w:rsidR="00C47114" w:rsidRPr="002818D9" w:rsidRDefault="00C47114" w:rsidP="002818D9">
      <w:pPr>
        <w:numPr>
          <w:ilvl w:val="0"/>
          <w:numId w:val="3"/>
        </w:numPr>
        <w:spacing w:line="360" w:lineRule="auto"/>
        <w:rPr>
          <w:rFonts w:ascii="Arial" w:hAnsi="Arial" w:cs="Arial"/>
          <w:sz w:val="22"/>
          <w:szCs w:val="22"/>
        </w:rPr>
      </w:pPr>
      <w:r w:rsidRPr="002818D9">
        <w:rPr>
          <w:rFonts w:ascii="Arial" w:hAnsi="Arial" w:cs="Arial"/>
          <w:sz w:val="22"/>
          <w:szCs w:val="22"/>
        </w:rPr>
        <w:t>To identify substances most frequently associated with schizophrenia or schizophrenia-spectrum disorders in UK adult populations</w:t>
      </w:r>
    </w:p>
    <w:p w14:paraId="6F02180B" w14:textId="5B52E924" w:rsidR="00C47114" w:rsidRPr="002818D9" w:rsidRDefault="00C44443" w:rsidP="002818D9">
      <w:pPr>
        <w:numPr>
          <w:ilvl w:val="0"/>
          <w:numId w:val="3"/>
        </w:numPr>
        <w:spacing w:line="360" w:lineRule="auto"/>
        <w:rPr>
          <w:rFonts w:ascii="Arial" w:hAnsi="Arial" w:cs="Arial"/>
          <w:sz w:val="22"/>
          <w:szCs w:val="22"/>
        </w:rPr>
      </w:pPr>
      <w:r w:rsidRPr="002818D9">
        <w:rPr>
          <w:rFonts w:ascii="Arial" w:hAnsi="Arial" w:cs="Arial"/>
          <w:sz w:val="22"/>
          <w:szCs w:val="22"/>
        </w:rPr>
        <w:t>To explore the substance misuse-schizophrenia relationship, including causal pathways, biological mechanisms, and directionality.</w:t>
      </w:r>
    </w:p>
    <w:p w14:paraId="3E615F2C" w14:textId="77777777" w:rsidR="00C47114" w:rsidRPr="002818D9" w:rsidRDefault="00C47114" w:rsidP="002818D9">
      <w:pPr>
        <w:numPr>
          <w:ilvl w:val="0"/>
          <w:numId w:val="3"/>
        </w:numPr>
        <w:spacing w:line="360" w:lineRule="auto"/>
        <w:rPr>
          <w:rFonts w:ascii="Arial" w:hAnsi="Arial" w:cs="Arial"/>
          <w:sz w:val="22"/>
          <w:szCs w:val="22"/>
        </w:rPr>
      </w:pPr>
      <w:r w:rsidRPr="002818D9">
        <w:rPr>
          <w:rFonts w:ascii="Arial" w:hAnsi="Arial" w:cs="Arial"/>
          <w:sz w:val="22"/>
          <w:szCs w:val="22"/>
        </w:rPr>
        <w:t>To identify gaps in current research to inform future prevention strategies and policy initiatives</w:t>
      </w:r>
    </w:p>
    <w:p w14:paraId="388CFA85" w14:textId="6EEAF8D3" w:rsidR="00C47114" w:rsidRPr="002818D9" w:rsidRDefault="002D393D" w:rsidP="002818D9">
      <w:pPr>
        <w:pStyle w:val="Heading1"/>
        <w:spacing w:line="360" w:lineRule="auto"/>
        <w:rPr>
          <w:rFonts w:ascii="Arial" w:hAnsi="Arial" w:cs="Arial"/>
          <w:b/>
          <w:bCs/>
          <w:color w:val="auto"/>
          <w:sz w:val="22"/>
          <w:szCs w:val="22"/>
          <w:u w:val="single"/>
        </w:rPr>
      </w:pPr>
      <w:bookmarkStart w:id="5" w:name="_Toc213958313"/>
      <w:r w:rsidRPr="002818D9">
        <w:rPr>
          <w:rFonts w:ascii="Arial" w:hAnsi="Arial" w:cs="Arial"/>
          <w:b/>
          <w:bCs/>
          <w:color w:val="auto"/>
          <w:sz w:val="22"/>
          <w:szCs w:val="22"/>
          <w:u w:val="single"/>
        </w:rPr>
        <w:t>B</w:t>
      </w:r>
      <w:r w:rsidR="00C47114" w:rsidRPr="002818D9">
        <w:rPr>
          <w:rFonts w:ascii="Arial" w:hAnsi="Arial" w:cs="Arial"/>
          <w:b/>
          <w:bCs/>
          <w:color w:val="auto"/>
          <w:sz w:val="22"/>
          <w:szCs w:val="22"/>
          <w:u w:val="single"/>
        </w:rPr>
        <w:t>ackground</w:t>
      </w:r>
      <w:bookmarkEnd w:id="5"/>
    </w:p>
    <w:p w14:paraId="54628E44" w14:textId="77777777" w:rsidR="00A849C0" w:rsidRPr="002818D9" w:rsidRDefault="00A849C0" w:rsidP="002818D9">
      <w:pPr>
        <w:spacing w:line="360" w:lineRule="auto"/>
        <w:rPr>
          <w:rFonts w:ascii="Arial" w:hAnsi="Arial" w:cs="Arial"/>
          <w:b/>
          <w:bCs/>
          <w:sz w:val="22"/>
          <w:szCs w:val="22"/>
          <w:u w:val="single"/>
        </w:rPr>
      </w:pPr>
    </w:p>
    <w:p w14:paraId="13738A80" w14:textId="58A8877C" w:rsidR="00C47114" w:rsidRPr="002818D9" w:rsidRDefault="00C47114" w:rsidP="002818D9">
      <w:pPr>
        <w:pStyle w:val="Heading2"/>
        <w:spacing w:line="360" w:lineRule="auto"/>
        <w:rPr>
          <w:rFonts w:ascii="Arial" w:hAnsi="Arial" w:cs="Arial"/>
          <w:b/>
          <w:bCs/>
          <w:color w:val="auto"/>
          <w:sz w:val="22"/>
          <w:szCs w:val="22"/>
          <w:u w:val="single"/>
        </w:rPr>
      </w:pPr>
      <w:bookmarkStart w:id="6" w:name="_Toc213958314"/>
      <w:r w:rsidRPr="002818D9">
        <w:rPr>
          <w:rFonts w:ascii="Arial" w:hAnsi="Arial" w:cs="Arial"/>
          <w:b/>
          <w:bCs/>
          <w:color w:val="auto"/>
          <w:sz w:val="22"/>
          <w:szCs w:val="22"/>
          <w:u w:val="single"/>
        </w:rPr>
        <w:t>Policy and Legislative Context</w:t>
      </w:r>
      <w:bookmarkEnd w:id="6"/>
    </w:p>
    <w:p w14:paraId="3D42CA9E" w14:textId="77777777" w:rsidR="005034C0" w:rsidRPr="002818D9" w:rsidRDefault="005034C0" w:rsidP="002818D9">
      <w:pPr>
        <w:spacing w:line="360" w:lineRule="auto"/>
        <w:rPr>
          <w:rFonts w:ascii="Arial" w:hAnsi="Arial" w:cs="Arial"/>
          <w:sz w:val="22"/>
          <w:szCs w:val="22"/>
        </w:rPr>
      </w:pPr>
      <w:bookmarkStart w:id="7" w:name="OLE_LINK2"/>
    </w:p>
    <w:p w14:paraId="5294FD3B" w14:textId="7CC44D40"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 xml:space="preserve">In the UK, various significant policy frameworks regulate the connection between substance </w:t>
      </w:r>
      <w:r w:rsidR="00925C21">
        <w:rPr>
          <w:rFonts w:ascii="Arial" w:hAnsi="Arial" w:cs="Arial"/>
          <w:sz w:val="22"/>
          <w:szCs w:val="22"/>
        </w:rPr>
        <w:t>misuse</w:t>
      </w:r>
      <w:r w:rsidRPr="002818D9">
        <w:rPr>
          <w:rFonts w:ascii="Arial" w:hAnsi="Arial" w:cs="Arial"/>
          <w:sz w:val="22"/>
          <w:szCs w:val="22"/>
        </w:rPr>
        <w:t xml:space="preserve"> and mental health. More</w:t>
      </w:r>
      <w:r w:rsidR="008C57FE" w:rsidRPr="002818D9">
        <w:rPr>
          <w:rFonts w:ascii="Arial" w:hAnsi="Arial" w:cs="Arial"/>
          <w:sz w:val="22"/>
          <w:szCs w:val="22"/>
        </w:rPr>
        <w:t>over</w:t>
      </w:r>
      <w:r w:rsidRPr="002818D9">
        <w:rPr>
          <w:rFonts w:ascii="Arial" w:hAnsi="Arial" w:cs="Arial"/>
          <w:sz w:val="22"/>
          <w:szCs w:val="22"/>
        </w:rPr>
        <w:t xml:space="preserve">, the statutory framework for the care and treatment of people with mental disorders, including those who also abuse substances, is provided by the </w:t>
      </w:r>
      <w:r w:rsidRPr="002818D9">
        <w:rPr>
          <w:rFonts w:ascii="Arial" w:hAnsi="Arial" w:cs="Arial"/>
          <w:sz w:val="22"/>
          <w:szCs w:val="22"/>
        </w:rPr>
        <w:lastRenderedPageBreak/>
        <w:t>Mental Health Act 1983 (revised in 2007). According to the Act, dual diagnosis is a serious clinical issue that calls for integrated treatment strategies</w:t>
      </w:r>
      <w:bookmarkEnd w:id="7"/>
      <w:r w:rsidRPr="002818D9">
        <w:rPr>
          <w:rFonts w:ascii="Arial" w:hAnsi="Arial" w:cs="Arial"/>
          <w:sz w:val="22"/>
          <w:szCs w:val="22"/>
        </w:rPr>
        <w:t xml:space="preserve"> (DHSC,2015).</w:t>
      </w:r>
    </w:p>
    <w:p w14:paraId="38C3AB22" w14:textId="77777777"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Furthermore, the 2017 Drug Strategy and further revisions to the UK Government's drug policy place a strong emphasis on harm reduction, treatment, and recovery for those suffering from substance use disorders (HM Government, 2017). However, the UK continues to classify cannabis as a Class B prohibited substance under the Misuse of Drugs Act 1971 due to worries about its possible negative effects, which include connections to mental health issues. Public Health England's evidence assessments have repeatedly emphasised the link between cannabis usage and psychotic illnesses (Davies, 2018).</w:t>
      </w:r>
    </w:p>
    <w:p w14:paraId="45890401" w14:textId="4A73439E"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Additionally, clinical guidelines for the treatment of schizophrenia and psychosis in adults (CG178, revised 2014), as well as co-occurring severe mental illness and substance abuse (CG120, 2011), are provided by NICE. These recommendations advocate frequent evaluation and integrated treatment techniques that address both illnesses concurrently, acknowledging that substance abuse is common among individuals with schizophrenia (NICE,</w:t>
      </w:r>
      <w:r w:rsidR="00DB3254" w:rsidRPr="002818D9">
        <w:rPr>
          <w:rFonts w:ascii="Arial" w:hAnsi="Arial" w:cs="Arial"/>
          <w:sz w:val="22"/>
          <w:szCs w:val="22"/>
        </w:rPr>
        <w:t>2011; NICE</w:t>
      </w:r>
      <w:r w:rsidRPr="002818D9">
        <w:rPr>
          <w:rFonts w:ascii="Arial" w:hAnsi="Arial" w:cs="Arial"/>
          <w:sz w:val="22"/>
          <w:szCs w:val="22"/>
        </w:rPr>
        <w:t>,2014).</w:t>
      </w:r>
    </w:p>
    <w:p w14:paraId="06EA2E1D" w14:textId="77777777" w:rsidR="00D3679E" w:rsidRPr="002818D9" w:rsidRDefault="00D3679E" w:rsidP="002818D9">
      <w:pPr>
        <w:spacing w:line="360" w:lineRule="auto"/>
        <w:rPr>
          <w:rFonts w:ascii="Arial" w:hAnsi="Arial" w:cs="Arial"/>
          <w:sz w:val="22"/>
          <w:szCs w:val="22"/>
        </w:rPr>
      </w:pPr>
    </w:p>
    <w:p w14:paraId="346B6D3C" w14:textId="77777777" w:rsidR="00C47114" w:rsidRPr="002818D9" w:rsidRDefault="00C47114" w:rsidP="002818D9">
      <w:pPr>
        <w:pStyle w:val="Heading2"/>
        <w:spacing w:line="360" w:lineRule="auto"/>
        <w:rPr>
          <w:rFonts w:ascii="Arial" w:hAnsi="Arial" w:cs="Arial"/>
          <w:b/>
          <w:bCs/>
          <w:color w:val="auto"/>
          <w:sz w:val="22"/>
          <w:szCs w:val="22"/>
          <w:u w:val="single"/>
        </w:rPr>
      </w:pPr>
      <w:bookmarkStart w:id="8" w:name="_Toc213958315"/>
      <w:r w:rsidRPr="002818D9">
        <w:rPr>
          <w:rFonts w:ascii="Arial" w:hAnsi="Arial" w:cs="Arial"/>
          <w:b/>
          <w:bCs/>
          <w:color w:val="auto"/>
          <w:sz w:val="22"/>
          <w:szCs w:val="22"/>
          <w:u w:val="single"/>
        </w:rPr>
        <w:t>Current Services and Practice</w:t>
      </w:r>
      <w:bookmarkEnd w:id="8"/>
    </w:p>
    <w:p w14:paraId="7FFDB197" w14:textId="77777777" w:rsidR="005034C0" w:rsidRPr="002818D9" w:rsidRDefault="005034C0" w:rsidP="002818D9">
      <w:pPr>
        <w:spacing w:line="360" w:lineRule="auto"/>
        <w:rPr>
          <w:rFonts w:ascii="Arial" w:hAnsi="Arial" w:cs="Arial"/>
          <w:sz w:val="22"/>
          <w:szCs w:val="22"/>
        </w:rPr>
      </w:pPr>
    </w:p>
    <w:p w14:paraId="184A6C98" w14:textId="3EADC000"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NHS services for individuals with comorbid schizophrenia and substance misuse have evolved toward integrated care models. Early Intervention in Psychosis (EIP) services, established across England following the NHS Long Term Plan, provide specialist support for individuals experiencing first-episode psychosis, including assessment and intervention for substance use (NHS England, 201</w:t>
      </w:r>
      <w:r w:rsidR="003B4ECA" w:rsidRPr="002818D9">
        <w:rPr>
          <w:rFonts w:ascii="Arial" w:hAnsi="Arial" w:cs="Arial"/>
          <w:sz w:val="22"/>
          <w:szCs w:val="22"/>
        </w:rPr>
        <w:t>6</w:t>
      </w:r>
      <w:r w:rsidRPr="002818D9">
        <w:rPr>
          <w:rFonts w:ascii="Arial" w:hAnsi="Arial" w:cs="Arial"/>
          <w:sz w:val="22"/>
          <w:szCs w:val="22"/>
        </w:rPr>
        <w:t xml:space="preserve">). These services operate within a critical three-year window following first presentation, aiming to reduce the duration of untreated psychosis and improve long-term outcomes </w:t>
      </w:r>
      <w:r w:rsidR="00686ECB" w:rsidRPr="002818D9">
        <w:rPr>
          <w:rFonts w:ascii="Arial" w:hAnsi="Arial" w:cs="Arial"/>
          <w:sz w:val="22"/>
          <w:szCs w:val="22"/>
        </w:rPr>
        <w:t>(Kirkbride et al., 2017)</w:t>
      </w:r>
      <w:r w:rsidRPr="002818D9">
        <w:rPr>
          <w:rFonts w:ascii="Arial" w:hAnsi="Arial" w:cs="Arial"/>
          <w:sz w:val="22"/>
          <w:szCs w:val="22"/>
        </w:rPr>
        <w:t>.</w:t>
      </w:r>
      <w:r w:rsidR="00D45764" w:rsidRPr="002818D9">
        <w:rPr>
          <w:rFonts w:ascii="Arial" w:hAnsi="Arial" w:cs="Arial"/>
          <w:sz w:val="22"/>
          <w:szCs w:val="22"/>
        </w:rPr>
        <w:t xml:space="preserve"> Updated Early Intervention in Psychosis standards mandate routine assessment, integrated pathways, and dual-diagnosis competence</w:t>
      </w:r>
      <w:r w:rsidR="003B7717" w:rsidRPr="002818D9">
        <w:rPr>
          <w:rFonts w:ascii="Arial" w:hAnsi="Arial" w:cs="Arial"/>
          <w:sz w:val="22"/>
          <w:szCs w:val="22"/>
        </w:rPr>
        <w:t xml:space="preserve"> (NHS England, 2023).</w:t>
      </w:r>
    </w:p>
    <w:p w14:paraId="7A34B5DE" w14:textId="12E0AE4D"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Additionally, Community Mental Health Teams (CMHTs) offer continuous treatment to </w:t>
      </w:r>
      <w:r w:rsidR="003B7717" w:rsidRPr="002818D9">
        <w:rPr>
          <w:rFonts w:ascii="Arial" w:hAnsi="Arial" w:cs="Arial"/>
          <w:sz w:val="22"/>
          <w:szCs w:val="22"/>
        </w:rPr>
        <w:t>people with</w:t>
      </w:r>
      <w:r w:rsidRPr="002818D9">
        <w:rPr>
          <w:rFonts w:ascii="Arial" w:hAnsi="Arial" w:cs="Arial"/>
          <w:sz w:val="22"/>
          <w:szCs w:val="22"/>
        </w:rPr>
        <w:t> confirmed schizophrenia, and dual diagnosis specialists are becoming increasingly incorporated into the delivery of services (NHS, 2023).</w:t>
      </w:r>
      <w:r w:rsidRPr="002818D9">
        <w:rPr>
          <w:rFonts w:ascii="Arial" w:eastAsia="Times New Roman" w:hAnsi="Arial" w:cs="Arial"/>
          <w:kern w:val="0"/>
          <w:sz w:val="22"/>
          <w:szCs w:val="22"/>
          <w:lang w:eastAsia="en-GB"/>
          <w14:ligatures w14:val="none"/>
        </w:rPr>
        <w:t xml:space="preserve"> Nonetheless</w:t>
      </w:r>
      <w:r w:rsidRPr="002818D9">
        <w:rPr>
          <w:rFonts w:ascii="Arial" w:hAnsi="Arial" w:cs="Arial"/>
          <w:sz w:val="22"/>
          <w:szCs w:val="22"/>
        </w:rPr>
        <w:t>, the provision of services across the UK remains inconsistent, and numerous areas lack specialised dual diagnosis treatments. The "no wrong door" strategy outlined in policy documents stresses that individuals should receive appropriate mental health and substance abuse care, irrespective of the initial point of contact (PHE, 2017).</w:t>
      </w:r>
    </w:p>
    <w:p w14:paraId="5331FDC2" w14:textId="31BFD98A"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lastRenderedPageBreak/>
        <w:t>Furthermore, treatment involves both medication and therapy. Antipsychotic drugs are prescribed along with psychosocial support like cognitive behavioural therapy for psychosis (CBT</w:t>
      </w:r>
      <w:r w:rsidR="007D5B6D" w:rsidRPr="002818D9">
        <w:rPr>
          <w:rFonts w:ascii="Arial" w:hAnsi="Arial" w:cs="Arial"/>
          <w:sz w:val="22"/>
          <w:szCs w:val="22"/>
        </w:rPr>
        <w:t>P</w:t>
      </w:r>
      <w:r w:rsidRPr="002818D9">
        <w:rPr>
          <w:rFonts w:ascii="Arial" w:hAnsi="Arial" w:cs="Arial"/>
          <w:sz w:val="22"/>
          <w:szCs w:val="22"/>
        </w:rPr>
        <w:t>), therapy that includes family members, and motivational interviewing for substance-related problems (NICE, 2014). Although there are still implementation issues, there is evidence that integrated therapy models outperform parallel or sequential treatment techniques (Harris et al., 2023).</w:t>
      </w:r>
    </w:p>
    <w:p w14:paraId="3FE0DBE9" w14:textId="77777777" w:rsidR="00C47114" w:rsidRPr="002818D9" w:rsidRDefault="00C47114" w:rsidP="002818D9">
      <w:pPr>
        <w:pStyle w:val="Heading2"/>
        <w:spacing w:line="360" w:lineRule="auto"/>
        <w:rPr>
          <w:rFonts w:ascii="Arial" w:hAnsi="Arial" w:cs="Arial"/>
          <w:b/>
          <w:bCs/>
          <w:color w:val="auto"/>
          <w:sz w:val="22"/>
          <w:szCs w:val="22"/>
          <w:u w:val="single"/>
        </w:rPr>
      </w:pPr>
      <w:bookmarkStart w:id="9" w:name="_Toc213958316"/>
      <w:r w:rsidRPr="002818D9">
        <w:rPr>
          <w:rFonts w:ascii="Arial" w:hAnsi="Arial" w:cs="Arial"/>
          <w:b/>
          <w:bCs/>
          <w:color w:val="auto"/>
          <w:sz w:val="22"/>
          <w:szCs w:val="22"/>
          <w:u w:val="single"/>
        </w:rPr>
        <w:t>Key Challenges and Issues</w:t>
      </w:r>
      <w:bookmarkEnd w:id="9"/>
    </w:p>
    <w:p w14:paraId="3A4C136D" w14:textId="77777777" w:rsidR="005034C0" w:rsidRPr="002818D9" w:rsidRDefault="005034C0" w:rsidP="002818D9">
      <w:pPr>
        <w:spacing w:line="360" w:lineRule="auto"/>
        <w:rPr>
          <w:rFonts w:ascii="Arial" w:hAnsi="Arial" w:cs="Arial"/>
          <w:sz w:val="22"/>
          <w:szCs w:val="22"/>
        </w:rPr>
      </w:pPr>
    </w:p>
    <w:p w14:paraId="30614AB8" w14:textId="2345C7CB"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However, even with policy commitments, various challenges make it difficult to understand and manage substance misuse in individuals with schizophrenia. First, it is still unclear which way the relationship is going. People who are genetically predisposed to schizophrenia may be more likely to start using drugs than those who are not, indicating a reverse causal relationship (NCCMH,2011). Additionally, to make causal inference even more difficult, the self-medication theory suggests that people take drugs to cope with unpleasant psychotic symptoms or adverse drug reactions (Khantzian, 1997</w:t>
      </w:r>
      <w:r w:rsidR="001F4220" w:rsidRPr="002818D9">
        <w:rPr>
          <w:rFonts w:ascii="Arial" w:hAnsi="Arial" w:cs="Arial"/>
          <w:sz w:val="22"/>
          <w:szCs w:val="22"/>
        </w:rPr>
        <w:t>; Turner et al., 2018)</w:t>
      </w:r>
      <w:r w:rsidR="009929EC" w:rsidRPr="002818D9">
        <w:rPr>
          <w:rFonts w:ascii="Arial" w:hAnsi="Arial" w:cs="Arial"/>
          <w:sz w:val="22"/>
          <w:szCs w:val="22"/>
        </w:rPr>
        <w:t>.</w:t>
      </w:r>
    </w:p>
    <w:p w14:paraId="1F7C3CDA" w14:textId="5FDF0E2B" w:rsidR="00C47114" w:rsidRPr="002818D9" w:rsidRDefault="00C47114" w:rsidP="002818D9">
      <w:pPr>
        <w:spacing w:line="360" w:lineRule="auto"/>
        <w:rPr>
          <w:rFonts w:ascii="Arial" w:hAnsi="Arial" w:cs="Arial"/>
          <w:sz w:val="22"/>
          <w:szCs w:val="22"/>
        </w:rPr>
      </w:pPr>
      <w:bookmarkStart w:id="10" w:name="OLE_LINK5"/>
      <w:r w:rsidRPr="002818D9">
        <w:rPr>
          <w:rFonts w:ascii="Arial" w:hAnsi="Arial" w:cs="Arial"/>
          <w:sz w:val="22"/>
          <w:szCs w:val="22"/>
        </w:rPr>
        <w:t xml:space="preserve">Secondly, the evolving environment of substance use brings forth new difficulties. Over the last few decades, cannabis potency in the UK has risen significantly, with </w:t>
      </w:r>
      <w:r w:rsidR="00782356" w:rsidRPr="002818D9">
        <w:rPr>
          <w:rFonts w:ascii="Arial" w:hAnsi="Arial" w:cs="Arial"/>
          <w:sz w:val="22"/>
          <w:szCs w:val="22"/>
        </w:rPr>
        <w:t>high-potency</w:t>
      </w:r>
      <w:r w:rsidRPr="002818D9">
        <w:rPr>
          <w:rFonts w:ascii="Arial" w:hAnsi="Arial" w:cs="Arial"/>
          <w:sz w:val="22"/>
          <w:szCs w:val="22"/>
        </w:rPr>
        <w:t xml:space="preserve"> "skunk" strains now dominating and featuring heightened levels of tetrahydrocannabinol (THC) (Wilson, Freeman and Mackie, 2019). This change raises the question of whether the findings of previous studies are still applicable to current cannabis use trends.</w:t>
      </w:r>
      <w:r w:rsidR="007D7E3F" w:rsidRPr="002818D9">
        <w:rPr>
          <w:rFonts w:ascii="Arial" w:hAnsi="Arial" w:cs="Arial"/>
          <w:sz w:val="22"/>
          <w:szCs w:val="22"/>
        </w:rPr>
        <w:t xml:space="preserve"> Multicentre and South London case-control data suggest restricting high-potency cannabis could reduce first-episode psychosis incidence; population-attributable fractions indicate significant public health potential</w:t>
      </w:r>
      <w:r w:rsidR="00782356" w:rsidRPr="002818D9">
        <w:rPr>
          <w:rFonts w:ascii="Arial" w:hAnsi="Arial" w:cs="Arial"/>
          <w:sz w:val="22"/>
          <w:szCs w:val="22"/>
        </w:rPr>
        <w:t> (Di Forti et al., 2019).</w:t>
      </w:r>
    </w:p>
    <w:bookmarkEnd w:id="10"/>
    <w:p w14:paraId="7C374006" w14:textId="0AABD5CF"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Thirdly, genetic studies have shown that cannabis usage and schizophrenia share a common genetic architecture, indicating overlapping biological processes (Wainberg et al., 2021). However, complex analytical techniques like Mendelian randomisation</w:t>
      </w:r>
      <w:r w:rsidR="00F6731E" w:rsidRPr="002818D9">
        <w:rPr>
          <w:rFonts w:ascii="Arial" w:hAnsi="Arial" w:cs="Arial"/>
          <w:sz w:val="22"/>
          <w:szCs w:val="22"/>
        </w:rPr>
        <w:t xml:space="preserve">, </w:t>
      </w:r>
      <w:r w:rsidRPr="002818D9">
        <w:rPr>
          <w:rFonts w:ascii="Arial" w:hAnsi="Arial" w:cs="Arial"/>
          <w:sz w:val="22"/>
          <w:szCs w:val="22"/>
        </w:rPr>
        <w:t>which employ genetic variants as instrumental variables to evaluate causality while minimising confounding</w:t>
      </w:r>
      <w:r w:rsidR="00F6731E" w:rsidRPr="002818D9">
        <w:rPr>
          <w:rFonts w:ascii="Arial" w:hAnsi="Arial" w:cs="Arial"/>
          <w:sz w:val="22"/>
          <w:szCs w:val="22"/>
        </w:rPr>
        <w:t xml:space="preserve">, </w:t>
      </w:r>
      <w:r w:rsidRPr="002818D9">
        <w:rPr>
          <w:rFonts w:ascii="Arial" w:hAnsi="Arial" w:cs="Arial"/>
          <w:sz w:val="22"/>
          <w:szCs w:val="22"/>
        </w:rPr>
        <w:t>are needed to differentiate shared genetic liability from causal effects.</w:t>
      </w:r>
    </w:p>
    <w:p w14:paraId="6EA0154C" w14:textId="62918D9A" w:rsidR="00C47114" w:rsidRPr="002818D9" w:rsidRDefault="00C47114" w:rsidP="002818D9">
      <w:pPr>
        <w:spacing w:line="360" w:lineRule="auto"/>
        <w:rPr>
          <w:rFonts w:ascii="Arial" w:hAnsi="Arial" w:cs="Arial"/>
          <w:color w:val="000000" w:themeColor="text1"/>
          <w:sz w:val="22"/>
          <w:szCs w:val="22"/>
        </w:rPr>
      </w:pPr>
      <w:r w:rsidRPr="002818D9">
        <w:rPr>
          <w:rFonts w:ascii="Arial" w:hAnsi="Arial" w:cs="Arial"/>
          <w:color w:val="000000" w:themeColor="text1"/>
          <w:sz w:val="22"/>
          <w:szCs w:val="22"/>
        </w:rPr>
        <w:t>Fourthly, there are still unanswered questions about certain drug classes, dose-response models, exposure timing, and genetic vulnerability interactions. Despite their clinical importance, stimulants, alcohol, and polysubstance use have received less attention in studies than cannabis</w:t>
      </w:r>
      <w:r w:rsidR="001F5AD0" w:rsidRPr="002818D9">
        <w:rPr>
          <w:rFonts w:ascii="Arial" w:hAnsi="Arial" w:cs="Arial"/>
          <w:color w:val="000000" w:themeColor="text1"/>
          <w:sz w:val="22"/>
          <w:szCs w:val="22"/>
        </w:rPr>
        <w:t xml:space="preserve"> </w:t>
      </w:r>
      <w:r w:rsidR="0077243F" w:rsidRPr="002818D9">
        <w:rPr>
          <w:rFonts w:ascii="Arial" w:hAnsi="Arial" w:cs="Arial"/>
          <w:color w:val="000000" w:themeColor="text1"/>
          <w:sz w:val="22"/>
          <w:szCs w:val="22"/>
        </w:rPr>
        <w:t>(BPS, 2022).</w:t>
      </w:r>
    </w:p>
    <w:p w14:paraId="5662670B" w14:textId="5E607C60" w:rsidR="00C47114" w:rsidRPr="002818D9" w:rsidRDefault="00C47114" w:rsidP="002818D9">
      <w:pPr>
        <w:spacing w:line="360" w:lineRule="auto"/>
        <w:rPr>
          <w:rFonts w:ascii="Arial" w:hAnsi="Arial" w:cs="Arial"/>
          <w:sz w:val="22"/>
          <w:szCs w:val="22"/>
        </w:rPr>
      </w:pPr>
      <w:r w:rsidRPr="002818D9">
        <w:rPr>
          <w:rFonts w:ascii="Arial" w:hAnsi="Arial" w:cs="Arial"/>
          <w:color w:val="000000" w:themeColor="text1"/>
          <w:sz w:val="22"/>
          <w:szCs w:val="22"/>
        </w:rPr>
        <w:t>Finally, it is still difficult to characterise the temporal link between substance use and the onset of psychosis.</w:t>
      </w:r>
      <w:r w:rsidRPr="002818D9">
        <w:rPr>
          <w:rFonts w:ascii="Arial" w:hAnsi="Arial" w:cs="Arial"/>
          <w:sz w:val="22"/>
          <w:szCs w:val="22"/>
        </w:rPr>
        <w:t xml:space="preserve"> </w:t>
      </w:r>
      <w:r w:rsidRPr="002818D9">
        <w:rPr>
          <w:rFonts w:ascii="Arial" w:hAnsi="Arial" w:cs="Arial"/>
          <w:color w:val="000000" w:themeColor="text1"/>
          <w:sz w:val="22"/>
          <w:szCs w:val="22"/>
        </w:rPr>
        <w:t xml:space="preserve">Although it is methodologically difficult, determining whether substance </w:t>
      </w:r>
      <w:r w:rsidRPr="002818D9">
        <w:rPr>
          <w:rFonts w:ascii="Arial" w:hAnsi="Arial" w:cs="Arial"/>
          <w:color w:val="000000" w:themeColor="text1"/>
          <w:sz w:val="22"/>
          <w:szCs w:val="22"/>
        </w:rPr>
        <w:lastRenderedPageBreak/>
        <w:t xml:space="preserve">use occurs before or after prodromal symptoms is crucial for comprehending causative pathways and creating focused preventative interventions </w:t>
      </w:r>
      <w:r w:rsidRPr="002818D9">
        <w:rPr>
          <w:rFonts w:ascii="Arial" w:hAnsi="Arial" w:cs="Arial"/>
          <w:sz w:val="22"/>
          <w:szCs w:val="22"/>
        </w:rPr>
        <w:t>(Myles et al., 2012).</w:t>
      </w:r>
    </w:p>
    <w:p w14:paraId="6B4506A2" w14:textId="45823EAE" w:rsidR="00C47114" w:rsidRPr="002818D9" w:rsidRDefault="00C47114" w:rsidP="002818D9">
      <w:pPr>
        <w:pStyle w:val="Heading1"/>
        <w:spacing w:line="360" w:lineRule="auto"/>
        <w:rPr>
          <w:rFonts w:ascii="Arial" w:hAnsi="Arial" w:cs="Arial"/>
          <w:b/>
          <w:bCs/>
          <w:color w:val="auto"/>
          <w:sz w:val="22"/>
          <w:szCs w:val="22"/>
          <w:u w:val="single"/>
        </w:rPr>
      </w:pPr>
      <w:bookmarkStart w:id="11" w:name="_Toc213958317"/>
      <w:r w:rsidRPr="002818D9">
        <w:rPr>
          <w:rFonts w:ascii="Arial" w:hAnsi="Arial" w:cs="Arial"/>
          <w:b/>
          <w:bCs/>
          <w:color w:val="auto"/>
          <w:sz w:val="22"/>
          <w:szCs w:val="22"/>
          <w:u w:val="single"/>
        </w:rPr>
        <w:t>Methods</w:t>
      </w:r>
      <w:bookmarkEnd w:id="11"/>
    </w:p>
    <w:p w14:paraId="66CF9438" w14:textId="77777777" w:rsidR="005034C0" w:rsidRPr="002818D9" w:rsidRDefault="005034C0" w:rsidP="002818D9">
      <w:pPr>
        <w:spacing w:line="360" w:lineRule="auto"/>
        <w:rPr>
          <w:rFonts w:ascii="Arial" w:hAnsi="Arial" w:cs="Arial"/>
          <w:sz w:val="22"/>
          <w:szCs w:val="22"/>
        </w:rPr>
      </w:pPr>
    </w:p>
    <w:p w14:paraId="521C5EE0" w14:textId="4B55E8D9"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The methodological framework established by Arksey and O'Malley (2005)</w:t>
      </w:r>
      <w:r w:rsidR="00C515FB" w:rsidRPr="002818D9">
        <w:rPr>
          <w:rFonts w:ascii="Arial" w:hAnsi="Arial" w:cs="Arial"/>
          <w:sz w:val="22"/>
          <w:szCs w:val="22"/>
        </w:rPr>
        <w:t xml:space="preserve">, </w:t>
      </w:r>
      <w:r w:rsidRPr="002818D9">
        <w:rPr>
          <w:rFonts w:ascii="Arial" w:hAnsi="Arial" w:cs="Arial"/>
          <w:sz w:val="22"/>
          <w:szCs w:val="22"/>
        </w:rPr>
        <w:t>refined by Levac et al. (2010)</w:t>
      </w:r>
      <w:r w:rsidR="008B04C0" w:rsidRPr="002818D9">
        <w:rPr>
          <w:rFonts w:ascii="Arial" w:hAnsi="Arial" w:cs="Arial"/>
          <w:sz w:val="22"/>
          <w:szCs w:val="22"/>
        </w:rPr>
        <w:t>,</w:t>
      </w:r>
      <w:r w:rsidRPr="002818D9">
        <w:rPr>
          <w:rFonts w:ascii="Arial" w:hAnsi="Arial" w:cs="Arial"/>
          <w:sz w:val="22"/>
          <w:szCs w:val="22"/>
        </w:rPr>
        <w:t xml:space="preserve"> </w:t>
      </w:r>
      <w:r w:rsidR="00C515FB" w:rsidRPr="002818D9">
        <w:rPr>
          <w:rFonts w:ascii="Arial" w:hAnsi="Arial" w:cs="Arial"/>
          <w:sz w:val="22"/>
          <w:szCs w:val="22"/>
        </w:rPr>
        <w:t>guided</w:t>
      </w:r>
      <w:r w:rsidRPr="002818D9">
        <w:rPr>
          <w:rFonts w:ascii="Arial" w:hAnsi="Arial" w:cs="Arial"/>
          <w:sz w:val="22"/>
          <w:szCs w:val="22"/>
        </w:rPr>
        <w:t xml:space="preserve"> this scoping review. </w:t>
      </w:r>
      <w:r w:rsidR="008B04C0" w:rsidRPr="002818D9">
        <w:rPr>
          <w:rFonts w:ascii="Arial" w:hAnsi="Arial" w:cs="Arial"/>
          <w:sz w:val="22"/>
          <w:szCs w:val="22"/>
        </w:rPr>
        <w:t>The process</w:t>
      </w:r>
      <w:r w:rsidRPr="002818D9">
        <w:rPr>
          <w:rFonts w:ascii="Arial" w:hAnsi="Arial" w:cs="Arial"/>
          <w:sz w:val="22"/>
          <w:szCs w:val="22"/>
        </w:rPr>
        <w:t xml:space="preserve"> </w:t>
      </w:r>
      <w:r w:rsidR="00226FA5" w:rsidRPr="002818D9">
        <w:rPr>
          <w:rFonts w:ascii="Arial" w:hAnsi="Arial" w:cs="Arial"/>
          <w:sz w:val="22"/>
          <w:szCs w:val="22"/>
        </w:rPr>
        <w:t>followed five</w:t>
      </w:r>
      <w:r w:rsidRPr="002818D9">
        <w:rPr>
          <w:rFonts w:ascii="Arial" w:hAnsi="Arial" w:cs="Arial"/>
          <w:sz w:val="22"/>
          <w:szCs w:val="22"/>
        </w:rPr>
        <w:t xml:space="preserve"> phases:</w:t>
      </w:r>
    </w:p>
    <w:p w14:paraId="2570921D" w14:textId="77777777" w:rsidR="00C47114" w:rsidRPr="002818D9" w:rsidRDefault="00C47114" w:rsidP="002818D9">
      <w:pPr>
        <w:pStyle w:val="ListParagraph"/>
        <w:numPr>
          <w:ilvl w:val="0"/>
          <w:numId w:val="4"/>
        </w:numPr>
        <w:spacing w:line="360" w:lineRule="auto"/>
        <w:rPr>
          <w:rFonts w:ascii="Arial" w:hAnsi="Arial" w:cs="Arial"/>
          <w:sz w:val="22"/>
          <w:szCs w:val="22"/>
        </w:rPr>
      </w:pPr>
      <w:r w:rsidRPr="002818D9">
        <w:rPr>
          <w:rFonts w:ascii="Arial" w:hAnsi="Arial" w:cs="Arial"/>
          <w:sz w:val="22"/>
          <w:szCs w:val="22"/>
        </w:rPr>
        <w:t xml:space="preserve">Formulating the research question. </w:t>
      </w:r>
    </w:p>
    <w:p w14:paraId="6AA23B19" w14:textId="77777777" w:rsidR="00C47114" w:rsidRPr="002818D9" w:rsidRDefault="00C47114" w:rsidP="002818D9">
      <w:pPr>
        <w:pStyle w:val="ListParagraph"/>
        <w:numPr>
          <w:ilvl w:val="0"/>
          <w:numId w:val="4"/>
        </w:numPr>
        <w:spacing w:line="360" w:lineRule="auto"/>
        <w:rPr>
          <w:rFonts w:ascii="Arial" w:hAnsi="Arial" w:cs="Arial"/>
          <w:sz w:val="22"/>
          <w:szCs w:val="22"/>
        </w:rPr>
      </w:pPr>
      <w:r w:rsidRPr="002818D9">
        <w:rPr>
          <w:rFonts w:ascii="Arial" w:hAnsi="Arial" w:cs="Arial"/>
          <w:sz w:val="22"/>
          <w:szCs w:val="22"/>
        </w:rPr>
        <w:t xml:space="preserve">Locating pertinent studies. </w:t>
      </w:r>
    </w:p>
    <w:p w14:paraId="6CC222BE" w14:textId="77777777" w:rsidR="00C47114" w:rsidRPr="002818D9" w:rsidRDefault="00C47114" w:rsidP="002818D9">
      <w:pPr>
        <w:pStyle w:val="ListParagraph"/>
        <w:numPr>
          <w:ilvl w:val="0"/>
          <w:numId w:val="4"/>
        </w:numPr>
        <w:spacing w:line="360" w:lineRule="auto"/>
        <w:rPr>
          <w:rFonts w:ascii="Arial" w:hAnsi="Arial" w:cs="Arial"/>
          <w:sz w:val="22"/>
          <w:szCs w:val="22"/>
        </w:rPr>
      </w:pPr>
      <w:r w:rsidRPr="002818D9">
        <w:rPr>
          <w:rFonts w:ascii="Arial" w:hAnsi="Arial" w:cs="Arial"/>
          <w:sz w:val="22"/>
          <w:szCs w:val="22"/>
        </w:rPr>
        <w:t xml:space="preserve">Choosing studies. </w:t>
      </w:r>
    </w:p>
    <w:p w14:paraId="6EBBCC1B" w14:textId="77777777" w:rsidR="00C47114" w:rsidRPr="002818D9" w:rsidRDefault="00C47114" w:rsidP="002818D9">
      <w:pPr>
        <w:pStyle w:val="ListParagraph"/>
        <w:numPr>
          <w:ilvl w:val="0"/>
          <w:numId w:val="4"/>
        </w:numPr>
        <w:spacing w:line="360" w:lineRule="auto"/>
        <w:rPr>
          <w:rFonts w:ascii="Arial" w:hAnsi="Arial" w:cs="Arial"/>
          <w:sz w:val="22"/>
          <w:szCs w:val="22"/>
        </w:rPr>
      </w:pPr>
      <w:r w:rsidRPr="002818D9">
        <w:rPr>
          <w:rFonts w:ascii="Arial" w:hAnsi="Arial" w:cs="Arial"/>
          <w:sz w:val="22"/>
          <w:szCs w:val="22"/>
        </w:rPr>
        <w:t xml:space="preserve"> Mapping the data.</w:t>
      </w:r>
    </w:p>
    <w:p w14:paraId="35921607" w14:textId="77777777" w:rsidR="00C47114" w:rsidRPr="002818D9" w:rsidRDefault="00C47114" w:rsidP="002818D9">
      <w:pPr>
        <w:pStyle w:val="ListParagraph"/>
        <w:numPr>
          <w:ilvl w:val="0"/>
          <w:numId w:val="4"/>
        </w:numPr>
        <w:spacing w:line="360" w:lineRule="auto"/>
        <w:rPr>
          <w:rFonts w:ascii="Arial" w:hAnsi="Arial" w:cs="Arial"/>
          <w:sz w:val="22"/>
          <w:szCs w:val="22"/>
        </w:rPr>
      </w:pPr>
      <w:r w:rsidRPr="002818D9">
        <w:rPr>
          <w:rFonts w:ascii="Arial" w:hAnsi="Arial" w:cs="Arial"/>
          <w:sz w:val="22"/>
          <w:szCs w:val="22"/>
        </w:rPr>
        <w:t>Compiling, summarising, and reporting findings.</w:t>
      </w:r>
    </w:p>
    <w:p w14:paraId="4063EBE0" w14:textId="1CD1B002" w:rsidR="00C47114" w:rsidRPr="002818D9" w:rsidRDefault="00C47114" w:rsidP="002818D9">
      <w:pPr>
        <w:spacing w:after="0"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The research</w:t>
      </w:r>
      <w:r w:rsidR="003A32DC" w:rsidRPr="002818D9">
        <w:rPr>
          <w:rFonts w:ascii="Arial" w:eastAsia="Times New Roman" w:hAnsi="Arial" w:cs="Arial"/>
          <w:kern w:val="0"/>
          <w:sz w:val="22"/>
          <w:szCs w:val="22"/>
          <w:lang w:eastAsia="en-GB"/>
          <w14:ligatures w14:val="none"/>
        </w:rPr>
        <w:t xml:space="preserve"> </w:t>
      </w:r>
      <w:r w:rsidR="003A32DC" w:rsidRPr="002818D9">
        <w:rPr>
          <w:rFonts w:ascii="Arial" w:hAnsi="Arial" w:cs="Arial"/>
          <w:sz w:val="22"/>
          <w:szCs w:val="22"/>
        </w:rPr>
        <w:t>adhered to</w:t>
      </w:r>
      <w:r w:rsidRPr="002818D9">
        <w:rPr>
          <w:rFonts w:ascii="Arial" w:eastAsia="Times New Roman" w:hAnsi="Arial" w:cs="Arial"/>
          <w:kern w:val="0"/>
          <w:sz w:val="22"/>
          <w:szCs w:val="22"/>
          <w:lang w:eastAsia="en-GB"/>
          <w14:ligatures w14:val="none"/>
        </w:rPr>
        <w:t xml:space="preserve"> the PRISMA-ScR </w:t>
      </w:r>
      <w:r w:rsidR="00A06223" w:rsidRPr="002818D9">
        <w:rPr>
          <w:rFonts w:ascii="Arial" w:eastAsia="Times New Roman" w:hAnsi="Arial" w:cs="Arial"/>
          <w:kern w:val="0"/>
          <w:sz w:val="22"/>
          <w:szCs w:val="22"/>
          <w:lang w:eastAsia="en-GB"/>
          <w14:ligatures w14:val="none"/>
        </w:rPr>
        <w:t>checklist, a</w:t>
      </w:r>
      <w:r w:rsidRPr="002818D9">
        <w:rPr>
          <w:rFonts w:ascii="Arial" w:eastAsia="Times New Roman" w:hAnsi="Arial" w:cs="Arial"/>
          <w:kern w:val="0"/>
          <w:sz w:val="22"/>
          <w:szCs w:val="22"/>
          <w:lang w:eastAsia="en-GB"/>
          <w14:ligatures w14:val="none"/>
        </w:rPr>
        <w:t xml:space="preserve"> standardised tool ensur</w:t>
      </w:r>
      <w:r w:rsidR="00531B0F" w:rsidRPr="002818D9">
        <w:rPr>
          <w:rFonts w:ascii="Arial" w:eastAsia="Times New Roman" w:hAnsi="Arial" w:cs="Arial"/>
          <w:kern w:val="0"/>
          <w:sz w:val="22"/>
          <w:szCs w:val="22"/>
          <w:lang w:eastAsia="en-GB"/>
          <w14:ligatures w14:val="none"/>
        </w:rPr>
        <w:t xml:space="preserve">ing </w:t>
      </w:r>
      <w:r w:rsidRPr="002818D9">
        <w:rPr>
          <w:rFonts w:ascii="Arial" w:eastAsia="Times New Roman" w:hAnsi="Arial" w:cs="Arial"/>
          <w:kern w:val="0"/>
          <w:sz w:val="22"/>
          <w:szCs w:val="22"/>
          <w:lang w:eastAsia="en-GB"/>
          <w14:ligatures w14:val="none"/>
        </w:rPr>
        <w:t>comprehensive and transparent reporting of a scoping review's methods and findings (Sarkis-Onofre et al., 2021).</w:t>
      </w:r>
    </w:p>
    <w:p w14:paraId="545CC857" w14:textId="77777777" w:rsidR="00C47114" w:rsidRPr="002818D9" w:rsidRDefault="00C47114" w:rsidP="002818D9">
      <w:pPr>
        <w:spacing w:line="360" w:lineRule="auto"/>
        <w:rPr>
          <w:rFonts w:ascii="Arial" w:hAnsi="Arial" w:cs="Arial"/>
          <w:b/>
          <w:bCs/>
          <w:sz w:val="22"/>
          <w:szCs w:val="22"/>
          <w:u w:val="single"/>
        </w:rPr>
      </w:pPr>
    </w:p>
    <w:p w14:paraId="067E94E4" w14:textId="77777777" w:rsidR="00C47114" w:rsidRPr="002818D9" w:rsidRDefault="00C47114" w:rsidP="002818D9">
      <w:pPr>
        <w:pStyle w:val="Heading2"/>
        <w:spacing w:line="360" w:lineRule="auto"/>
        <w:rPr>
          <w:rFonts w:ascii="Arial" w:hAnsi="Arial" w:cs="Arial"/>
          <w:b/>
          <w:bCs/>
          <w:color w:val="auto"/>
          <w:sz w:val="22"/>
          <w:szCs w:val="22"/>
          <w:u w:val="single"/>
        </w:rPr>
      </w:pPr>
      <w:bookmarkStart w:id="12" w:name="_Toc213958318"/>
      <w:r w:rsidRPr="002818D9">
        <w:rPr>
          <w:rFonts w:ascii="Arial" w:hAnsi="Arial" w:cs="Arial"/>
          <w:b/>
          <w:bCs/>
          <w:color w:val="auto"/>
          <w:sz w:val="22"/>
          <w:szCs w:val="22"/>
          <w:u w:val="single"/>
        </w:rPr>
        <w:t>Search Strategy</w:t>
      </w:r>
      <w:bookmarkEnd w:id="12"/>
    </w:p>
    <w:p w14:paraId="01693248" w14:textId="77777777" w:rsidR="005034C0" w:rsidRPr="002818D9" w:rsidRDefault="005034C0" w:rsidP="002818D9">
      <w:pPr>
        <w:spacing w:after="0" w:line="360" w:lineRule="auto"/>
        <w:rPr>
          <w:rFonts w:ascii="Arial" w:eastAsia="Times New Roman" w:hAnsi="Arial" w:cs="Arial"/>
          <w:kern w:val="0"/>
          <w:sz w:val="22"/>
          <w:szCs w:val="22"/>
          <w:lang w:eastAsia="en-GB"/>
          <w14:ligatures w14:val="none"/>
        </w:rPr>
      </w:pPr>
    </w:p>
    <w:p w14:paraId="412295CB" w14:textId="759BB06F" w:rsidR="00C47114" w:rsidRPr="002818D9" w:rsidRDefault="00C47114" w:rsidP="002818D9">
      <w:pPr>
        <w:spacing w:line="360" w:lineRule="auto"/>
        <w:rPr>
          <w:rFonts w:ascii="Arial" w:hAnsi="Arial" w:cs="Arial"/>
          <w:sz w:val="22"/>
          <w:szCs w:val="22"/>
        </w:rPr>
      </w:pPr>
      <w:r w:rsidRPr="002818D9">
        <w:rPr>
          <w:rFonts w:ascii="Arial" w:eastAsia="Times New Roman" w:hAnsi="Arial" w:cs="Arial"/>
          <w:kern w:val="0"/>
          <w:sz w:val="22"/>
          <w:szCs w:val="22"/>
          <w:lang w:eastAsia="en-GB"/>
          <w14:ligatures w14:val="none"/>
        </w:rPr>
        <w:t>Additionall</w:t>
      </w:r>
      <w:r w:rsidR="001F72A6" w:rsidRPr="002818D9">
        <w:rPr>
          <w:rFonts w:ascii="Arial" w:eastAsia="Times New Roman" w:hAnsi="Arial" w:cs="Arial"/>
          <w:kern w:val="0"/>
          <w:sz w:val="22"/>
          <w:szCs w:val="22"/>
          <w:lang w:eastAsia="en-GB"/>
          <w14:ligatures w14:val="none"/>
        </w:rPr>
        <w:t xml:space="preserve">y, </w:t>
      </w:r>
      <w:r w:rsidR="001F72A6" w:rsidRPr="002818D9">
        <w:rPr>
          <w:rFonts w:ascii="Arial" w:hAnsi="Arial" w:cs="Arial"/>
          <w:sz w:val="22"/>
          <w:szCs w:val="22"/>
        </w:rPr>
        <w:t>a</w:t>
      </w:r>
      <w:r w:rsidR="00E403E2" w:rsidRPr="002818D9">
        <w:rPr>
          <w:rFonts w:ascii="Arial" w:hAnsi="Arial" w:cs="Arial"/>
          <w:sz w:val="22"/>
          <w:szCs w:val="22"/>
        </w:rPr>
        <w:t xml:space="preserve"> comprehensive literature search was conducted across PubMed, PsycINFO, Scopus, and the University of Wales Trinity Saint David (UWTSD) Library database. Only peer-reviewed journal articles published between 2015 and 2025 were included. Boolean operators combined key phrases such as:</w:t>
      </w:r>
    </w:p>
    <w:p w14:paraId="66D9519A" w14:textId="77777777" w:rsidR="00C47114" w:rsidRPr="002818D9" w:rsidRDefault="00C47114" w:rsidP="002818D9">
      <w:pPr>
        <w:spacing w:after="0" w:line="360" w:lineRule="auto"/>
        <w:rPr>
          <w:rFonts w:ascii="Arial" w:eastAsia="Times New Roman" w:hAnsi="Arial" w:cs="Arial"/>
          <w:kern w:val="0"/>
          <w:sz w:val="22"/>
          <w:szCs w:val="22"/>
          <w:lang w:eastAsia="en-GB"/>
          <w14:ligatures w14:val="none"/>
        </w:rPr>
      </w:pPr>
    </w:p>
    <w:p w14:paraId="72290542" w14:textId="49C5671A" w:rsidR="00C47114" w:rsidRPr="002818D9" w:rsidRDefault="00B82B5A" w:rsidP="002818D9">
      <w:pPr>
        <w:spacing w:after="0"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(“schizophrenia” OR “psychosis” OR “schizophrenia-spectrum”) AND (“substance use” OR “substance misuse” OR “cannabis” OR “drug use” OR “alcohol”) AND (“United Kingdom” OR “UK” OR “Britain” OR “England” OR “Scotland” OR “Wales”).</w:t>
      </w:r>
    </w:p>
    <w:p w14:paraId="2ABBB3C2" w14:textId="77777777" w:rsidR="00C47114" w:rsidRPr="002818D9" w:rsidRDefault="00C47114" w:rsidP="002818D9">
      <w:pPr>
        <w:spacing w:after="0" w:line="360" w:lineRule="auto"/>
        <w:rPr>
          <w:rFonts w:ascii="Arial" w:eastAsia="Times New Roman" w:hAnsi="Arial" w:cs="Arial"/>
          <w:kern w:val="0"/>
          <w:sz w:val="22"/>
          <w:szCs w:val="22"/>
          <w:u w:val="single"/>
          <w:lang w:eastAsia="en-GB"/>
          <w14:ligatures w14:val="none"/>
        </w:rPr>
      </w:pPr>
    </w:p>
    <w:p w14:paraId="41BC8198" w14:textId="7200D022" w:rsidR="002862F4" w:rsidRPr="002818D9" w:rsidRDefault="005C1EEC" w:rsidP="002818D9">
      <w:pPr>
        <w:spacing w:line="360" w:lineRule="auto"/>
        <w:rPr>
          <w:rFonts w:ascii="Arial" w:eastAsia="Times New Roman" w:hAnsi="Arial" w:cs="Arial"/>
          <w:kern w:val="0"/>
          <w:sz w:val="22"/>
          <w:szCs w:val="22"/>
          <w:u w:val="single"/>
          <w:lang w:eastAsia="en-GB"/>
          <w14:ligatures w14:val="none"/>
        </w:rPr>
      </w:pPr>
      <w:r w:rsidRPr="002818D9">
        <w:rPr>
          <w:rFonts w:ascii="Arial" w:eastAsia="Times New Roman" w:hAnsi="Arial" w:cs="Arial"/>
          <w:kern w:val="0"/>
          <w:sz w:val="22"/>
          <w:szCs w:val="22"/>
          <w:u w:val="single"/>
          <w:lang w:eastAsia="en-GB"/>
          <w14:ligatures w14:val="none"/>
        </w:rPr>
        <w:br w:type="page"/>
      </w:r>
    </w:p>
    <w:p w14:paraId="7DEBD9D6" w14:textId="5AC249A4" w:rsidR="00C47114" w:rsidRPr="002818D9" w:rsidRDefault="00C47114" w:rsidP="002818D9">
      <w:pPr>
        <w:pStyle w:val="Heading2"/>
        <w:spacing w:line="360" w:lineRule="auto"/>
        <w:rPr>
          <w:rFonts w:ascii="Arial" w:hAnsi="Arial" w:cs="Arial"/>
          <w:b/>
          <w:bCs/>
          <w:color w:val="auto"/>
          <w:sz w:val="22"/>
          <w:szCs w:val="22"/>
          <w:u w:val="single"/>
        </w:rPr>
      </w:pPr>
      <w:bookmarkStart w:id="13" w:name="_Toc213958319"/>
      <w:r w:rsidRPr="002818D9">
        <w:rPr>
          <w:rFonts w:ascii="Arial" w:hAnsi="Arial" w:cs="Arial"/>
          <w:b/>
          <w:bCs/>
          <w:color w:val="auto"/>
          <w:sz w:val="22"/>
          <w:szCs w:val="22"/>
          <w:u w:val="single"/>
        </w:rPr>
        <w:lastRenderedPageBreak/>
        <w:t>I</w:t>
      </w:r>
      <w:r w:rsidR="00CE534D" w:rsidRPr="002818D9">
        <w:rPr>
          <w:rFonts w:ascii="Arial" w:hAnsi="Arial" w:cs="Arial"/>
          <w:b/>
          <w:bCs/>
          <w:color w:val="auto"/>
          <w:sz w:val="22"/>
          <w:szCs w:val="22"/>
          <w:u w:val="single"/>
        </w:rPr>
        <w:t>n</w:t>
      </w:r>
      <w:r w:rsidRPr="002818D9">
        <w:rPr>
          <w:rFonts w:ascii="Arial" w:hAnsi="Arial" w:cs="Arial"/>
          <w:b/>
          <w:bCs/>
          <w:color w:val="auto"/>
          <w:sz w:val="22"/>
          <w:szCs w:val="22"/>
          <w:u w:val="single"/>
        </w:rPr>
        <w:t>clusion criteria</w:t>
      </w:r>
      <w:bookmarkEnd w:id="13"/>
    </w:p>
    <w:p w14:paraId="5C10E811" w14:textId="77777777" w:rsidR="00C47114" w:rsidRPr="002818D9" w:rsidRDefault="00C47114" w:rsidP="002818D9">
      <w:pPr>
        <w:spacing w:after="0" w:line="360" w:lineRule="auto"/>
        <w:rPr>
          <w:rFonts w:ascii="Arial" w:hAnsi="Arial" w:cs="Arial"/>
          <w:b/>
          <w:bCs/>
          <w:sz w:val="22"/>
          <w:szCs w:val="22"/>
          <w:u w:val="single"/>
        </w:rPr>
      </w:pPr>
    </w:p>
    <w:p w14:paraId="0FA3C1CD" w14:textId="77777777" w:rsidR="00C47114" w:rsidRPr="002818D9" w:rsidRDefault="00C47114" w:rsidP="002818D9">
      <w:pPr>
        <w:pStyle w:val="ListParagraph"/>
        <w:numPr>
          <w:ilvl w:val="0"/>
          <w:numId w:val="5"/>
        </w:numPr>
        <w:spacing w:after="0"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Peer-reviewed primary or secondary research studies.</w:t>
      </w:r>
    </w:p>
    <w:p w14:paraId="184E7EFC" w14:textId="77777777" w:rsidR="00C47114" w:rsidRPr="002818D9" w:rsidRDefault="00C47114" w:rsidP="002818D9">
      <w:pPr>
        <w:pStyle w:val="ListParagraph"/>
        <w:numPr>
          <w:ilvl w:val="0"/>
          <w:numId w:val="5"/>
        </w:numPr>
        <w:spacing w:after="0"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Concentrate on individuals aged eighteen and over.</w:t>
      </w:r>
    </w:p>
    <w:p w14:paraId="166A5527" w14:textId="256AB3FC" w:rsidR="00C47114" w:rsidRPr="002818D9" w:rsidRDefault="00C47114" w:rsidP="002818D9">
      <w:pPr>
        <w:pStyle w:val="ListParagraph"/>
        <w:numPr>
          <w:ilvl w:val="0"/>
          <w:numId w:val="5"/>
        </w:numPr>
        <w:spacing w:after="0"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UK data or with UK populations.</w:t>
      </w:r>
    </w:p>
    <w:p w14:paraId="08517736" w14:textId="77777777" w:rsidR="00C47114" w:rsidRPr="002818D9" w:rsidRDefault="00C47114" w:rsidP="002818D9">
      <w:pPr>
        <w:pStyle w:val="ListParagraph"/>
        <w:numPr>
          <w:ilvl w:val="0"/>
          <w:numId w:val="5"/>
        </w:numPr>
        <w:spacing w:after="0"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Investigating links between substance abuse and schizophrenia or schizophrenia spectrum disorders.</w:t>
      </w:r>
    </w:p>
    <w:p w14:paraId="38571561" w14:textId="77777777" w:rsidR="00C47114" w:rsidRPr="002818D9" w:rsidRDefault="00C47114" w:rsidP="002818D9">
      <w:pPr>
        <w:pStyle w:val="ListParagraph"/>
        <w:numPr>
          <w:ilvl w:val="0"/>
          <w:numId w:val="5"/>
        </w:numPr>
        <w:spacing w:after="0"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Published from 2015 to 2025.</w:t>
      </w:r>
    </w:p>
    <w:p w14:paraId="7FDBFE01" w14:textId="77777777" w:rsidR="00C47114" w:rsidRPr="002818D9" w:rsidRDefault="00C47114" w:rsidP="002818D9">
      <w:pPr>
        <w:spacing w:after="0" w:line="360" w:lineRule="auto"/>
        <w:rPr>
          <w:rFonts w:ascii="Arial" w:hAnsi="Arial" w:cs="Arial"/>
          <w:b/>
          <w:bCs/>
          <w:sz w:val="22"/>
          <w:szCs w:val="22"/>
          <w:u w:val="single"/>
        </w:rPr>
      </w:pPr>
    </w:p>
    <w:p w14:paraId="35AC6F6A" w14:textId="77777777" w:rsidR="00C47114" w:rsidRPr="002818D9" w:rsidRDefault="00C47114" w:rsidP="002818D9">
      <w:pPr>
        <w:pStyle w:val="Heading2"/>
        <w:spacing w:line="360" w:lineRule="auto"/>
        <w:rPr>
          <w:rFonts w:ascii="Arial" w:hAnsi="Arial" w:cs="Arial"/>
          <w:b/>
          <w:bCs/>
          <w:color w:val="auto"/>
          <w:sz w:val="22"/>
          <w:szCs w:val="22"/>
          <w:u w:val="single"/>
        </w:rPr>
      </w:pPr>
      <w:bookmarkStart w:id="14" w:name="_Toc213958320"/>
      <w:r w:rsidRPr="002818D9">
        <w:rPr>
          <w:rFonts w:ascii="Arial" w:hAnsi="Arial" w:cs="Arial"/>
          <w:b/>
          <w:bCs/>
          <w:color w:val="auto"/>
          <w:sz w:val="22"/>
          <w:szCs w:val="22"/>
          <w:u w:val="single"/>
        </w:rPr>
        <w:t>Exclusion criteria</w:t>
      </w:r>
      <w:bookmarkEnd w:id="14"/>
    </w:p>
    <w:p w14:paraId="333B0382" w14:textId="77777777" w:rsidR="00C47114" w:rsidRPr="002818D9" w:rsidRDefault="00C47114" w:rsidP="002818D9">
      <w:pPr>
        <w:spacing w:after="0" w:line="360" w:lineRule="auto"/>
        <w:rPr>
          <w:rFonts w:ascii="Arial" w:hAnsi="Arial" w:cs="Arial"/>
          <w:b/>
          <w:bCs/>
          <w:sz w:val="22"/>
          <w:szCs w:val="22"/>
          <w:u w:val="single"/>
        </w:rPr>
      </w:pPr>
    </w:p>
    <w:p w14:paraId="7A026F6F" w14:textId="1E9D1FCB" w:rsidR="00C47114" w:rsidRPr="002818D9" w:rsidRDefault="00C47114" w:rsidP="002818D9">
      <w:pPr>
        <w:pStyle w:val="ListParagraph"/>
        <w:numPr>
          <w:ilvl w:val="0"/>
          <w:numId w:val="6"/>
        </w:numPr>
        <w:spacing w:after="0"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 xml:space="preserve">Research </w:t>
      </w:r>
      <w:r w:rsidR="00684FD0" w:rsidRPr="002818D9">
        <w:rPr>
          <w:rFonts w:ascii="Arial" w:eastAsia="Times New Roman" w:hAnsi="Arial" w:cs="Arial"/>
          <w:kern w:val="0"/>
          <w:sz w:val="22"/>
          <w:szCs w:val="22"/>
          <w:lang w:eastAsia="en-GB"/>
          <w14:ligatures w14:val="none"/>
        </w:rPr>
        <w:t>focused</w:t>
      </w:r>
      <w:r w:rsidRPr="002818D9">
        <w:rPr>
          <w:rFonts w:ascii="Arial" w:eastAsia="Times New Roman" w:hAnsi="Arial" w:cs="Arial"/>
          <w:kern w:val="0"/>
          <w:sz w:val="22"/>
          <w:szCs w:val="22"/>
          <w:lang w:eastAsia="en-GB"/>
          <w14:ligatures w14:val="none"/>
        </w:rPr>
        <w:t xml:space="preserve"> solely on adolescent groups.</w:t>
      </w:r>
    </w:p>
    <w:p w14:paraId="4A79F407" w14:textId="006B8A28" w:rsidR="00C47114" w:rsidRPr="002818D9" w:rsidRDefault="00C47114" w:rsidP="002818D9">
      <w:pPr>
        <w:pStyle w:val="ListParagraph"/>
        <w:numPr>
          <w:ilvl w:val="0"/>
          <w:numId w:val="6"/>
        </w:numPr>
        <w:spacing w:after="0" w:line="360" w:lineRule="auto"/>
        <w:rPr>
          <w:rFonts w:ascii="Arial" w:hAnsi="Arial" w:cs="Arial"/>
          <w:sz w:val="22"/>
          <w:szCs w:val="22"/>
        </w:rPr>
      </w:pPr>
      <w:r w:rsidRPr="002818D9">
        <w:rPr>
          <w:rFonts w:ascii="Arial" w:hAnsi="Arial" w:cs="Arial"/>
          <w:sz w:val="22"/>
          <w:szCs w:val="22"/>
        </w:rPr>
        <w:t>Non-UK research without </w:t>
      </w:r>
      <w:r w:rsidR="004C03AE" w:rsidRPr="002818D9">
        <w:rPr>
          <w:rFonts w:ascii="Arial" w:hAnsi="Arial" w:cs="Arial"/>
          <w:sz w:val="22"/>
          <w:szCs w:val="22"/>
        </w:rPr>
        <w:t>UK-relevant data</w:t>
      </w:r>
    </w:p>
    <w:p w14:paraId="43939060" w14:textId="77777777" w:rsidR="00C47114" w:rsidRPr="002818D9" w:rsidRDefault="00C47114" w:rsidP="002818D9">
      <w:pPr>
        <w:pStyle w:val="ListParagraph"/>
        <w:numPr>
          <w:ilvl w:val="0"/>
          <w:numId w:val="6"/>
        </w:numPr>
        <w:spacing w:after="0"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Non-peer-reviewed sources, such as case reports, editorials, and policy documents.</w:t>
      </w:r>
    </w:p>
    <w:p w14:paraId="0F1698EE" w14:textId="2CB2869D" w:rsidR="00C47114" w:rsidRPr="002818D9" w:rsidRDefault="00C47114" w:rsidP="002818D9">
      <w:pPr>
        <w:pStyle w:val="ListParagraph"/>
        <w:numPr>
          <w:ilvl w:val="0"/>
          <w:numId w:val="6"/>
        </w:numPr>
        <w:spacing w:after="0" w:line="360" w:lineRule="auto"/>
        <w:rPr>
          <w:rFonts w:ascii="Arial" w:hAnsi="Arial" w:cs="Arial"/>
          <w:sz w:val="22"/>
          <w:szCs w:val="22"/>
        </w:rPr>
      </w:pPr>
      <w:r w:rsidRPr="002818D9">
        <w:rPr>
          <w:rFonts w:ascii="Arial" w:hAnsi="Arial" w:cs="Arial"/>
          <w:sz w:val="22"/>
          <w:szCs w:val="22"/>
        </w:rPr>
        <w:t xml:space="preserve">Studies </w:t>
      </w:r>
      <w:r w:rsidR="000A148C" w:rsidRPr="002818D9">
        <w:rPr>
          <w:rFonts w:ascii="Arial" w:hAnsi="Arial" w:cs="Arial"/>
          <w:sz w:val="22"/>
          <w:szCs w:val="22"/>
        </w:rPr>
        <w:t>lacking</w:t>
      </w:r>
      <w:r w:rsidRPr="002818D9">
        <w:rPr>
          <w:rFonts w:ascii="Arial" w:hAnsi="Arial" w:cs="Arial"/>
          <w:sz w:val="22"/>
          <w:szCs w:val="22"/>
        </w:rPr>
        <w:t xml:space="preserve"> temporal links between substance use and psychosis</w:t>
      </w:r>
      <w:r w:rsidR="000A148C" w:rsidRPr="002818D9">
        <w:rPr>
          <w:rFonts w:ascii="Arial" w:hAnsi="Arial" w:cs="Arial"/>
          <w:sz w:val="22"/>
          <w:szCs w:val="22"/>
        </w:rPr>
        <w:t xml:space="preserve"> onset</w:t>
      </w:r>
      <w:r w:rsidRPr="002818D9">
        <w:rPr>
          <w:rFonts w:ascii="Arial" w:hAnsi="Arial" w:cs="Arial"/>
          <w:sz w:val="22"/>
          <w:szCs w:val="22"/>
        </w:rPr>
        <w:t>.</w:t>
      </w:r>
    </w:p>
    <w:p w14:paraId="70F5A512" w14:textId="6AA42EE1" w:rsidR="00C47114" w:rsidRPr="002818D9" w:rsidRDefault="00C47114" w:rsidP="002818D9">
      <w:pPr>
        <w:pStyle w:val="ListParagraph"/>
        <w:numPr>
          <w:ilvl w:val="0"/>
          <w:numId w:val="6"/>
        </w:numPr>
        <w:spacing w:after="0"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 xml:space="preserve">Studies </w:t>
      </w:r>
      <w:r w:rsidR="001B279A" w:rsidRPr="002818D9">
        <w:rPr>
          <w:rFonts w:ascii="Arial" w:eastAsia="Times New Roman" w:hAnsi="Arial" w:cs="Arial"/>
          <w:kern w:val="0"/>
          <w:sz w:val="22"/>
          <w:szCs w:val="22"/>
          <w:lang w:eastAsia="en-GB"/>
          <w14:ligatures w14:val="none"/>
        </w:rPr>
        <w:t>treating</w:t>
      </w:r>
      <w:r w:rsidRPr="002818D9">
        <w:rPr>
          <w:rFonts w:ascii="Arial" w:eastAsia="Times New Roman" w:hAnsi="Arial" w:cs="Arial"/>
          <w:kern w:val="0"/>
          <w:sz w:val="22"/>
          <w:szCs w:val="22"/>
          <w:lang w:eastAsia="en-GB"/>
          <w14:ligatures w14:val="none"/>
        </w:rPr>
        <w:t xml:space="preserve"> substance use as an outcome of schizophrenia</w:t>
      </w:r>
      <w:r w:rsidR="001B279A" w:rsidRPr="002818D9">
        <w:rPr>
          <w:rFonts w:ascii="Arial" w:eastAsia="Times New Roman" w:hAnsi="Arial" w:cs="Arial"/>
          <w:kern w:val="0"/>
          <w:sz w:val="22"/>
          <w:szCs w:val="22"/>
          <w:lang w:eastAsia="en-GB"/>
          <w14:ligatures w14:val="none"/>
        </w:rPr>
        <w:t>.</w:t>
      </w:r>
    </w:p>
    <w:p w14:paraId="1ACA8FBD" w14:textId="77777777" w:rsidR="00C47114" w:rsidRPr="002818D9" w:rsidRDefault="00C47114" w:rsidP="002818D9">
      <w:pPr>
        <w:spacing w:after="0" w:line="360" w:lineRule="auto"/>
        <w:rPr>
          <w:rFonts w:ascii="Arial" w:eastAsia="Times New Roman" w:hAnsi="Arial" w:cs="Arial"/>
          <w:kern w:val="0"/>
          <w:sz w:val="22"/>
          <w:szCs w:val="22"/>
          <w:lang w:eastAsia="en-GB"/>
          <w14:ligatures w14:val="none"/>
        </w:rPr>
      </w:pPr>
    </w:p>
    <w:p w14:paraId="67F90439" w14:textId="5AD18E41" w:rsidR="00C47114" w:rsidRPr="002818D9" w:rsidRDefault="00C47114" w:rsidP="002818D9">
      <w:pPr>
        <w:spacing w:line="360" w:lineRule="auto"/>
        <w:rPr>
          <w:rFonts w:ascii="Arial" w:eastAsia="Times New Roman" w:hAnsi="Arial" w:cs="Arial"/>
          <w:b/>
          <w:bCs/>
          <w:sz w:val="22"/>
          <w:szCs w:val="22"/>
          <w:u w:val="single"/>
          <w:lang w:eastAsia="en-GB"/>
        </w:rPr>
      </w:pPr>
      <w:r w:rsidRPr="002818D9">
        <w:rPr>
          <w:rFonts w:ascii="Arial" w:eastAsia="Times New Roman" w:hAnsi="Arial" w:cs="Arial"/>
          <w:b/>
          <w:bCs/>
          <w:sz w:val="22"/>
          <w:szCs w:val="22"/>
          <w:u w:val="single"/>
          <w:lang w:eastAsia="en-GB"/>
        </w:rPr>
        <w:t>Data Extraction and Analysis</w:t>
      </w:r>
    </w:p>
    <w:p w14:paraId="5723F23F" w14:textId="77777777" w:rsidR="00C47114" w:rsidRPr="002818D9" w:rsidRDefault="00C47114" w:rsidP="002818D9">
      <w:pPr>
        <w:spacing w:after="0" w:line="360" w:lineRule="auto"/>
        <w:rPr>
          <w:rFonts w:ascii="Arial" w:eastAsia="Times New Roman" w:hAnsi="Arial" w:cs="Arial"/>
          <w:b/>
          <w:bCs/>
          <w:kern w:val="0"/>
          <w:sz w:val="22"/>
          <w:szCs w:val="22"/>
          <w:u w:val="single"/>
          <w:lang w:eastAsia="en-GB"/>
          <w14:ligatures w14:val="none"/>
        </w:rPr>
      </w:pPr>
    </w:p>
    <w:p w14:paraId="1911382D" w14:textId="25EAC0FE" w:rsidR="00C47114" w:rsidRPr="002818D9" w:rsidRDefault="00FB157C" w:rsidP="002818D9">
      <w:pPr>
        <w:spacing w:line="360" w:lineRule="auto"/>
        <w:rPr>
          <w:rFonts w:ascii="Arial" w:hAnsi="Arial" w:cs="Arial"/>
          <w:sz w:val="22"/>
          <w:szCs w:val="22"/>
        </w:rPr>
      </w:pPr>
      <w:r w:rsidRPr="002818D9">
        <w:rPr>
          <w:rFonts w:ascii="Arial" w:eastAsia="Times New Roman" w:hAnsi="Arial" w:cs="Arial"/>
          <w:kern w:val="0"/>
          <w:sz w:val="22"/>
          <w:szCs w:val="22"/>
          <w:lang w:eastAsia="en-GB"/>
          <w14:ligatures w14:val="none"/>
        </w:rPr>
        <w:t>A</w:t>
      </w:r>
      <w:r w:rsidR="00C47114" w:rsidRPr="002818D9">
        <w:rPr>
          <w:rFonts w:ascii="Arial" w:eastAsia="Times New Roman" w:hAnsi="Arial" w:cs="Arial"/>
          <w:kern w:val="0"/>
          <w:sz w:val="22"/>
          <w:szCs w:val="22"/>
          <w:lang w:eastAsia="en-GB"/>
          <w14:ligatures w14:val="none"/>
        </w:rPr>
        <w:t xml:space="preserve"> standardised charting form</w:t>
      </w:r>
      <w:r w:rsidR="008F0F3F" w:rsidRPr="002818D9">
        <w:rPr>
          <w:rFonts w:ascii="Arial" w:eastAsia="Times New Roman" w:hAnsi="Arial" w:cs="Arial"/>
          <w:kern w:val="0"/>
          <w:sz w:val="22"/>
          <w:szCs w:val="22"/>
          <w:lang w:eastAsia="en-GB"/>
          <w14:ligatures w14:val="none"/>
        </w:rPr>
        <w:t xml:space="preserve"> </w:t>
      </w:r>
      <w:r w:rsidR="00D2613F" w:rsidRPr="002818D9">
        <w:rPr>
          <w:rFonts w:ascii="Arial" w:eastAsia="Times New Roman" w:hAnsi="Arial" w:cs="Arial"/>
          <w:kern w:val="0"/>
          <w:sz w:val="22"/>
          <w:szCs w:val="22"/>
          <w:lang w:eastAsia="en-GB"/>
          <w14:ligatures w14:val="none"/>
        </w:rPr>
        <w:t>captured</w:t>
      </w:r>
      <w:r w:rsidR="008F0F3F" w:rsidRPr="002818D9">
        <w:rPr>
          <w:rFonts w:ascii="Arial" w:eastAsia="Times New Roman" w:hAnsi="Arial" w:cs="Arial"/>
          <w:kern w:val="0"/>
          <w:sz w:val="22"/>
          <w:szCs w:val="22"/>
          <w:lang w:eastAsia="en-GB"/>
          <w14:ligatures w14:val="none"/>
        </w:rPr>
        <w:t xml:space="preserve"> </w:t>
      </w:r>
      <w:r w:rsidR="00D2613F" w:rsidRPr="002818D9">
        <w:rPr>
          <w:rFonts w:ascii="Arial" w:eastAsia="Times New Roman" w:hAnsi="Arial" w:cs="Arial"/>
          <w:kern w:val="0"/>
          <w:sz w:val="22"/>
          <w:szCs w:val="22"/>
          <w:lang w:eastAsia="en-GB"/>
          <w14:ligatures w14:val="none"/>
        </w:rPr>
        <w:t xml:space="preserve">key study details:  </w:t>
      </w:r>
      <w:r w:rsidR="00C47114" w:rsidRPr="002818D9">
        <w:rPr>
          <w:rFonts w:ascii="Arial" w:eastAsia="Times New Roman" w:hAnsi="Arial" w:cs="Arial"/>
          <w:kern w:val="0"/>
          <w:sz w:val="22"/>
          <w:szCs w:val="22"/>
          <w:lang w:eastAsia="en-GB"/>
          <w14:ligatures w14:val="none"/>
        </w:rPr>
        <w:t>year</w:t>
      </w:r>
      <w:r w:rsidR="00C64AEE" w:rsidRPr="002818D9">
        <w:rPr>
          <w:rFonts w:ascii="Arial" w:eastAsia="Times New Roman" w:hAnsi="Arial" w:cs="Arial"/>
          <w:kern w:val="0"/>
          <w:sz w:val="22"/>
          <w:szCs w:val="22"/>
          <w:lang w:eastAsia="en-GB"/>
          <w14:ligatures w14:val="none"/>
        </w:rPr>
        <w:t xml:space="preserve">, </w:t>
      </w:r>
      <w:r w:rsidR="00C47114" w:rsidRPr="002818D9">
        <w:rPr>
          <w:rFonts w:ascii="Arial" w:eastAsia="Times New Roman" w:hAnsi="Arial" w:cs="Arial"/>
          <w:kern w:val="0"/>
          <w:sz w:val="22"/>
          <w:szCs w:val="22"/>
          <w:lang w:eastAsia="en-GB"/>
          <w14:ligatures w14:val="none"/>
        </w:rPr>
        <w:t>author, study design, sample characteristics, substances studied, key findings, and relevance to the review topic</w:t>
      </w:r>
      <w:r w:rsidR="00637BF6" w:rsidRPr="002818D9">
        <w:rPr>
          <w:rFonts w:ascii="Arial" w:eastAsia="Times New Roman" w:hAnsi="Arial" w:cs="Arial"/>
          <w:kern w:val="0"/>
          <w:sz w:val="22"/>
          <w:szCs w:val="22"/>
          <w:lang w:eastAsia="en-GB"/>
          <w14:ligatures w14:val="none"/>
        </w:rPr>
        <w:t>.</w:t>
      </w:r>
      <w:r w:rsidR="00637BF6" w:rsidRPr="002818D9">
        <w:rPr>
          <w:rFonts w:ascii="Arial" w:hAnsi="Arial" w:cs="Arial"/>
          <w:sz w:val="22"/>
          <w:szCs w:val="22"/>
        </w:rPr>
        <w:t xml:space="preserve"> A thematic analytical framework identified recurring patterns, interrelationships, and research gaps</w:t>
      </w:r>
      <w:r w:rsidR="00C47114" w:rsidRPr="002818D9">
        <w:rPr>
          <w:rFonts w:ascii="Arial" w:eastAsia="Times New Roman" w:hAnsi="Arial" w:cs="Arial"/>
          <w:kern w:val="0"/>
          <w:sz w:val="22"/>
          <w:szCs w:val="22"/>
          <w:lang w:eastAsia="en-GB"/>
          <w14:ligatures w14:val="none"/>
        </w:rPr>
        <w:t xml:space="preserve"> (Aveyard, 2014). </w:t>
      </w:r>
      <w:r w:rsidR="001C3165" w:rsidRPr="002818D9">
        <w:rPr>
          <w:rFonts w:ascii="Arial" w:hAnsi="Arial" w:cs="Arial"/>
          <w:sz w:val="22"/>
          <w:szCs w:val="22"/>
        </w:rPr>
        <w:t>Themes were developed through continuous analysis.</w:t>
      </w:r>
    </w:p>
    <w:p w14:paraId="44A4CF4B" w14:textId="77777777" w:rsidR="00C47114" w:rsidRPr="002818D9" w:rsidRDefault="00C47114" w:rsidP="002818D9">
      <w:pPr>
        <w:spacing w:after="0" w:line="360" w:lineRule="auto"/>
        <w:rPr>
          <w:rFonts w:ascii="Arial" w:eastAsia="Times New Roman" w:hAnsi="Arial" w:cs="Arial"/>
          <w:kern w:val="0"/>
          <w:sz w:val="22"/>
          <w:szCs w:val="22"/>
          <w:lang w:eastAsia="en-GB"/>
          <w14:ligatures w14:val="none"/>
        </w:rPr>
      </w:pPr>
    </w:p>
    <w:p w14:paraId="09B8FC90" w14:textId="2CCE3C5D" w:rsidR="00C47114" w:rsidRPr="002818D9" w:rsidRDefault="00C47114" w:rsidP="002818D9">
      <w:pPr>
        <w:spacing w:line="360" w:lineRule="auto"/>
        <w:rPr>
          <w:rFonts w:ascii="Arial" w:hAnsi="Arial" w:cs="Arial"/>
          <w:b/>
          <w:bCs/>
          <w:sz w:val="22"/>
          <w:szCs w:val="22"/>
          <w:u w:val="single"/>
        </w:rPr>
      </w:pPr>
      <w:r w:rsidRPr="002818D9">
        <w:rPr>
          <w:rFonts w:ascii="Arial" w:hAnsi="Arial" w:cs="Arial"/>
          <w:b/>
          <w:bCs/>
          <w:sz w:val="22"/>
          <w:szCs w:val="22"/>
          <w:u w:val="single"/>
        </w:rPr>
        <w:t>Ethical Considerations</w:t>
      </w:r>
    </w:p>
    <w:p w14:paraId="18BDE387" w14:textId="77777777" w:rsidR="00C47114" w:rsidRPr="002818D9" w:rsidRDefault="00C47114" w:rsidP="002818D9">
      <w:pPr>
        <w:spacing w:after="0" w:line="360" w:lineRule="auto"/>
        <w:rPr>
          <w:rFonts w:ascii="Arial" w:hAnsi="Arial" w:cs="Arial"/>
          <w:b/>
          <w:bCs/>
          <w:sz w:val="22"/>
          <w:szCs w:val="22"/>
          <w:u w:val="single"/>
        </w:rPr>
      </w:pPr>
    </w:p>
    <w:p w14:paraId="3128C981" w14:textId="0129E543" w:rsidR="00C47114" w:rsidRPr="002818D9" w:rsidRDefault="00241977" w:rsidP="002818D9">
      <w:pPr>
        <w:spacing w:line="360" w:lineRule="auto"/>
        <w:rPr>
          <w:rFonts w:ascii="Arial" w:hAnsi="Arial" w:cs="Arial"/>
          <w:sz w:val="22"/>
          <w:szCs w:val="22"/>
        </w:rPr>
      </w:pPr>
      <w:r w:rsidRPr="002818D9">
        <w:rPr>
          <w:rFonts w:ascii="Arial" w:hAnsi="Arial" w:cs="Arial"/>
          <w:sz w:val="22"/>
          <w:szCs w:val="22"/>
        </w:rPr>
        <w:t>As this review analysed existing research without direct participant involvement, formal ethical approval was not required. Ethical standards were upheld by accurately representing findings, avoiding selective reporting, and acknowledging limitations. All sources were properly cited to ensure transparency and avoid plagiarism.</w:t>
      </w:r>
    </w:p>
    <w:p w14:paraId="4F619E76" w14:textId="77777777" w:rsidR="008F05A4" w:rsidRPr="002818D9" w:rsidRDefault="008F05A4" w:rsidP="002818D9">
      <w:pPr>
        <w:spacing w:line="360" w:lineRule="auto"/>
        <w:rPr>
          <w:rFonts w:ascii="Arial" w:eastAsiaTheme="majorEastAsia" w:hAnsi="Arial" w:cs="Arial"/>
          <w:b/>
          <w:bCs/>
          <w:sz w:val="22"/>
          <w:szCs w:val="22"/>
          <w:u w:val="single"/>
        </w:rPr>
      </w:pPr>
      <w:r w:rsidRPr="002818D9">
        <w:rPr>
          <w:rFonts w:ascii="Arial" w:hAnsi="Arial" w:cs="Arial"/>
          <w:b/>
          <w:bCs/>
          <w:sz w:val="22"/>
          <w:szCs w:val="22"/>
          <w:u w:val="single"/>
        </w:rPr>
        <w:br w:type="page"/>
      </w:r>
    </w:p>
    <w:p w14:paraId="236F4774" w14:textId="6CE6052E" w:rsidR="00C47114" w:rsidRPr="002818D9" w:rsidRDefault="00C47114" w:rsidP="002818D9">
      <w:pPr>
        <w:pStyle w:val="Heading1"/>
        <w:spacing w:line="360" w:lineRule="auto"/>
        <w:rPr>
          <w:rFonts w:ascii="Arial" w:hAnsi="Arial" w:cs="Arial"/>
          <w:b/>
          <w:bCs/>
          <w:color w:val="auto"/>
          <w:sz w:val="22"/>
          <w:szCs w:val="22"/>
          <w:u w:val="single"/>
        </w:rPr>
      </w:pPr>
      <w:bookmarkStart w:id="15" w:name="_Toc213958321"/>
      <w:r w:rsidRPr="002818D9">
        <w:rPr>
          <w:rFonts w:ascii="Arial" w:hAnsi="Arial" w:cs="Arial"/>
          <w:b/>
          <w:bCs/>
          <w:color w:val="auto"/>
          <w:sz w:val="22"/>
          <w:szCs w:val="22"/>
          <w:u w:val="single"/>
        </w:rPr>
        <w:lastRenderedPageBreak/>
        <w:t>Results</w:t>
      </w:r>
      <w:bookmarkEnd w:id="15"/>
    </w:p>
    <w:p w14:paraId="1E9C1314" w14:textId="77777777" w:rsidR="005034C0" w:rsidRPr="002818D9" w:rsidRDefault="005034C0" w:rsidP="002818D9">
      <w:pPr>
        <w:spacing w:line="360" w:lineRule="auto"/>
        <w:rPr>
          <w:rFonts w:ascii="Arial" w:hAnsi="Arial" w:cs="Arial"/>
          <w:sz w:val="22"/>
          <w:szCs w:val="22"/>
        </w:rPr>
      </w:pPr>
    </w:p>
    <w:p w14:paraId="581AA545" w14:textId="6DC80ABE"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 xml:space="preserve">Six peer-reviewed studies from 2017 to 2024 satisfied the selection criteria. All either originated from the UK or included </w:t>
      </w:r>
      <w:r w:rsidR="007119B7">
        <w:rPr>
          <w:rFonts w:ascii="Arial" w:hAnsi="Arial" w:cs="Arial"/>
          <w:sz w:val="22"/>
          <w:szCs w:val="22"/>
        </w:rPr>
        <w:t>UK</w:t>
      </w:r>
      <w:r w:rsidRPr="002818D9">
        <w:rPr>
          <w:rFonts w:ascii="Arial" w:hAnsi="Arial" w:cs="Arial"/>
          <w:sz w:val="22"/>
          <w:szCs w:val="22"/>
        </w:rPr>
        <w:t xml:space="preserve"> data (such as from the EU-GEI and UK Biobank datasets) and employed different but complementary research methods: Mendelian randomisation</w:t>
      </w:r>
      <w:r w:rsidR="007B565D" w:rsidRPr="002818D9">
        <w:rPr>
          <w:rFonts w:ascii="Arial" w:hAnsi="Arial" w:cs="Arial"/>
          <w:sz w:val="22"/>
          <w:szCs w:val="22"/>
        </w:rPr>
        <w:t xml:space="preserve"> (MR)</w:t>
      </w:r>
      <w:r w:rsidRPr="002818D9">
        <w:rPr>
          <w:rFonts w:ascii="Arial" w:hAnsi="Arial" w:cs="Arial"/>
          <w:sz w:val="22"/>
          <w:szCs w:val="22"/>
        </w:rPr>
        <w:t xml:space="preserve"> (Gage et al., 2017; Vaucher et al., 2017), long-term follow-up studies (Alderson et al., 2017), case-control investigations (Barnes et al., 2018; Austin-Zimmerman et al., 2024), and genome-wide association meta-analysis (Johnson et al., 2024). Together, these studies examined the genetic, environmental, and clinical mechanisms connecting substance </w:t>
      </w:r>
      <w:r w:rsidR="00856388" w:rsidRPr="002818D9">
        <w:rPr>
          <w:rFonts w:ascii="Arial" w:hAnsi="Arial" w:cs="Arial"/>
          <w:sz w:val="22"/>
          <w:szCs w:val="22"/>
        </w:rPr>
        <w:t xml:space="preserve">misuse, </w:t>
      </w:r>
      <w:r w:rsidRPr="002818D9">
        <w:rPr>
          <w:rFonts w:ascii="Arial" w:hAnsi="Arial" w:cs="Arial"/>
          <w:sz w:val="22"/>
          <w:szCs w:val="22"/>
        </w:rPr>
        <w:t>mainly cannabis</w:t>
      </w:r>
      <w:r w:rsidR="00856388" w:rsidRPr="002818D9">
        <w:rPr>
          <w:rFonts w:ascii="Arial" w:hAnsi="Arial" w:cs="Arial"/>
          <w:sz w:val="22"/>
          <w:szCs w:val="22"/>
        </w:rPr>
        <w:t xml:space="preserve">, </w:t>
      </w:r>
      <w:r w:rsidRPr="002818D9">
        <w:rPr>
          <w:rFonts w:ascii="Arial" w:hAnsi="Arial" w:cs="Arial"/>
          <w:sz w:val="22"/>
          <w:szCs w:val="22"/>
        </w:rPr>
        <w:t xml:space="preserve">to schizophrenia in </w:t>
      </w:r>
      <w:r w:rsidR="00856388" w:rsidRPr="002818D9">
        <w:rPr>
          <w:rFonts w:ascii="Arial" w:hAnsi="Arial" w:cs="Arial"/>
          <w:sz w:val="22"/>
          <w:szCs w:val="22"/>
        </w:rPr>
        <w:t xml:space="preserve">UK </w:t>
      </w:r>
      <w:r w:rsidRPr="002818D9">
        <w:rPr>
          <w:rFonts w:ascii="Arial" w:hAnsi="Arial" w:cs="Arial"/>
          <w:sz w:val="22"/>
          <w:szCs w:val="22"/>
        </w:rPr>
        <w:t xml:space="preserve">adults. </w:t>
      </w:r>
    </w:p>
    <w:p w14:paraId="29B29E95" w14:textId="267725E7" w:rsidR="00287A41" w:rsidRPr="002818D9" w:rsidRDefault="00287A41" w:rsidP="002818D9">
      <w:pPr>
        <w:spacing w:line="360" w:lineRule="auto"/>
        <w:rPr>
          <w:rFonts w:ascii="Arial" w:eastAsia="Times New Roman" w:hAnsi="Arial" w:cs="Arial"/>
          <w:b/>
          <w:bCs/>
          <w:sz w:val="22"/>
          <w:szCs w:val="22"/>
          <w:u w:val="single"/>
          <w:lang w:eastAsia="en-GB"/>
        </w:rPr>
      </w:pPr>
      <w:r w:rsidRPr="002818D9">
        <w:rPr>
          <w:rFonts w:ascii="Arial" w:eastAsia="Times New Roman" w:hAnsi="Arial" w:cs="Arial"/>
          <w:b/>
          <w:bCs/>
          <w:sz w:val="22"/>
          <w:szCs w:val="22"/>
          <w:u w:val="single"/>
          <w:lang w:eastAsia="en-GB"/>
        </w:rPr>
        <w:t>Summary of Selected Studies</w:t>
      </w:r>
    </w:p>
    <w:p w14:paraId="38642B73" w14:textId="77777777" w:rsidR="005034C0" w:rsidRPr="002818D9" w:rsidRDefault="005034C0" w:rsidP="002818D9">
      <w:pPr>
        <w:spacing w:line="360" w:lineRule="auto"/>
        <w:rPr>
          <w:rFonts w:ascii="Arial" w:eastAsia="Times New Roman" w:hAnsi="Arial" w:cs="Arial"/>
          <w:kern w:val="0"/>
          <w:sz w:val="22"/>
          <w:szCs w:val="22"/>
          <w:lang w:eastAsia="en-GB"/>
          <w14:ligatures w14:val="none"/>
        </w:rPr>
      </w:pPr>
    </w:p>
    <w:p w14:paraId="12333034" w14:textId="228933BA" w:rsidR="003C6157" w:rsidRPr="002818D9" w:rsidRDefault="003C6157" w:rsidP="002818D9">
      <w:pPr>
        <w:spacing w:line="360" w:lineRule="auto"/>
        <w:rPr>
          <w:rFonts w:ascii="Arial" w:eastAsia="Times New Roman" w:hAnsi="Arial" w:cs="Arial"/>
          <w:b/>
          <w:bCs/>
          <w:kern w:val="0"/>
          <w:sz w:val="22"/>
          <w:szCs w:val="22"/>
          <w:u w:val="single"/>
          <w:lang w:eastAsia="en-GB"/>
          <w14:ligatures w14:val="none"/>
        </w:rPr>
      </w:pPr>
      <w:r w:rsidRPr="002818D9">
        <w:rPr>
          <w:rFonts w:ascii="Arial" w:eastAsia="Times New Roman" w:hAnsi="Arial" w:cs="Arial"/>
          <w:b/>
          <w:bCs/>
          <w:kern w:val="0"/>
          <w:sz w:val="22"/>
          <w:szCs w:val="22"/>
          <w:u w:val="single"/>
          <w:lang w:eastAsia="en-GB"/>
          <w14:ligatures w14:val="none"/>
        </w:rPr>
        <w:t>Key</w:t>
      </w:r>
      <w:r w:rsidRPr="002818D9">
        <w:rPr>
          <w:rFonts w:ascii="Arial" w:eastAsia="Times New Roman" w:hAnsi="Arial" w:cs="Arial"/>
          <w:kern w:val="0"/>
          <w:sz w:val="22"/>
          <w:szCs w:val="22"/>
          <w:lang w:eastAsia="en-GB"/>
          <w14:ligatures w14:val="none"/>
        </w:rPr>
        <w:t xml:space="preserve">: OR </w:t>
      </w:r>
      <w:r w:rsidR="00E4156E" w:rsidRPr="002818D9">
        <w:rPr>
          <w:rFonts w:ascii="Arial" w:eastAsia="Times New Roman" w:hAnsi="Arial" w:cs="Arial"/>
          <w:kern w:val="0"/>
          <w:sz w:val="22"/>
          <w:szCs w:val="22"/>
          <w:lang w:eastAsia="en-GB"/>
          <w14:ligatures w14:val="none"/>
        </w:rPr>
        <w:t>=</w:t>
      </w:r>
      <w:r w:rsidRPr="002818D9">
        <w:rPr>
          <w:rFonts w:ascii="Arial" w:eastAsia="Times New Roman" w:hAnsi="Arial" w:cs="Arial"/>
          <w:kern w:val="0"/>
          <w:sz w:val="22"/>
          <w:szCs w:val="22"/>
          <w:lang w:eastAsia="en-GB"/>
          <w14:ligatures w14:val="none"/>
        </w:rPr>
        <w:t xml:space="preserve"> Odds Ratio; CI </w:t>
      </w:r>
      <w:r w:rsidR="00E4156E" w:rsidRPr="002818D9">
        <w:rPr>
          <w:rFonts w:ascii="Arial" w:eastAsia="Times New Roman" w:hAnsi="Arial" w:cs="Arial"/>
          <w:kern w:val="0"/>
          <w:sz w:val="22"/>
          <w:szCs w:val="22"/>
          <w:lang w:eastAsia="en-GB"/>
          <w14:ligatures w14:val="none"/>
        </w:rPr>
        <w:t>=</w:t>
      </w:r>
      <w:r w:rsidRPr="002818D9">
        <w:rPr>
          <w:rFonts w:ascii="Arial" w:eastAsia="Times New Roman" w:hAnsi="Arial" w:cs="Arial"/>
          <w:kern w:val="0"/>
          <w:sz w:val="22"/>
          <w:szCs w:val="22"/>
          <w:lang w:eastAsia="en-GB"/>
          <w14:ligatures w14:val="none"/>
        </w:rPr>
        <w:t xml:space="preserve"> Confidence Interval; PRS </w:t>
      </w:r>
      <w:r w:rsidR="00E4156E" w:rsidRPr="002818D9">
        <w:rPr>
          <w:rFonts w:ascii="Arial" w:eastAsia="Times New Roman" w:hAnsi="Arial" w:cs="Arial"/>
          <w:kern w:val="0"/>
          <w:sz w:val="22"/>
          <w:szCs w:val="22"/>
          <w:lang w:eastAsia="en-GB"/>
          <w14:ligatures w14:val="none"/>
        </w:rPr>
        <w:t>=</w:t>
      </w:r>
      <w:r w:rsidRPr="002818D9">
        <w:rPr>
          <w:rFonts w:ascii="Arial" w:eastAsia="Times New Roman" w:hAnsi="Arial" w:cs="Arial"/>
          <w:kern w:val="0"/>
          <w:sz w:val="22"/>
          <w:szCs w:val="22"/>
          <w:lang w:eastAsia="en-GB"/>
          <w14:ligatures w14:val="none"/>
        </w:rPr>
        <w:t xml:space="preserve"> Polygenic Risk Score; rg </w:t>
      </w:r>
      <w:r w:rsidR="00E4156E" w:rsidRPr="002818D9">
        <w:rPr>
          <w:rFonts w:ascii="Arial" w:eastAsia="Times New Roman" w:hAnsi="Arial" w:cs="Arial"/>
          <w:kern w:val="0"/>
          <w:sz w:val="22"/>
          <w:szCs w:val="22"/>
          <w:lang w:eastAsia="en-GB"/>
          <w14:ligatures w14:val="none"/>
        </w:rPr>
        <w:t xml:space="preserve">= </w:t>
      </w:r>
      <w:r w:rsidRPr="002818D9">
        <w:rPr>
          <w:rFonts w:ascii="Arial" w:eastAsia="Times New Roman" w:hAnsi="Arial" w:cs="Arial"/>
          <w:kern w:val="0"/>
          <w:sz w:val="22"/>
          <w:szCs w:val="22"/>
          <w:lang w:eastAsia="en-GB"/>
          <w14:ligatures w14:val="none"/>
        </w:rPr>
        <w:t>Genetic correlatio</w:t>
      </w:r>
      <w:r w:rsidR="002810B4" w:rsidRPr="002818D9">
        <w:rPr>
          <w:rFonts w:ascii="Arial" w:eastAsia="Times New Roman" w:hAnsi="Arial" w:cs="Arial"/>
          <w:kern w:val="0"/>
          <w:sz w:val="22"/>
          <w:szCs w:val="22"/>
          <w:lang w:eastAsia="en-GB"/>
          <w14:ligatures w14:val="none"/>
        </w:rPr>
        <w:t>n</w:t>
      </w:r>
      <w:r w:rsidR="00002610" w:rsidRPr="002818D9">
        <w:rPr>
          <w:rFonts w:ascii="Arial" w:eastAsia="Times New Roman" w:hAnsi="Arial" w:cs="Arial"/>
          <w:kern w:val="0"/>
          <w:sz w:val="22"/>
          <w:szCs w:val="22"/>
          <w:lang w:eastAsia="en-GB"/>
          <w14:ligatures w14:val="none"/>
        </w:rPr>
        <w:t xml:space="preserve">. </w:t>
      </w:r>
    </w:p>
    <w:p w14:paraId="447A8CDA" w14:textId="77777777" w:rsidR="00287A41" w:rsidRPr="002818D9" w:rsidRDefault="00287A41" w:rsidP="002818D9">
      <w:pPr>
        <w:spacing w:after="0" w:line="360" w:lineRule="auto"/>
        <w:rPr>
          <w:rFonts w:ascii="Arial" w:eastAsia="Times New Roman" w:hAnsi="Arial" w:cs="Arial"/>
          <w:b/>
          <w:bCs/>
          <w:kern w:val="0"/>
          <w:sz w:val="22"/>
          <w:szCs w:val="22"/>
          <w:u w:val="single"/>
          <w:lang w:eastAsia="en-GB"/>
          <w14:ligatures w14:val="none"/>
        </w:rPr>
      </w:pPr>
    </w:p>
    <w:tbl>
      <w:tblPr>
        <w:tblStyle w:val="GridTable5Dark-Accent1"/>
        <w:tblW w:w="0" w:type="auto"/>
        <w:tblLook w:val="04A0" w:firstRow="1" w:lastRow="0" w:firstColumn="1" w:lastColumn="0" w:noHBand="0" w:noVBand="1"/>
      </w:tblPr>
      <w:tblGrid>
        <w:gridCol w:w="1803"/>
        <w:gridCol w:w="1803"/>
        <w:gridCol w:w="1803"/>
        <w:gridCol w:w="1803"/>
        <w:gridCol w:w="1804"/>
      </w:tblGrid>
      <w:tr w:rsidR="00287A41" w:rsidRPr="002818D9" w14:paraId="615D83D6" w14:textId="77777777" w:rsidTr="00D933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C7A4F0E" w14:textId="77777777" w:rsidR="00287A41" w:rsidRPr="002818D9" w:rsidRDefault="00287A41" w:rsidP="002818D9">
            <w:pPr>
              <w:spacing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Author(s),</w:t>
            </w:r>
          </w:p>
          <w:p w14:paraId="6B3786FA" w14:textId="77777777" w:rsidR="00287A41" w:rsidRPr="002818D9" w:rsidRDefault="00287A41" w:rsidP="002818D9">
            <w:pPr>
              <w:spacing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Year</w:t>
            </w:r>
          </w:p>
          <w:p w14:paraId="4C421C2E" w14:textId="77777777" w:rsidR="00287A41" w:rsidRPr="002818D9" w:rsidRDefault="00287A41" w:rsidP="002818D9">
            <w:pPr>
              <w:spacing w:line="360" w:lineRule="auto"/>
              <w:rPr>
                <w:rFonts w:ascii="Arial" w:eastAsia="Times New Roman" w:hAnsi="Arial" w:cs="Arial"/>
                <w:kern w:val="0"/>
                <w:sz w:val="22"/>
                <w:szCs w:val="22"/>
                <w:lang w:eastAsia="en-GB"/>
                <w14:ligatures w14:val="none"/>
              </w:rPr>
            </w:pPr>
          </w:p>
        </w:tc>
        <w:tc>
          <w:tcPr>
            <w:tcW w:w="1803" w:type="dxa"/>
          </w:tcPr>
          <w:p w14:paraId="1F3FF830" w14:textId="77777777" w:rsidR="00287A41" w:rsidRPr="002818D9" w:rsidRDefault="00287A41" w:rsidP="002818D9">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22"/>
                <w:szCs w:val="22"/>
                <w:u w:val="single"/>
                <w:lang w:eastAsia="en-GB"/>
                <w14:ligatures w14:val="none"/>
              </w:rPr>
            </w:pPr>
            <w:r w:rsidRPr="002818D9">
              <w:rPr>
                <w:rFonts w:ascii="Arial" w:hAnsi="Arial" w:cs="Arial"/>
                <w:sz w:val="22"/>
                <w:szCs w:val="22"/>
              </w:rPr>
              <w:t>Research Objectives</w:t>
            </w:r>
          </w:p>
        </w:tc>
        <w:tc>
          <w:tcPr>
            <w:tcW w:w="1803" w:type="dxa"/>
          </w:tcPr>
          <w:p w14:paraId="74211D5B" w14:textId="77777777" w:rsidR="00287A41" w:rsidRPr="002818D9" w:rsidRDefault="00287A41" w:rsidP="002818D9">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Methods</w:t>
            </w:r>
          </w:p>
        </w:tc>
        <w:tc>
          <w:tcPr>
            <w:tcW w:w="1803" w:type="dxa"/>
          </w:tcPr>
          <w:p w14:paraId="357016AF" w14:textId="77777777" w:rsidR="00287A41" w:rsidRPr="002818D9" w:rsidRDefault="00287A41" w:rsidP="002818D9">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Key findings</w:t>
            </w:r>
          </w:p>
        </w:tc>
        <w:tc>
          <w:tcPr>
            <w:tcW w:w="1804" w:type="dxa"/>
          </w:tcPr>
          <w:p w14:paraId="2822FD56" w14:textId="77777777" w:rsidR="00287A41" w:rsidRPr="002818D9" w:rsidRDefault="00287A41" w:rsidP="002818D9">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Relevance to question</w:t>
            </w:r>
          </w:p>
        </w:tc>
      </w:tr>
      <w:tr w:rsidR="00287A41" w:rsidRPr="002818D9" w14:paraId="11C749B6" w14:textId="77777777" w:rsidTr="00D93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B97A067" w14:textId="77777777" w:rsidR="00287A41" w:rsidRPr="002818D9" w:rsidRDefault="00287A41" w:rsidP="002818D9">
            <w:pPr>
              <w:spacing w:line="360" w:lineRule="auto"/>
              <w:rPr>
                <w:rFonts w:ascii="Arial" w:eastAsia="Times New Roman" w:hAnsi="Arial" w:cs="Arial"/>
                <w:b w:val="0"/>
                <w:bCs w:val="0"/>
                <w:kern w:val="0"/>
                <w:sz w:val="22"/>
                <w:szCs w:val="22"/>
                <w:u w:val="single"/>
                <w:lang w:eastAsia="en-GB"/>
                <w14:ligatures w14:val="none"/>
              </w:rPr>
            </w:pPr>
            <w:r w:rsidRPr="002818D9">
              <w:rPr>
                <w:rFonts w:ascii="Arial" w:hAnsi="Arial" w:cs="Arial"/>
                <w:sz w:val="22"/>
                <w:szCs w:val="22"/>
              </w:rPr>
              <w:t>Gage et al. (2017)</w:t>
            </w:r>
          </w:p>
        </w:tc>
        <w:tc>
          <w:tcPr>
            <w:tcW w:w="1803" w:type="dxa"/>
          </w:tcPr>
          <w:p w14:paraId="62F16C54"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To evaluate whether cannabis use causes schizophrenia using genetic approaches.</w:t>
            </w:r>
          </w:p>
        </w:tc>
        <w:tc>
          <w:tcPr>
            <w:tcW w:w="1803" w:type="dxa"/>
          </w:tcPr>
          <w:p w14:paraId="62D5B558"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0"/>
                <w:sz w:val="22"/>
                <w:szCs w:val="22"/>
                <w:u w:val="single"/>
                <w:lang w:eastAsia="en-GB"/>
                <w14:ligatures w14:val="none"/>
              </w:rPr>
            </w:pPr>
            <w:r w:rsidRPr="002818D9">
              <w:rPr>
                <w:rFonts w:ascii="Arial" w:eastAsia="Times New Roman" w:hAnsi="Arial" w:cs="Arial"/>
                <w:kern w:val="0"/>
                <w:sz w:val="22"/>
                <w:szCs w:val="22"/>
                <w:lang w:eastAsia="en-GB"/>
                <w14:ligatures w14:val="none"/>
              </w:rPr>
              <w:t>Two-sample Mendelian randomisation; 36,989 cases, 113,075 controls; 21 genetic variants for cannabis initiation</w:t>
            </w:r>
          </w:p>
        </w:tc>
        <w:tc>
          <w:tcPr>
            <w:tcW w:w="1803" w:type="dxa"/>
          </w:tcPr>
          <w:p w14:paraId="3B9AE136"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Modest cannabis-to-schizophrenia association (OR 1.04, 95% CI 1.01-1.07); stronger reverse effect with schizophrenia predicting cannabis initiation (OR 1.10, 95% CI 1.05-1.14)</w:t>
            </w:r>
          </w:p>
        </w:tc>
        <w:tc>
          <w:tcPr>
            <w:tcW w:w="1804" w:type="dxa"/>
          </w:tcPr>
          <w:p w14:paraId="3FBEB234"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Shows limited cannabis impact on schizophrenia; stronger evidence that schizophrenia genetics increase cannabis use</w:t>
            </w:r>
          </w:p>
        </w:tc>
      </w:tr>
      <w:tr w:rsidR="00287A41" w:rsidRPr="002818D9" w14:paraId="7B40C80C" w14:textId="77777777" w:rsidTr="00D933F2">
        <w:tc>
          <w:tcPr>
            <w:cnfStyle w:val="001000000000" w:firstRow="0" w:lastRow="0" w:firstColumn="1" w:lastColumn="0" w:oddVBand="0" w:evenVBand="0" w:oddHBand="0" w:evenHBand="0" w:firstRowFirstColumn="0" w:firstRowLastColumn="0" w:lastRowFirstColumn="0" w:lastRowLastColumn="0"/>
            <w:tcW w:w="1803" w:type="dxa"/>
          </w:tcPr>
          <w:p w14:paraId="25639646" w14:textId="77777777" w:rsidR="00287A41" w:rsidRPr="002818D9" w:rsidRDefault="00287A41" w:rsidP="002818D9">
            <w:pPr>
              <w:spacing w:line="360" w:lineRule="auto"/>
              <w:rPr>
                <w:rFonts w:ascii="Arial" w:eastAsia="Times New Roman" w:hAnsi="Arial" w:cs="Arial"/>
                <w:b w:val="0"/>
                <w:bCs w:val="0"/>
                <w:kern w:val="0"/>
                <w:sz w:val="22"/>
                <w:szCs w:val="22"/>
                <w:lang w:eastAsia="en-GB"/>
                <w14:ligatures w14:val="none"/>
              </w:rPr>
            </w:pPr>
            <w:r w:rsidRPr="002818D9">
              <w:rPr>
                <w:rFonts w:ascii="Arial" w:hAnsi="Arial" w:cs="Arial"/>
                <w:sz w:val="22"/>
                <w:szCs w:val="22"/>
              </w:rPr>
              <w:lastRenderedPageBreak/>
              <w:t>Barnes et al. (2018)</w:t>
            </w:r>
          </w:p>
        </w:tc>
        <w:tc>
          <w:tcPr>
            <w:tcW w:w="1803" w:type="dxa"/>
          </w:tcPr>
          <w:p w14:paraId="7888B605" w14:textId="3B141AFF"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 xml:space="preserve">To assess </w:t>
            </w:r>
            <w:r w:rsidR="00466D8A" w:rsidRPr="002818D9">
              <w:rPr>
                <w:rFonts w:ascii="Arial" w:eastAsia="Times New Roman" w:hAnsi="Arial" w:cs="Arial"/>
                <w:kern w:val="0"/>
                <w:sz w:val="22"/>
                <w:szCs w:val="22"/>
                <w:lang w:eastAsia="en-GB"/>
                <w14:ligatures w14:val="none"/>
              </w:rPr>
              <w:t>substance,</w:t>
            </w:r>
            <w:r w:rsidRPr="002818D9">
              <w:rPr>
                <w:rFonts w:ascii="Arial" w:eastAsia="Times New Roman" w:hAnsi="Arial" w:cs="Arial"/>
                <w:kern w:val="0"/>
                <w:sz w:val="22"/>
                <w:szCs w:val="22"/>
                <w:lang w:eastAsia="en-GB"/>
                <w14:ligatures w14:val="none"/>
              </w:rPr>
              <w:t xml:space="preserve"> use in psychosis in first-episode schizophrenia</w:t>
            </w:r>
          </w:p>
        </w:tc>
        <w:tc>
          <w:tcPr>
            <w:tcW w:w="1803" w:type="dxa"/>
          </w:tcPr>
          <w:p w14:paraId="2FBBDFAB" w14:textId="77777777"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Longitudinal prospective design; 152 patients (110 substance users, 42 non-users); West London First-Episode Study</w:t>
            </w:r>
          </w:p>
        </w:tc>
        <w:tc>
          <w:tcPr>
            <w:tcW w:w="1803" w:type="dxa"/>
          </w:tcPr>
          <w:p w14:paraId="558074B8" w14:textId="77777777"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Cannabis use linked to psychosis onset 5 years earlier (p-value=0.002); 68% used substances, with cannabis being the most commonly used</w:t>
            </w:r>
          </w:p>
        </w:tc>
        <w:tc>
          <w:tcPr>
            <w:tcW w:w="1804" w:type="dxa"/>
          </w:tcPr>
          <w:p w14:paraId="3C0A8944" w14:textId="77777777"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Shows cannabis correlates with earlier psychosis in UK patients</w:t>
            </w:r>
          </w:p>
        </w:tc>
      </w:tr>
      <w:tr w:rsidR="00287A41" w:rsidRPr="002818D9" w14:paraId="5FB89634" w14:textId="77777777" w:rsidTr="00D93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F476619" w14:textId="77777777" w:rsidR="00287A41" w:rsidRPr="002818D9" w:rsidRDefault="00287A41" w:rsidP="002818D9">
            <w:pPr>
              <w:spacing w:line="360" w:lineRule="auto"/>
              <w:rPr>
                <w:rFonts w:ascii="Arial" w:eastAsia="Times New Roman" w:hAnsi="Arial" w:cs="Arial"/>
                <w:b w:val="0"/>
                <w:bCs w:val="0"/>
                <w:kern w:val="0"/>
                <w:sz w:val="22"/>
                <w:szCs w:val="22"/>
                <w:u w:val="single"/>
                <w:lang w:eastAsia="en-GB"/>
                <w14:ligatures w14:val="none"/>
              </w:rPr>
            </w:pPr>
            <w:r w:rsidRPr="002818D9">
              <w:rPr>
                <w:rFonts w:ascii="Arial" w:hAnsi="Arial" w:cs="Arial"/>
                <w:sz w:val="22"/>
                <w:szCs w:val="22"/>
              </w:rPr>
              <w:t>Vaucher et al. (2017)</w:t>
            </w:r>
          </w:p>
        </w:tc>
        <w:tc>
          <w:tcPr>
            <w:tcW w:w="1803" w:type="dxa"/>
          </w:tcPr>
          <w:p w14:paraId="7124C317"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To determine cannabis causation on schizophrenia using genetic instruments</w:t>
            </w:r>
          </w:p>
        </w:tc>
        <w:tc>
          <w:tcPr>
            <w:tcW w:w="1803" w:type="dxa"/>
          </w:tcPr>
          <w:p w14:paraId="2A5D4CDB"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Mendelian randomisation; 34,241 cases, 45,604 controls; 10 single-nucleotide polymorphisms (SNPs) for cannabis use; mostly European descent</w:t>
            </w:r>
          </w:p>
        </w:tc>
        <w:tc>
          <w:tcPr>
            <w:tcW w:w="1803" w:type="dxa"/>
          </w:tcPr>
          <w:p w14:paraId="585A3F01"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Cannabis linked to schizophrenia risk (OR 1.37, 95% CI 1.09-1.67); greater than Gage findings; no pleiotropy (p-value=0.292)</w:t>
            </w:r>
          </w:p>
        </w:tc>
        <w:tc>
          <w:tcPr>
            <w:tcW w:w="1804" w:type="dxa"/>
          </w:tcPr>
          <w:p w14:paraId="192FF437"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Shows stronger causal cannabis-schizophrenia link than other MR studies; supports causation</w:t>
            </w:r>
          </w:p>
        </w:tc>
      </w:tr>
      <w:tr w:rsidR="00287A41" w:rsidRPr="002818D9" w14:paraId="10504C3D" w14:textId="77777777" w:rsidTr="00D933F2">
        <w:tc>
          <w:tcPr>
            <w:cnfStyle w:val="001000000000" w:firstRow="0" w:lastRow="0" w:firstColumn="1" w:lastColumn="0" w:oddVBand="0" w:evenVBand="0" w:oddHBand="0" w:evenHBand="0" w:firstRowFirstColumn="0" w:firstRowLastColumn="0" w:lastRowFirstColumn="0" w:lastRowLastColumn="0"/>
            <w:tcW w:w="1803" w:type="dxa"/>
          </w:tcPr>
          <w:p w14:paraId="476739E2" w14:textId="77777777" w:rsidR="00287A41" w:rsidRPr="002818D9" w:rsidRDefault="00287A41" w:rsidP="002818D9">
            <w:pPr>
              <w:spacing w:line="360" w:lineRule="auto"/>
              <w:rPr>
                <w:rFonts w:ascii="Arial" w:eastAsia="Times New Roman" w:hAnsi="Arial" w:cs="Arial"/>
                <w:b w:val="0"/>
                <w:bCs w:val="0"/>
                <w:kern w:val="0"/>
                <w:sz w:val="22"/>
                <w:szCs w:val="22"/>
                <w:u w:val="single"/>
                <w:lang w:eastAsia="en-GB"/>
                <w14:ligatures w14:val="none"/>
              </w:rPr>
            </w:pPr>
            <w:r w:rsidRPr="002818D9">
              <w:rPr>
                <w:rFonts w:ascii="Arial" w:hAnsi="Arial" w:cs="Arial"/>
                <w:sz w:val="22"/>
                <w:szCs w:val="22"/>
              </w:rPr>
              <w:t>Austin-Zimmerman, Di Forti et al. (2024)</w:t>
            </w:r>
          </w:p>
        </w:tc>
        <w:tc>
          <w:tcPr>
            <w:tcW w:w="1803" w:type="dxa"/>
          </w:tcPr>
          <w:p w14:paraId="5E2469A4" w14:textId="77777777"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To investigate</w:t>
            </w:r>
          </w:p>
          <w:p w14:paraId="35F5B0EA" w14:textId="47EA89B8"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2"/>
                <w:szCs w:val="22"/>
                <w:u w:val="single"/>
                <w:lang w:eastAsia="en-GB"/>
                <w14:ligatures w14:val="none"/>
              </w:rPr>
            </w:pPr>
            <w:r w:rsidRPr="002818D9">
              <w:rPr>
                <w:rFonts w:ascii="Arial" w:eastAsia="Times New Roman" w:hAnsi="Arial" w:cs="Arial"/>
                <w:kern w:val="0"/>
                <w:sz w:val="22"/>
                <w:szCs w:val="22"/>
                <w:lang w:eastAsia="en-GB"/>
                <w14:ligatures w14:val="none"/>
              </w:rPr>
              <w:t xml:space="preserve">schizophrenia, genetic </w:t>
            </w:r>
            <w:r w:rsidR="003674EE" w:rsidRPr="002818D9">
              <w:rPr>
                <w:rFonts w:ascii="Arial" w:eastAsia="Times New Roman" w:hAnsi="Arial" w:cs="Arial"/>
                <w:kern w:val="0"/>
                <w:sz w:val="22"/>
                <w:szCs w:val="22"/>
                <w:lang w:eastAsia="en-GB"/>
                <w14:ligatures w14:val="none"/>
              </w:rPr>
              <w:t>risk,</w:t>
            </w:r>
            <w:r w:rsidRPr="002818D9">
              <w:rPr>
                <w:rFonts w:ascii="Arial" w:eastAsia="Times New Roman" w:hAnsi="Arial" w:cs="Arial"/>
                <w:kern w:val="0"/>
                <w:sz w:val="22"/>
                <w:szCs w:val="22"/>
                <w:lang w:eastAsia="en-GB"/>
                <w14:ligatures w14:val="none"/>
              </w:rPr>
              <w:t xml:space="preserve"> and cannabis interaction on psychosis</w:t>
            </w:r>
          </w:p>
        </w:tc>
        <w:tc>
          <w:tcPr>
            <w:tcW w:w="1803" w:type="dxa"/>
          </w:tcPr>
          <w:p w14:paraId="2D90CFE9" w14:textId="77777777"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Case-control; EU-GEI (1,098) and UK Biobank (143,600); schizophrenia and cannabis polygenic risk scores (PRS)</w:t>
            </w:r>
          </w:p>
        </w:tc>
        <w:tc>
          <w:tcPr>
            <w:tcW w:w="1803" w:type="dxa"/>
          </w:tcPr>
          <w:p w14:paraId="2784DB63" w14:textId="77777777"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High-potency cannabis increased psychosis risk (OR 5.09, 95% CI 3.08-8.43); schizophrenia PRS and cannabis independently raised risk; no PRS-cannabis interaction</w:t>
            </w:r>
          </w:p>
        </w:tc>
        <w:tc>
          <w:tcPr>
            <w:tcW w:w="1804" w:type="dxa"/>
          </w:tcPr>
          <w:p w14:paraId="2EE13238" w14:textId="77777777"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High-potency cannabis use independently predicts psychosis irrespective of genetic risk; both genetic and environmental factors contribute separately.</w:t>
            </w:r>
          </w:p>
        </w:tc>
      </w:tr>
      <w:tr w:rsidR="00287A41" w:rsidRPr="002818D9" w14:paraId="45C8D51D" w14:textId="77777777" w:rsidTr="00D93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738974FB" w14:textId="77777777" w:rsidR="00287A41" w:rsidRPr="002818D9" w:rsidRDefault="00287A41" w:rsidP="002818D9">
            <w:pPr>
              <w:spacing w:line="360" w:lineRule="auto"/>
              <w:rPr>
                <w:rFonts w:ascii="Arial" w:eastAsia="Times New Roman" w:hAnsi="Arial" w:cs="Arial"/>
                <w:b w:val="0"/>
                <w:bCs w:val="0"/>
                <w:kern w:val="0"/>
                <w:sz w:val="22"/>
                <w:szCs w:val="22"/>
                <w:u w:val="single"/>
                <w:lang w:eastAsia="en-GB"/>
                <w14:ligatures w14:val="none"/>
              </w:rPr>
            </w:pPr>
            <w:bookmarkStart w:id="16" w:name="_Hlk213266578"/>
            <w:r w:rsidRPr="002818D9">
              <w:rPr>
                <w:rFonts w:ascii="Arial" w:hAnsi="Arial" w:cs="Arial"/>
                <w:sz w:val="22"/>
                <w:szCs w:val="22"/>
              </w:rPr>
              <w:lastRenderedPageBreak/>
              <w:t>Johnson et al. (2024)</w:t>
            </w:r>
          </w:p>
        </w:tc>
        <w:tc>
          <w:tcPr>
            <w:tcW w:w="1803" w:type="dxa"/>
          </w:tcPr>
          <w:p w14:paraId="7B59C38E"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To examine genetic links between schizophrenia, cannabis disorder, and tobacco use across ancestries</w:t>
            </w:r>
          </w:p>
        </w:tc>
        <w:tc>
          <w:tcPr>
            <w:tcW w:w="1803" w:type="dxa"/>
          </w:tcPr>
          <w:p w14:paraId="3DB020E3"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Cross-ancestry GWAS meta-analysis; European (schizophrenia N=161,405, cannabis use disorder N=886,025, smoking N=805,431); African samples; Mendelian randomization and pleiotropy analyses</w:t>
            </w:r>
          </w:p>
        </w:tc>
        <w:tc>
          <w:tcPr>
            <w:tcW w:w="1803" w:type="dxa"/>
          </w:tcPr>
          <w:p w14:paraId="28EA7983" w14:textId="73D331ED"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 xml:space="preserve">Bidirectional causation found; cannabis disorder-schizophrenia correlation (rg=0.37) greater than smoking-schizophrenia (rg=0.17); </w:t>
            </w:r>
            <w:r w:rsidR="00E523BA" w:rsidRPr="002818D9">
              <w:rPr>
                <w:rFonts w:ascii="Arial" w:eastAsia="Times New Roman" w:hAnsi="Arial" w:cs="Arial"/>
                <w:kern w:val="0"/>
                <w:sz w:val="22"/>
                <w:szCs w:val="22"/>
                <w:lang w:eastAsia="en-GB"/>
                <w14:ligatures w14:val="none"/>
              </w:rPr>
              <w:t>327 shared genetic variants</w:t>
            </w:r>
            <w:r w:rsidR="00E523BA" w:rsidRPr="002818D9">
              <w:rPr>
                <w:rFonts w:ascii="Arial" w:eastAsia="Times New Roman" w:hAnsi="Arial" w:cs="Arial"/>
                <w:b/>
                <w:bCs/>
                <w:kern w:val="0"/>
                <w:sz w:val="22"/>
                <w:szCs w:val="22"/>
                <w:lang w:eastAsia="en-GB"/>
                <w14:ligatures w14:val="none"/>
              </w:rPr>
              <w:t xml:space="preserve"> </w:t>
            </w:r>
            <w:r w:rsidRPr="002818D9">
              <w:rPr>
                <w:rFonts w:ascii="Arial" w:eastAsia="Times New Roman" w:hAnsi="Arial" w:cs="Arial"/>
                <w:kern w:val="0"/>
                <w:sz w:val="22"/>
                <w:szCs w:val="22"/>
                <w:lang w:eastAsia="en-GB"/>
                <w14:ligatures w14:val="none"/>
              </w:rPr>
              <w:t>identified</w:t>
            </w:r>
          </w:p>
        </w:tc>
        <w:tc>
          <w:tcPr>
            <w:tcW w:w="1804" w:type="dxa"/>
          </w:tcPr>
          <w:p w14:paraId="46445049" w14:textId="77777777" w:rsidR="00287A41" w:rsidRPr="002818D9" w:rsidRDefault="00287A41" w:rsidP="002818D9">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Shows shared genetic factors and bidirectional causation; cannabis disorder-schizophrenia genetic overlap exceeds smoking-schizophrenia overlap</w:t>
            </w:r>
          </w:p>
        </w:tc>
      </w:tr>
      <w:bookmarkEnd w:id="16"/>
      <w:tr w:rsidR="00287A41" w:rsidRPr="002818D9" w14:paraId="24876FB4" w14:textId="77777777" w:rsidTr="00D933F2">
        <w:tc>
          <w:tcPr>
            <w:cnfStyle w:val="001000000000" w:firstRow="0" w:lastRow="0" w:firstColumn="1" w:lastColumn="0" w:oddVBand="0" w:evenVBand="0" w:oddHBand="0" w:evenHBand="0" w:firstRowFirstColumn="0" w:firstRowLastColumn="0" w:lastRowFirstColumn="0" w:lastRowLastColumn="0"/>
            <w:tcW w:w="1803" w:type="dxa"/>
          </w:tcPr>
          <w:p w14:paraId="44A49626" w14:textId="77777777" w:rsidR="00287A41" w:rsidRPr="002818D9" w:rsidRDefault="00287A41" w:rsidP="002818D9">
            <w:pPr>
              <w:spacing w:line="360" w:lineRule="auto"/>
              <w:rPr>
                <w:rFonts w:ascii="Arial" w:eastAsia="Times New Roman" w:hAnsi="Arial" w:cs="Arial"/>
                <w:b w:val="0"/>
                <w:bCs w:val="0"/>
                <w:kern w:val="0"/>
                <w:sz w:val="22"/>
                <w:szCs w:val="22"/>
                <w:u w:val="single"/>
                <w:lang w:eastAsia="en-GB"/>
                <w14:ligatures w14:val="none"/>
              </w:rPr>
            </w:pPr>
            <w:r w:rsidRPr="002818D9">
              <w:rPr>
                <w:rFonts w:ascii="Arial" w:hAnsi="Arial" w:cs="Arial"/>
                <w:sz w:val="22"/>
                <w:szCs w:val="22"/>
              </w:rPr>
              <w:t>Alderson et al. (2017)</w:t>
            </w:r>
          </w:p>
        </w:tc>
        <w:tc>
          <w:tcPr>
            <w:tcW w:w="1803" w:type="dxa"/>
          </w:tcPr>
          <w:p w14:paraId="7920F6C2" w14:textId="77777777"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To examine transition from substance-induced psychosis to schizophrenia and risk factors</w:t>
            </w:r>
          </w:p>
        </w:tc>
        <w:tc>
          <w:tcPr>
            <w:tcW w:w="1803" w:type="dxa"/>
          </w:tcPr>
          <w:p w14:paraId="00A77135" w14:textId="77777777"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Longitudinal cohort; 3,486 first substance-induced psychotic disorder (SIPD) admissions, Scotland (1997-2012); 15.5-year follow-up</w:t>
            </w:r>
          </w:p>
        </w:tc>
        <w:tc>
          <w:tcPr>
            <w:tcW w:w="1803" w:type="dxa"/>
          </w:tcPr>
          <w:p w14:paraId="32AEB421" w14:textId="77777777"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t>17.3% transitioned to schizophrenia. (15.5-year risk) 21.4% from cannabis-induced psychosis. 50% transitioned within 2 years (mean: 13y). Risk factors: male, &lt;30, long admission</w:t>
            </w:r>
          </w:p>
        </w:tc>
        <w:tc>
          <w:tcPr>
            <w:tcW w:w="1804" w:type="dxa"/>
          </w:tcPr>
          <w:p w14:paraId="73412077" w14:textId="7C3B4F06" w:rsidR="00287A41" w:rsidRPr="002818D9" w:rsidRDefault="00287A41" w:rsidP="002818D9">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0"/>
                <w:sz w:val="22"/>
                <w:szCs w:val="22"/>
                <w:u w:val="single"/>
                <w:lang w:eastAsia="en-GB"/>
                <w14:ligatures w14:val="none"/>
              </w:rPr>
            </w:pPr>
            <w:r w:rsidRPr="002818D9">
              <w:rPr>
                <w:rFonts w:ascii="Arial" w:hAnsi="Arial" w:cs="Arial"/>
                <w:sz w:val="22"/>
                <w:szCs w:val="22"/>
              </w:rPr>
              <w:t>Provides UK-specific evidence that substance-induced psychosis, particularly cannabis-related, increases risk of schizophrenia diagnosis; demonstrates temporal progression from substance use to schizophrenia</w:t>
            </w:r>
          </w:p>
        </w:tc>
      </w:tr>
    </w:tbl>
    <w:p w14:paraId="10C67CE9" w14:textId="21F7AAAD" w:rsidR="00287A41" w:rsidRPr="002818D9" w:rsidRDefault="00073F57" w:rsidP="002818D9">
      <w:pPr>
        <w:spacing w:line="360" w:lineRule="auto"/>
        <w:rPr>
          <w:rFonts w:ascii="Arial" w:eastAsia="Times New Roman" w:hAnsi="Arial" w:cs="Arial"/>
          <w:kern w:val="0"/>
          <w:sz w:val="22"/>
          <w:szCs w:val="22"/>
          <w:lang w:eastAsia="en-GB"/>
          <w14:ligatures w14:val="none"/>
        </w:rPr>
      </w:pPr>
      <w:r w:rsidRPr="002818D9">
        <w:rPr>
          <w:rFonts w:ascii="Arial" w:eastAsia="Times New Roman" w:hAnsi="Arial" w:cs="Arial"/>
          <w:kern w:val="0"/>
          <w:sz w:val="22"/>
          <w:szCs w:val="22"/>
          <w:lang w:eastAsia="en-GB"/>
          <w14:ligatures w14:val="none"/>
        </w:rPr>
        <w:br w:type="page"/>
      </w:r>
    </w:p>
    <w:p w14:paraId="7F14F36B" w14:textId="789E1F8A" w:rsidR="00C47114" w:rsidRPr="002818D9" w:rsidRDefault="002F6F1E" w:rsidP="002818D9">
      <w:pPr>
        <w:pStyle w:val="Heading2"/>
        <w:spacing w:line="360" w:lineRule="auto"/>
        <w:rPr>
          <w:rFonts w:ascii="Arial" w:hAnsi="Arial" w:cs="Arial"/>
          <w:b/>
          <w:bCs/>
          <w:color w:val="auto"/>
          <w:sz w:val="22"/>
          <w:szCs w:val="22"/>
          <w:u w:val="single"/>
        </w:rPr>
      </w:pPr>
      <w:bookmarkStart w:id="17" w:name="_Toc213958322"/>
      <w:r w:rsidRPr="002818D9">
        <w:rPr>
          <w:rFonts w:ascii="Arial" w:hAnsi="Arial" w:cs="Arial"/>
          <w:b/>
          <w:bCs/>
          <w:color w:val="auto"/>
          <w:sz w:val="22"/>
          <w:szCs w:val="22"/>
          <w:u w:val="single"/>
        </w:rPr>
        <w:lastRenderedPageBreak/>
        <w:t>T</w:t>
      </w:r>
      <w:r w:rsidR="00C47114" w:rsidRPr="002818D9">
        <w:rPr>
          <w:rFonts w:ascii="Arial" w:hAnsi="Arial" w:cs="Arial"/>
          <w:b/>
          <w:bCs/>
          <w:color w:val="auto"/>
          <w:sz w:val="22"/>
          <w:szCs w:val="22"/>
          <w:u w:val="single"/>
        </w:rPr>
        <w:t>hematic analysis</w:t>
      </w:r>
      <w:bookmarkEnd w:id="17"/>
    </w:p>
    <w:p w14:paraId="039FE84E" w14:textId="77777777" w:rsidR="00856388" w:rsidRPr="002818D9" w:rsidRDefault="00856388" w:rsidP="002818D9">
      <w:pPr>
        <w:spacing w:line="360" w:lineRule="auto"/>
        <w:rPr>
          <w:rFonts w:ascii="Arial" w:hAnsi="Arial" w:cs="Arial"/>
          <w:b/>
          <w:bCs/>
          <w:sz w:val="22"/>
          <w:szCs w:val="22"/>
        </w:rPr>
      </w:pPr>
    </w:p>
    <w:p w14:paraId="5B649005" w14:textId="69E1272B" w:rsidR="00C47114" w:rsidRPr="002818D9" w:rsidRDefault="00C47114" w:rsidP="002818D9">
      <w:pPr>
        <w:pStyle w:val="Heading2"/>
        <w:spacing w:line="360" w:lineRule="auto"/>
        <w:rPr>
          <w:rFonts w:ascii="Arial" w:hAnsi="Arial" w:cs="Arial"/>
          <w:b/>
          <w:bCs/>
          <w:color w:val="auto"/>
          <w:sz w:val="22"/>
          <w:szCs w:val="22"/>
          <w:u w:val="single"/>
        </w:rPr>
      </w:pPr>
      <w:bookmarkStart w:id="18" w:name="_Toc213958323"/>
      <w:r w:rsidRPr="002818D9">
        <w:rPr>
          <w:rFonts w:ascii="Arial" w:hAnsi="Arial" w:cs="Arial"/>
          <w:b/>
          <w:bCs/>
          <w:color w:val="auto"/>
          <w:sz w:val="22"/>
          <w:szCs w:val="22"/>
          <w:u w:val="single"/>
        </w:rPr>
        <w:t>Theme 1</w:t>
      </w:r>
      <w:r w:rsidR="00856388" w:rsidRPr="002818D9">
        <w:rPr>
          <w:rFonts w:ascii="Arial" w:hAnsi="Arial" w:cs="Arial"/>
          <w:b/>
          <w:bCs/>
          <w:color w:val="auto"/>
          <w:sz w:val="22"/>
          <w:szCs w:val="22"/>
          <w:u w:val="single"/>
        </w:rPr>
        <w:t xml:space="preserve">: </w:t>
      </w:r>
      <w:r w:rsidRPr="002818D9">
        <w:rPr>
          <w:rFonts w:ascii="Arial" w:hAnsi="Arial" w:cs="Arial"/>
          <w:b/>
          <w:bCs/>
          <w:color w:val="auto"/>
          <w:sz w:val="22"/>
          <w:szCs w:val="22"/>
          <w:u w:val="single"/>
        </w:rPr>
        <w:t xml:space="preserve"> Cannabis and other substances as key risk factors</w:t>
      </w:r>
      <w:bookmarkEnd w:id="18"/>
    </w:p>
    <w:p w14:paraId="51D3032B" w14:textId="77777777" w:rsidR="00FC398F" w:rsidRPr="002818D9" w:rsidRDefault="00FC398F" w:rsidP="002818D9">
      <w:pPr>
        <w:spacing w:line="360" w:lineRule="auto"/>
        <w:rPr>
          <w:rFonts w:ascii="Arial" w:hAnsi="Arial" w:cs="Arial"/>
          <w:sz w:val="22"/>
          <w:szCs w:val="22"/>
        </w:rPr>
      </w:pPr>
    </w:p>
    <w:p w14:paraId="3BF5EC47" w14:textId="30181165" w:rsidR="00C47114" w:rsidRPr="002818D9" w:rsidRDefault="008B502C" w:rsidP="002818D9">
      <w:pPr>
        <w:spacing w:line="360" w:lineRule="auto"/>
        <w:rPr>
          <w:rFonts w:ascii="Arial" w:hAnsi="Arial" w:cs="Arial"/>
          <w:sz w:val="22"/>
          <w:szCs w:val="22"/>
        </w:rPr>
      </w:pPr>
      <w:r w:rsidRPr="002818D9">
        <w:rPr>
          <w:rFonts w:ascii="Arial" w:hAnsi="Arial" w:cs="Arial"/>
          <w:sz w:val="22"/>
          <w:szCs w:val="22"/>
        </w:rPr>
        <w:t xml:space="preserve">Cannabis is the substance most frequently linked to schizophrenia. Barnes et al. (2018) found that 68% of individuals experiencing their first schizophrenia episode in West London had a history of substance use, specifically cannabis. </w:t>
      </w:r>
      <w:r w:rsidR="00A83418" w:rsidRPr="002818D9">
        <w:rPr>
          <w:rFonts w:ascii="Arial" w:hAnsi="Arial" w:cs="Arial"/>
          <w:sz w:val="22"/>
          <w:szCs w:val="22"/>
        </w:rPr>
        <w:t>Moreover, Alderson</w:t>
      </w:r>
      <w:r w:rsidRPr="002818D9">
        <w:rPr>
          <w:rFonts w:ascii="Arial" w:hAnsi="Arial" w:cs="Arial"/>
          <w:sz w:val="22"/>
          <w:szCs w:val="22"/>
        </w:rPr>
        <w:t xml:space="preserve"> et al. (2017) reported that 21.4% of those with cannabis-induced psychosis developed schizophrenia, compared to 10.6% with alcohol-induced psychosis.</w:t>
      </w:r>
    </w:p>
    <w:p w14:paraId="64763F2D" w14:textId="2DB490C5" w:rsidR="00C47114" w:rsidRPr="002818D9" w:rsidRDefault="00C47114" w:rsidP="002818D9">
      <w:pPr>
        <w:pStyle w:val="Heading2"/>
        <w:spacing w:line="360" w:lineRule="auto"/>
        <w:rPr>
          <w:rFonts w:ascii="Arial" w:hAnsi="Arial" w:cs="Arial"/>
          <w:b/>
          <w:bCs/>
          <w:color w:val="auto"/>
          <w:sz w:val="22"/>
          <w:szCs w:val="22"/>
          <w:u w:val="single"/>
        </w:rPr>
      </w:pPr>
      <w:bookmarkStart w:id="19" w:name="_Toc213958324"/>
      <w:r w:rsidRPr="002818D9">
        <w:rPr>
          <w:rFonts w:ascii="Arial" w:hAnsi="Arial" w:cs="Arial"/>
          <w:b/>
          <w:bCs/>
          <w:color w:val="auto"/>
          <w:sz w:val="22"/>
          <w:szCs w:val="22"/>
          <w:u w:val="single"/>
        </w:rPr>
        <w:t>Theme 2</w:t>
      </w:r>
      <w:r w:rsidR="00856388" w:rsidRPr="002818D9">
        <w:rPr>
          <w:rFonts w:ascii="Arial" w:hAnsi="Arial" w:cs="Arial"/>
          <w:b/>
          <w:bCs/>
          <w:color w:val="auto"/>
          <w:sz w:val="22"/>
          <w:szCs w:val="22"/>
          <w:u w:val="single"/>
        </w:rPr>
        <w:t xml:space="preserve">: </w:t>
      </w:r>
      <w:r w:rsidRPr="002818D9">
        <w:rPr>
          <w:rFonts w:ascii="Arial" w:hAnsi="Arial" w:cs="Arial"/>
          <w:b/>
          <w:bCs/>
          <w:color w:val="auto"/>
          <w:sz w:val="22"/>
          <w:szCs w:val="22"/>
          <w:u w:val="single"/>
        </w:rPr>
        <w:t xml:space="preserve"> </w:t>
      </w:r>
      <w:bookmarkStart w:id="20" w:name="OLE_LINK1"/>
      <w:r w:rsidRPr="002818D9">
        <w:rPr>
          <w:rFonts w:ascii="Arial" w:hAnsi="Arial" w:cs="Arial"/>
          <w:b/>
          <w:bCs/>
          <w:color w:val="auto"/>
          <w:sz w:val="22"/>
          <w:szCs w:val="22"/>
          <w:u w:val="single"/>
        </w:rPr>
        <w:t xml:space="preserve">Moderate causal influences and </w:t>
      </w:r>
      <w:r w:rsidR="005A777C" w:rsidRPr="002818D9">
        <w:rPr>
          <w:rFonts w:ascii="Arial" w:hAnsi="Arial" w:cs="Arial"/>
          <w:b/>
          <w:bCs/>
          <w:color w:val="auto"/>
          <w:sz w:val="22"/>
          <w:szCs w:val="22"/>
          <w:u w:val="single"/>
        </w:rPr>
        <w:t>two-way</w:t>
      </w:r>
      <w:r w:rsidRPr="002818D9">
        <w:rPr>
          <w:rFonts w:ascii="Arial" w:hAnsi="Arial" w:cs="Arial"/>
          <w:b/>
          <w:bCs/>
          <w:color w:val="auto"/>
          <w:sz w:val="22"/>
          <w:szCs w:val="22"/>
          <w:u w:val="single"/>
        </w:rPr>
        <w:t xml:space="preserve"> relationships</w:t>
      </w:r>
      <w:bookmarkEnd w:id="19"/>
      <w:bookmarkEnd w:id="20"/>
    </w:p>
    <w:p w14:paraId="054AB7E8" w14:textId="77777777" w:rsidR="00596B48" w:rsidRPr="002818D9" w:rsidRDefault="00596B48" w:rsidP="002818D9">
      <w:pPr>
        <w:spacing w:line="360" w:lineRule="auto"/>
        <w:rPr>
          <w:rFonts w:ascii="Arial" w:hAnsi="Arial" w:cs="Arial"/>
          <w:sz w:val="22"/>
          <w:szCs w:val="22"/>
        </w:rPr>
      </w:pPr>
    </w:p>
    <w:p w14:paraId="321CBA98" w14:textId="13E7AE8C" w:rsidR="00596B48" w:rsidRPr="002818D9" w:rsidRDefault="00596B48" w:rsidP="002818D9">
      <w:pPr>
        <w:spacing w:line="360" w:lineRule="auto"/>
        <w:rPr>
          <w:rFonts w:ascii="Arial" w:hAnsi="Arial" w:cs="Arial"/>
          <w:sz w:val="22"/>
          <w:szCs w:val="22"/>
        </w:rPr>
      </w:pPr>
      <w:r w:rsidRPr="002818D9">
        <w:rPr>
          <w:rFonts w:ascii="Arial" w:hAnsi="Arial" w:cs="Arial"/>
          <w:sz w:val="22"/>
          <w:szCs w:val="22"/>
        </w:rPr>
        <w:t xml:space="preserve">Mendelian randomisation studies found significant causal links between cannabis and schizophrenia, with odds ratios from 1.04 to 1.37 (Gage et al., 2017; Vaucher et al., 2017). Genetic predisposition to schizophrenia also increased cannabis use (OR = 1.10), suggesting a </w:t>
      </w:r>
      <w:r w:rsidR="003210BF" w:rsidRPr="002818D9">
        <w:rPr>
          <w:rFonts w:ascii="Arial" w:hAnsi="Arial" w:cs="Arial"/>
          <w:sz w:val="22"/>
          <w:szCs w:val="22"/>
        </w:rPr>
        <w:t>two-way</w:t>
      </w:r>
      <w:r w:rsidRPr="002818D9">
        <w:rPr>
          <w:rFonts w:ascii="Arial" w:hAnsi="Arial" w:cs="Arial"/>
          <w:sz w:val="22"/>
          <w:szCs w:val="22"/>
        </w:rPr>
        <w:t xml:space="preserve"> relationship (Johnson et al., 2024).</w:t>
      </w:r>
    </w:p>
    <w:p w14:paraId="15A25DF6" w14:textId="77777777" w:rsidR="00FC398F" w:rsidRPr="002818D9" w:rsidRDefault="00FC398F" w:rsidP="002818D9">
      <w:pPr>
        <w:spacing w:line="360" w:lineRule="auto"/>
        <w:rPr>
          <w:rFonts w:ascii="Arial" w:hAnsi="Arial" w:cs="Arial"/>
          <w:sz w:val="22"/>
          <w:szCs w:val="22"/>
        </w:rPr>
      </w:pPr>
    </w:p>
    <w:p w14:paraId="171F94B8" w14:textId="11779E14" w:rsidR="00FC398F" w:rsidRPr="002818D9" w:rsidRDefault="00C47114" w:rsidP="002818D9">
      <w:pPr>
        <w:pStyle w:val="Heading2"/>
        <w:spacing w:line="360" w:lineRule="auto"/>
        <w:rPr>
          <w:rFonts w:ascii="Arial" w:hAnsi="Arial" w:cs="Arial"/>
          <w:b/>
          <w:bCs/>
          <w:color w:val="auto"/>
          <w:sz w:val="22"/>
          <w:szCs w:val="22"/>
          <w:u w:val="single"/>
        </w:rPr>
      </w:pPr>
      <w:bookmarkStart w:id="21" w:name="_Toc213958325"/>
      <w:r w:rsidRPr="002818D9">
        <w:rPr>
          <w:rFonts w:ascii="Arial" w:hAnsi="Arial" w:cs="Arial"/>
          <w:b/>
          <w:bCs/>
          <w:color w:val="auto"/>
          <w:sz w:val="22"/>
          <w:szCs w:val="22"/>
          <w:u w:val="single"/>
        </w:rPr>
        <w:t>Theme 3</w:t>
      </w:r>
      <w:r w:rsidR="00856388" w:rsidRPr="002818D9">
        <w:rPr>
          <w:rFonts w:ascii="Arial" w:hAnsi="Arial" w:cs="Arial"/>
          <w:b/>
          <w:bCs/>
          <w:color w:val="auto"/>
          <w:sz w:val="22"/>
          <w:szCs w:val="22"/>
          <w:u w:val="single"/>
        </w:rPr>
        <w:t xml:space="preserve">: </w:t>
      </w:r>
      <w:r w:rsidRPr="002818D9">
        <w:rPr>
          <w:rFonts w:ascii="Arial" w:hAnsi="Arial" w:cs="Arial"/>
          <w:b/>
          <w:bCs/>
          <w:color w:val="auto"/>
          <w:sz w:val="22"/>
          <w:szCs w:val="22"/>
          <w:u w:val="single"/>
        </w:rPr>
        <w:t xml:space="preserve"> Separate genetic and environmental influences</w:t>
      </w:r>
      <w:bookmarkEnd w:id="21"/>
    </w:p>
    <w:p w14:paraId="01846008" w14:textId="77777777" w:rsidR="00E27B8A" w:rsidRPr="002818D9" w:rsidRDefault="00E27B8A" w:rsidP="002818D9">
      <w:pPr>
        <w:spacing w:line="360" w:lineRule="auto"/>
        <w:rPr>
          <w:rFonts w:ascii="Arial" w:hAnsi="Arial" w:cs="Arial"/>
          <w:sz w:val="22"/>
          <w:szCs w:val="22"/>
        </w:rPr>
      </w:pPr>
    </w:p>
    <w:p w14:paraId="0A9D2182" w14:textId="040651FF" w:rsidR="00E27B8A" w:rsidRPr="002818D9" w:rsidRDefault="00E27B8A" w:rsidP="002818D9">
      <w:pPr>
        <w:spacing w:line="360" w:lineRule="auto"/>
        <w:rPr>
          <w:rFonts w:ascii="Arial" w:hAnsi="Arial" w:cs="Arial"/>
          <w:sz w:val="22"/>
          <w:szCs w:val="22"/>
        </w:rPr>
      </w:pPr>
      <w:r w:rsidRPr="002818D9">
        <w:rPr>
          <w:rFonts w:ascii="Arial" w:hAnsi="Arial" w:cs="Arial"/>
          <w:sz w:val="22"/>
          <w:szCs w:val="22"/>
        </w:rPr>
        <w:t>High-strength cannabis independently increased psychosis risk (OR = 5.09, 95% CI 3.08–8.43), regardless of polygenic schizophrenia susceptibility, indicating additive rather than multiplicative effects (Austin-Zimmerman et al., 2024).</w:t>
      </w:r>
    </w:p>
    <w:p w14:paraId="2DC2D839" w14:textId="77777777" w:rsidR="0081077A" w:rsidRPr="002818D9" w:rsidRDefault="0081077A" w:rsidP="002818D9">
      <w:pPr>
        <w:spacing w:line="360" w:lineRule="auto"/>
        <w:rPr>
          <w:rFonts w:ascii="Arial" w:hAnsi="Arial" w:cs="Arial"/>
          <w:sz w:val="22"/>
          <w:szCs w:val="22"/>
        </w:rPr>
      </w:pPr>
    </w:p>
    <w:p w14:paraId="55C7CB43" w14:textId="6FD88D7D" w:rsidR="00C47114" w:rsidRPr="002818D9" w:rsidRDefault="00C47114" w:rsidP="002818D9">
      <w:pPr>
        <w:pStyle w:val="Heading2"/>
        <w:spacing w:line="360" w:lineRule="auto"/>
        <w:rPr>
          <w:rFonts w:ascii="Arial" w:hAnsi="Arial" w:cs="Arial"/>
          <w:b/>
          <w:bCs/>
          <w:color w:val="auto"/>
          <w:sz w:val="22"/>
          <w:szCs w:val="22"/>
          <w:u w:val="single"/>
        </w:rPr>
      </w:pPr>
      <w:bookmarkStart w:id="22" w:name="_Toc213958326"/>
      <w:r w:rsidRPr="002818D9">
        <w:rPr>
          <w:rFonts w:ascii="Arial" w:hAnsi="Arial" w:cs="Arial"/>
          <w:b/>
          <w:bCs/>
          <w:color w:val="auto"/>
          <w:sz w:val="22"/>
          <w:szCs w:val="22"/>
          <w:u w:val="single"/>
        </w:rPr>
        <w:t>Theme 4</w:t>
      </w:r>
      <w:r w:rsidR="00856388" w:rsidRPr="002818D9">
        <w:rPr>
          <w:rFonts w:ascii="Arial" w:hAnsi="Arial" w:cs="Arial"/>
          <w:b/>
          <w:bCs/>
          <w:color w:val="auto"/>
          <w:sz w:val="22"/>
          <w:szCs w:val="22"/>
          <w:u w:val="single"/>
        </w:rPr>
        <w:t xml:space="preserve">: </w:t>
      </w:r>
      <w:r w:rsidRPr="002818D9">
        <w:rPr>
          <w:rFonts w:ascii="Arial" w:hAnsi="Arial" w:cs="Arial"/>
          <w:b/>
          <w:bCs/>
          <w:color w:val="auto"/>
          <w:sz w:val="22"/>
          <w:szCs w:val="22"/>
          <w:u w:val="single"/>
        </w:rPr>
        <w:t>Timeline of progression and clinical predictors</w:t>
      </w:r>
      <w:bookmarkEnd w:id="22"/>
    </w:p>
    <w:p w14:paraId="664585B3" w14:textId="77777777" w:rsidR="00C64A15" w:rsidRPr="002818D9" w:rsidRDefault="00C64A15" w:rsidP="002818D9">
      <w:pPr>
        <w:spacing w:line="360" w:lineRule="auto"/>
        <w:rPr>
          <w:rFonts w:ascii="Arial" w:hAnsi="Arial" w:cs="Arial"/>
          <w:sz w:val="22"/>
          <w:szCs w:val="22"/>
        </w:rPr>
      </w:pPr>
    </w:p>
    <w:p w14:paraId="592A8692" w14:textId="4BBA4850" w:rsidR="00FC398F" w:rsidRPr="002818D9" w:rsidRDefault="00C64A15" w:rsidP="002818D9">
      <w:pPr>
        <w:spacing w:line="360" w:lineRule="auto"/>
        <w:rPr>
          <w:rFonts w:ascii="Arial" w:hAnsi="Arial" w:cs="Arial"/>
          <w:sz w:val="22"/>
          <w:szCs w:val="22"/>
        </w:rPr>
      </w:pPr>
      <w:r w:rsidRPr="002818D9">
        <w:rPr>
          <w:rFonts w:ascii="Arial" w:hAnsi="Arial" w:cs="Arial"/>
          <w:sz w:val="22"/>
          <w:szCs w:val="22"/>
        </w:rPr>
        <w:t xml:space="preserve">Alderson et al. (2017) found that 17.3% of individuals with substance-induced psychotic disorders developed schizophrenia over 15.5 years, with half transitioning within the first two. Furthermore, </w:t>
      </w:r>
      <w:r w:rsidR="0046514E" w:rsidRPr="002818D9">
        <w:rPr>
          <w:rFonts w:ascii="Arial" w:hAnsi="Arial" w:cs="Arial"/>
          <w:sz w:val="22"/>
          <w:szCs w:val="22"/>
        </w:rPr>
        <w:t>m</w:t>
      </w:r>
      <w:r w:rsidRPr="002818D9">
        <w:rPr>
          <w:rFonts w:ascii="Arial" w:hAnsi="Arial" w:cs="Arial"/>
          <w:sz w:val="22"/>
          <w:szCs w:val="22"/>
        </w:rPr>
        <w:t xml:space="preserve">ale gender, age under 30, and prolonged initial hospitalisation were linked to </w:t>
      </w:r>
      <w:r w:rsidR="008D65DC" w:rsidRPr="002818D9">
        <w:rPr>
          <w:rFonts w:ascii="Arial" w:hAnsi="Arial" w:cs="Arial"/>
          <w:sz w:val="22"/>
          <w:szCs w:val="22"/>
        </w:rPr>
        <w:t xml:space="preserve">a </w:t>
      </w:r>
      <w:r w:rsidRPr="002818D9">
        <w:rPr>
          <w:rFonts w:ascii="Arial" w:hAnsi="Arial" w:cs="Arial"/>
          <w:sz w:val="22"/>
          <w:szCs w:val="22"/>
        </w:rPr>
        <w:t>higher risk of progression</w:t>
      </w:r>
      <w:r w:rsidR="00FF2174" w:rsidRPr="002818D9">
        <w:rPr>
          <w:rFonts w:ascii="Arial" w:hAnsi="Arial" w:cs="Arial"/>
          <w:sz w:val="22"/>
          <w:szCs w:val="22"/>
        </w:rPr>
        <w:t>.</w:t>
      </w:r>
    </w:p>
    <w:p w14:paraId="33599421" w14:textId="0FEE3A03" w:rsidR="00FF2174" w:rsidRPr="002818D9" w:rsidRDefault="00FF2174" w:rsidP="002818D9">
      <w:pPr>
        <w:spacing w:line="360" w:lineRule="auto"/>
        <w:rPr>
          <w:rFonts w:ascii="Arial" w:hAnsi="Arial" w:cs="Arial"/>
          <w:sz w:val="22"/>
          <w:szCs w:val="22"/>
        </w:rPr>
      </w:pPr>
      <w:r w:rsidRPr="002818D9">
        <w:rPr>
          <w:rFonts w:ascii="Arial" w:hAnsi="Arial" w:cs="Arial"/>
          <w:sz w:val="22"/>
          <w:szCs w:val="22"/>
        </w:rPr>
        <w:t>Overall, the findings show converging evidence that substance misuse</w:t>
      </w:r>
      <w:r w:rsidR="00B3380A" w:rsidRPr="002818D9">
        <w:rPr>
          <w:rFonts w:ascii="Arial" w:hAnsi="Arial" w:cs="Arial"/>
          <w:sz w:val="22"/>
          <w:szCs w:val="22"/>
        </w:rPr>
        <w:t xml:space="preserve">, </w:t>
      </w:r>
      <w:r w:rsidRPr="002818D9">
        <w:rPr>
          <w:rFonts w:ascii="Arial" w:hAnsi="Arial" w:cs="Arial"/>
          <w:sz w:val="22"/>
          <w:szCs w:val="22"/>
        </w:rPr>
        <w:t>especially heavy use of high-potency cannabis</w:t>
      </w:r>
      <w:r w:rsidR="00B3380A" w:rsidRPr="002818D9">
        <w:rPr>
          <w:rFonts w:ascii="Arial" w:hAnsi="Arial" w:cs="Arial"/>
          <w:sz w:val="22"/>
          <w:szCs w:val="22"/>
        </w:rPr>
        <w:t xml:space="preserve">, </w:t>
      </w:r>
      <w:r w:rsidRPr="002818D9">
        <w:rPr>
          <w:rFonts w:ascii="Arial" w:hAnsi="Arial" w:cs="Arial"/>
          <w:sz w:val="22"/>
          <w:szCs w:val="22"/>
        </w:rPr>
        <w:t>raises schizophrenia risk via biological vulnerability and environmental factors.</w:t>
      </w:r>
    </w:p>
    <w:p w14:paraId="758431E1" w14:textId="04ABEC7C" w:rsidR="00043869" w:rsidRPr="002818D9" w:rsidRDefault="008F1A3E" w:rsidP="002818D9">
      <w:pPr>
        <w:pStyle w:val="Heading1"/>
        <w:spacing w:line="360" w:lineRule="auto"/>
        <w:rPr>
          <w:rFonts w:ascii="Arial" w:hAnsi="Arial" w:cs="Arial"/>
          <w:b/>
          <w:bCs/>
          <w:color w:val="auto"/>
          <w:sz w:val="22"/>
          <w:szCs w:val="22"/>
          <w:u w:val="single"/>
        </w:rPr>
      </w:pPr>
      <w:bookmarkStart w:id="23" w:name="_Toc213958327"/>
      <w:r w:rsidRPr="002818D9">
        <w:rPr>
          <w:rFonts w:ascii="Arial" w:hAnsi="Arial" w:cs="Arial"/>
          <w:b/>
          <w:bCs/>
          <w:color w:val="auto"/>
          <w:sz w:val="22"/>
          <w:szCs w:val="22"/>
          <w:u w:val="single"/>
        </w:rPr>
        <w:lastRenderedPageBreak/>
        <w:t>Discussion</w:t>
      </w:r>
      <w:bookmarkEnd w:id="23"/>
    </w:p>
    <w:p w14:paraId="20600117" w14:textId="77777777" w:rsidR="006C7B2B" w:rsidRPr="002818D9" w:rsidRDefault="006C7B2B" w:rsidP="002818D9">
      <w:pPr>
        <w:spacing w:line="360" w:lineRule="auto"/>
        <w:rPr>
          <w:rFonts w:ascii="Arial" w:hAnsi="Arial" w:cs="Arial"/>
          <w:sz w:val="22"/>
          <w:szCs w:val="22"/>
        </w:rPr>
      </w:pPr>
    </w:p>
    <w:p w14:paraId="48654632" w14:textId="54DF94E5" w:rsidR="00BC6A8D" w:rsidRPr="002818D9" w:rsidRDefault="006C7B2B" w:rsidP="002818D9">
      <w:pPr>
        <w:spacing w:line="360" w:lineRule="auto"/>
        <w:rPr>
          <w:rFonts w:ascii="Arial" w:hAnsi="Arial" w:cs="Arial"/>
          <w:sz w:val="22"/>
          <w:szCs w:val="22"/>
        </w:rPr>
      </w:pPr>
      <w:r w:rsidRPr="002818D9">
        <w:rPr>
          <w:rFonts w:ascii="Arial" w:hAnsi="Arial" w:cs="Arial"/>
          <w:sz w:val="22"/>
          <w:szCs w:val="22"/>
        </w:rPr>
        <w:t>This scoping review examined UK evidence on substance misuse and schizophrenia in adults, revealing complex environmental and biological mechanisms. Cannabis, especially high-potency forms, showed the strongest psychosis association, contributing to risk alongside genetic and environmental vulnerabilities.</w:t>
      </w:r>
    </w:p>
    <w:p w14:paraId="628151C5" w14:textId="6D889866" w:rsidR="008F1A3E" w:rsidRPr="002818D9" w:rsidRDefault="008F1A3E" w:rsidP="002818D9">
      <w:pPr>
        <w:spacing w:line="360" w:lineRule="auto"/>
        <w:rPr>
          <w:rFonts w:ascii="Arial" w:hAnsi="Arial" w:cs="Arial"/>
          <w:sz w:val="22"/>
          <w:szCs w:val="22"/>
        </w:rPr>
      </w:pPr>
    </w:p>
    <w:p w14:paraId="162AEEA7" w14:textId="0442CD45" w:rsidR="008F1A3E" w:rsidRPr="002818D9" w:rsidRDefault="008F1A3E" w:rsidP="002818D9">
      <w:pPr>
        <w:pStyle w:val="Heading2"/>
        <w:spacing w:line="360" w:lineRule="auto"/>
        <w:rPr>
          <w:rFonts w:ascii="Arial" w:hAnsi="Arial" w:cs="Arial"/>
          <w:b/>
          <w:bCs/>
          <w:color w:val="auto"/>
          <w:sz w:val="22"/>
          <w:szCs w:val="22"/>
          <w:u w:val="single"/>
        </w:rPr>
      </w:pPr>
      <w:bookmarkStart w:id="24" w:name="_Toc213958328"/>
      <w:r w:rsidRPr="002818D9">
        <w:rPr>
          <w:rFonts w:ascii="Arial" w:hAnsi="Arial" w:cs="Arial"/>
          <w:b/>
          <w:bCs/>
          <w:color w:val="auto"/>
          <w:sz w:val="22"/>
          <w:szCs w:val="22"/>
          <w:u w:val="single"/>
        </w:rPr>
        <w:t xml:space="preserve">Cannabis </w:t>
      </w:r>
      <w:r w:rsidR="00856388" w:rsidRPr="002818D9">
        <w:rPr>
          <w:rFonts w:ascii="Arial" w:hAnsi="Arial" w:cs="Arial"/>
          <w:b/>
          <w:bCs/>
          <w:color w:val="auto"/>
          <w:sz w:val="22"/>
          <w:szCs w:val="22"/>
          <w:u w:val="single"/>
        </w:rPr>
        <w:t>as</w:t>
      </w:r>
      <w:r w:rsidRPr="002818D9">
        <w:rPr>
          <w:rFonts w:ascii="Arial" w:hAnsi="Arial" w:cs="Arial"/>
          <w:b/>
          <w:bCs/>
          <w:color w:val="auto"/>
          <w:sz w:val="22"/>
          <w:szCs w:val="22"/>
          <w:u w:val="single"/>
        </w:rPr>
        <w:t xml:space="preserve"> the predominant substance</w:t>
      </w:r>
      <w:bookmarkEnd w:id="24"/>
    </w:p>
    <w:p w14:paraId="2F844ED4" w14:textId="77777777" w:rsidR="00BC6A8D" w:rsidRPr="002818D9" w:rsidRDefault="00BC6A8D" w:rsidP="002818D9">
      <w:pPr>
        <w:spacing w:line="360" w:lineRule="auto"/>
        <w:rPr>
          <w:rFonts w:ascii="Arial" w:hAnsi="Arial" w:cs="Arial"/>
          <w:sz w:val="22"/>
          <w:szCs w:val="22"/>
        </w:rPr>
      </w:pPr>
    </w:p>
    <w:p w14:paraId="56BEB56D" w14:textId="4A389AB1" w:rsidR="00043869" w:rsidRPr="002818D9" w:rsidRDefault="00043869" w:rsidP="002818D9">
      <w:pPr>
        <w:spacing w:line="360" w:lineRule="auto"/>
        <w:rPr>
          <w:rFonts w:ascii="Arial" w:hAnsi="Arial" w:cs="Arial"/>
          <w:sz w:val="22"/>
          <w:szCs w:val="22"/>
        </w:rPr>
      </w:pPr>
      <w:r w:rsidRPr="002818D9">
        <w:rPr>
          <w:rFonts w:ascii="Arial" w:hAnsi="Arial" w:cs="Arial"/>
          <w:sz w:val="22"/>
          <w:szCs w:val="22"/>
        </w:rPr>
        <w:t xml:space="preserve">Every study in the review identified cannabis as the primary drug linked to psychotic disorders. Research by Barnes et al. (2018) found that cannabis users experienced their first psychotic episode five years younger than those who </w:t>
      </w:r>
      <w:r w:rsidR="00365542" w:rsidRPr="002818D9">
        <w:rPr>
          <w:rFonts w:ascii="Arial" w:hAnsi="Arial" w:cs="Arial"/>
          <w:sz w:val="22"/>
          <w:szCs w:val="22"/>
        </w:rPr>
        <w:t>did not</w:t>
      </w:r>
      <w:r w:rsidRPr="002818D9">
        <w:rPr>
          <w:rFonts w:ascii="Arial" w:hAnsi="Arial" w:cs="Arial"/>
          <w:sz w:val="22"/>
          <w:szCs w:val="22"/>
        </w:rPr>
        <w:t xml:space="preserve"> use the drug. At a national level, cannabis continues to be the most used illegal drug among people aged 16</w:t>
      </w:r>
      <w:r w:rsidR="00856388" w:rsidRPr="002818D9">
        <w:rPr>
          <w:rFonts w:ascii="Arial" w:hAnsi="Arial" w:cs="Arial"/>
          <w:sz w:val="22"/>
          <w:szCs w:val="22"/>
        </w:rPr>
        <w:t xml:space="preserve"> -</w:t>
      </w:r>
      <w:r w:rsidRPr="002818D9">
        <w:rPr>
          <w:rFonts w:ascii="Arial" w:hAnsi="Arial" w:cs="Arial"/>
          <w:sz w:val="22"/>
          <w:szCs w:val="22"/>
        </w:rPr>
        <w:t>24</w:t>
      </w:r>
      <w:r w:rsidR="00856388" w:rsidRPr="002818D9">
        <w:rPr>
          <w:rFonts w:ascii="Arial" w:hAnsi="Arial" w:cs="Arial"/>
          <w:sz w:val="22"/>
          <w:szCs w:val="22"/>
        </w:rPr>
        <w:t xml:space="preserve">, </w:t>
      </w:r>
      <w:r w:rsidRPr="002818D9">
        <w:rPr>
          <w:rFonts w:ascii="Arial" w:hAnsi="Arial" w:cs="Arial"/>
          <w:sz w:val="22"/>
          <w:szCs w:val="22"/>
        </w:rPr>
        <w:t>a critical age range when schizophrenia typically first appears (ONS, 2024; Leeson et al., 2011).</w:t>
      </w:r>
    </w:p>
    <w:p w14:paraId="6D430C88" w14:textId="2340315D" w:rsidR="00043869" w:rsidRPr="002818D9" w:rsidRDefault="00043869" w:rsidP="002818D9">
      <w:pPr>
        <w:spacing w:line="360" w:lineRule="auto"/>
        <w:rPr>
          <w:rFonts w:ascii="Arial" w:hAnsi="Arial" w:cs="Arial"/>
          <w:sz w:val="22"/>
          <w:szCs w:val="22"/>
        </w:rPr>
      </w:pPr>
      <w:r w:rsidRPr="002818D9">
        <w:rPr>
          <w:rFonts w:ascii="Arial" w:hAnsi="Arial" w:cs="Arial"/>
          <w:sz w:val="22"/>
          <w:szCs w:val="22"/>
        </w:rPr>
        <w:t xml:space="preserve">According to Austin-Zimmerman et al. (2024), individuals using high-strength cannabis daily faced a fivefold increased risk of developing psychosis (OR = 5.09), even when accounting for genetic predisposition, indicating a significant environmental influence. These findings are particularly relevant considering that potent "skunk" varieties with high THC and low CBD content dominate Britain's cannabis market (Di Forti et al., 2019). Together, these studies indicate that both the strength of cannabis and how often </w:t>
      </w:r>
      <w:r w:rsidR="00365542" w:rsidRPr="002818D9">
        <w:rPr>
          <w:rFonts w:ascii="Arial" w:hAnsi="Arial" w:cs="Arial"/>
          <w:sz w:val="22"/>
          <w:szCs w:val="22"/>
        </w:rPr>
        <w:t>it is</w:t>
      </w:r>
      <w:r w:rsidRPr="002818D9">
        <w:rPr>
          <w:rFonts w:ascii="Arial" w:hAnsi="Arial" w:cs="Arial"/>
          <w:sz w:val="22"/>
          <w:szCs w:val="22"/>
        </w:rPr>
        <w:t xml:space="preserve"> consumed play major roles in determining the level of schizophrenia risk.</w:t>
      </w:r>
    </w:p>
    <w:p w14:paraId="71A7A64B" w14:textId="015A4E1E" w:rsidR="008F1A3E" w:rsidRPr="002818D9" w:rsidRDefault="008F1A3E" w:rsidP="002818D9">
      <w:pPr>
        <w:spacing w:line="360" w:lineRule="auto"/>
        <w:rPr>
          <w:rFonts w:ascii="Arial" w:hAnsi="Arial" w:cs="Arial"/>
          <w:sz w:val="22"/>
          <w:szCs w:val="22"/>
        </w:rPr>
      </w:pPr>
    </w:p>
    <w:p w14:paraId="47A37F3C" w14:textId="03EDC083" w:rsidR="008F1A3E" w:rsidRPr="002818D9" w:rsidRDefault="008F1A3E" w:rsidP="002818D9">
      <w:pPr>
        <w:spacing w:line="360" w:lineRule="auto"/>
        <w:rPr>
          <w:rFonts w:ascii="Arial" w:hAnsi="Arial" w:cs="Arial"/>
          <w:b/>
          <w:bCs/>
          <w:sz w:val="22"/>
          <w:szCs w:val="22"/>
          <w:u w:val="single"/>
        </w:rPr>
      </w:pPr>
      <w:r w:rsidRPr="002818D9">
        <w:rPr>
          <w:rFonts w:ascii="Arial" w:hAnsi="Arial" w:cs="Arial"/>
          <w:b/>
          <w:bCs/>
          <w:sz w:val="22"/>
          <w:szCs w:val="22"/>
          <w:u w:val="single"/>
        </w:rPr>
        <w:t>Causal evidence from Mendelian randomisation</w:t>
      </w:r>
    </w:p>
    <w:p w14:paraId="72533F47" w14:textId="77777777" w:rsidR="00BC6A8D" w:rsidRPr="002818D9" w:rsidRDefault="00BC6A8D" w:rsidP="002818D9">
      <w:pPr>
        <w:spacing w:line="360" w:lineRule="auto"/>
        <w:rPr>
          <w:rFonts w:ascii="Arial" w:hAnsi="Arial" w:cs="Arial"/>
          <w:sz w:val="22"/>
          <w:szCs w:val="22"/>
        </w:rPr>
      </w:pPr>
    </w:p>
    <w:p w14:paraId="19D3D62B" w14:textId="2AC8BEFA" w:rsidR="00043869" w:rsidRPr="002818D9" w:rsidRDefault="00043869" w:rsidP="002818D9">
      <w:pPr>
        <w:spacing w:line="360" w:lineRule="auto"/>
        <w:rPr>
          <w:rFonts w:ascii="Arial" w:hAnsi="Arial" w:cs="Arial"/>
          <w:sz w:val="22"/>
          <w:szCs w:val="22"/>
        </w:rPr>
      </w:pPr>
      <w:r w:rsidRPr="002818D9">
        <w:rPr>
          <w:rFonts w:ascii="Arial" w:hAnsi="Arial" w:cs="Arial"/>
          <w:sz w:val="22"/>
          <w:szCs w:val="22"/>
        </w:rPr>
        <w:t xml:space="preserve">Conventional observational studies have limitations in distinguishing true causation from confounding factors or situations where the outcome influences the exposure. Mendelian randomisation (MR) employs genetic markers as </w:t>
      </w:r>
      <w:r w:rsidR="00E708E2" w:rsidRPr="002818D9">
        <w:rPr>
          <w:rFonts w:ascii="Arial" w:hAnsi="Arial" w:cs="Arial"/>
          <w:sz w:val="22"/>
          <w:szCs w:val="22"/>
        </w:rPr>
        <w:t xml:space="preserve">factors </w:t>
      </w:r>
      <w:r w:rsidRPr="002818D9">
        <w:rPr>
          <w:rFonts w:ascii="Arial" w:hAnsi="Arial" w:cs="Arial"/>
          <w:sz w:val="22"/>
          <w:szCs w:val="22"/>
        </w:rPr>
        <w:t>to better establish causal relationships, thereby strengthening the quality of evidence. Studies by Gage et al. (2017) and Vaucher et al. (2017) identified statistically meaningful causal links between starting cannabis use and increased schizophrenia risk (OR = 1.04 and 1.37</w:t>
      </w:r>
      <w:r w:rsidR="00E708E2" w:rsidRPr="002818D9">
        <w:rPr>
          <w:rFonts w:ascii="Arial" w:hAnsi="Arial" w:cs="Arial"/>
          <w:sz w:val="22"/>
          <w:szCs w:val="22"/>
        </w:rPr>
        <w:t>,</w:t>
      </w:r>
      <w:r w:rsidRPr="002818D9">
        <w:rPr>
          <w:rFonts w:ascii="Arial" w:hAnsi="Arial" w:cs="Arial"/>
          <w:sz w:val="22"/>
          <w:szCs w:val="22"/>
        </w:rPr>
        <w:t xml:space="preserve"> respectively). While </w:t>
      </w:r>
      <w:r w:rsidRPr="002818D9">
        <w:rPr>
          <w:rFonts w:ascii="Arial" w:hAnsi="Arial" w:cs="Arial"/>
          <w:sz w:val="22"/>
          <w:szCs w:val="22"/>
        </w:rPr>
        <w:lastRenderedPageBreak/>
        <w:t>these effect sizes may seem modest, they reflect population-wide increases that were replicated across separate study groups.</w:t>
      </w:r>
    </w:p>
    <w:p w14:paraId="6ECBFF58" w14:textId="6BF35DE0" w:rsidR="00043869" w:rsidRPr="002818D9" w:rsidRDefault="00043869" w:rsidP="002818D9">
      <w:pPr>
        <w:spacing w:line="360" w:lineRule="auto"/>
        <w:rPr>
          <w:rFonts w:ascii="Arial" w:hAnsi="Arial" w:cs="Arial"/>
          <w:sz w:val="22"/>
          <w:szCs w:val="22"/>
        </w:rPr>
      </w:pPr>
      <w:r w:rsidRPr="002818D9">
        <w:rPr>
          <w:rFonts w:ascii="Arial" w:hAnsi="Arial" w:cs="Arial"/>
          <w:sz w:val="22"/>
          <w:szCs w:val="22"/>
        </w:rPr>
        <w:t xml:space="preserve">However, both MR investigations focused on whether people started using cannabis rather than measuring usage patterns or intensity. This methodological constraint may underestimate the actual effect, since heavy or long-term consumption of potent cannabis is associated with </w:t>
      </w:r>
      <w:r w:rsidR="00B54BBC" w:rsidRPr="002818D9">
        <w:rPr>
          <w:rFonts w:ascii="Arial" w:hAnsi="Arial" w:cs="Arial"/>
          <w:sz w:val="22"/>
          <w:szCs w:val="22"/>
        </w:rPr>
        <w:t xml:space="preserve">a </w:t>
      </w:r>
      <w:r w:rsidRPr="002818D9">
        <w:rPr>
          <w:rFonts w:ascii="Arial" w:hAnsi="Arial" w:cs="Arial"/>
          <w:sz w:val="22"/>
          <w:szCs w:val="22"/>
        </w:rPr>
        <w:t>higher risk (Austin-Zimmerman et al., 2024). Consequently, MR findings represent a cautious minimum estimate of the causal relationship. When considered together with case-control study results, a clear pattern emerges showing that greater exposure leads to greater risk, providing support for cannabis playing a causal role in psychosis onset.</w:t>
      </w:r>
    </w:p>
    <w:p w14:paraId="3B82BBCC" w14:textId="7EDC3B35" w:rsidR="008F1A3E" w:rsidRPr="002818D9" w:rsidRDefault="008F1A3E" w:rsidP="002818D9">
      <w:pPr>
        <w:spacing w:line="360" w:lineRule="auto"/>
        <w:rPr>
          <w:rFonts w:ascii="Arial" w:hAnsi="Arial" w:cs="Arial"/>
          <w:sz w:val="22"/>
          <w:szCs w:val="22"/>
        </w:rPr>
      </w:pPr>
    </w:p>
    <w:p w14:paraId="216B4B71" w14:textId="77777777" w:rsidR="008F1A3E" w:rsidRPr="002818D9" w:rsidRDefault="008F1A3E" w:rsidP="002818D9">
      <w:pPr>
        <w:pStyle w:val="Heading2"/>
        <w:spacing w:line="360" w:lineRule="auto"/>
        <w:rPr>
          <w:rFonts w:ascii="Arial" w:hAnsi="Arial" w:cs="Arial"/>
          <w:b/>
          <w:bCs/>
          <w:color w:val="auto"/>
          <w:sz w:val="22"/>
          <w:szCs w:val="22"/>
          <w:u w:val="single"/>
        </w:rPr>
      </w:pPr>
      <w:bookmarkStart w:id="25" w:name="_Toc213958329"/>
      <w:r w:rsidRPr="002818D9">
        <w:rPr>
          <w:rFonts w:ascii="Arial" w:hAnsi="Arial" w:cs="Arial"/>
          <w:b/>
          <w:bCs/>
          <w:color w:val="auto"/>
          <w:sz w:val="22"/>
          <w:szCs w:val="22"/>
          <w:u w:val="single"/>
        </w:rPr>
        <w:t>Bidirectional relationships and shared genetic liability</w:t>
      </w:r>
      <w:bookmarkEnd w:id="25"/>
    </w:p>
    <w:p w14:paraId="1E2273FF" w14:textId="77777777" w:rsidR="00BC6A8D" w:rsidRPr="002818D9" w:rsidRDefault="00BC6A8D" w:rsidP="002818D9">
      <w:pPr>
        <w:spacing w:line="360" w:lineRule="auto"/>
        <w:rPr>
          <w:rFonts w:ascii="Arial" w:hAnsi="Arial" w:cs="Arial"/>
          <w:sz w:val="22"/>
          <w:szCs w:val="22"/>
        </w:rPr>
      </w:pPr>
    </w:p>
    <w:p w14:paraId="154208D9" w14:textId="1D31E4C7" w:rsidR="00043869" w:rsidRPr="002818D9" w:rsidRDefault="00043869" w:rsidP="002818D9">
      <w:pPr>
        <w:spacing w:line="360" w:lineRule="auto"/>
        <w:rPr>
          <w:rFonts w:ascii="Arial" w:hAnsi="Arial" w:cs="Arial"/>
          <w:sz w:val="22"/>
          <w:szCs w:val="22"/>
        </w:rPr>
      </w:pPr>
      <w:r w:rsidRPr="002818D9">
        <w:rPr>
          <w:rFonts w:ascii="Arial" w:hAnsi="Arial" w:cs="Arial"/>
          <w:sz w:val="22"/>
          <w:szCs w:val="22"/>
        </w:rPr>
        <w:t>Research by Johnson et al. (2024) revealed mutual genetic links between schizophrenia, cannabis use disorder, and tobacco addiction. The genetic overlap between cannabis use disorder and schizophrenia (rg = 0.37) was more substantial than that between smoking and schizophrenia (r</w:t>
      </w:r>
      <w:r w:rsidR="00E708E2" w:rsidRPr="002818D9">
        <w:rPr>
          <w:rFonts w:ascii="Arial" w:hAnsi="Arial" w:cs="Arial"/>
          <w:sz w:val="22"/>
          <w:szCs w:val="22"/>
        </w:rPr>
        <w:t>g</w:t>
      </w:r>
      <w:r w:rsidRPr="002818D9">
        <w:rPr>
          <w:rFonts w:ascii="Arial" w:hAnsi="Arial" w:cs="Arial"/>
          <w:sz w:val="22"/>
          <w:szCs w:val="22"/>
        </w:rPr>
        <w:t xml:space="preserve"> = 0.17), suggesting some shared biological mechanisms. Likewise, Gage et al. (2017) found that individuals genetically predisposed to schizophrenia had a higher likelihood of beginning cannabis use (OR = 1.10).</w:t>
      </w:r>
    </w:p>
    <w:p w14:paraId="215A2DDF" w14:textId="1332A006" w:rsidR="00043869" w:rsidRPr="002818D9" w:rsidRDefault="00043869" w:rsidP="002818D9">
      <w:pPr>
        <w:spacing w:line="360" w:lineRule="auto"/>
        <w:rPr>
          <w:rFonts w:ascii="Arial" w:hAnsi="Arial" w:cs="Arial"/>
          <w:sz w:val="22"/>
          <w:szCs w:val="22"/>
        </w:rPr>
      </w:pPr>
      <w:r w:rsidRPr="002818D9">
        <w:rPr>
          <w:rFonts w:ascii="Arial" w:hAnsi="Arial" w:cs="Arial"/>
          <w:sz w:val="22"/>
          <w:szCs w:val="22"/>
        </w:rPr>
        <w:t xml:space="preserve">This two-way relationship suggests that some of the connection between cannabis and schizophrenia stems from common genetic </w:t>
      </w:r>
      <w:r w:rsidR="00466D8A" w:rsidRPr="002818D9">
        <w:rPr>
          <w:rFonts w:ascii="Arial" w:hAnsi="Arial" w:cs="Arial"/>
          <w:sz w:val="22"/>
          <w:szCs w:val="22"/>
        </w:rPr>
        <w:t>factors, genes</w:t>
      </w:r>
      <w:r w:rsidRPr="002818D9">
        <w:rPr>
          <w:rFonts w:ascii="Arial" w:hAnsi="Arial" w:cs="Arial"/>
          <w:sz w:val="22"/>
          <w:szCs w:val="22"/>
        </w:rPr>
        <w:t xml:space="preserve"> related to dopamine function or impulse control</w:t>
      </w:r>
      <w:r w:rsidR="00E708E2" w:rsidRPr="002818D9">
        <w:rPr>
          <w:rFonts w:ascii="Arial" w:hAnsi="Arial" w:cs="Arial"/>
          <w:sz w:val="22"/>
          <w:szCs w:val="22"/>
        </w:rPr>
        <w:t xml:space="preserve">, </w:t>
      </w:r>
      <w:r w:rsidRPr="002818D9">
        <w:rPr>
          <w:rFonts w:ascii="Arial" w:hAnsi="Arial" w:cs="Arial"/>
          <w:sz w:val="22"/>
          <w:szCs w:val="22"/>
        </w:rPr>
        <w:t>rather than being purely causative. Nevertheless, the continued presence of substantial environmental influences, such as the fivefold elevated risk associated with potent cannabis use, demonstrates that shared genetics alone cannot account for the entire relationship.</w:t>
      </w:r>
    </w:p>
    <w:p w14:paraId="0BE80061" w14:textId="523F401E" w:rsidR="008F1A3E" w:rsidRPr="002818D9" w:rsidRDefault="008F1A3E" w:rsidP="002818D9">
      <w:pPr>
        <w:spacing w:line="360" w:lineRule="auto"/>
        <w:rPr>
          <w:rFonts w:ascii="Arial" w:hAnsi="Arial" w:cs="Arial"/>
          <w:sz w:val="22"/>
          <w:szCs w:val="22"/>
          <w:u w:val="single"/>
        </w:rPr>
      </w:pPr>
    </w:p>
    <w:p w14:paraId="79FA7C1D" w14:textId="77777777" w:rsidR="00176DA4" w:rsidRPr="002818D9" w:rsidRDefault="00176DA4" w:rsidP="002818D9">
      <w:pPr>
        <w:spacing w:line="360" w:lineRule="auto"/>
        <w:rPr>
          <w:rFonts w:ascii="Arial" w:eastAsiaTheme="majorEastAsia" w:hAnsi="Arial" w:cs="Arial"/>
          <w:b/>
          <w:bCs/>
          <w:sz w:val="22"/>
          <w:szCs w:val="22"/>
          <w:u w:val="single"/>
        </w:rPr>
      </w:pPr>
      <w:r w:rsidRPr="002818D9">
        <w:rPr>
          <w:rFonts w:ascii="Arial" w:hAnsi="Arial" w:cs="Arial"/>
          <w:b/>
          <w:bCs/>
          <w:sz w:val="22"/>
          <w:szCs w:val="22"/>
          <w:u w:val="single"/>
        </w:rPr>
        <w:br w:type="page"/>
      </w:r>
    </w:p>
    <w:p w14:paraId="5E632EB3" w14:textId="12EBC53D" w:rsidR="008F1A3E" w:rsidRPr="002818D9" w:rsidRDefault="008F1A3E" w:rsidP="002818D9">
      <w:pPr>
        <w:pStyle w:val="Heading2"/>
        <w:spacing w:line="360" w:lineRule="auto"/>
        <w:rPr>
          <w:rFonts w:ascii="Arial" w:hAnsi="Arial" w:cs="Arial"/>
          <w:b/>
          <w:bCs/>
          <w:sz w:val="22"/>
          <w:szCs w:val="22"/>
          <w:u w:val="single"/>
        </w:rPr>
      </w:pPr>
      <w:bookmarkStart w:id="26" w:name="_Toc213958330"/>
      <w:r w:rsidRPr="002818D9">
        <w:rPr>
          <w:rFonts w:ascii="Arial" w:hAnsi="Arial" w:cs="Arial"/>
          <w:b/>
          <w:bCs/>
          <w:color w:val="auto"/>
          <w:sz w:val="22"/>
          <w:szCs w:val="22"/>
          <w:u w:val="single"/>
        </w:rPr>
        <w:lastRenderedPageBreak/>
        <w:t>Independent genetic and environmental effects</w:t>
      </w:r>
      <w:bookmarkEnd w:id="26"/>
    </w:p>
    <w:p w14:paraId="7BC6C11F" w14:textId="77777777" w:rsidR="00176DA4" w:rsidRPr="002818D9" w:rsidRDefault="00176DA4" w:rsidP="002818D9">
      <w:pPr>
        <w:spacing w:line="360" w:lineRule="auto"/>
        <w:rPr>
          <w:rFonts w:ascii="Arial" w:hAnsi="Arial" w:cs="Arial"/>
          <w:sz w:val="22"/>
          <w:szCs w:val="22"/>
        </w:rPr>
      </w:pPr>
    </w:p>
    <w:p w14:paraId="32D0196E" w14:textId="0EA8C629" w:rsidR="00043869" w:rsidRPr="002818D9" w:rsidRDefault="00043869" w:rsidP="002818D9">
      <w:pPr>
        <w:spacing w:line="360" w:lineRule="auto"/>
        <w:rPr>
          <w:rFonts w:ascii="Arial" w:hAnsi="Arial" w:cs="Arial"/>
          <w:sz w:val="22"/>
          <w:szCs w:val="22"/>
        </w:rPr>
      </w:pPr>
      <w:r w:rsidRPr="002818D9">
        <w:rPr>
          <w:rFonts w:ascii="Arial" w:hAnsi="Arial" w:cs="Arial"/>
          <w:sz w:val="22"/>
          <w:szCs w:val="22"/>
        </w:rPr>
        <w:t>Results from Austin-Zimmerman et al. (2024) help explain how genetic and environmental factors interact. Both polygenic risk scores for schizophrenia (PRS) and cannabis consumption independently predicted psychosis development, without any meaningful interaction between them. This suggests the effects combine additively: intensive cannabis use elevates risk irrespective of genetic vulnerability.</w:t>
      </w:r>
    </w:p>
    <w:p w14:paraId="746C4D20" w14:textId="2404714E" w:rsidR="00043869" w:rsidRPr="002818D9" w:rsidRDefault="00C40F5E" w:rsidP="002818D9">
      <w:pPr>
        <w:spacing w:line="360" w:lineRule="auto"/>
        <w:rPr>
          <w:rFonts w:ascii="Arial" w:hAnsi="Arial" w:cs="Arial"/>
          <w:sz w:val="22"/>
          <w:szCs w:val="22"/>
        </w:rPr>
      </w:pPr>
      <w:r w:rsidRPr="002818D9">
        <w:rPr>
          <w:rFonts w:ascii="Arial" w:hAnsi="Arial" w:cs="Arial"/>
          <w:sz w:val="22"/>
          <w:szCs w:val="22"/>
        </w:rPr>
        <w:t>However, f</w:t>
      </w:r>
      <w:r w:rsidR="00C80DF6" w:rsidRPr="002818D9">
        <w:rPr>
          <w:rFonts w:ascii="Arial" w:hAnsi="Arial" w:cs="Arial"/>
          <w:sz w:val="22"/>
          <w:szCs w:val="22"/>
        </w:rPr>
        <w:t>rom a biological perspective, THC (tetrahydrocannabinol) activates</w:t>
      </w:r>
      <w:r w:rsidR="008F1E4E" w:rsidRPr="002818D9">
        <w:rPr>
          <w:rFonts w:ascii="Arial" w:hAnsi="Arial" w:cs="Arial"/>
          <w:color w:val="141413"/>
          <w:sz w:val="22"/>
          <w:szCs w:val="22"/>
          <w:shd w:val="clear" w:color="auto" w:fill="F0EEE6"/>
        </w:rPr>
        <w:t xml:space="preserve"> </w:t>
      </w:r>
      <w:r w:rsidR="008F1E4E" w:rsidRPr="002818D9">
        <w:rPr>
          <w:rFonts w:ascii="Arial" w:hAnsi="Arial" w:cs="Arial"/>
          <w:sz w:val="22"/>
          <w:szCs w:val="22"/>
        </w:rPr>
        <w:t>cannabinoid type-1</w:t>
      </w:r>
      <w:r w:rsidR="00C80DF6" w:rsidRPr="002818D9">
        <w:rPr>
          <w:rFonts w:ascii="Arial" w:hAnsi="Arial" w:cs="Arial"/>
          <w:sz w:val="22"/>
          <w:szCs w:val="22"/>
        </w:rPr>
        <w:t xml:space="preserve"> </w:t>
      </w:r>
      <w:r w:rsidR="008F1E4E" w:rsidRPr="002818D9">
        <w:rPr>
          <w:rFonts w:ascii="Arial" w:hAnsi="Arial" w:cs="Arial"/>
          <w:sz w:val="22"/>
          <w:szCs w:val="22"/>
        </w:rPr>
        <w:t>(</w:t>
      </w:r>
      <w:r w:rsidR="00C80DF6" w:rsidRPr="002818D9">
        <w:rPr>
          <w:rFonts w:ascii="Arial" w:hAnsi="Arial" w:cs="Arial"/>
          <w:sz w:val="22"/>
          <w:szCs w:val="22"/>
        </w:rPr>
        <w:t>CB1</w:t>
      </w:r>
      <w:r w:rsidR="008F1E4E" w:rsidRPr="002818D9">
        <w:rPr>
          <w:rFonts w:ascii="Arial" w:hAnsi="Arial" w:cs="Arial"/>
          <w:sz w:val="22"/>
          <w:szCs w:val="22"/>
        </w:rPr>
        <w:t>)</w:t>
      </w:r>
      <w:r w:rsidR="00C80DF6" w:rsidRPr="002818D9">
        <w:rPr>
          <w:rFonts w:ascii="Arial" w:hAnsi="Arial" w:cs="Arial"/>
          <w:sz w:val="22"/>
          <w:szCs w:val="22"/>
        </w:rPr>
        <w:t xml:space="preserve"> receptors in the brain, which help control dopamine and glutamate</w:t>
      </w:r>
      <w:r w:rsidR="00D26765" w:rsidRPr="002818D9">
        <w:rPr>
          <w:rFonts w:ascii="Arial" w:hAnsi="Arial" w:cs="Arial"/>
          <w:sz w:val="22"/>
          <w:szCs w:val="22"/>
        </w:rPr>
        <w:t xml:space="preserve">, </w:t>
      </w:r>
      <w:r w:rsidR="00C80DF6" w:rsidRPr="002818D9">
        <w:rPr>
          <w:rFonts w:ascii="Arial" w:hAnsi="Arial" w:cs="Arial"/>
          <w:sz w:val="22"/>
          <w:szCs w:val="22"/>
        </w:rPr>
        <w:t>two key chemical messengers. While initial THC exposure may temporarily boost communication between brain cells, prolonged use can disrupt normal dopamine functioning in the brain's reward pathways. This disruption is particularly concerning because similar dopamine dysfunction has been linked to schizophrenia-spectrum disorders. The brain chemistry changes caused by chronic THC use closely resemble those seen in psychosis, especially in brain regions responsible for motivation and determining what is important or meaningful (Bhattacharyya et al., 2020).</w:t>
      </w:r>
      <w:r w:rsidR="00D26765" w:rsidRPr="002818D9">
        <w:rPr>
          <w:rFonts w:ascii="Arial" w:hAnsi="Arial" w:cs="Arial"/>
          <w:sz w:val="22"/>
          <w:szCs w:val="22"/>
        </w:rPr>
        <w:t xml:space="preserve"> </w:t>
      </w:r>
      <w:r w:rsidR="00F14792" w:rsidRPr="002818D9">
        <w:rPr>
          <w:rFonts w:ascii="Arial" w:hAnsi="Arial" w:cs="Arial"/>
          <w:sz w:val="22"/>
          <w:szCs w:val="22"/>
        </w:rPr>
        <w:t>Therefore, environmental</w:t>
      </w:r>
      <w:r w:rsidR="00043869" w:rsidRPr="002818D9">
        <w:rPr>
          <w:rFonts w:ascii="Arial" w:hAnsi="Arial" w:cs="Arial"/>
          <w:sz w:val="22"/>
          <w:szCs w:val="22"/>
        </w:rPr>
        <w:t xml:space="preserve"> contact with high-potency cannabis compounds can initiate psychotic symptoms even in people with minimal genetic susceptibility.</w:t>
      </w:r>
      <w:r w:rsidR="002D37AE" w:rsidRPr="002818D9">
        <w:rPr>
          <w:rFonts w:ascii="Arial" w:hAnsi="Arial" w:cs="Arial"/>
          <w:sz w:val="22"/>
          <w:szCs w:val="22"/>
        </w:rPr>
        <w:t xml:space="preserve"> </w:t>
      </w:r>
    </w:p>
    <w:p w14:paraId="6BA2CD41" w14:textId="259FC2B8" w:rsidR="008F1A3E" w:rsidRPr="002818D9" w:rsidRDefault="008F1A3E" w:rsidP="002818D9">
      <w:pPr>
        <w:pStyle w:val="Heading2"/>
        <w:spacing w:line="360" w:lineRule="auto"/>
        <w:rPr>
          <w:rFonts w:ascii="Arial" w:hAnsi="Arial" w:cs="Arial"/>
          <w:b/>
          <w:bCs/>
          <w:color w:val="auto"/>
          <w:sz w:val="22"/>
          <w:szCs w:val="22"/>
          <w:u w:val="single"/>
        </w:rPr>
      </w:pPr>
    </w:p>
    <w:p w14:paraId="5FA92F19" w14:textId="77777777" w:rsidR="008F1A3E" w:rsidRPr="002818D9" w:rsidRDefault="008F1A3E" w:rsidP="002818D9">
      <w:pPr>
        <w:pStyle w:val="Heading2"/>
        <w:spacing w:line="360" w:lineRule="auto"/>
        <w:rPr>
          <w:rFonts w:ascii="Arial" w:hAnsi="Arial" w:cs="Arial"/>
          <w:b/>
          <w:bCs/>
          <w:color w:val="auto"/>
          <w:sz w:val="22"/>
          <w:szCs w:val="22"/>
          <w:u w:val="single"/>
        </w:rPr>
      </w:pPr>
      <w:bookmarkStart w:id="27" w:name="_Toc213958331"/>
      <w:r w:rsidRPr="002818D9">
        <w:rPr>
          <w:rFonts w:ascii="Arial" w:hAnsi="Arial" w:cs="Arial"/>
          <w:b/>
          <w:bCs/>
          <w:color w:val="auto"/>
          <w:sz w:val="22"/>
          <w:szCs w:val="22"/>
          <w:u w:val="single"/>
        </w:rPr>
        <w:t>Temporal progression and clinical risk factors</w:t>
      </w:r>
      <w:bookmarkEnd w:id="27"/>
    </w:p>
    <w:p w14:paraId="4CDB67F9" w14:textId="77777777" w:rsidR="00BC6A8D" w:rsidRPr="002818D9" w:rsidRDefault="00BC6A8D" w:rsidP="002818D9">
      <w:pPr>
        <w:spacing w:line="360" w:lineRule="auto"/>
        <w:rPr>
          <w:rFonts w:ascii="Arial" w:hAnsi="Arial" w:cs="Arial"/>
          <w:sz w:val="22"/>
          <w:szCs w:val="22"/>
        </w:rPr>
      </w:pPr>
    </w:p>
    <w:p w14:paraId="2575BC69" w14:textId="75C2CA64" w:rsidR="00043869" w:rsidRPr="002818D9" w:rsidRDefault="00043869" w:rsidP="002818D9">
      <w:pPr>
        <w:spacing w:line="360" w:lineRule="auto"/>
        <w:rPr>
          <w:rFonts w:ascii="Arial" w:hAnsi="Arial" w:cs="Arial"/>
          <w:sz w:val="22"/>
          <w:szCs w:val="22"/>
        </w:rPr>
      </w:pPr>
      <w:r w:rsidRPr="002818D9">
        <w:rPr>
          <w:rFonts w:ascii="Arial" w:hAnsi="Arial" w:cs="Arial"/>
          <w:sz w:val="22"/>
          <w:szCs w:val="22"/>
        </w:rPr>
        <w:t xml:space="preserve">Alderson et al. (2017) present compelling long-term data from Scotland demonstrating that drug-triggered psychotic episodes are clinically important warning signs for schizophrenia. In a study tracking 3,486 patients over 15.5 years, 17.3% developed schizophrenia, with cannabis-related psychosis showing the greatest conversion rate (21.4%). </w:t>
      </w:r>
      <w:r w:rsidR="00474DD3" w:rsidRPr="002818D9">
        <w:rPr>
          <w:rFonts w:ascii="Arial" w:hAnsi="Arial" w:cs="Arial"/>
          <w:sz w:val="22"/>
          <w:szCs w:val="22"/>
        </w:rPr>
        <w:t>H</w:t>
      </w:r>
      <w:r w:rsidRPr="002818D9">
        <w:rPr>
          <w:rFonts w:ascii="Arial" w:hAnsi="Arial" w:cs="Arial"/>
          <w:sz w:val="22"/>
          <w:szCs w:val="22"/>
        </w:rPr>
        <w:t xml:space="preserve">alf of these transitions happened within two years, although the average time until schizophrenia diagnosis was 13 years. Being male, under 30 years old, and having extended initial </w:t>
      </w:r>
      <w:r w:rsidR="00E708E2" w:rsidRPr="002818D9">
        <w:rPr>
          <w:rFonts w:ascii="Arial" w:hAnsi="Arial" w:cs="Arial"/>
          <w:sz w:val="22"/>
          <w:szCs w:val="22"/>
        </w:rPr>
        <w:t>hospitalisations</w:t>
      </w:r>
      <w:r w:rsidRPr="002818D9">
        <w:rPr>
          <w:rFonts w:ascii="Arial" w:hAnsi="Arial" w:cs="Arial"/>
          <w:sz w:val="22"/>
          <w:szCs w:val="22"/>
        </w:rPr>
        <w:t xml:space="preserve"> increased the chances of progression.</w:t>
      </w:r>
    </w:p>
    <w:p w14:paraId="3D82F898" w14:textId="69F06DB4" w:rsidR="008F1A3E" w:rsidRPr="002818D9" w:rsidRDefault="00043869" w:rsidP="002818D9">
      <w:pPr>
        <w:spacing w:line="360" w:lineRule="auto"/>
        <w:rPr>
          <w:rFonts w:ascii="Arial" w:hAnsi="Arial" w:cs="Arial"/>
          <w:sz w:val="22"/>
          <w:szCs w:val="22"/>
        </w:rPr>
      </w:pPr>
      <w:r w:rsidRPr="002818D9">
        <w:rPr>
          <w:rFonts w:ascii="Arial" w:hAnsi="Arial" w:cs="Arial"/>
          <w:sz w:val="22"/>
          <w:szCs w:val="22"/>
        </w:rPr>
        <w:t>These findings indicate that substance-triggered psychotic episodes are neither temporary nor harmless. Rather, they frequently serve as early indicators of an underlying vulnerability pathway leading to schizophrenia. The pronounced age-related pattern supports developmental brain theories suggesting that drug exposure during late teenage years disrupts normal brain maturation processes, thereby raising lifelong risk.</w:t>
      </w:r>
      <w:r w:rsidR="008F05A4" w:rsidRPr="002818D9">
        <w:rPr>
          <w:rFonts w:ascii="Arial" w:hAnsi="Arial" w:cs="Arial"/>
          <w:sz w:val="22"/>
          <w:szCs w:val="22"/>
        </w:rPr>
        <w:br w:type="page"/>
      </w:r>
    </w:p>
    <w:p w14:paraId="29815728" w14:textId="07024FE6" w:rsidR="008F1A3E" w:rsidRPr="002818D9" w:rsidRDefault="008F1A3E" w:rsidP="002818D9">
      <w:pPr>
        <w:pStyle w:val="Heading2"/>
        <w:spacing w:line="360" w:lineRule="auto"/>
        <w:rPr>
          <w:rFonts w:ascii="Arial" w:hAnsi="Arial" w:cs="Arial"/>
          <w:b/>
          <w:bCs/>
          <w:color w:val="auto"/>
          <w:sz w:val="22"/>
          <w:szCs w:val="22"/>
          <w:u w:val="single"/>
        </w:rPr>
      </w:pPr>
      <w:bookmarkStart w:id="28" w:name="_Toc213958332"/>
      <w:r w:rsidRPr="002818D9">
        <w:rPr>
          <w:rFonts w:ascii="Arial" w:hAnsi="Arial" w:cs="Arial"/>
          <w:b/>
          <w:bCs/>
          <w:color w:val="auto"/>
          <w:sz w:val="22"/>
          <w:szCs w:val="22"/>
          <w:u w:val="single"/>
        </w:rPr>
        <w:lastRenderedPageBreak/>
        <w:t xml:space="preserve">Integration across </w:t>
      </w:r>
      <w:r w:rsidR="00DD26CA" w:rsidRPr="002818D9">
        <w:rPr>
          <w:rFonts w:ascii="Arial" w:hAnsi="Arial" w:cs="Arial"/>
          <w:b/>
          <w:bCs/>
          <w:color w:val="auto"/>
          <w:sz w:val="22"/>
          <w:szCs w:val="22"/>
          <w:u w:val="single"/>
        </w:rPr>
        <w:t>themes</w:t>
      </w:r>
      <w:bookmarkEnd w:id="28"/>
    </w:p>
    <w:p w14:paraId="0AEE921A" w14:textId="77777777" w:rsidR="002378E9" w:rsidRPr="002818D9" w:rsidRDefault="002378E9" w:rsidP="002818D9">
      <w:pPr>
        <w:spacing w:line="360" w:lineRule="auto"/>
        <w:rPr>
          <w:rFonts w:ascii="Arial" w:hAnsi="Arial" w:cs="Arial"/>
          <w:sz w:val="22"/>
          <w:szCs w:val="22"/>
        </w:rPr>
      </w:pPr>
    </w:p>
    <w:p w14:paraId="0D073C38" w14:textId="365BE358" w:rsidR="002378E9" w:rsidRPr="002818D9" w:rsidRDefault="002378E9" w:rsidP="002818D9">
      <w:pPr>
        <w:spacing w:line="360" w:lineRule="auto"/>
        <w:rPr>
          <w:rFonts w:ascii="Arial" w:hAnsi="Arial" w:cs="Arial"/>
          <w:sz w:val="22"/>
          <w:szCs w:val="22"/>
        </w:rPr>
      </w:pPr>
      <w:r w:rsidRPr="002818D9">
        <w:rPr>
          <w:rFonts w:ascii="Arial" w:hAnsi="Arial" w:cs="Arial"/>
          <w:sz w:val="22"/>
          <w:szCs w:val="22"/>
        </w:rPr>
        <w:t xml:space="preserve">Collectively, the four themes show that substance misuse interacts with underlying vulnerabilities. High-potency cannabis acts as an environmental catalyst, functioning independently or alongside genetic predisposition. Mendelian randomisation and </w:t>
      </w:r>
      <w:r w:rsidR="002B1B15" w:rsidRPr="002818D9">
        <w:rPr>
          <w:rFonts w:ascii="Arial" w:hAnsi="Arial" w:cs="Arial"/>
          <w:sz w:val="22"/>
          <w:szCs w:val="22"/>
        </w:rPr>
        <w:t>genome-wide association studies</w:t>
      </w:r>
      <w:r w:rsidRPr="002818D9">
        <w:rPr>
          <w:rFonts w:ascii="Arial" w:hAnsi="Arial" w:cs="Arial"/>
          <w:sz w:val="22"/>
          <w:szCs w:val="22"/>
        </w:rPr>
        <w:t xml:space="preserve"> reveal overlapping genetics and bidirectional influences rather than simple causation. Longitudinal studies show substance-related psychosis can precede schizophrenia. Despite varying risk estimates (OR = 1.04 - 5.09), converging genetic, population, and clinical evidence confirms </w:t>
      </w:r>
      <w:r w:rsidR="00DD26CA" w:rsidRPr="002818D9">
        <w:rPr>
          <w:rFonts w:ascii="Arial" w:hAnsi="Arial" w:cs="Arial"/>
          <w:sz w:val="22"/>
          <w:szCs w:val="22"/>
        </w:rPr>
        <w:t xml:space="preserve">that </w:t>
      </w:r>
      <w:r w:rsidRPr="002818D9">
        <w:rPr>
          <w:rFonts w:ascii="Arial" w:hAnsi="Arial" w:cs="Arial"/>
          <w:sz w:val="22"/>
          <w:szCs w:val="22"/>
        </w:rPr>
        <w:t>substance misuse contributes to, but does not deterministically cause, schizophrenia</w:t>
      </w:r>
      <w:r w:rsidR="00DD26CA" w:rsidRPr="002818D9">
        <w:rPr>
          <w:rFonts w:ascii="Arial" w:hAnsi="Arial" w:cs="Arial"/>
          <w:sz w:val="22"/>
          <w:szCs w:val="22"/>
        </w:rPr>
        <w:t>.</w:t>
      </w:r>
    </w:p>
    <w:p w14:paraId="61F951CD" w14:textId="5BFEF59D" w:rsidR="008F1A3E" w:rsidRPr="002818D9" w:rsidRDefault="008F1A3E" w:rsidP="002818D9">
      <w:pPr>
        <w:spacing w:line="360" w:lineRule="auto"/>
        <w:rPr>
          <w:rFonts w:ascii="Arial" w:eastAsiaTheme="majorEastAsia" w:hAnsi="Arial" w:cs="Arial"/>
          <w:b/>
          <w:bCs/>
          <w:sz w:val="22"/>
          <w:szCs w:val="22"/>
          <w:u w:val="single"/>
        </w:rPr>
      </w:pPr>
      <w:r w:rsidRPr="002818D9">
        <w:rPr>
          <w:rFonts w:ascii="Arial" w:hAnsi="Arial" w:cs="Arial"/>
          <w:b/>
          <w:bCs/>
          <w:sz w:val="22"/>
          <w:szCs w:val="22"/>
          <w:u w:val="single"/>
        </w:rPr>
        <w:t>Research gaps and limitations</w:t>
      </w:r>
    </w:p>
    <w:p w14:paraId="4BC97023" w14:textId="77777777" w:rsidR="00BC6A8D" w:rsidRPr="002818D9" w:rsidRDefault="00BC6A8D" w:rsidP="002818D9">
      <w:pPr>
        <w:spacing w:line="360" w:lineRule="auto"/>
        <w:rPr>
          <w:rFonts w:ascii="Arial" w:hAnsi="Arial" w:cs="Arial"/>
          <w:sz w:val="22"/>
          <w:szCs w:val="22"/>
        </w:rPr>
      </w:pPr>
    </w:p>
    <w:p w14:paraId="43F7B21F" w14:textId="1E089F06"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 xml:space="preserve">Although findings </w:t>
      </w:r>
      <w:r w:rsidR="00466D8A" w:rsidRPr="002818D9">
        <w:rPr>
          <w:rFonts w:ascii="Arial" w:hAnsi="Arial" w:cs="Arial"/>
          <w:sz w:val="22"/>
          <w:szCs w:val="22"/>
        </w:rPr>
        <w:t>are consistent</w:t>
      </w:r>
      <w:r w:rsidRPr="002818D9">
        <w:rPr>
          <w:rFonts w:ascii="Arial" w:hAnsi="Arial" w:cs="Arial"/>
          <w:sz w:val="22"/>
          <w:szCs w:val="22"/>
        </w:rPr>
        <w:t>, several important knowledge gaps persist:</w:t>
      </w:r>
    </w:p>
    <w:p w14:paraId="1079256F" w14:textId="767958B2" w:rsidR="00C47114" w:rsidRPr="002818D9" w:rsidRDefault="00C47114" w:rsidP="002818D9">
      <w:pPr>
        <w:numPr>
          <w:ilvl w:val="0"/>
          <w:numId w:val="2"/>
        </w:numPr>
        <w:spacing w:line="360" w:lineRule="auto"/>
        <w:rPr>
          <w:rFonts w:ascii="Arial" w:hAnsi="Arial" w:cs="Arial"/>
          <w:sz w:val="22"/>
          <w:szCs w:val="22"/>
        </w:rPr>
      </w:pPr>
      <w:r w:rsidRPr="002818D9">
        <w:rPr>
          <w:rFonts w:ascii="Arial" w:hAnsi="Arial" w:cs="Arial"/>
          <w:b/>
          <w:bCs/>
          <w:sz w:val="22"/>
          <w:szCs w:val="22"/>
        </w:rPr>
        <w:t>Range of substances</w:t>
      </w:r>
      <w:r w:rsidRPr="002818D9">
        <w:rPr>
          <w:rFonts w:ascii="Arial" w:hAnsi="Arial" w:cs="Arial"/>
          <w:sz w:val="22"/>
          <w:szCs w:val="22"/>
        </w:rPr>
        <w:t xml:space="preserve">: </w:t>
      </w:r>
      <w:r w:rsidR="00474DD3" w:rsidRPr="002818D9">
        <w:rPr>
          <w:rFonts w:ascii="Arial" w:hAnsi="Arial" w:cs="Arial"/>
          <w:sz w:val="22"/>
          <w:szCs w:val="22"/>
        </w:rPr>
        <w:t>UK</w:t>
      </w:r>
      <w:r w:rsidRPr="002818D9">
        <w:rPr>
          <w:rFonts w:ascii="Arial" w:hAnsi="Arial" w:cs="Arial"/>
          <w:sz w:val="22"/>
          <w:szCs w:val="22"/>
        </w:rPr>
        <w:t xml:space="preserve"> research examines cannabis; other drugs like stimulants, alcohol, and combined substance use need more thorough examination despite their established link with psychosis (Alderson et al., 2017).</w:t>
      </w:r>
    </w:p>
    <w:p w14:paraId="129DC275" w14:textId="7B5B88F1" w:rsidR="00C47114" w:rsidRPr="002818D9" w:rsidRDefault="00C47114" w:rsidP="002818D9">
      <w:pPr>
        <w:numPr>
          <w:ilvl w:val="0"/>
          <w:numId w:val="2"/>
        </w:numPr>
        <w:spacing w:line="360" w:lineRule="auto"/>
        <w:rPr>
          <w:rFonts w:ascii="Arial" w:hAnsi="Arial" w:cs="Arial"/>
          <w:sz w:val="22"/>
          <w:szCs w:val="22"/>
        </w:rPr>
      </w:pPr>
      <w:r w:rsidRPr="002818D9">
        <w:rPr>
          <w:rFonts w:ascii="Arial" w:hAnsi="Arial" w:cs="Arial"/>
          <w:b/>
          <w:bCs/>
          <w:sz w:val="22"/>
          <w:szCs w:val="22"/>
        </w:rPr>
        <w:t>Exposure gradients</w:t>
      </w:r>
      <w:r w:rsidRPr="002818D9">
        <w:rPr>
          <w:rFonts w:ascii="Arial" w:hAnsi="Arial" w:cs="Arial"/>
          <w:sz w:val="22"/>
          <w:szCs w:val="22"/>
        </w:rPr>
        <w:t>: The absence of uniform measurements for usage frequency, drug strength, and consumption duration hinders understanding of critical threshold levels. Future research should include precise, objective assessments of THC exposure</w:t>
      </w:r>
      <w:r w:rsidR="002B0195" w:rsidRPr="002818D9">
        <w:rPr>
          <w:rFonts w:ascii="Arial" w:hAnsi="Arial" w:cs="Arial"/>
          <w:sz w:val="22"/>
          <w:szCs w:val="22"/>
        </w:rPr>
        <w:t xml:space="preserve"> (ONS, 2024).</w:t>
      </w:r>
    </w:p>
    <w:p w14:paraId="4939BFA5" w14:textId="7A8DD205" w:rsidR="00C47114" w:rsidRPr="002818D9" w:rsidRDefault="00C47114" w:rsidP="002818D9">
      <w:pPr>
        <w:numPr>
          <w:ilvl w:val="0"/>
          <w:numId w:val="2"/>
        </w:numPr>
        <w:spacing w:line="360" w:lineRule="auto"/>
        <w:rPr>
          <w:rFonts w:ascii="Arial" w:hAnsi="Arial" w:cs="Arial"/>
          <w:sz w:val="22"/>
          <w:szCs w:val="22"/>
        </w:rPr>
      </w:pPr>
      <w:r w:rsidRPr="002818D9">
        <w:rPr>
          <w:rFonts w:ascii="Arial" w:hAnsi="Arial" w:cs="Arial"/>
          <w:b/>
          <w:bCs/>
          <w:sz w:val="22"/>
          <w:szCs w:val="22"/>
        </w:rPr>
        <w:t>Timeline accuracy</w:t>
      </w:r>
      <w:bookmarkStart w:id="29" w:name="OLE_LINK4"/>
      <w:r w:rsidRPr="002818D9">
        <w:rPr>
          <w:rFonts w:ascii="Arial" w:hAnsi="Arial" w:cs="Arial"/>
          <w:sz w:val="22"/>
          <w:szCs w:val="22"/>
        </w:rPr>
        <w:t xml:space="preserve">: Most data rely on retrospective reports; </w:t>
      </w:r>
      <w:r w:rsidR="00E708E2" w:rsidRPr="002818D9">
        <w:rPr>
          <w:rFonts w:ascii="Arial" w:hAnsi="Arial" w:cs="Arial"/>
          <w:sz w:val="22"/>
          <w:szCs w:val="22"/>
        </w:rPr>
        <w:t>forward-looking</w:t>
      </w:r>
      <w:r w:rsidRPr="002818D9">
        <w:rPr>
          <w:rFonts w:ascii="Arial" w:hAnsi="Arial" w:cs="Arial"/>
          <w:sz w:val="22"/>
          <w:szCs w:val="22"/>
        </w:rPr>
        <w:t xml:space="preserve"> studies tracking </w:t>
      </w:r>
      <w:r w:rsidR="00E708E2" w:rsidRPr="002818D9">
        <w:rPr>
          <w:rFonts w:ascii="Arial" w:hAnsi="Arial" w:cs="Arial"/>
          <w:sz w:val="22"/>
          <w:szCs w:val="22"/>
        </w:rPr>
        <w:t>at-risk</w:t>
      </w:r>
      <w:r w:rsidRPr="002818D9">
        <w:rPr>
          <w:rFonts w:ascii="Arial" w:hAnsi="Arial" w:cs="Arial"/>
          <w:sz w:val="22"/>
          <w:szCs w:val="22"/>
        </w:rPr>
        <w:t xml:space="preserve"> individuals before symptoms emerge are necessary to establish clearer cause-and-effect sequences</w:t>
      </w:r>
      <w:bookmarkEnd w:id="29"/>
      <w:r w:rsidR="00912640" w:rsidRPr="002818D9">
        <w:rPr>
          <w:rFonts w:ascii="Arial" w:hAnsi="Arial" w:cs="Arial"/>
          <w:sz w:val="22"/>
          <w:szCs w:val="22"/>
        </w:rPr>
        <w:t xml:space="preserve"> (Keerthy et al., 2021).</w:t>
      </w:r>
    </w:p>
    <w:p w14:paraId="4779FF2C" w14:textId="54E44FE3" w:rsidR="00C47114" w:rsidRPr="002818D9" w:rsidRDefault="00C47114" w:rsidP="002818D9">
      <w:pPr>
        <w:numPr>
          <w:ilvl w:val="0"/>
          <w:numId w:val="2"/>
        </w:numPr>
        <w:spacing w:line="360" w:lineRule="auto"/>
        <w:rPr>
          <w:rFonts w:ascii="Arial" w:hAnsi="Arial" w:cs="Arial"/>
          <w:sz w:val="22"/>
          <w:szCs w:val="22"/>
        </w:rPr>
      </w:pPr>
      <w:r w:rsidRPr="002818D9">
        <w:rPr>
          <w:rFonts w:ascii="Arial" w:hAnsi="Arial" w:cs="Arial"/>
          <w:b/>
          <w:bCs/>
          <w:sz w:val="22"/>
          <w:szCs w:val="22"/>
        </w:rPr>
        <w:t>Biological mechanisms</w:t>
      </w:r>
      <w:r w:rsidRPr="002818D9">
        <w:rPr>
          <w:rFonts w:ascii="Arial" w:hAnsi="Arial" w:cs="Arial"/>
          <w:sz w:val="22"/>
          <w:szCs w:val="22"/>
        </w:rPr>
        <w:t>: Brain imaging and biological marker research could reveal the neural changes that underpin cannabis-associated psychosis</w:t>
      </w:r>
      <w:r w:rsidR="000D5503" w:rsidRPr="002818D9">
        <w:rPr>
          <w:rFonts w:ascii="Arial" w:hAnsi="Arial" w:cs="Arial"/>
          <w:sz w:val="22"/>
          <w:szCs w:val="22"/>
        </w:rPr>
        <w:t xml:space="preserve"> (Murray et al., 2017)</w:t>
      </w:r>
      <w:r w:rsidR="00304103" w:rsidRPr="002818D9">
        <w:rPr>
          <w:rFonts w:ascii="Arial" w:hAnsi="Arial" w:cs="Arial"/>
          <w:sz w:val="22"/>
          <w:szCs w:val="22"/>
        </w:rPr>
        <w:t>.</w:t>
      </w:r>
    </w:p>
    <w:p w14:paraId="2E3F19D8" w14:textId="77777777" w:rsidR="00C47114" w:rsidRPr="002818D9" w:rsidRDefault="00C47114" w:rsidP="002818D9">
      <w:pPr>
        <w:numPr>
          <w:ilvl w:val="0"/>
          <w:numId w:val="2"/>
        </w:numPr>
        <w:spacing w:line="360" w:lineRule="auto"/>
        <w:rPr>
          <w:rFonts w:ascii="Arial" w:hAnsi="Arial" w:cs="Arial"/>
          <w:sz w:val="22"/>
          <w:szCs w:val="22"/>
        </w:rPr>
      </w:pPr>
      <w:r w:rsidRPr="002818D9">
        <w:rPr>
          <w:rFonts w:ascii="Arial" w:hAnsi="Arial" w:cs="Arial"/>
          <w:b/>
          <w:bCs/>
          <w:sz w:val="22"/>
          <w:szCs w:val="22"/>
        </w:rPr>
        <w:t>Population differences</w:t>
      </w:r>
      <w:r w:rsidRPr="002818D9">
        <w:rPr>
          <w:rFonts w:ascii="Arial" w:hAnsi="Arial" w:cs="Arial"/>
          <w:sz w:val="22"/>
          <w:szCs w:val="22"/>
        </w:rPr>
        <w:t>: UK studies provide minimal evidence on variations across gender, ethnic background, or social class, despite documented inequalities in schizophrenia rates (Wainberg et al., 2021).</w:t>
      </w:r>
    </w:p>
    <w:p w14:paraId="7FB955BD" w14:textId="2CF83F32" w:rsidR="008F1A3E" w:rsidRPr="002818D9" w:rsidRDefault="00C47114" w:rsidP="002818D9">
      <w:pPr>
        <w:spacing w:line="360" w:lineRule="auto"/>
        <w:rPr>
          <w:rFonts w:ascii="Arial" w:hAnsi="Arial" w:cs="Arial"/>
          <w:sz w:val="22"/>
          <w:szCs w:val="22"/>
        </w:rPr>
      </w:pPr>
      <w:r w:rsidRPr="002818D9">
        <w:rPr>
          <w:rFonts w:ascii="Arial" w:hAnsi="Arial" w:cs="Arial"/>
          <w:sz w:val="22"/>
          <w:szCs w:val="22"/>
        </w:rPr>
        <w:t xml:space="preserve">From a methodological perspective, Mendelian randomisation relies on robust genetic tools; the limited genetic variation explained by cannabis initiation reduces analytical accuracy. </w:t>
      </w:r>
      <w:r w:rsidRPr="002818D9">
        <w:rPr>
          <w:rFonts w:ascii="Arial" w:hAnsi="Arial" w:cs="Arial"/>
          <w:sz w:val="22"/>
          <w:szCs w:val="22"/>
        </w:rPr>
        <w:lastRenderedPageBreak/>
        <w:t>Additionally, the scarcity of UK-specific longitudinal studies limits how widely the findings can be applied.</w:t>
      </w:r>
    </w:p>
    <w:p w14:paraId="041B3D15" w14:textId="685B47CA" w:rsidR="008F1A3E" w:rsidRPr="002818D9" w:rsidRDefault="008F1A3E" w:rsidP="002818D9">
      <w:pPr>
        <w:pStyle w:val="Heading2"/>
        <w:spacing w:line="360" w:lineRule="auto"/>
        <w:rPr>
          <w:rFonts w:ascii="Arial" w:hAnsi="Arial" w:cs="Arial"/>
          <w:b/>
          <w:bCs/>
          <w:color w:val="auto"/>
          <w:sz w:val="22"/>
          <w:szCs w:val="22"/>
          <w:u w:val="single"/>
        </w:rPr>
      </w:pPr>
      <w:bookmarkStart w:id="30" w:name="_Toc213958333"/>
      <w:r w:rsidRPr="002818D9">
        <w:rPr>
          <w:rFonts w:ascii="Arial" w:hAnsi="Arial" w:cs="Arial"/>
          <w:b/>
          <w:bCs/>
          <w:color w:val="auto"/>
          <w:sz w:val="22"/>
          <w:szCs w:val="22"/>
          <w:u w:val="single"/>
        </w:rPr>
        <w:t>Implications for policy and practice</w:t>
      </w:r>
      <w:bookmarkEnd w:id="30"/>
    </w:p>
    <w:p w14:paraId="0AE7FE51" w14:textId="77777777" w:rsidR="00BC6A8D" w:rsidRPr="002818D9" w:rsidRDefault="00BC6A8D" w:rsidP="002818D9">
      <w:pPr>
        <w:spacing w:line="360" w:lineRule="auto"/>
        <w:rPr>
          <w:rFonts w:ascii="Arial" w:hAnsi="Arial" w:cs="Arial"/>
          <w:sz w:val="22"/>
          <w:szCs w:val="22"/>
        </w:rPr>
      </w:pPr>
    </w:p>
    <w:p w14:paraId="4AB2C80A" w14:textId="0CA14008"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 xml:space="preserve">These results have important implications for </w:t>
      </w:r>
      <w:r w:rsidR="002866FE" w:rsidRPr="002818D9">
        <w:rPr>
          <w:rFonts w:ascii="Arial" w:hAnsi="Arial" w:cs="Arial"/>
          <w:sz w:val="22"/>
          <w:szCs w:val="22"/>
        </w:rPr>
        <w:t>UK</w:t>
      </w:r>
      <w:r w:rsidRPr="002818D9">
        <w:rPr>
          <w:rFonts w:ascii="Arial" w:hAnsi="Arial" w:cs="Arial"/>
          <w:sz w:val="22"/>
          <w:szCs w:val="22"/>
        </w:rPr>
        <w:t xml:space="preserve"> mental health and addiction services. Standard screening for substance use should be incorporated into all assessments conducted by Early Intervention in Psychosis (EIP) programmes, given that approximately two-thirds of individuals experiencing their first psychotic episode have used substances (Barnes et al., 2018). Integrated treatment models that simultaneously address psychiatric conditions and substance problems should replace approaches that tackle these issues separately (Harris et al., 2023).</w:t>
      </w:r>
    </w:p>
    <w:p w14:paraId="47B10B36" w14:textId="77777777" w:rsidR="00C47114" w:rsidRPr="002818D9" w:rsidRDefault="00C47114" w:rsidP="002818D9">
      <w:pPr>
        <w:spacing w:line="360" w:lineRule="auto"/>
        <w:rPr>
          <w:rFonts w:ascii="Arial" w:hAnsi="Arial" w:cs="Arial"/>
          <w:sz w:val="22"/>
          <w:szCs w:val="22"/>
        </w:rPr>
      </w:pPr>
      <w:r w:rsidRPr="002818D9">
        <w:rPr>
          <w:rFonts w:ascii="Arial" w:hAnsi="Arial" w:cs="Arial"/>
          <w:sz w:val="22"/>
          <w:szCs w:val="22"/>
        </w:rPr>
        <w:t>Public health initiatives need to clearly convey the psychiatric dangers of potent cannabis, particularly to teenagers and young adults. Communication should stress that beginning use early and consuming heavily substantially raises psychosis risk, even among those without familial psychiatric histories.</w:t>
      </w:r>
    </w:p>
    <w:p w14:paraId="583B18D5" w14:textId="5109D477" w:rsidR="008F1A3E" w:rsidRPr="002818D9" w:rsidRDefault="00C47114" w:rsidP="002818D9">
      <w:pPr>
        <w:spacing w:line="360" w:lineRule="auto"/>
        <w:rPr>
          <w:rFonts w:ascii="Arial" w:hAnsi="Arial" w:cs="Arial"/>
          <w:sz w:val="22"/>
          <w:szCs w:val="22"/>
        </w:rPr>
      </w:pPr>
      <w:r w:rsidRPr="002818D9">
        <w:rPr>
          <w:rFonts w:ascii="Arial" w:hAnsi="Arial" w:cs="Arial"/>
          <w:sz w:val="22"/>
          <w:szCs w:val="22"/>
        </w:rPr>
        <w:t>Policymakers should also weigh this evidence in current discussions around cannabis legislation. The documented link between regular high-THC consumption and increased psychosis risk justifies maintaining robust public health safeguards and investing in focused prevention initiatives. Furthermore, the uneven availability of dual-diagnosis services across different regions</w:t>
      </w:r>
      <w:r w:rsidR="00624538" w:rsidRPr="002818D9">
        <w:rPr>
          <w:rFonts w:ascii="Arial" w:hAnsi="Arial" w:cs="Arial"/>
          <w:sz w:val="22"/>
          <w:szCs w:val="22"/>
        </w:rPr>
        <w:t xml:space="preserve">, </w:t>
      </w:r>
      <w:r w:rsidRPr="002818D9">
        <w:rPr>
          <w:rFonts w:ascii="Arial" w:hAnsi="Arial" w:cs="Arial"/>
          <w:sz w:val="22"/>
          <w:szCs w:val="22"/>
        </w:rPr>
        <w:t>commonly referred to as the "postcode lottery"</w:t>
      </w:r>
      <w:r w:rsidR="00624538" w:rsidRPr="002818D9">
        <w:rPr>
          <w:rFonts w:ascii="Arial" w:hAnsi="Arial" w:cs="Arial"/>
          <w:sz w:val="22"/>
          <w:szCs w:val="22"/>
        </w:rPr>
        <w:t xml:space="preserve">, </w:t>
      </w:r>
      <w:r w:rsidRPr="002818D9">
        <w:rPr>
          <w:rFonts w:ascii="Arial" w:hAnsi="Arial" w:cs="Arial"/>
          <w:sz w:val="22"/>
          <w:szCs w:val="22"/>
        </w:rPr>
        <w:t>needs to be resolved through establishing nationwide service standards.</w:t>
      </w:r>
    </w:p>
    <w:p w14:paraId="0D30F29B" w14:textId="09980226" w:rsidR="00287A41" w:rsidRPr="002818D9" w:rsidRDefault="00C47114" w:rsidP="002818D9">
      <w:pPr>
        <w:spacing w:line="360" w:lineRule="auto"/>
        <w:rPr>
          <w:rFonts w:ascii="Arial" w:hAnsi="Arial" w:cs="Arial"/>
          <w:b/>
          <w:bCs/>
          <w:sz w:val="22"/>
          <w:szCs w:val="22"/>
        </w:rPr>
      </w:pPr>
      <w:r w:rsidRPr="002818D9">
        <w:rPr>
          <w:rFonts w:ascii="Arial" w:hAnsi="Arial" w:cs="Arial"/>
          <w:sz w:val="22"/>
          <w:szCs w:val="22"/>
        </w:rPr>
        <w:t xml:space="preserve">In summary, </w:t>
      </w:r>
      <w:r w:rsidR="00466D8A" w:rsidRPr="002818D9">
        <w:rPr>
          <w:rFonts w:ascii="Arial" w:hAnsi="Arial" w:cs="Arial"/>
          <w:sz w:val="22"/>
          <w:szCs w:val="22"/>
        </w:rPr>
        <w:t>UK research</w:t>
      </w:r>
      <w:r w:rsidRPr="002818D9">
        <w:rPr>
          <w:rFonts w:ascii="Arial" w:hAnsi="Arial" w:cs="Arial"/>
          <w:sz w:val="22"/>
          <w:szCs w:val="22"/>
        </w:rPr>
        <w:t xml:space="preserve"> shows that substance </w:t>
      </w:r>
      <w:r w:rsidR="00624538" w:rsidRPr="002818D9">
        <w:rPr>
          <w:rFonts w:ascii="Arial" w:hAnsi="Arial" w:cs="Arial"/>
          <w:sz w:val="22"/>
          <w:szCs w:val="22"/>
        </w:rPr>
        <w:t>misuse</w:t>
      </w:r>
      <w:r w:rsidRPr="002818D9">
        <w:rPr>
          <w:rFonts w:ascii="Arial" w:hAnsi="Arial" w:cs="Arial"/>
          <w:sz w:val="22"/>
          <w:szCs w:val="22"/>
        </w:rPr>
        <w:t>, especially cannabis, is both associated with and partially responsible for causing schizophrenia</w:t>
      </w:r>
      <w:r w:rsidR="005A0C6C" w:rsidRPr="002818D9">
        <w:rPr>
          <w:rFonts w:ascii="Arial" w:hAnsi="Arial" w:cs="Arial"/>
          <w:sz w:val="22"/>
          <w:szCs w:val="22"/>
        </w:rPr>
        <w:t>.</w:t>
      </w:r>
      <w:r w:rsidR="003702C1" w:rsidRPr="002818D9">
        <w:rPr>
          <w:rFonts w:ascii="Arial" w:hAnsi="Arial" w:cs="Arial"/>
          <w:sz w:val="22"/>
          <w:szCs w:val="22"/>
          <w:lang w:val="en-US"/>
        </w:rPr>
        <w:t xml:space="preserve"> Mendelian </w:t>
      </w:r>
      <w:r w:rsidR="00F447A9" w:rsidRPr="002818D9">
        <w:rPr>
          <w:rFonts w:ascii="Arial" w:hAnsi="Arial" w:cs="Arial"/>
          <w:sz w:val="22"/>
          <w:szCs w:val="22"/>
          <w:lang w:val="en-US"/>
        </w:rPr>
        <w:t>randomisation</w:t>
      </w:r>
      <w:r w:rsidR="003702C1" w:rsidRPr="002818D9">
        <w:rPr>
          <w:rFonts w:ascii="Arial" w:hAnsi="Arial" w:cs="Arial"/>
          <w:sz w:val="22"/>
          <w:szCs w:val="22"/>
          <w:lang w:val="en-US"/>
        </w:rPr>
        <w:t xml:space="preserve"> suggests moderate causal pathways at the population level, while observational and follow-up studies show temporal links (including progression from substance-induced psychosis to later schizophrenia in a subset)</w:t>
      </w:r>
      <w:r w:rsidRPr="002818D9">
        <w:rPr>
          <w:rFonts w:ascii="Arial" w:hAnsi="Arial" w:cs="Arial"/>
          <w:sz w:val="22"/>
          <w:szCs w:val="22"/>
        </w:rPr>
        <w:t>. Drug-triggered psychotic episodes often appear before schizophrenia develops, strengthening the timeline supporting causation.</w:t>
      </w:r>
      <w:r w:rsidR="00287A41" w:rsidRPr="002818D9">
        <w:rPr>
          <w:rFonts w:ascii="Arial" w:hAnsi="Arial" w:cs="Arial"/>
          <w:b/>
          <w:bCs/>
          <w:sz w:val="22"/>
          <w:szCs w:val="22"/>
        </w:rPr>
        <w:t xml:space="preserve"> </w:t>
      </w:r>
    </w:p>
    <w:p w14:paraId="75AEC972" w14:textId="329283A1" w:rsidR="006F67F9" w:rsidRPr="002818D9" w:rsidRDefault="00C47114" w:rsidP="002818D9">
      <w:pPr>
        <w:spacing w:line="360" w:lineRule="auto"/>
        <w:rPr>
          <w:rFonts w:ascii="Arial" w:hAnsi="Arial" w:cs="Arial"/>
          <w:sz w:val="22"/>
          <w:szCs w:val="22"/>
        </w:rPr>
      </w:pPr>
      <w:r w:rsidRPr="002818D9">
        <w:rPr>
          <w:rFonts w:ascii="Arial" w:hAnsi="Arial" w:cs="Arial"/>
          <w:sz w:val="22"/>
          <w:szCs w:val="22"/>
        </w:rPr>
        <w:t>The connection involves multiple factors working in both directions: inherited predisposition and environmental factors operate separately</w:t>
      </w:r>
      <w:r w:rsidR="00624538" w:rsidRPr="002818D9">
        <w:rPr>
          <w:rFonts w:ascii="Arial" w:hAnsi="Arial" w:cs="Arial"/>
          <w:sz w:val="22"/>
          <w:szCs w:val="22"/>
        </w:rPr>
        <w:t>,</w:t>
      </w:r>
      <w:r w:rsidRPr="002818D9">
        <w:rPr>
          <w:rFonts w:ascii="Arial" w:hAnsi="Arial" w:cs="Arial"/>
          <w:sz w:val="22"/>
          <w:szCs w:val="22"/>
        </w:rPr>
        <w:t xml:space="preserve"> but their effects accumulate. Decreasing intensive cannabis consumption</w:t>
      </w:r>
      <w:r w:rsidR="00624538" w:rsidRPr="002818D9">
        <w:rPr>
          <w:rFonts w:ascii="Arial" w:hAnsi="Arial" w:cs="Arial"/>
          <w:sz w:val="22"/>
          <w:szCs w:val="22"/>
        </w:rPr>
        <w:t xml:space="preserve">, </w:t>
      </w:r>
      <w:r w:rsidRPr="002818D9">
        <w:rPr>
          <w:rFonts w:ascii="Arial" w:hAnsi="Arial" w:cs="Arial"/>
          <w:sz w:val="22"/>
          <w:szCs w:val="22"/>
        </w:rPr>
        <w:t>particularly among younger people</w:t>
      </w:r>
      <w:r w:rsidR="00624538" w:rsidRPr="002818D9">
        <w:rPr>
          <w:rFonts w:ascii="Arial" w:hAnsi="Arial" w:cs="Arial"/>
          <w:sz w:val="22"/>
          <w:szCs w:val="22"/>
        </w:rPr>
        <w:t xml:space="preserve">, </w:t>
      </w:r>
      <w:r w:rsidRPr="002818D9">
        <w:rPr>
          <w:rFonts w:ascii="Arial" w:hAnsi="Arial" w:cs="Arial"/>
          <w:sz w:val="22"/>
          <w:szCs w:val="22"/>
        </w:rPr>
        <w:t xml:space="preserve">could reduce new cases of psychotic disorders in </w:t>
      </w:r>
      <w:r w:rsidR="00624538" w:rsidRPr="002818D9">
        <w:rPr>
          <w:rFonts w:ascii="Arial" w:hAnsi="Arial" w:cs="Arial"/>
          <w:sz w:val="22"/>
          <w:szCs w:val="22"/>
        </w:rPr>
        <w:t xml:space="preserve">the UK, </w:t>
      </w:r>
      <w:r w:rsidRPr="002818D9">
        <w:rPr>
          <w:rFonts w:ascii="Arial" w:hAnsi="Arial" w:cs="Arial"/>
          <w:sz w:val="22"/>
          <w:szCs w:val="22"/>
        </w:rPr>
        <w:t>justifying coordinated efforts across prevention programmes, clinical services, and public policy.</w:t>
      </w:r>
    </w:p>
    <w:p w14:paraId="1D5CBA9D" w14:textId="7B2C831C" w:rsidR="00856388" w:rsidRPr="002818D9" w:rsidRDefault="00856388" w:rsidP="002818D9">
      <w:pPr>
        <w:pStyle w:val="Heading1"/>
        <w:spacing w:line="360" w:lineRule="auto"/>
        <w:rPr>
          <w:rFonts w:ascii="Arial" w:hAnsi="Arial" w:cs="Arial"/>
          <w:b/>
          <w:bCs/>
          <w:color w:val="auto"/>
          <w:sz w:val="22"/>
          <w:szCs w:val="22"/>
          <w:u w:val="single"/>
        </w:rPr>
      </w:pPr>
      <w:bookmarkStart w:id="31" w:name="_Toc213958334"/>
      <w:r w:rsidRPr="002818D9">
        <w:rPr>
          <w:rFonts w:ascii="Arial" w:hAnsi="Arial" w:cs="Arial"/>
          <w:b/>
          <w:bCs/>
          <w:color w:val="auto"/>
          <w:sz w:val="22"/>
          <w:szCs w:val="22"/>
          <w:u w:val="single"/>
        </w:rPr>
        <w:lastRenderedPageBreak/>
        <w:t>Recommendations for Future Research</w:t>
      </w:r>
      <w:bookmarkEnd w:id="31"/>
    </w:p>
    <w:p w14:paraId="7DB7D6E8" w14:textId="77777777" w:rsidR="007D146E" w:rsidRPr="002818D9" w:rsidRDefault="007D146E" w:rsidP="002818D9">
      <w:pPr>
        <w:spacing w:line="360" w:lineRule="auto"/>
        <w:rPr>
          <w:rFonts w:ascii="Arial" w:hAnsi="Arial" w:cs="Arial"/>
          <w:sz w:val="22"/>
          <w:szCs w:val="22"/>
        </w:rPr>
      </w:pPr>
    </w:p>
    <w:p w14:paraId="096FD5A8" w14:textId="77777777" w:rsidR="00856388" w:rsidRPr="002818D9" w:rsidRDefault="00856388" w:rsidP="002818D9">
      <w:pPr>
        <w:numPr>
          <w:ilvl w:val="0"/>
          <w:numId w:val="9"/>
        </w:numPr>
        <w:spacing w:line="360" w:lineRule="auto"/>
        <w:rPr>
          <w:rFonts w:ascii="Arial" w:hAnsi="Arial" w:cs="Arial"/>
          <w:sz w:val="22"/>
          <w:szCs w:val="22"/>
        </w:rPr>
      </w:pPr>
      <w:r w:rsidRPr="002818D9">
        <w:rPr>
          <w:rFonts w:ascii="Arial" w:hAnsi="Arial" w:cs="Arial"/>
          <w:b/>
          <w:bCs/>
          <w:sz w:val="22"/>
          <w:szCs w:val="22"/>
        </w:rPr>
        <w:t>Prospective high-risk studies</w:t>
      </w:r>
      <w:r w:rsidRPr="002818D9">
        <w:rPr>
          <w:rFonts w:ascii="Arial" w:hAnsi="Arial" w:cs="Arial"/>
          <w:sz w:val="22"/>
          <w:szCs w:val="22"/>
        </w:rPr>
        <w:t>: Track at-risk individuals over time to establish the sequence of events and direction of causation.</w:t>
      </w:r>
    </w:p>
    <w:p w14:paraId="22643F7C" w14:textId="0534DEF8" w:rsidR="00856388" w:rsidRPr="002818D9" w:rsidRDefault="00856388" w:rsidP="002818D9">
      <w:pPr>
        <w:numPr>
          <w:ilvl w:val="0"/>
          <w:numId w:val="9"/>
        </w:numPr>
        <w:spacing w:line="360" w:lineRule="auto"/>
        <w:rPr>
          <w:rFonts w:ascii="Arial" w:hAnsi="Arial" w:cs="Arial"/>
          <w:sz w:val="22"/>
          <w:szCs w:val="22"/>
        </w:rPr>
      </w:pPr>
      <w:r w:rsidRPr="002818D9">
        <w:rPr>
          <w:rFonts w:ascii="Arial" w:hAnsi="Arial" w:cs="Arial"/>
          <w:b/>
          <w:bCs/>
          <w:sz w:val="22"/>
          <w:szCs w:val="22"/>
        </w:rPr>
        <w:t>Broader substance focus</w:t>
      </w:r>
      <w:r w:rsidRPr="002818D9">
        <w:rPr>
          <w:rFonts w:ascii="Arial" w:hAnsi="Arial" w:cs="Arial"/>
          <w:sz w:val="22"/>
          <w:szCs w:val="22"/>
        </w:rPr>
        <w:t xml:space="preserve">: Examine stimulants, alcohol, and combined drug use, which have received limited attention in </w:t>
      </w:r>
      <w:r w:rsidR="00160369" w:rsidRPr="002818D9">
        <w:rPr>
          <w:rFonts w:ascii="Arial" w:hAnsi="Arial" w:cs="Arial"/>
          <w:sz w:val="22"/>
          <w:szCs w:val="22"/>
        </w:rPr>
        <w:t>UK</w:t>
      </w:r>
      <w:r w:rsidRPr="002818D9">
        <w:rPr>
          <w:rFonts w:ascii="Arial" w:hAnsi="Arial" w:cs="Arial"/>
          <w:sz w:val="22"/>
          <w:szCs w:val="22"/>
        </w:rPr>
        <w:t xml:space="preserve"> research.</w:t>
      </w:r>
    </w:p>
    <w:p w14:paraId="7AE44D63" w14:textId="77777777" w:rsidR="00856388" w:rsidRPr="002818D9" w:rsidRDefault="00856388" w:rsidP="002818D9">
      <w:pPr>
        <w:numPr>
          <w:ilvl w:val="0"/>
          <w:numId w:val="9"/>
        </w:numPr>
        <w:spacing w:line="360" w:lineRule="auto"/>
        <w:rPr>
          <w:rFonts w:ascii="Arial" w:hAnsi="Arial" w:cs="Arial"/>
          <w:sz w:val="22"/>
          <w:szCs w:val="22"/>
        </w:rPr>
      </w:pPr>
      <w:r w:rsidRPr="002818D9">
        <w:rPr>
          <w:rFonts w:ascii="Arial" w:hAnsi="Arial" w:cs="Arial"/>
          <w:b/>
          <w:bCs/>
          <w:sz w:val="22"/>
          <w:szCs w:val="22"/>
        </w:rPr>
        <w:t>Defining exposure thresholds</w:t>
      </w:r>
      <w:r w:rsidRPr="002818D9">
        <w:rPr>
          <w:rFonts w:ascii="Arial" w:hAnsi="Arial" w:cs="Arial"/>
          <w:sz w:val="22"/>
          <w:szCs w:val="22"/>
        </w:rPr>
        <w:t>: Identify specific levels of usage frequency and drug potency linked to heightened psychosis risk.</w:t>
      </w:r>
    </w:p>
    <w:p w14:paraId="2379CAE6" w14:textId="4F9307F3" w:rsidR="00856388" w:rsidRPr="002818D9" w:rsidRDefault="00856388" w:rsidP="002818D9">
      <w:pPr>
        <w:numPr>
          <w:ilvl w:val="0"/>
          <w:numId w:val="9"/>
        </w:numPr>
        <w:spacing w:line="360" w:lineRule="auto"/>
        <w:rPr>
          <w:rFonts w:ascii="Arial" w:hAnsi="Arial" w:cs="Arial"/>
          <w:sz w:val="22"/>
          <w:szCs w:val="22"/>
        </w:rPr>
      </w:pPr>
      <w:r w:rsidRPr="002818D9">
        <w:rPr>
          <w:rFonts w:ascii="Arial" w:hAnsi="Arial" w:cs="Arial"/>
          <w:b/>
          <w:bCs/>
          <w:sz w:val="22"/>
          <w:szCs w:val="22"/>
        </w:rPr>
        <w:t>Biological mechanism research</w:t>
      </w:r>
      <w:r w:rsidRPr="002818D9">
        <w:rPr>
          <w:rFonts w:ascii="Arial" w:hAnsi="Arial" w:cs="Arial"/>
          <w:sz w:val="22"/>
          <w:szCs w:val="22"/>
        </w:rPr>
        <w:t xml:space="preserve">: </w:t>
      </w:r>
      <w:r w:rsidR="003674EE" w:rsidRPr="002818D9">
        <w:rPr>
          <w:rFonts w:ascii="Arial" w:hAnsi="Arial" w:cs="Arial"/>
          <w:sz w:val="22"/>
          <w:szCs w:val="22"/>
        </w:rPr>
        <w:t>Use</w:t>
      </w:r>
      <w:r w:rsidRPr="002818D9">
        <w:rPr>
          <w:rFonts w:ascii="Arial" w:hAnsi="Arial" w:cs="Arial"/>
          <w:sz w:val="22"/>
          <w:szCs w:val="22"/>
        </w:rPr>
        <w:t xml:space="preserve"> brain imaging and biological markers to understand the underlying neurological processes.</w:t>
      </w:r>
    </w:p>
    <w:p w14:paraId="12699DD1" w14:textId="77777777" w:rsidR="00856388" w:rsidRPr="002818D9" w:rsidRDefault="00856388" w:rsidP="002818D9">
      <w:pPr>
        <w:numPr>
          <w:ilvl w:val="0"/>
          <w:numId w:val="9"/>
        </w:numPr>
        <w:spacing w:line="360" w:lineRule="auto"/>
        <w:rPr>
          <w:rFonts w:ascii="Arial" w:hAnsi="Arial" w:cs="Arial"/>
          <w:sz w:val="22"/>
          <w:szCs w:val="22"/>
        </w:rPr>
      </w:pPr>
      <w:r w:rsidRPr="002818D9">
        <w:rPr>
          <w:rFonts w:ascii="Arial" w:hAnsi="Arial" w:cs="Arial"/>
          <w:b/>
          <w:bCs/>
          <w:sz w:val="22"/>
          <w:szCs w:val="22"/>
        </w:rPr>
        <w:t>Population subgroup analysis</w:t>
      </w:r>
      <w:r w:rsidRPr="002818D9">
        <w:rPr>
          <w:rFonts w:ascii="Arial" w:hAnsi="Arial" w:cs="Arial"/>
          <w:sz w:val="22"/>
          <w:szCs w:val="22"/>
        </w:rPr>
        <w:t>: Investigate differences in vulnerability to substance-related psychosis across gender, ethnic groups, and social classes.</w:t>
      </w:r>
    </w:p>
    <w:p w14:paraId="60AFBECE" w14:textId="77777777" w:rsidR="0087615B" w:rsidRPr="002818D9" w:rsidRDefault="0087615B" w:rsidP="002818D9">
      <w:pPr>
        <w:spacing w:line="360" w:lineRule="auto"/>
        <w:rPr>
          <w:rFonts w:ascii="Arial" w:hAnsi="Arial" w:cs="Arial"/>
          <w:sz w:val="22"/>
          <w:szCs w:val="22"/>
        </w:rPr>
      </w:pPr>
    </w:p>
    <w:p w14:paraId="57825F08" w14:textId="77777777" w:rsidR="00856388" w:rsidRPr="002818D9" w:rsidRDefault="00856388" w:rsidP="002818D9">
      <w:pPr>
        <w:pStyle w:val="Heading2"/>
        <w:spacing w:line="360" w:lineRule="auto"/>
        <w:rPr>
          <w:rFonts w:ascii="Arial" w:hAnsi="Arial" w:cs="Arial"/>
          <w:b/>
          <w:bCs/>
          <w:color w:val="auto"/>
          <w:sz w:val="22"/>
          <w:szCs w:val="22"/>
          <w:u w:val="single"/>
        </w:rPr>
      </w:pPr>
      <w:bookmarkStart w:id="32" w:name="_Toc213958335"/>
      <w:r w:rsidRPr="002818D9">
        <w:rPr>
          <w:rFonts w:ascii="Arial" w:hAnsi="Arial" w:cs="Arial"/>
          <w:b/>
          <w:bCs/>
          <w:color w:val="auto"/>
          <w:sz w:val="22"/>
          <w:szCs w:val="22"/>
          <w:u w:val="single"/>
        </w:rPr>
        <w:t>Recommendations for Policy and Practice</w:t>
      </w:r>
      <w:bookmarkEnd w:id="32"/>
    </w:p>
    <w:p w14:paraId="53A2F337" w14:textId="77777777" w:rsidR="006F67F9" w:rsidRPr="002818D9" w:rsidRDefault="006F67F9" w:rsidP="002818D9">
      <w:pPr>
        <w:spacing w:line="360" w:lineRule="auto"/>
        <w:rPr>
          <w:rFonts w:ascii="Arial" w:hAnsi="Arial" w:cs="Arial"/>
          <w:sz w:val="22"/>
          <w:szCs w:val="22"/>
          <w:u w:val="single"/>
        </w:rPr>
      </w:pPr>
    </w:p>
    <w:p w14:paraId="3F848F25" w14:textId="77777777" w:rsidR="00856388" w:rsidRPr="002818D9" w:rsidRDefault="00856388" w:rsidP="002818D9">
      <w:pPr>
        <w:numPr>
          <w:ilvl w:val="0"/>
          <w:numId w:val="10"/>
        </w:numPr>
        <w:spacing w:line="360" w:lineRule="auto"/>
        <w:rPr>
          <w:rFonts w:ascii="Arial" w:hAnsi="Arial" w:cs="Arial"/>
          <w:sz w:val="22"/>
          <w:szCs w:val="22"/>
        </w:rPr>
      </w:pPr>
      <w:r w:rsidRPr="002818D9">
        <w:rPr>
          <w:rFonts w:ascii="Arial" w:hAnsi="Arial" w:cs="Arial"/>
          <w:b/>
          <w:bCs/>
          <w:sz w:val="22"/>
          <w:szCs w:val="22"/>
        </w:rPr>
        <w:t>Universal screening protocols</w:t>
      </w:r>
      <w:r w:rsidRPr="002818D9">
        <w:rPr>
          <w:rFonts w:ascii="Arial" w:hAnsi="Arial" w:cs="Arial"/>
          <w:sz w:val="22"/>
          <w:szCs w:val="22"/>
        </w:rPr>
        <w:t>: Introduce systematic substance-use assessments throughout Early Intervention in Psychosis (EIP) services and community mental health programmes.</w:t>
      </w:r>
    </w:p>
    <w:p w14:paraId="5B746518" w14:textId="61B72D70" w:rsidR="00856388" w:rsidRPr="002818D9" w:rsidRDefault="00856388" w:rsidP="002818D9">
      <w:pPr>
        <w:numPr>
          <w:ilvl w:val="0"/>
          <w:numId w:val="10"/>
        </w:numPr>
        <w:spacing w:line="360" w:lineRule="auto"/>
        <w:rPr>
          <w:rFonts w:ascii="Arial" w:hAnsi="Arial" w:cs="Arial"/>
          <w:sz w:val="22"/>
          <w:szCs w:val="22"/>
        </w:rPr>
      </w:pPr>
      <w:r w:rsidRPr="002818D9">
        <w:rPr>
          <w:rFonts w:ascii="Arial" w:hAnsi="Arial" w:cs="Arial"/>
          <w:b/>
          <w:bCs/>
          <w:sz w:val="22"/>
          <w:szCs w:val="22"/>
        </w:rPr>
        <w:t>Combined treatment approaches</w:t>
      </w:r>
      <w:r w:rsidRPr="002818D9">
        <w:rPr>
          <w:rFonts w:ascii="Arial" w:hAnsi="Arial" w:cs="Arial"/>
          <w:sz w:val="22"/>
          <w:szCs w:val="22"/>
        </w:rPr>
        <w:t xml:space="preserve">: Provide simultaneous care for psychiatric disorders and substance </w:t>
      </w:r>
      <w:r w:rsidR="003A06B2" w:rsidRPr="002818D9">
        <w:rPr>
          <w:rFonts w:ascii="Arial" w:hAnsi="Arial" w:cs="Arial"/>
          <w:sz w:val="22"/>
          <w:szCs w:val="22"/>
        </w:rPr>
        <w:t>misuse</w:t>
      </w:r>
      <w:r w:rsidRPr="002818D9">
        <w:rPr>
          <w:rFonts w:ascii="Arial" w:hAnsi="Arial" w:cs="Arial"/>
          <w:sz w:val="22"/>
          <w:szCs w:val="22"/>
        </w:rPr>
        <w:t xml:space="preserve"> rather than treating them separately.</w:t>
      </w:r>
    </w:p>
    <w:p w14:paraId="1B571DB7" w14:textId="77777777" w:rsidR="00856388" w:rsidRPr="002818D9" w:rsidRDefault="00856388" w:rsidP="002818D9">
      <w:pPr>
        <w:numPr>
          <w:ilvl w:val="0"/>
          <w:numId w:val="10"/>
        </w:numPr>
        <w:spacing w:line="360" w:lineRule="auto"/>
        <w:rPr>
          <w:rFonts w:ascii="Arial" w:hAnsi="Arial" w:cs="Arial"/>
          <w:sz w:val="22"/>
          <w:szCs w:val="22"/>
        </w:rPr>
      </w:pPr>
      <w:r w:rsidRPr="002818D9">
        <w:rPr>
          <w:rFonts w:ascii="Arial" w:hAnsi="Arial" w:cs="Arial"/>
          <w:b/>
          <w:bCs/>
          <w:sz w:val="22"/>
          <w:szCs w:val="22"/>
        </w:rPr>
        <w:t>Focused prevention campaigns</w:t>
      </w:r>
      <w:r w:rsidRPr="002818D9">
        <w:rPr>
          <w:rFonts w:ascii="Arial" w:hAnsi="Arial" w:cs="Arial"/>
          <w:sz w:val="22"/>
          <w:szCs w:val="22"/>
        </w:rPr>
        <w:t>: Design health education specifically for young people, particularly those with familial psychiatric history, highlighting the dangers of potent cannabis.</w:t>
      </w:r>
    </w:p>
    <w:p w14:paraId="41862BE4" w14:textId="1BBDBD52" w:rsidR="004A1707" w:rsidRPr="002818D9" w:rsidRDefault="00856388" w:rsidP="002818D9">
      <w:pPr>
        <w:numPr>
          <w:ilvl w:val="0"/>
          <w:numId w:val="10"/>
        </w:numPr>
        <w:spacing w:line="360" w:lineRule="auto"/>
        <w:rPr>
          <w:rFonts w:ascii="Arial" w:hAnsi="Arial" w:cs="Arial"/>
          <w:sz w:val="22"/>
          <w:szCs w:val="22"/>
        </w:rPr>
      </w:pPr>
      <w:r w:rsidRPr="002818D9">
        <w:rPr>
          <w:rFonts w:ascii="Arial" w:hAnsi="Arial" w:cs="Arial"/>
          <w:b/>
          <w:bCs/>
          <w:sz w:val="22"/>
          <w:szCs w:val="22"/>
        </w:rPr>
        <w:t>Enhanced training and service consistency</w:t>
      </w:r>
      <w:r w:rsidRPr="002818D9">
        <w:rPr>
          <w:rFonts w:ascii="Arial" w:hAnsi="Arial" w:cs="Arial"/>
          <w:sz w:val="22"/>
          <w:szCs w:val="22"/>
        </w:rPr>
        <w:t>: Strengthen professional development for practitioners and ensure uniform availability of dual-diagnosis services nationwide.</w:t>
      </w:r>
    </w:p>
    <w:p w14:paraId="0E553678" w14:textId="621E2F5F" w:rsidR="00EF554E" w:rsidRPr="002818D9" w:rsidRDefault="00170515" w:rsidP="002818D9">
      <w:pPr>
        <w:spacing w:line="360" w:lineRule="auto"/>
        <w:rPr>
          <w:rFonts w:ascii="Arial" w:hAnsi="Arial" w:cs="Arial"/>
          <w:sz w:val="22"/>
          <w:szCs w:val="22"/>
        </w:rPr>
      </w:pPr>
      <w:r w:rsidRPr="002818D9">
        <w:rPr>
          <w:rFonts w:ascii="Arial" w:hAnsi="Arial" w:cs="Arial"/>
          <w:sz w:val="22"/>
          <w:szCs w:val="22"/>
        </w:rPr>
        <w:t>Furthermore, when combined, these observations offer a solid foundation of evidence for enhancing dual-diagnosis care and preventative initiatives throughout the United Kingdom. Policymakers, clinicians, and researchers can better understand, predict, and lessen the impact of substance-related psychosis in mental health practice by targeting both biological and environmental processes.</w:t>
      </w:r>
      <w:r w:rsidR="00EF554E" w:rsidRPr="002818D9">
        <w:rPr>
          <w:rFonts w:ascii="Arial" w:hAnsi="Arial" w:cs="Arial"/>
          <w:b/>
          <w:bCs/>
          <w:sz w:val="22"/>
          <w:szCs w:val="22"/>
          <w:u w:val="single"/>
        </w:rPr>
        <w:br w:type="page"/>
      </w:r>
    </w:p>
    <w:p w14:paraId="534E96DB" w14:textId="758F1CEA" w:rsidR="004A1707" w:rsidRPr="002818D9" w:rsidRDefault="004A1707" w:rsidP="002818D9">
      <w:pPr>
        <w:pStyle w:val="Heading2"/>
        <w:spacing w:line="360" w:lineRule="auto"/>
        <w:rPr>
          <w:rFonts w:ascii="Arial" w:hAnsi="Arial" w:cs="Arial"/>
          <w:b/>
          <w:bCs/>
          <w:color w:val="auto"/>
          <w:sz w:val="22"/>
          <w:szCs w:val="22"/>
          <w:u w:val="single"/>
        </w:rPr>
      </w:pPr>
      <w:bookmarkStart w:id="33" w:name="_Toc213958336"/>
      <w:r w:rsidRPr="002818D9">
        <w:rPr>
          <w:rFonts w:ascii="Arial" w:hAnsi="Arial" w:cs="Arial"/>
          <w:b/>
          <w:bCs/>
          <w:color w:val="auto"/>
          <w:sz w:val="22"/>
          <w:szCs w:val="22"/>
          <w:u w:val="single"/>
        </w:rPr>
        <w:lastRenderedPageBreak/>
        <w:t>Conclusion</w:t>
      </w:r>
      <w:bookmarkEnd w:id="33"/>
      <w:r w:rsidRPr="002818D9">
        <w:rPr>
          <w:rFonts w:ascii="Arial" w:hAnsi="Arial" w:cs="Arial"/>
          <w:b/>
          <w:bCs/>
          <w:color w:val="auto"/>
          <w:sz w:val="22"/>
          <w:szCs w:val="22"/>
          <w:u w:val="single"/>
        </w:rPr>
        <w:t xml:space="preserve"> </w:t>
      </w:r>
    </w:p>
    <w:p w14:paraId="362E756E" w14:textId="77777777" w:rsidR="00EF554E" w:rsidRPr="002818D9" w:rsidRDefault="00EF554E" w:rsidP="002818D9">
      <w:pPr>
        <w:spacing w:line="360" w:lineRule="auto"/>
        <w:rPr>
          <w:rFonts w:ascii="Arial" w:hAnsi="Arial" w:cs="Arial"/>
          <w:sz w:val="22"/>
          <w:szCs w:val="22"/>
        </w:rPr>
      </w:pPr>
    </w:p>
    <w:p w14:paraId="02B16D29" w14:textId="3FF44755" w:rsidR="004A1707" w:rsidRPr="002818D9" w:rsidRDefault="00E415BB" w:rsidP="002818D9">
      <w:pPr>
        <w:spacing w:line="360" w:lineRule="auto"/>
        <w:rPr>
          <w:rFonts w:ascii="Arial" w:hAnsi="Arial" w:cs="Arial"/>
          <w:sz w:val="22"/>
          <w:szCs w:val="22"/>
        </w:rPr>
      </w:pPr>
      <w:r w:rsidRPr="002818D9">
        <w:rPr>
          <w:rFonts w:ascii="Arial" w:hAnsi="Arial" w:cs="Arial"/>
          <w:sz w:val="22"/>
          <w:szCs w:val="22"/>
        </w:rPr>
        <w:t>This scoping review mapped UK research on substance misuse and schizophrenia-spectrum disorders in adults. Evidence suggests frequent or high-potency cannabis is a significant contributory factor within a multifactorial model</w:t>
      </w:r>
      <w:r w:rsidR="000C73DA" w:rsidRPr="002818D9">
        <w:rPr>
          <w:rFonts w:ascii="Arial" w:hAnsi="Arial" w:cs="Arial"/>
          <w:sz w:val="22"/>
          <w:szCs w:val="22"/>
        </w:rPr>
        <w:t>,</w:t>
      </w:r>
      <w:r w:rsidRPr="002818D9">
        <w:rPr>
          <w:rFonts w:ascii="Arial" w:hAnsi="Arial" w:cs="Arial"/>
          <w:sz w:val="22"/>
          <w:szCs w:val="22"/>
        </w:rPr>
        <w:t xml:space="preserve"> including genetic vulnerability and environmental triggers. Mendelian randomisation and </w:t>
      </w:r>
      <w:r w:rsidR="00176B1C" w:rsidRPr="002818D9">
        <w:rPr>
          <w:rFonts w:ascii="Arial" w:hAnsi="Arial" w:cs="Arial"/>
          <w:sz w:val="22"/>
          <w:szCs w:val="22"/>
        </w:rPr>
        <w:t>genome-wide association studies</w:t>
      </w:r>
      <w:r w:rsidRPr="002818D9">
        <w:rPr>
          <w:rFonts w:ascii="Arial" w:hAnsi="Arial" w:cs="Arial"/>
          <w:sz w:val="22"/>
          <w:szCs w:val="22"/>
        </w:rPr>
        <w:t xml:space="preserve"> indicate moderate causal pathways, while observational studies show temporal links between substance-induced psychosis and later schizophrenia. Substance misuse does not solely cause schizophrenia but may accelerate onset, worsen prognosis, or interact with biological susceptibilities. Findings highlight the need for integrated dual-diagnosis services, early prevention, and public health messaging on cannabis risks.</w:t>
      </w:r>
    </w:p>
    <w:p w14:paraId="74276716" w14:textId="77777777" w:rsidR="00FC1135" w:rsidRPr="002818D9" w:rsidRDefault="00FC1135" w:rsidP="002818D9">
      <w:pPr>
        <w:spacing w:line="360" w:lineRule="auto"/>
        <w:rPr>
          <w:rFonts w:ascii="Arial" w:hAnsi="Arial" w:cs="Arial"/>
          <w:sz w:val="22"/>
          <w:szCs w:val="22"/>
        </w:rPr>
      </w:pPr>
    </w:p>
    <w:p w14:paraId="149D17CC" w14:textId="69A6A980" w:rsidR="00B17668" w:rsidRPr="002818D9" w:rsidRDefault="00B17668" w:rsidP="002818D9">
      <w:pPr>
        <w:spacing w:line="360" w:lineRule="auto"/>
        <w:rPr>
          <w:rFonts w:ascii="Arial" w:hAnsi="Arial" w:cs="Arial"/>
          <w:sz w:val="22"/>
          <w:szCs w:val="22"/>
        </w:rPr>
      </w:pPr>
      <w:r w:rsidRPr="002818D9">
        <w:rPr>
          <w:rFonts w:ascii="Arial" w:hAnsi="Arial" w:cs="Arial"/>
          <w:sz w:val="22"/>
          <w:szCs w:val="22"/>
        </w:rPr>
        <w:br w:type="page"/>
      </w:r>
    </w:p>
    <w:p w14:paraId="4EDC99A3" w14:textId="77777777" w:rsidR="00B17668" w:rsidRPr="002818D9" w:rsidRDefault="00B17668" w:rsidP="002818D9">
      <w:pPr>
        <w:pStyle w:val="Heading1"/>
        <w:spacing w:line="360" w:lineRule="auto"/>
        <w:rPr>
          <w:rFonts w:ascii="Arial" w:hAnsi="Arial" w:cs="Arial"/>
          <w:b/>
          <w:bCs/>
          <w:color w:val="auto"/>
          <w:sz w:val="22"/>
          <w:szCs w:val="22"/>
          <w:u w:val="single"/>
        </w:rPr>
      </w:pPr>
      <w:bookmarkStart w:id="34" w:name="_Toc213958337"/>
      <w:r w:rsidRPr="002818D9">
        <w:rPr>
          <w:rFonts w:ascii="Arial" w:hAnsi="Arial" w:cs="Arial"/>
          <w:b/>
          <w:bCs/>
          <w:color w:val="auto"/>
          <w:sz w:val="22"/>
          <w:szCs w:val="22"/>
          <w:u w:val="single"/>
        </w:rPr>
        <w:lastRenderedPageBreak/>
        <w:t>References:</w:t>
      </w:r>
      <w:bookmarkEnd w:id="34"/>
    </w:p>
    <w:p w14:paraId="21E25529" w14:textId="77777777" w:rsidR="00D429D0" w:rsidRPr="002818D9" w:rsidRDefault="00D429D0" w:rsidP="002818D9">
      <w:pPr>
        <w:spacing w:line="360" w:lineRule="auto"/>
        <w:rPr>
          <w:rFonts w:ascii="Arial" w:hAnsi="Arial" w:cs="Arial"/>
          <w:sz w:val="22"/>
          <w:szCs w:val="22"/>
        </w:rPr>
      </w:pPr>
    </w:p>
    <w:bookmarkEnd w:id="0"/>
    <w:p w14:paraId="23E7BC58" w14:textId="24A03A47" w:rsidR="00FD3C1F" w:rsidRPr="002818D9" w:rsidRDefault="00FD3C1F" w:rsidP="002818D9">
      <w:pPr>
        <w:spacing w:line="360" w:lineRule="auto"/>
        <w:rPr>
          <w:rFonts w:ascii="Arial" w:hAnsi="Arial" w:cs="Arial"/>
          <w:b/>
          <w:bCs/>
          <w:sz w:val="22"/>
          <w:szCs w:val="22"/>
        </w:rPr>
      </w:pPr>
      <w:r w:rsidRPr="002818D9">
        <w:rPr>
          <w:rFonts w:ascii="Arial" w:hAnsi="Arial" w:cs="Arial"/>
          <w:sz w:val="22"/>
          <w:szCs w:val="22"/>
        </w:rPr>
        <w:t xml:space="preserve">Alderson, H. L., Semple, D. M., Blayney, C., Queirazza, F., Chekuri, V. &amp; Lawrie, S. M. (2017) ‘Risk of transition to schizophrenia following first admission with substance-induced psychotic disorder: a population-based longitudinal cohort study’, </w:t>
      </w:r>
      <w:r w:rsidRPr="002818D9">
        <w:rPr>
          <w:rFonts w:ascii="Arial" w:hAnsi="Arial" w:cs="Arial"/>
          <w:i/>
          <w:iCs/>
          <w:sz w:val="22"/>
          <w:szCs w:val="22"/>
        </w:rPr>
        <w:t>Psychological Medicine</w:t>
      </w:r>
      <w:r w:rsidRPr="002818D9">
        <w:rPr>
          <w:rFonts w:ascii="Arial" w:hAnsi="Arial" w:cs="Arial"/>
          <w:sz w:val="22"/>
          <w:szCs w:val="22"/>
        </w:rPr>
        <w:t>, 47(14), pp. 2548-2555. doi:10.1017/S0033291717001118.</w:t>
      </w:r>
      <w:hyperlink r:id="rId9" w:history="1">
        <w:r w:rsidRPr="002818D9">
          <w:rPr>
            <w:rStyle w:val="Hyperlink"/>
            <w:rFonts w:ascii="Arial" w:hAnsi="Arial" w:cs="Arial"/>
            <w:sz w:val="22"/>
            <w:szCs w:val="22"/>
          </w:rPr>
          <w:t>https://www-cambridge-org.ezproxy.uwtsd.ac.uk/core/services/aop-cambridge-core/content/view/S0033291717001118?pdf</w:t>
        </w:r>
      </w:hyperlink>
      <w:r w:rsidRPr="002818D9">
        <w:rPr>
          <w:rFonts w:ascii="Arial" w:hAnsi="Arial" w:cs="Arial"/>
          <w:sz w:val="22"/>
          <w:szCs w:val="22"/>
        </w:rPr>
        <w:t xml:space="preserve">  (Accessed:3 November 2025).</w:t>
      </w:r>
    </w:p>
    <w:p w14:paraId="0C31396A"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Arksey, H. and O’Malley, L. (2005) ‘Scoping studies: Towards a Methodological Framework’, </w:t>
      </w:r>
      <w:r w:rsidRPr="002818D9">
        <w:rPr>
          <w:rFonts w:ascii="Arial" w:hAnsi="Arial" w:cs="Arial"/>
          <w:i/>
          <w:iCs/>
          <w:sz w:val="22"/>
          <w:szCs w:val="22"/>
        </w:rPr>
        <w:t>International Journal of Social Research Methodology</w:t>
      </w:r>
      <w:r w:rsidRPr="002818D9">
        <w:rPr>
          <w:rFonts w:ascii="Arial" w:hAnsi="Arial" w:cs="Arial"/>
          <w:sz w:val="22"/>
          <w:szCs w:val="22"/>
        </w:rPr>
        <w:t>,  8(1), pp.19–32. doi:https://doi.org/10.1080/1364557032000119616.</w:t>
      </w:r>
    </w:p>
    <w:p w14:paraId="577448E2"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Austin-Zimmerman, I., Spinazzola, E., Quattrone, D., et al. (2024) The impact of schizophrenia genetic load and heavy cannabis use on the risk of psychotic disorder in the EU-GEI case-control and UK Biobank studies. </w:t>
      </w:r>
      <w:r w:rsidRPr="002818D9">
        <w:rPr>
          <w:rFonts w:ascii="Arial" w:hAnsi="Arial" w:cs="Arial"/>
          <w:i/>
          <w:iCs/>
          <w:sz w:val="22"/>
          <w:szCs w:val="22"/>
        </w:rPr>
        <w:t>Psychological Medicine</w:t>
      </w:r>
      <w:r w:rsidRPr="002818D9">
        <w:rPr>
          <w:rFonts w:ascii="Arial" w:hAnsi="Arial" w:cs="Arial"/>
          <w:sz w:val="22"/>
          <w:szCs w:val="22"/>
        </w:rPr>
        <w:t>, 54(6), 1089-1097.</w:t>
      </w:r>
    </w:p>
    <w:p w14:paraId="231CFAD8"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Aveyard, H. (2014). </w:t>
      </w:r>
      <w:r w:rsidRPr="002818D9">
        <w:rPr>
          <w:rFonts w:ascii="Arial" w:hAnsi="Arial" w:cs="Arial"/>
          <w:i/>
          <w:iCs/>
          <w:sz w:val="22"/>
          <w:szCs w:val="22"/>
        </w:rPr>
        <w:t>Doing a Literature Review in Health and Social Care: A Practical Guide</w:t>
      </w:r>
      <w:r w:rsidRPr="002818D9">
        <w:rPr>
          <w:rFonts w:ascii="Arial" w:hAnsi="Arial" w:cs="Arial"/>
          <w:sz w:val="22"/>
          <w:szCs w:val="22"/>
        </w:rPr>
        <w:t>. 3rd edn. London: Open University Press.</w:t>
      </w:r>
    </w:p>
    <w:p w14:paraId="29CFE3CC"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Barnes, T. R. E., Mutsatsa, S. H., Hutton, S. B., Watt, H. C. &amp; Joyce, E. M. (2018) ‘Comorbid substance use and age at onset of schizophrenia’, </w:t>
      </w:r>
      <w:r w:rsidRPr="002818D9">
        <w:rPr>
          <w:rFonts w:ascii="Arial" w:hAnsi="Arial" w:cs="Arial"/>
          <w:i/>
          <w:iCs/>
          <w:sz w:val="22"/>
          <w:szCs w:val="22"/>
        </w:rPr>
        <w:t>The British Journal of Psychiatry</w:t>
      </w:r>
      <w:r w:rsidRPr="002818D9">
        <w:rPr>
          <w:rFonts w:ascii="Arial" w:hAnsi="Arial" w:cs="Arial"/>
          <w:sz w:val="22"/>
          <w:szCs w:val="22"/>
        </w:rPr>
        <w:t>, 188(3), pp. 237–242. doi: 10.1192/bjp.bp.104.007237.</w:t>
      </w:r>
    </w:p>
    <w:p w14:paraId="2762CCD9"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Bhattacharyya, S., Wilson, R., Appiah-Kusi, E., O’Neill, A., Brammer, M., Perez, J., Murray, R.M. and Howes, O.D., 2020 ‘</w:t>
      </w:r>
      <w:r w:rsidRPr="002818D9">
        <w:rPr>
          <w:rFonts w:ascii="Arial" w:hAnsi="Arial" w:cs="Arial"/>
          <w:i/>
          <w:iCs/>
          <w:sz w:val="22"/>
          <w:szCs w:val="22"/>
        </w:rPr>
        <w:t>Cannabinoid receptor availability in cannabis users and schizophrenia’</w:t>
      </w:r>
      <w:r w:rsidRPr="002818D9">
        <w:rPr>
          <w:rFonts w:ascii="Arial" w:hAnsi="Arial" w:cs="Arial"/>
          <w:sz w:val="22"/>
          <w:szCs w:val="22"/>
        </w:rPr>
        <w:t>, Nature Communications, 11(1), pp.1–10.</w:t>
      </w:r>
    </w:p>
    <w:p w14:paraId="14595C1A"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British Pharmacological Society (2022) </w:t>
      </w:r>
      <w:r w:rsidRPr="002818D9">
        <w:rPr>
          <w:rFonts w:ascii="Arial" w:hAnsi="Arial" w:cs="Arial"/>
          <w:i/>
          <w:iCs/>
          <w:sz w:val="22"/>
          <w:szCs w:val="22"/>
        </w:rPr>
        <w:t>Personalised prescribing</w:t>
      </w:r>
      <w:r w:rsidRPr="002818D9">
        <w:rPr>
          <w:rFonts w:ascii="Arial" w:hAnsi="Arial" w:cs="Arial"/>
          <w:sz w:val="22"/>
          <w:szCs w:val="22"/>
        </w:rPr>
        <w:t>. Available at: </w:t>
      </w:r>
      <w:hyperlink r:id="rId10" w:tgtFrame="_blank" w:history="1">
        <w:r w:rsidRPr="002818D9">
          <w:rPr>
            <w:rStyle w:val="Hyperlink"/>
            <w:rFonts w:ascii="Arial" w:hAnsi="Arial" w:cs="Arial"/>
            <w:sz w:val="22"/>
            <w:szCs w:val="22"/>
          </w:rPr>
          <w:t>https://www.bps.ac.uk/getmedia/b43a3dca-1bbf-4bff-9379-20bef9349a8c/Personalised-prescribing-full-report.pdf.aspx</w:t>
        </w:r>
      </w:hyperlink>
      <w:r w:rsidRPr="002818D9">
        <w:rPr>
          <w:rFonts w:ascii="Arial" w:hAnsi="Arial" w:cs="Arial"/>
          <w:sz w:val="22"/>
          <w:szCs w:val="22"/>
        </w:rPr>
        <w:t> (Accessed: 5 November 2025).</w:t>
      </w:r>
    </w:p>
    <w:p w14:paraId="432F1EEC"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Correll, C.U. and Schooler, N.R. (2020). Negative symptoms in schizophrenia: a review and clinical guide for recognition, assessment, and treatment. </w:t>
      </w:r>
      <w:r w:rsidRPr="002818D9">
        <w:rPr>
          <w:rFonts w:ascii="Arial" w:hAnsi="Arial" w:cs="Arial"/>
          <w:i/>
          <w:iCs/>
          <w:sz w:val="22"/>
          <w:szCs w:val="22"/>
        </w:rPr>
        <w:t>Neuropsychiatric Disease and Treatment</w:t>
      </w:r>
      <w:r w:rsidRPr="002818D9">
        <w:rPr>
          <w:rFonts w:ascii="Arial" w:hAnsi="Arial" w:cs="Arial"/>
          <w:sz w:val="22"/>
          <w:szCs w:val="22"/>
        </w:rPr>
        <w:t xml:space="preserve">, 16, 519-534. </w:t>
      </w:r>
    </w:p>
    <w:p w14:paraId="01C21689"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Davies, N., Holmes, M. and Davey Smith, G. (2018) ‘Reading Mendelian randomisation studies: a guide, glossary, and checklist for clinicians’, </w:t>
      </w:r>
      <w:r w:rsidRPr="002818D9">
        <w:rPr>
          <w:rFonts w:ascii="Arial" w:hAnsi="Arial" w:cs="Arial"/>
          <w:i/>
          <w:iCs/>
          <w:sz w:val="22"/>
          <w:szCs w:val="22"/>
        </w:rPr>
        <w:t>BMJ</w:t>
      </w:r>
      <w:r w:rsidRPr="002818D9">
        <w:rPr>
          <w:rFonts w:ascii="Arial" w:hAnsi="Arial" w:cs="Arial"/>
          <w:sz w:val="22"/>
          <w:szCs w:val="22"/>
        </w:rPr>
        <w:t>, 362, Article k601. doi:10.1136/bmj.k601</w:t>
      </w:r>
    </w:p>
    <w:p w14:paraId="0DE72E3C"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lastRenderedPageBreak/>
        <w:t xml:space="preserve">Davies, S.C. (2018) </w:t>
      </w:r>
      <w:r w:rsidRPr="002818D9">
        <w:rPr>
          <w:rFonts w:ascii="Arial" w:hAnsi="Arial" w:cs="Arial"/>
          <w:i/>
          <w:iCs/>
          <w:sz w:val="22"/>
          <w:szCs w:val="22"/>
        </w:rPr>
        <w:t>Cannabis Scheduling Review Part 1: The evidence base for medicinal use</w:t>
      </w:r>
      <w:r w:rsidRPr="002818D9">
        <w:rPr>
          <w:rFonts w:ascii="Arial" w:hAnsi="Arial" w:cs="Arial"/>
          <w:sz w:val="22"/>
          <w:szCs w:val="22"/>
        </w:rPr>
        <w:t xml:space="preserve">. Department of Health and Social Care. Available at: https://assets.publishing.service.gov.uk/government/uploads/system/uploads/attachment_data/file/722010/CMO_Report_Cannabis_Products_Web_Accessible.pdf  (Accessed: 28 October 2025). </w:t>
      </w:r>
    </w:p>
    <w:p w14:paraId="78E56A92"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Department of Health and Social Care (2015) </w:t>
      </w:r>
      <w:r w:rsidRPr="002818D9">
        <w:rPr>
          <w:rFonts w:ascii="Arial" w:hAnsi="Arial" w:cs="Arial"/>
          <w:i/>
          <w:iCs/>
          <w:sz w:val="22"/>
          <w:szCs w:val="22"/>
        </w:rPr>
        <w:t>Mental Health Act 1983: reference guide</w:t>
      </w:r>
      <w:r w:rsidRPr="002818D9">
        <w:rPr>
          <w:rFonts w:ascii="Arial" w:hAnsi="Arial" w:cs="Arial"/>
          <w:sz w:val="22"/>
          <w:szCs w:val="22"/>
        </w:rPr>
        <w:t xml:space="preserve">. Available at: </w:t>
      </w:r>
      <w:hyperlink r:id="rId11" w:history="1">
        <w:r w:rsidRPr="002818D9">
          <w:rPr>
            <w:rStyle w:val="Hyperlink"/>
            <w:rFonts w:ascii="Arial" w:hAnsi="Arial" w:cs="Arial"/>
            <w:sz w:val="22"/>
            <w:szCs w:val="22"/>
          </w:rPr>
          <w:t>https://www.gov.uk/government/publications/mental-health-act-1983-reference-guide</w:t>
        </w:r>
      </w:hyperlink>
      <w:r w:rsidRPr="002818D9">
        <w:rPr>
          <w:rFonts w:ascii="Arial" w:hAnsi="Arial" w:cs="Arial"/>
          <w:sz w:val="22"/>
          <w:szCs w:val="22"/>
        </w:rPr>
        <w:t xml:space="preserve"> (Accessed: 3 November 2025).</w:t>
      </w:r>
    </w:p>
    <w:p w14:paraId="14364B6B"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Department of Health and Social Care (2017) </w:t>
      </w:r>
      <w:r w:rsidRPr="002818D9">
        <w:rPr>
          <w:rFonts w:ascii="Arial" w:hAnsi="Arial" w:cs="Arial"/>
          <w:i/>
          <w:iCs/>
          <w:sz w:val="22"/>
          <w:szCs w:val="22"/>
        </w:rPr>
        <w:t>Drug Misuse and Dependence UK Guidelines on Clinical Management</w:t>
      </w:r>
      <w:r w:rsidRPr="002818D9">
        <w:rPr>
          <w:rFonts w:ascii="Arial" w:hAnsi="Arial" w:cs="Arial"/>
          <w:sz w:val="22"/>
          <w:szCs w:val="22"/>
        </w:rPr>
        <w:t xml:space="preserve">. Available at: </w:t>
      </w:r>
      <w:hyperlink r:id="rId12" w:history="1">
        <w:r w:rsidRPr="002818D9">
          <w:rPr>
            <w:rStyle w:val="Hyperlink"/>
            <w:rFonts w:ascii="Arial" w:hAnsi="Arial" w:cs="Arial"/>
            <w:sz w:val="22"/>
            <w:szCs w:val="22"/>
          </w:rPr>
          <w:t>https://assets.publishing.service.gov.uk/media/5a821e3340f0b62305b92945/clinical_guidelines_2017.pdf</w:t>
        </w:r>
      </w:hyperlink>
      <w:r w:rsidRPr="002818D9">
        <w:rPr>
          <w:rFonts w:ascii="Arial" w:hAnsi="Arial" w:cs="Arial"/>
          <w:sz w:val="22"/>
          <w:szCs w:val="22"/>
        </w:rPr>
        <w:t xml:space="preserve"> (Accessed: 3 November 2025).</w:t>
      </w:r>
    </w:p>
    <w:p w14:paraId="01F7FC66"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Di Forti, M. et al</w:t>
      </w:r>
      <w:r w:rsidRPr="002818D9">
        <w:rPr>
          <w:rFonts w:ascii="Arial" w:hAnsi="Arial" w:cs="Arial"/>
          <w:b/>
          <w:bCs/>
          <w:sz w:val="22"/>
          <w:szCs w:val="22"/>
        </w:rPr>
        <w:t>.</w:t>
      </w:r>
      <w:r w:rsidRPr="002818D9">
        <w:rPr>
          <w:rFonts w:ascii="Arial" w:hAnsi="Arial" w:cs="Arial"/>
          <w:sz w:val="22"/>
          <w:szCs w:val="22"/>
        </w:rPr>
        <w:t xml:space="preserve"> (2015) ‘Proportion of patients in south London with first-episode psychosis attributable to use of high-potency cannabis: a case-control study’, </w:t>
      </w:r>
      <w:r w:rsidRPr="002818D9">
        <w:rPr>
          <w:rFonts w:ascii="Arial" w:hAnsi="Arial" w:cs="Arial"/>
          <w:i/>
          <w:iCs/>
          <w:sz w:val="22"/>
          <w:szCs w:val="22"/>
        </w:rPr>
        <w:t>The Lancet Psychiatry</w:t>
      </w:r>
      <w:r w:rsidRPr="002818D9">
        <w:rPr>
          <w:rFonts w:ascii="Arial" w:hAnsi="Arial" w:cs="Arial"/>
          <w:sz w:val="22"/>
          <w:szCs w:val="22"/>
        </w:rPr>
        <w:t>, 2(3), pp. 233–238. doi:10.1016/S2215-0366(14)00117-5.</w:t>
      </w:r>
    </w:p>
    <w:p w14:paraId="219A9532"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Di Forti, M., Quattrone, D., Freeman, T., Tripoli, G., Gayer-Anderson, C. and Quigley, H. (2019) ‘The contribution of cannabis use to variation in the incidence of psychotic disorder across europe (EU-GEI): A multicentre case-control study’. </w:t>
      </w:r>
      <w:r w:rsidRPr="002818D9">
        <w:rPr>
          <w:rFonts w:ascii="Arial" w:hAnsi="Arial" w:cs="Arial"/>
          <w:i/>
          <w:iCs/>
          <w:sz w:val="22"/>
          <w:szCs w:val="22"/>
        </w:rPr>
        <w:t>The Lancet Psychiatry</w:t>
      </w:r>
      <w:r w:rsidRPr="002818D9">
        <w:rPr>
          <w:rFonts w:ascii="Arial" w:hAnsi="Arial" w:cs="Arial"/>
          <w:sz w:val="22"/>
          <w:szCs w:val="22"/>
        </w:rPr>
        <w:t>, 6(5), pp.427–436. doi:https://doi.org/10.1016/s2215-0366(19)30048-3.</w:t>
      </w:r>
    </w:p>
    <w:p w14:paraId="425A6539"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Gage, S.H., Jones, H.J., Burgess, S., et al. (2017) Assessing causality in associations between cannabis use and schizophrenia risk: a two-sample Mendelian randomization study. </w:t>
      </w:r>
      <w:r w:rsidRPr="002818D9">
        <w:rPr>
          <w:rFonts w:ascii="Arial" w:hAnsi="Arial" w:cs="Arial"/>
          <w:i/>
          <w:iCs/>
          <w:sz w:val="22"/>
          <w:szCs w:val="22"/>
        </w:rPr>
        <w:t>Psychological Medicine</w:t>
      </w:r>
      <w:r w:rsidRPr="002818D9">
        <w:rPr>
          <w:rFonts w:ascii="Arial" w:hAnsi="Arial" w:cs="Arial"/>
          <w:sz w:val="22"/>
          <w:szCs w:val="22"/>
        </w:rPr>
        <w:t>, 47(5), 971-980.</w:t>
      </w:r>
    </w:p>
    <w:p w14:paraId="20EA262F"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Harris, J.I., Dalkin, S., Jones, L., Ainscough, T., Maden, M., Bate, A., Copello, A., Gilchrist, G., Griffith, E., Mitcheson, L., Sumnall, H. and Hughes, E. (2023) ‘ Achieving integrated treatment: a realist synthesis of service models and systems for co-existing serious mental health and substance use conditions’, </w:t>
      </w:r>
      <w:r w:rsidRPr="002818D9">
        <w:rPr>
          <w:rFonts w:ascii="Arial" w:hAnsi="Arial" w:cs="Arial"/>
          <w:i/>
          <w:iCs/>
          <w:sz w:val="22"/>
          <w:szCs w:val="22"/>
        </w:rPr>
        <w:t>The Lancet Psychiatry</w:t>
      </w:r>
      <w:r w:rsidRPr="002818D9">
        <w:rPr>
          <w:rFonts w:ascii="Arial" w:hAnsi="Arial" w:cs="Arial"/>
          <w:sz w:val="22"/>
          <w:szCs w:val="22"/>
        </w:rPr>
        <w:t xml:space="preserve">, 10(8), pp.632–643. doi: </w:t>
      </w:r>
      <w:hyperlink r:id="rId13" w:history="1">
        <w:r w:rsidRPr="002818D9">
          <w:rPr>
            <w:rStyle w:val="Hyperlink"/>
            <w:rFonts w:ascii="Arial" w:hAnsi="Arial" w:cs="Arial"/>
            <w:sz w:val="22"/>
            <w:szCs w:val="22"/>
          </w:rPr>
          <w:t>https://doi.org/10.1016/s2215-0366(23)00104-9</w:t>
        </w:r>
      </w:hyperlink>
      <w:r w:rsidRPr="002818D9">
        <w:rPr>
          <w:rFonts w:ascii="Arial" w:hAnsi="Arial" w:cs="Arial"/>
          <w:sz w:val="22"/>
          <w:szCs w:val="22"/>
        </w:rPr>
        <w:t>.</w:t>
      </w:r>
    </w:p>
    <w:p w14:paraId="51C790D2"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HM Government (2017) </w:t>
      </w:r>
      <w:r w:rsidRPr="002818D9">
        <w:rPr>
          <w:rFonts w:ascii="Arial" w:hAnsi="Arial" w:cs="Arial"/>
          <w:i/>
          <w:iCs/>
          <w:sz w:val="22"/>
          <w:szCs w:val="22"/>
        </w:rPr>
        <w:t>2017 Drug Strategy</w:t>
      </w:r>
      <w:r w:rsidRPr="002818D9">
        <w:rPr>
          <w:rFonts w:ascii="Arial" w:hAnsi="Arial" w:cs="Arial"/>
          <w:sz w:val="22"/>
          <w:szCs w:val="22"/>
        </w:rPr>
        <w:t xml:space="preserve">. Available at: </w:t>
      </w:r>
      <w:hyperlink r:id="rId14" w:history="1">
        <w:r w:rsidRPr="002818D9">
          <w:rPr>
            <w:rStyle w:val="Hyperlink"/>
            <w:rFonts w:ascii="Arial" w:hAnsi="Arial" w:cs="Arial"/>
            <w:sz w:val="22"/>
            <w:szCs w:val="22"/>
          </w:rPr>
          <w:t>https://assets.publishing.service.gov.uk/media/5a82b5a2e5274a2e87dc2966/Drug_strategy_2017.PDF</w:t>
        </w:r>
      </w:hyperlink>
      <w:r w:rsidRPr="002818D9">
        <w:rPr>
          <w:rFonts w:ascii="Arial" w:hAnsi="Arial" w:cs="Arial"/>
          <w:sz w:val="22"/>
          <w:szCs w:val="22"/>
        </w:rPr>
        <w:t xml:space="preserve"> (Accessed: 28 October 2025).</w:t>
      </w:r>
    </w:p>
    <w:p w14:paraId="700BA785"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Johnson, E.C., Austin-Zimmerman, I., Thorpe, H.H.A., Levey, D.F., Baranger, D.A.A., Colbert, S.M.C., Demontis, D., Khokhar, J.Y., Davis, L.K., Edenberg, H.J., Di Forti, M., Sanchez-Roige, S., Gelernter, J. and Agrawal, A. (2024) ‘Cross-ancestry genetic </w:t>
      </w:r>
      <w:r w:rsidRPr="002818D9">
        <w:rPr>
          <w:rFonts w:ascii="Arial" w:hAnsi="Arial" w:cs="Arial"/>
          <w:sz w:val="22"/>
          <w:szCs w:val="22"/>
        </w:rPr>
        <w:lastRenderedPageBreak/>
        <w:t xml:space="preserve">investigation of schizophrenia, cannabis use disorder, and tobacco smoking’, </w:t>
      </w:r>
      <w:r w:rsidRPr="002818D9">
        <w:rPr>
          <w:rFonts w:ascii="Arial" w:hAnsi="Arial" w:cs="Arial"/>
          <w:i/>
          <w:iCs/>
          <w:sz w:val="22"/>
          <w:szCs w:val="22"/>
        </w:rPr>
        <w:t>Neuropsychopharmacology</w:t>
      </w:r>
      <w:r w:rsidRPr="002818D9">
        <w:rPr>
          <w:rFonts w:ascii="Arial" w:hAnsi="Arial" w:cs="Arial"/>
          <w:sz w:val="22"/>
          <w:szCs w:val="22"/>
        </w:rPr>
        <w:t>, 49(11), pp.1655–1665. doi:https://doi.org/10.1038/s41386-024-01886-3.</w:t>
      </w:r>
    </w:p>
    <w:p w14:paraId="0A26945A"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Keerthy, D., Chandan, J.S., Abramovaite, J., Gokhale, K.M., Bandyopadhyay, S., Day, E., Marwaha, S., Broome, M.R., Nirantharakumar, K. and Humpston, C. (2021) ‘Associations between primary care recorded cannabis use and mental ill health in the UK: a population-based retrospective cohort study using UK primary care data’ </w:t>
      </w:r>
      <w:r w:rsidRPr="002818D9">
        <w:rPr>
          <w:rFonts w:ascii="Arial" w:hAnsi="Arial" w:cs="Arial"/>
          <w:i/>
          <w:iCs/>
          <w:sz w:val="22"/>
          <w:szCs w:val="22"/>
        </w:rPr>
        <w:t>Psychological Medicine</w:t>
      </w:r>
      <w:r w:rsidRPr="002818D9">
        <w:rPr>
          <w:rFonts w:ascii="Arial" w:hAnsi="Arial" w:cs="Arial"/>
          <w:sz w:val="22"/>
          <w:szCs w:val="22"/>
        </w:rPr>
        <w:t>, 53(5), pp.1–10. doi:https://doi.org/10.1017/s003329172100386x.</w:t>
      </w:r>
    </w:p>
    <w:p w14:paraId="0515FE11"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Khantzian, E.J. (1997) ‘The self-medication Hypothesis of Substance Use disorders: a Reconsideration and Recent Applications’, </w:t>
      </w:r>
      <w:r w:rsidRPr="002818D9">
        <w:rPr>
          <w:rFonts w:ascii="Arial" w:hAnsi="Arial" w:cs="Arial"/>
          <w:i/>
          <w:iCs/>
          <w:sz w:val="22"/>
          <w:szCs w:val="22"/>
        </w:rPr>
        <w:t>Harvard Review of Psychiatry</w:t>
      </w:r>
      <w:r w:rsidRPr="002818D9">
        <w:rPr>
          <w:rFonts w:ascii="Arial" w:hAnsi="Arial" w:cs="Arial"/>
          <w:sz w:val="22"/>
          <w:szCs w:val="22"/>
        </w:rPr>
        <w:t xml:space="preserve">, 4(5), pp.231–244. doi:https://doi.org/10.3109/10673229709030550 </w:t>
      </w:r>
    </w:p>
    <w:p w14:paraId="37C07C96"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Kirkbride, J.B., Hameed, Y., Wright, L., Russell, K., Knight, C., Perez, J. and Jones, P.B. (2017) ‘Waiting time variation in Early Intervention Psychosis services: longitudinal evidence from the SEPEA naturalistic cohort study’, </w:t>
      </w:r>
      <w:r w:rsidRPr="002818D9">
        <w:rPr>
          <w:rFonts w:ascii="Arial" w:hAnsi="Arial" w:cs="Arial"/>
          <w:i/>
          <w:iCs/>
          <w:sz w:val="22"/>
          <w:szCs w:val="22"/>
        </w:rPr>
        <w:t>Social Psychiatry and Psychiatric Epidemiology</w:t>
      </w:r>
      <w:r w:rsidRPr="002818D9">
        <w:rPr>
          <w:rFonts w:ascii="Arial" w:hAnsi="Arial" w:cs="Arial"/>
          <w:sz w:val="22"/>
          <w:szCs w:val="22"/>
        </w:rPr>
        <w:t>, 52(5), pp.563–574. doi:https://doi.org/10.1007/s00127-017-1343-7.</w:t>
      </w:r>
    </w:p>
    <w:p w14:paraId="6E7858FC"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Leeson, V.C., Harrison, I., Ron, M.A., Barnes, T.R.E. and Joyce, E.M. (2011) ‘The Effect of Cannabis Use and Cognitive Reserve on Age at Onset and Psychosis Outcomes in First-Episode Schizophrenia’, </w:t>
      </w:r>
      <w:r w:rsidRPr="002818D9">
        <w:rPr>
          <w:rFonts w:ascii="Arial" w:hAnsi="Arial" w:cs="Arial"/>
          <w:i/>
          <w:iCs/>
          <w:sz w:val="22"/>
          <w:szCs w:val="22"/>
        </w:rPr>
        <w:t>Schizophrenia Bulletin</w:t>
      </w:r>
      <w:r w:rsidRPr="002818D9">
        <w:rPr>
          <w:rFonts w:ascii="Arial" w:hAnsi="Arial" w:cs="Arial"/>
          <w:sz w:val="22"/>
          <w:szCs w:val="22"/>
        </w:rPr>
        <w:t>,  38(4), pp.873–880. doi:https://doi.org/10.1093/schbul/sbq153.</w:t>
      </w:r>
    </w:p>
    <w:p w14:paraId="19FABB3A"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Levac, D., Colquhoun, H. and O’Brien, K.K. (2010) ‘Scoping studies: Advancing the Methodology’, </w:t>
      </w:r>
      <w:r w:rsidRPr="002818D9">
        <w:rPr>
          <w:rFonts w:ascii="Arial" w:hAnsi="Arial" w:cs="Arial"/>
          <w:i/>
          <w:iCs/>
          <w:sz w:val="22"/>
          <w:szCs w:val="22"/>
        </w:rPr>
        <w:t>Implementation Science</w:t>
      </w:r>
      <w:r w:rsidRPr="002818D9">
        <w:rPr>
          <w:rFonts w:ascii="Arial" w:hAnsi="Arial" w:cs="Arial"/>
          <w:sz w:val="22"/>
          <w:szCs w:val="22"/>
        </w:rPr>
        <w:t>, 5(1), pp.1–9. doi:https://doi.org/10.1186/1748-5908-5-69.</w:t>
      </w:r>
    </w:p>
    <w:p w14:paraId="42ED6754"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Murray, R.M., Englund, A., Abi-Dargham, A., Lewis, D.A., Di Forti, M., Davies, C., Sherif, M., McGuire, P. and D’Souza, D.C. (2017) ‘Cannabis-associated psychosis: Neural substrate and clinical impact’, </w:t>
      </w:r>
      <w:r w:rsidRPr="002818D9">
        <w:rPr>
          <w:rFonts w:ascii="Arial" w:hAnsi="Arial" w:cs="Arial"/>
          <w:i/>
          <w:iCs/>
          <w:sz w:val="22"/>
          <w:szCs w:val="22"/>
        </w:rPr>
        <w:t>Neuropharmacology</w:t>
      </w:r>
      <w:r w:rsidRPr="002818D9">
        <w:rPr>
          <w:rFonts w:ascii="Arial" w:hAnsi="Arial" w:cs="Arial"/>
          <w:sz w:val="22"/>
          <w:szCs w:val="22"/>
        </w:rPr>
        <w:t>, 124, pp.89–104. doi:https://doi.org/10.1016/j.neuropharm.2017.06.018.</w:t>
      </w:r>
    </w:p>
    <w:p w14:paraId="28A1D164"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Myles, N., Newall, H., Nielssen, O. and Large, M. (2012) ‘The Association between Cannabis Use and Earlier Age at Onset of Schizophrenia and other Psychoses: Meta-analysis of Possible Confounding Factors’, </w:t>
      </w:r>
      <w:r w:rsidRPr="002818D9">
        <w:rPr>
          <w:rFonts w:ascii="Arial" w:hAnsi="Arial" w:cs="Arial"/>
          <w:i/>
          <w:iCs/>
          <w:sz w:val="22"/>
          <w:szCs w:val="22"/>
        </w:rPr>
        <w:t>Current Pharmaceutical Design</w:t>
      </w:r>
      <w:r w:rsidRPr="002818D9">
        <w:rPr>
          <w:rFonts w:ascii="Arial" w:hAnsi="Arial" w:cs="Arial"/>
          <w:sz w:val="22"/>
          <w:szCs w:val="22"/>
        </w:rPr>
        <w:t>, 18(32), pp.5055–5069. doi:https://doi.org/10.2174/138161212802884816.</w:t>
      </w:r>
    </w:p>
    <w:p w14:paraId="62EAB4EE"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National Collaborating Centre for Mental Health (UK) (2011) </w:t>
      </w:r>
      <w:r w:rsidRPr="002818D9">
        <w:rPr>
          <w:rFonts w:ascii="Arial" w:hAnsi="Arial" w:cs="Arial"/>
          <w:i/>
          <w:iCs/>
          <w:sz w:val="22"/>
          <w:szCs w:val="22"/>
        </w:rPr>
        <w:t xml:space="preserve">Psychosis with co-existing substance misuse: assessment and management in adults and young people. NICE Clinical </w:t>
      </w:r>
      <w:r w:rsidRPr="002818D9">
        <w:rPr>
          <w:rFonts w:ascii="Arial" w:hAnsi="Arial" w:cs="Arial"/>
          <w:i/>
          <w:iCs/>
          <w:sz w:val="22"/>
          <w:szCs w:val="22"/>
        </w:rPr>
        <w:lastRenderedPageBreak/>
        <w:t>Guideline 120.</w:t>
      </w:r>
      <w:r w:rsidRPr="002818D9">
        <w:rPr>
          <w:rFonts w:ascii="Arial" w:hAnsi="Arial" w:cs="Arial"/>
          <w:sz w:val="22"/>
          <w:szCs w:val="22"/>
        </w:rPr>
        <w:t xml:space="preserve"> Leicester: British Psychological Society. Available at: </w:t>
      </w:r>
      <w:hyperlink r:id="rId15" w:tgtFrame="_new" w:history="1">
        <w:r w:rsidRPr="002818D9">
          <w:rPr>
            <w:rStyle w:val="Hyperlink"/>
            <w:rFonts w:ascii="Arial" w:hAnsi="Arial" w:cs="Arial"/>
            <w:sz w:val="22"/>
            <w:szCs w:val="22"/>
          </w:rPr>
          <w:t>https://www.ncbi.nlm.nih.gov/books/NBK109796/</w:t>
        </w:r>
      </w:hyperlink>
      <w:r w:rsidRPr="002818D9">
        <w:rPr>
          <w:rFonts w:ascii="Arial" w:hAnsi="Arial" w:cs="Arial"/>
          <w:sz w:val="22"/>
          <w:szCs w:val="22"/>
        </w:rPr>
        <w:t xml:space="preserve"> (Accessed: 28 October 2025).</w:t>
      </w:r>
    </w:p>
    <w:p w14:paraId="612BF2DD"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National Collaborating Centre for Mental Health UK (2019) </w:t>
      </w:r>
      <w:r w:rsidRPr="002818D9">
        <w:rPr>
          <w:rFonts w:ascii="Arial" w:hAnsi="Arial" w:cs="Arial"/>
          <w:i/>
          <w:iCs/>
          <w:sz w:val="22"/>
          <w:szCs w:val="22"/>
        </w:rPr>
        <w:t>Introduction to drug misuse</w:t>
      </w:r>
      <w:r w:rsidRPr="002818D9">
        <w:rPr>
          <w:rFonts w:ascii="Arial" w:hAnsi="Arial" w:cs="Arial"/>
          <w:sz w:val="22"/>
          <w:szCs w:val="22"/>
        </w:rPr>
        <w:t xml:space="preserve">. Available at: </w:t>
      </w:r>
      <w:hyperlink r:id="rId16" w:history="1">
        <w:r w:rsidRPr="002818D9">
          <w:rPr>
            <w:rStyle w:val="Hyperlink"/>
            <w:rFonts w:ascii="Arial" w:hAnsi="Arial" w:cs="Arial"/>
            <w:sz w:val="22"/>
            <w:szCs w:val="22"/>
          </w:rPr>
          <w:t>https://www.ncbi.nlm.nih.gov/books/NBK53217/</w:t>
        </w:r>
      </w:hyperlink>
      <w:r w:rsidRPr="002818D9">
        <w:rPr>
          <w:rFonts w:ascii="Arial" w:hAnsi="Arial" w:cs="Arial"/>
          <w:sz w:val="22"/>
          <w:szCs w:val="22"/>
        </w:rPr>
        <w:t xml:space="preserve"> (Accessed: 27 October 2025).</w:t>
      </w:r>
    </w:p>
    <w:p w14:paraId="6E10F168"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National Institute for Health and Care Excellence (2009)  </w:t>
      </w:r>
      <w:r w:rsidRPr="002818D9">
        <w:rPr>
          <w:rFonts w:ascii="Arial" w:hAnsi="Arial" w:cs="Arial"/>
          <w:i/>
          <w:iCs/>
          <w:sz w:val="22"/>
          <w:szCs w:val="22"/>
        </w:rPr>
        <w:t>Psychosis in conjunction with substance misuse: the assessment and management of psychosis with substance misuse – final scope</w:t>
      </w:r>
      <w:r w:rsidRPr="002818D9">
        <w:rPr>
          <w:rFonts w:ascii="Arial" w:hAnsi="Arial" w:cs="Arial"/>
          <w:sz w:val="22"/>
          <w:szCs w:val="22"/>
        </w:rPr>
        <w:t xml:space="preserve">.  Available at: </w:t>
      </w:r>
      <w:hyperlink r:id="rId17" w:tgtFrame="_new" w:history="1">
        <w:r w:rsidRPr="002818D9">
          <w:rPr>
            <w:rStyle w:val="Hyperlink"/>
            <w:rFonts w:ascii="Arial" w:hAnsi="Arial" w:cs="Arial"/>
            <w:sz w:val="22"/>
            <w:szCs w:val="22"/>
          </w:rPr>
          <w:t>https://www.nice.org.uk/guidance/cg120/documents/psychosis-with-substance-misuse-final-scope2</w:t>
        </w:r>
      </w:hyperlink>
      <w:r w:rsidRPr="002818D9">
        <w:rPr>
          <w:rFonts w:ascii="Arial" w:hAnsi="Arial" w:cs="Arial"/>
          <w:sz w:val="22"/>
          <w:szCs w:val="22"/>
        </w:rPr>
        <w:t xml:space="preserve"> (Accessed: 27 October 2025).</w:t>
      </w:r>
    </w:p>
    <w:p w14:paraId="1B0A1CEB"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National Institute for Health and Care Excellence (2011) </w:t>
      </w:r>
      <w:r w:rsidRPr="002818D9">
        <w:rPr>
          <w:rFonts w:ascii="Arial" w:hAnsi="Arial" w:cs="Arial"/>
          <w:i/>
          <w:iCs/>
          <w:sz w:val="22"/>
          <w:szCs w:val="22"/>
        </w:rPr>
        <w:t>Overview | Coexisting severe mental illness (psychosis) and substance misuse: assessment and management in healthcare settings | Guidance | NICE</w:t>
      </w:r>
      <w:r w:rsidRPr="002818D9">
        <w:rPr>
          <w:rFonts w:ascii="Arial" w:hAnsi="Arial" w:cs="Arial"/>
          <w:sz w:val="22"/>
          <w:szCs w:val="22"/>
        </w:rPr>
        <w:t xml:space="preserve">. Available at: </w:t>
      </w:r>
      <w:hyperlink r:id="rId18" w:history="1">
        <w:r w:rsidRPr="002818D9">
          <w:rPr>
            <w:rStyle w:val="Hyperlink"/>
            <w:rFonts w:ascii="Arial" w:hAnsi="Arial" w:cs="Arial"/>
            <w:sz w:val="22"/>
            <w:szCs w:val="22"/>
          </w:rPr>
          <w:t>https://www.nice.org.uk/guidance/cg120</w:t>
        </w:r>
      </w:hyperlink>
      <w:r w:rsidRPr="002818D9">
        <w:rPr>
          <w:rFonts w:ascii="Arial" w:hAnsi="Arial" w:cs="Arial"/>
          <w:sz w:val="22"/>
          <w:szCs w:val="22"/>
        </w:rPr>
        <w:t xml:space="preserve"> (Accessed: 28 October 2025). </w:t>
      </w:r>
    </w:p>
    <w:p w14:paraId="6E0419D7"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National Institute for Health and Care Excellence (2014) </w:t>
      </w:r>
      <w:r w:rsidRPr="002818D9">
        <w:rPr>
          <w:rFonts w:ascii="Arial" w:hAnsi="Arial" w:cs="Arial"/>
          <w:i/>
          <w:iCs/>
          <w:sz w:val="22"/>
          <w:szCs w:val="22"/>
        </w:rPr>
        <w:t>Psychosis and schizophrenia in adults: prevention and management</w:t>
      </w:r>
      <w:r w:rsidRPr="002818D9">
        <w:rPr>
          <w:rFonts w:ascii="Arial" w:hAnsi="Arial" w:cs="Arial"/>
          <w:sz w:val="22"/>
          <w:szCs w:val="22"/>
        </w:rPr>
        <w:t xml:space="preserve">. Clinical guideline [CG178]. Available at: </w:t>
      </w:r>
      <w:hyperlink r:id="rId19" w:history="1">
        <w:r w:rsidRPr="002818D9">
          <w:rPr>
            <w:rStyle w:val="Hyperlink"/>
            <w:rFonts w:ascii="Arial" w:hAnsi="Arial" w:cs="Arial"/>
            <w:sz w:val="22"/>
            <w:szCs w:val="22"/>
          </w:rPr>
          <w:t>https://www.nice.org.uk/guidance/CG178</w:t>
        </w:r>
      </w:hyperlink>
      <w:r w:rsidRPr="002818D9">
        <w:rPr>
          <w:rFonts w:ascii="Arial" w:hAnsi="Arial" w:cs="Arial"/>
          <w:sz w:val="22"/>
          <w:szCs w:val="22"/>
        </w:rPr>
        <w:t xml:space="preserve">  (Accessed: 28 October 2025).</w:t>
      </w:r>
    </w:p>
    <w:p w14:paraId="2E604F55"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National Institute for Health and Care Excellence (2015) </w:t>
      </w:r>
      <w:r w:rsidRPr="002818D9">
        <w:rPr>
          <w:rFonts w:ascii="Arial" w:hAnsi="Arial" w:cs="Arial"/>
          <w:i/>
          <w:iCs/>
          <w:sz w:val="22"/>
          <w:szCs w:val="22"/>
        </w:rPr>
        <w:t>Schizophrenia: Quality standard (QS80) – Quality statement 2: Cognitive behavioural therapy</w:t>
      </w:r>
      <w:r w:rsidRPr="002818D9">
        <w:rPr>
          <w:rFonts w:ascii="Arial" w:hAnsi="Arial" w:cs="Arial"/>
          <w:sz w:val="22"/>
          <w:szCs w:val="22"/>
        </w:rPr>
        <w:t xml:space="preserve">. London: NICE. Available at: </w:t>
      </w:r>
      <w:hyperlink r:id="rId20" w:tgtFrame="_new" w:history="1">
        <w:r w:rsidRPr="002818D9">
          <w:rPr>
            <w:rStyle w:val="Hyperlink"/>
            <w:rFonts w:ascii="Arial" w:hAnsi="Arial" w:cs="Arial"/>
            <w:sz w:val="22"/>
            <w:szCs w:val="22"/>
          </w:rPr>
          <w:t>https://www.nice.org.uk/guidance/qs80/chapter/quality-statement-2-cognitive-behavioural-therapy</w:t>
        </w:r>
      </w:hyperlink>
      <w:r w:rsidRPr="002818D9">
        <w:rPr>
          <w:rFonts w:ascii="Arial" w:hAnsi="Arial" w:cs="Arial"/>
          <w:sz w:val="22"/>
          <w:szCs w:val="22"/>
        </w:rPr>
        <w:t xml:space="preserve"> (Accessed: 28 October 2025).</w:t>
      </w:r>
    </w:p>
    <w:p w14:paraId="3FD03E08"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NHS (2023) </w:t>
      </w:r>
      <w:r w:rsidRPr="002818D9">
        <w:rPr>
          <w:rFonts w:ascii="Arial" w:hAnsi="Arial" w:cs="Arial"/>
          <w:i/>
          <w:iCs/>
          <w:sz w:val="22"/>
          <w:szCs w:val="22"/>
        </w:rPr>
        <w:t>Treatment - Schizophrenia</w:t>
      </w:r>
      <w:r w:rsidRPr="002818D9">
        <w:rPr>
          <w:rFonts w:ascii="Arial" w:hAnsi="Arial" w:cs="Arial"/>
          <w:sz w:val="22"/>
          <w:szCs w:val="22"/>
        </w:rPr>
        <w:t xml:space="preserve">. Available at: </w:t>
      </w:r>
      <w:hyperlink r:id="rId21" w:history="1">
        <w:r w:rsidRPr="002818D9">
          <w:rPr>
            <w:rStyle w:val="Hyperlink"/>
            <w:rFonts w:ascii="Arial" w:hAnsi="Arial" w:cs="Arial"/>
            <w:sz w:val="22"/>
            <w:szCs w:val="22"/>
          </w:rPr>
          <w:t>https://www.nhs.uk/mental-health/conditions/schizophrenia/treatment/</w:t>
        </w:r>
      </w:hyperlink>
      <w:r w:rsidRPr="002818D9">
        <w:rPr>
          <w:rFonts w:ascii="Arial" w:hAnsi="Arial" w:cs="Arial"/>
          <w:sz w:val="22"/>
          <w:szCs w:val="22"/>
        </w:rPr>
        <w:t xml:space="preserve"> (Accessed:  28 October 2025).</w:t>
      </w:r>
    </w:p>
    <w:p w14:paraId="32E87DB1"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NHS England (2016) </w:t>
      </w:r>
      <w:r w:rsidRPr="002818D9">
        <w:rPr>
          <w:rFonts w:ascii="Arial" w:hAnsi="Arial" w:cs="Arial"/>
          <w:i/>
          <w:iCs/>
          <w:sz w:val="22"/>
          <w:szCs w:val="22"/>
        </w:rPr>
        <w:t>The early intervention in psychosis (EIP) access and waiting time standard: guidance for implementation</w:t>
      </w:r>
      <w:r w:rsidRPr="002818D9">
        <w:rPr>
          <w:rFonts w:ascii="Arial" w:hAnsi="Arial" w:cs="Arial"/>
          <w:sz w:val="22"/>
          <w:szCs w:val="22"/>
        </w:rPr>
        <w:t>. Available at: </w:t>
      </w:r>
      <w:hyperlink r:id="rId22" w:tgtFrame="_blank" w:history="1">
        <w:r w:rsidRPr="002818D9">
          <w:rPr>
            <w:rStyle w:val="Hyperlink"/>
            <w:rFonts w:ascii="Arial" w:hAnsi="Arial" w:cs="Arial"/>
            <w:sz w:val="22"/>
            <w:szCs w:val="22"/>
          </w:rPr>
          <w:t>https://www.england.nhs.uk/midlands/wp-content/uploads/sites/46/2019/05/eip-guidance.pdf</w:t>
        </w:r>
      </w:hyperlink>
      <w:r w:rsidRPr="002818D9">
        <w:rPr>
          <w:rFonts w:ascii="Arial" w:hAnsi="Arial" w:cs="Arial"/>
          <w:sz w:val="22"/>
          <w:szCs w:val="22"/>
        </w:rPr>
        <w:t>  (Accessed: 28 October 2025).</w:t>
      </w:r>
    </w:p>
    <w:p w14:paraId="1C2ABF67"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NHS England (2023) </w:t>
      </w:r>
      <w:r w:rsidRPr="002818D9">
        <w:rPr>
          <w:rFonts w:ascii="Arial" w:hAnsi="Arial" w:cs="Arial"/>
          <w:i/>
          <w:iCs/>
          <w:sz w:val="22"/>
          <w:szCs w:val="22"/>
        </w:rPr>
        <w:t>Implementing the early intervention in psychosis access and waiting time standard: guidance.</w:t>
      </w:r>
      <w:r w:rsidRPr="002818D9">
        <w:rPr>
          <w:rFonts w:ascii="Arial" w:hAnsi="Arial" w:cs="Arial"/>
          <w:sz w:val="22"/>
          <w:szCs w:val="22"/>
        </w:rPr>
        <w:t xml:space="preserve"> Version 3, 16 February 2023. London: NHS England. Available at: </w:t>
      </w:r>
      <w:hyperlink r:id="rId23" w:tgtFrame="_new" w:history="1">
        <w:r w:rsidRPr="002818D9">
          <w:rPr>
            <w:rStyle w:val="Hyperlink"/>
            <w:rFonts w:ascii="Arial" w:hAnsi="Arial" w:cs="Arial"/>
            <w:sz w:val="22"/>
            <w:szCs w:val="22"/>
          </w:rPr>
          <w:t>https://www.england.nhs.uk/wp-content/uploads/2023/03/B1954-implementing-the-early-intervention-in-psychosis-access-and-waiting-time-standard.pdf</w:t>
        </w:r>
      </w:hyperlink>
      <w:r w:rsidRPr="002818D9">
        <w:rPr>
          <w:rFonts w:ascii="Arial" w:hAnsi="Arial" w:cs="Arial"/>
          <w:sz w:val="22"/>
          <w:szCs w:val="22"/>
        </w:rPr>
        <w:t xml:space="preserve"> (Accessed: 13 November 2025).</w:t>
      </w:r>
      <w:r w:rsidRPr="002818D9">
        <w:rPr>
          <w:rFonts w:ascii="Arial" w:hAnsi="Arial" w:cs="Arial"/>
          <w:sz w:val="22"/>
          <w:szCs w:val="22"/>
        </w:rPr>
        <w:br w:type="page"/>
      </w:r>
    </w:p>
    <w:p w14:paraId="2EFD8C90"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lastRenderedPageBreak/>
        <w:t>Office for National Statistics (2024) </w:t>
      </w:r>
      <w:r w:rsidRPr="002818D9">
        <w:rPr>
          <w:rFonts w:ascii="Arial" w:hAnsi="Arial" w:cs="Arial"/>
          <w:i/>
          <w:iCs/>
          <w:sz w:val="22"/>
          <w:szCs w:val="22"/>
        </w:rPr>
        <w:t>Drug misuse in England and Wales: year ending March 2024</w:t>
      </w:r>
      <w:r w:rsidRPr="002818D9">
        <w:rPr>
          <w:rFonts w:ascii="Arial" w:hAnsi="Arial" w:cs="Arial"/>
          <w:sz w:val="22"/>
          <w:szCs w:val="22"/>
        </w:rPr>
        <w:t>. Available at: </w:t>
      </w:r>
      <w:hyperlink r:id="rId24" w:tgtFrame="_blank" w:history="1">
        <w:r w:rsidRPr="002818D9">
          <w:rPr>
            <w:rStyle w:val="Hyperlink"/>
            <w:rFonts w:ascii="Arial" w:hAnsi="Arial" w:cs="Arial"/>
            <w:sz w:val="22"/>
            <w:szCs w:val="22"/>
          </w:rPr>
          <w:t>https://www.ons.gov.uk/peoplepopulationandcommunity/crimeandjustice/articles/drugmisuseinenglandandwales/yearendingmarch2024</w:t>
        </w:r>
      </w:hyperlink>
      <w:r w:rsidRPr="002818D9">
        <w:rPr>
          <w:rFonts w:ascii="Arial" w:hAnsi="Arial" w:cs="Arial"/>
          <w:sz w:val="22"/>
          <w:szCs w:val="22"/>
        </w:rPr>
        <w:t> (Accessed: 5 November 2025).</w:t>
      </w:r>
    </w:p>
    <w:p w14:paraId="5006485A"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Public Health England (2017) </w:t>
      </w:r>
      <w:r w:rsidRPr="002818D9">
        <w:rPr>
          <w:rFonts w:ascii="Arial" w:hAnsi="Arial" w:cs="Arial"/>
          <w:i/>
          <w:iCs/>
          <w:sz w:val="22"/>
          <w:szCs w:val="22"/>
        </w:rPr>
        <w:t>Better care for people with co-occurring mental health and alcohol/drug use conditions: A guide for commissioners and service providers</w:t>
      </w:r>
      <w:r w:rsidRPr="002818D9">
        <w:rPr>
          <w:rFonts w:ascii="Arial" w:hAnsi="Arial" w:cs="Arial"/>
          <w:sz w:val="22"/>
          <w:szCs w:val="22"/>
        </w:rPr>
        <w:t xml:space="preserve">. London: PHE. Available at: </w:t>
      </w:r>
      <w:hyperlink r:id="rId25" w:tgtFrame="_new" w:history="1">
        <w:r w:rsidRPr="002818D9">
          <w:rPr>
            <w:rStyle w:val="Hyperlink"/>
            <w:rFonts w:ascii="Arial" w:hAnsi="Arial" w:cs="Arial"/>
            <w:sz w:val="22"/>
            <w:szCs w:val="22"/>
          </w:rPr>
          <w:t>https://assets.publishing.service.gov.uk/media/5a75b781ed915d6faf2b5276/Co-occurring_mental_health_and_alcohol_drug_use_conditions.pdf</w:t>
        </w:r>
      </w:hyperlink>
      <w:r w:rsidRPr="002818D9">
        <w:rPr>
          <w:rFonts w:ascii="Arial" w:hAnsi="Arial" w:cs="Arial"/>
          <w:sz w:val="22"/>
          <w:szCs w:val="22"/>
        </w:rPr>
        <w:t xml:space="preserve"> (Accessed: 28 October 2025).</w:t>
      </w:r>
    </w:p>
    <w:p w14:paraId="1C128EF2"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Sarkis-Onofre, R., Catalá-López, F., Aromataris, E. and Lockwood, C. (2021) ‘How to Properly Use the PRISMA Statement’, </w:t>
      </w:r>
      <w:r w:rsidRPr="002818D9">
        <w:rPr>
          <w:rFonts w:ascii="Arial" w:hAnsi="Arial" w:cs="Arial"/>
          <w:i/>
          <w:iCs/>
          <w:sz w:val="22"/>
          <w:szCs w:val="22"/>
        </w:rPr>
        <w:t>Systematic Reviews</w:t>
      </w:r>
      <w:r w:rsidRPr="002818D9">
        <w:rPr>
          <w:rFonts w:ascii="Arial" w:hAnsi="Arial" w:cs="Arial"/>
          <w:sz w:val="22"/>
          <w:szCs w:val="22"/>
        </w:rPr>
        <w:t>,10(1). doi:https://doi.org/10.1186/s13643-021-01671-z.</w:t>
      </w:r>
    </w:p>
    <w:p w14:paraId="0F02A31F"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Turner, S., Mota, N., Bolton, J. and Sareen, J. (2018) 'Self-medication with alcohol or drugs for mood and anxiety disorders: A narrative review of the epidemiological literature', </w:t>
      </w:r>
      <w:r w:rsidRPr="002818D9">
        <w:rPr>
          <w:rFonts w:ascii="Arial" w:hAnsi="Arial" w:cs="Arial"/>
          <w:i/>
          <w:iCs/>
          <w:sz w:val="22"/>
          <w:szCs w:val="22"/>
        </w:rPr>
        <w:t>Depression and Anxiety</w:t>
      </w:r>
      <w:r w:rsidRPr="002818D9">
        <w:rPr>
          <w:rFonts w:ascii="Arial" w:hAnsi="Arial" w:cs="Arial"/>
          <w:sz w:val="22"/>
          <w:szCs w:val="22"/>
        </w:rPr>
        <w:t>, 35(9), pp. 851-860. Available at: </w:t>
      </w:r>
      <w:hyperlink r:id="rId26" w:tgtFrame="_blank" w:history="1">
        <w:r w:rsidRPr="002818D9">
          <w:rPr>
            <w:rStyle w:val="Hyperlink"/>
            <w:rFonts w:ascii="Arial" w:hAnsi="Arial" w:cs="Arial"/>
            <w:sz w:val="22"/>
            <w:szCs w:val="22"/>
          </w:rPr>
          <w:t>https://www.ncbi.nlm.nih.gov/pmc/articles/PMC6175215/</w:t>
        </w:r>
      </w:hyperlink>
      <w:r w:rsidRPr="002818D9">
        <w:rPr>
          <w:rFonts w:ascii="Arial" w:hAnsi="Arial" w:cs="Arial"/>
          <w:sz w:val="22"/>
          <w:szCs w:val="22"/>
        </w:rPr>
        <w:t> (Accessed: 5 November 2025).</w:t>
      </w:r>
    </w:p>
    <w:p w14:paraId="7338A17E"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Vaucher, J., Keating, B.J., Lasserre, A.M., Gan, W., Lyall, D.M., Ward, J., Smith, D.J., Pell, J.P., Sattar, N., Paré, G. and Holmes, M.V. (2017) ‘Cannabis use and risk of schizophrenia: a Mendelian randomisation study’. </w:t>
      </w:r>
      <w:r w:rsidRPr="002818D9">
        <w:rPr>
          <w:rFonts w:ascii="Arial" w:hAnsi="Arial" w:cs="Arial"/>
          <w:i/>
          <w:iCs/>
          <w:sz w:val="22"/>
          <w:szCs w:val="22"/>
        </w:rPr>
        <w:t>Molecular Psychiatry</w:t>
      </w:r>
      <w:r w:rsidRPr="002818D9">
        <w:rPr>
          <w:rFonts w:ascii="Arial" w:hAnsi="Arial" w:cs="Arial"/>
          <w:sz w:val="22"/>
          <w:szCs w:val="22"/>
        </w:rPr>
        <w:t>, 23(5), pp.1287–1292. doi:https://doi.org/10.1038/mp.2016.252.</w:t>
      </w:r>
    </w:p>
    <w:p w14:paraId="5E9858AE"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Wainberg, M., Jacobs, G.R., di Forti, M. and Tripathy, S.J. (2021) ‘Cannabis, schizophrenia genetic risk, and psychotic experiences: a cross-sectional study of 109,308 participants from the UK Biobank’, </w:t>
      </w:r>
      <w:r w:rsidRPr="002818D9">
        <w:rPr>
          <w:rFonts w:ascii="Arial" w:hAnsi="Arial" w:cs="Arial"/>
          <w:i/>
          <w:iCs/>
          <w:sz w:val="22"/>
          <w:szCs w:val="22"/>
        </w:rPr>
        <w:t>Translational Psychiatry</w:t>
      </w:r>
      <w:r w:rsidRPr="002818D9">
        <w:rPr>
          <w:rFonts w:ascii="Arial" w:hAnsi="Arial" w:cs="Arial"/>
          <w:sz w:val="22"/>
          <w:szCs w:val="22"/>
        </w:rPr>
        <w:t>, [online] 11(1). doi:https://doi.org/10.1038/s41398-021-01330-w.</w:t>
      </w:r>
    </w:p>
    <w:p w14:paraId="158EF96F"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 xml:space="preserve">Wilson, J., Freeman, T.P. and Mackie, C.J. (2019) ‘Effects of increasing cannabis potency on adolescent health’, </w:t>
      </w:r>
      <w:r w:rsidRPr="002818D9">
        <w:rPr>
          <w:rFonts w:ascii="Arial" w:hAnsi="Arial" w:cs="Arial"/>
          <w:i/>
          <w:iCs/>
          <w:sz w:val="22"/>
          <w:szCs w:val="22"/>
        </w:rPr>
        <w:t>The Lancet Child &amp; Adolescent Health</w:t>
      </w:r>
      <w:r w:rsidRPr="002818D9">
        <w:rPr>
          <w:rFonts w:ascii="Arial" w:hAnsi="Arial" w:cs="Arial"/>
          <w:sz w:val="22"/>
          <w:szCs w:val="22"/>
        </w:rPr>
        <w:t>, 3(2), pp.121–128. doi:https://doi.org/10.1016/s2352-4642(18)30342-0.</w:t>
      </w:r>
    </w:p>
    <w:p w14:paraId="2903D238"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World Health Organisation (2022) </w:t>
      </w:r>
      <w:r w:rsidRPr="002818D9">
        <w:rPr>
          <w:rFonts w:ascii="Arial" w:hAnsi="Arial" w:cs="Arial"/>
          <w:i/>
          <w:iCs/>
          <w:sz w:val="22"/>
          <w:szCs w:val="22"/>
        </w:rPr>
        <w:t>Schizophrenia</w:t>
      </w:r>
      <w:r w:rsidRPr="002818D9">
        <w:rPr>
          <w:rFonts w:ascii="Arial" w:hAnsi="Arial" w:cs="Arial"/>
          <w:sz w:val="22"/>
          <w:szCs w:val="22"/>
        </w:rPr>
        <w:t>. Available at: </w:t>
      </w:r>
      <w:hyperlink r:id="rId27" w:tgtFrame="_blank" w:history="1">
        <w:r w:rsidRPr="002818D9">
          <w:rPr>
            <w:rStyle w:val="Hyperlink"/>
            <w:rFonts w:ascii="Arial" w:hAnsi="Arial" w:cs="Arial"/>
            <w:sz w:val="22"/>
            <w:szCs w:val="22"/>
          </w:rPr>
          <w:t>https://www.who.int/news-room/fact-sheets/detail/schizophrenia</w:t>
        </w:r>
      </w:hyperlink>
      <w:r w:rsidRPr="002818D9">
        <w:rPr>
          <w:rFonts w:ascii="Arial" w:hAnsi="Arial" w:cs="Arial"/>
          <w:sz w:val="22"/>
          <w:szCs w:val="22"/>
        </w:rPr>
        <w:t> (Accessed: 27 October 2025).</w:t>
      </w:r>
    </w:p>
    <w:p w14:paraId="12A47F58" w14:textId="77777777" w:rsidR="00FD3C1F" w:rsidRPr="002818D9" w:rsidRDefault="00FD3C1F" w:rsidP="002818D9">
      <w:pPr>
        <w:spacing w:line="360" w:lineRule="auto"/>
        <w:rPr>
          <w:rFonts w:ascii="Arial" w:hAnsi="Arial" w:cs="Arial"/>
          <w:sz w:val="22"/>
          <w:szCs w:val="22"/>
        </w:rPr>
      </w:pPr>
      <w:r w:rsidRPr="002818D9">
        <w:rPr>
          <w:rFonts w:ascii="Arial" w:hAnsi="Arial" w:cs="Arial"/>
          <w:sz w:val="22"/>
          <w:szCs w:val="22"/>
        </w:rPr>
        <w:t>Zacher, J.M. (2022) 'UK National Schizophrenia Awareness Day 2022 - A mental illness in need of destigmatization', </w:t>
      </w:r>
      <w:r w:rsidRPr="002818D9">
        <w:rPr>
          <w:rFonts w:ascii="Arial" w:hAnsi="Arial" w:cs="Arial"/>
          <w:i/>
          <w:iCs/>
          <w:sz w:val="22"/>
          <w:szCs w:val="22"/>
        </w:rPr>
        <w:t>Monsenso</w:t>
      </w:r>
      <w:r w:rsidRPr="002818D9">
        <w:rPr>
          <w:rFonts w:ascii="Arial" w:hAnsi="Arial" w:cs="Arial"/>
          <w:sz w:val="22"/>
          <w:szCs w:val="22"/>
        </w:rPr>
        <w:t>, 25 July. Available at: </w:t>
      </w:r>
      <w:hyperlink r:id="rId28" w:tgtFrame="_blank" w:history="1">
        <w:r w:rsidRPr="002818D9">
          <w:rPr>
            <w:rStyle w:val="Hyperlink"/>
            <w:rFonts w:ascii="Arial" w:hAnsi="Arial" w:cs="Arial"/>
            <w:sz w:val="22"/>
            <w:szCs w:val="22"/>
          </w:rPr>
          <w:t>https://www.monsenso.com/uk-national-schizophrenia-awareness-day-2022-a-mental-illness-in-need-of-destigmatization/</w:t>
        </w:r>
      </w:hyperlink>
      <w:r w:rsidRPr="002818D9">
        <w:rPr>
          <w:rFonts w:ascii="Arial" w:hAnsi="Arial" w:cs="Arial"/>
          <w:sz w:val="22"/>
          <w:szCs w:val="22"/>
        </w:rPr>
        <w:t xml:space="preserve"> (Accessed: 27 October 2025).</w:t>
      </w:r>
    </w:p>
    <w:sectPr w:rsidR="00FD3C1F" w:rsidRPr="002818D9">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A8F456" w14:textId="77777777" w:rsidR="00154A02" w:rsidRDefault="00154A02" w:rsidP="007C1939">
      <w:pPr>
        <w:spacing w:after="0" w:line="240" w:lineRule="auto"/>
      </w:pPr>
      <w:r>
        <w:separator/>
      </w:r>
    </w:p>
  </w:endnote>
  <w:endnote w:type="continuationSeparator" w:id="0">
    <w:p w14:paraId="3E8E47F5" w14:textId="77777777" w:rsidR="00154A02" w:rsidRDefault="00154A02" w:rsidP="007C1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8411750"/>
      <w:docPartObj>
        <w:docPartGallery w:val="Page Numbers (Bottom of Page)"/>
        <w:docPartUnique/>
      </w:docPartObj>
    </w:sdtPr>
    <w:sdtContent>
      <w:p w14:paraId="755D2E70" w14:textId="608E35D6" w:rsidR="007C1939" w:rsidRDefault="007C1939">
        <w:pPr>
          <w:pStyle w:val="Footer"/>
          <w:jc w:val="right"/>
        </w:pPr>
        <w:r>
          <w:fldChar w:fldCharType="begin"/>
        </w:r>
        <w:r>
          <w:instrText>PAGE   \* MERGEFORMAT</w:instrText>
        </w:r>
        <w:r>
          <w:fldChar w:fldCharType="separate"/>
        </w:r>
        <w:r>
          <w:t>2</w:t>
        </w:r>
        <w:r>
          <w:fldChar w:fldCharType="end"/>
        </w:r>
      </w:p>
    </w:sdtContent>
  </w:sdt>
  <w:p w14:paraId="2FD890AF" w14:textId="77777777" w:rsidR="007C1939" w:rsidRDefault="007C1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887F89" w14:textId="77777777" w:rsidR="00154A02" w:rsidRDefault="00154A02" w:rsidP="007C1939">
      <w:pPr>
        <w:spacing w:after="0" w:line="240" w:lineRule="auto"/>
      </w:pPr>
      <w:r>
        <w:separator/>
      </w:r>
    </w:p>
  </w:footnote>
  <w:footnote w:type="continuationSeparator" w:id="0">
    <w:p w14:paraId="60EC5728" w14:textId="77777777" w:rsidR="00154A02" w:rsidRDefault="00154A02" w:rsidP="007C19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2715C"/>
    <w:multiLevelType w:val="multilevel"/>
    <w:tmpl w:val="42482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F106B"/>
    <w:multiLevelType w:val="multilevel"/>
    <w:tmpl w:val="0FF2F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36756E"/>
    <w:multiLevelType w:val="multilevel"/>
    <w:tmpl w:val="B16E7D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531AC5"/>
    <w:multiLevelType w:val="multilevel"/>
    <w:tmpl w:val="7E26D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0B46F5"/>
    <w:multiLevelType w:val="hybridMultilevel"/>
    <w:tmpl w:val="D2F45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9C20D5"/>
    <w:multiLevelType w:val="hybridMultilevel"/>
    <w:tmpl w:val="61BAB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934A64"/>
    <w:multiLevelType w:val="multilevel"/>
    <w:tmpl w:val="5D420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641B7A"/>
    <w:multiLevelType w:val="multilevel"/>
    <w:tmpl w:val="7562A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B86948"/>
    <w:multiLevelType w:val="hybridMultilevel"/>
    <w:tmpl w:val="FAB478B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692C02D0"/>
    <w:multiLevelType w:val="hybridMultilevel"/>
    <w:tmpl w:val="6FEC2710"/>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0" w15:restartNumberingAfterBreak="0">
    <w:nsid w:val="76D40140"/>
    <w:multiLevelType w:val="multilevel"/>
    <w:tmpl w:val="60949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236038">
    <w:abstractNumId w:val="3"/>
  </w:num>
  <w:num w:numId="2" w16cid:durableId="228150773">
    <w:abstractNumId w:val="6"/>
  </w:num>
  <w:num w:numId="3" w16cid:durableId="827552409">
    <w:abstractNumId w:val="7"/>
  </w:num>
  <w:num w:numId="4" w16cid:durableId="1033114050">
    <w:abstractNumId w:val="9"/>
  </w:num>
  <w:num w:numId="5" w16cid:durableId="368647622">
    <w:abstractNumId w:val="8"/>
  </w:num>
  <w:num w:numId="6" w16cid:durableId="1339967470">
    <w:abstractNumId w:val="5"/>
  </w:num>
  <w:num w:numId="7" w16cid:durableId="1499274581">
    <w:abstractNumId w:val="2"/>
  </w:num>
  <w:num w:numId="8" w16cid:durableId="173499032">
    <w:abstractNumId w:val="1"/>
  </w:num>
  <w:num w:numId="9" w16cid:durableId="774978071">
    <w:abstractNumId w:val="0"/>
  </w:num>
  <w:num w:numId="10" w16cid:durableId="734009970">
    <w:abstractNumId w:val="10"/>
  </w:num>
  <w:num w:numId="11" w16cid:durableId="8287154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A3E"/>
    <w:rsid w:val="00002610"/>
    <w:rsid w:val="000076AF"/>
    <w:rsid w:val="000168C0"/>
    <w:rsid w:val="00023346"/>
    <w:rsid w:val="00031DE6"/>
    <w:rsid w:val="00043869"/>
    <w:rsid w:val="0004585A"/>
    <w:rsid w:val="000666A9"/>
    <w:rsid w:val="00073F57"/>
    <w:rsid w:val="000820FB"/>
    <w:rsid w:val="000834A8"/>
    <w:rsid w:val="000A148C"/>
    <w:rsid w:val="000C7300"/>
    <w:rsid w:val="000C73DA"/>
    <w:rsid w:val="000D3DBA"/>
    <w:rsid w:val="000D5503"/>
    <w:rsid w:val="000D77A6"/>
    <w:rsid w:val="000E12A1"/>
    <w:rsid w:val="000E189C"/>
    <w:rsid w:val="000E3033"/>
    <w:rsid w:val="000F3D14"/>
    <w:rsid w:val="00104CCE"/>
    <w:rsid w:val="00107901"/>
    <w:rsid w:val="00111527"/>
    <w:rsid w:val="001275C3"/>
    <w:rsid w:val="00134592"/>
    <w:rsid w:val="00141729"/>
    <w:rsid w:val="0014586E"/>
    <w:rsid w:val="00154A02"/>
    <w:rsid w:val="00157D7C"/>
    <w:rsid w:val="00160369"/>
    <w:rsid w:val="00165B6A"/>
    <w:rsid w:val="00170515"/>
    <w:rsid w:val="00176B1C"/>
    <w:rsid w:val="00176DA4"/>
    <w:rsid w:val="00185152"/>
    <w:rsid w:val="00186DEB"/>
    <w:rsid w:val="00194F62"/>
    <w:rsid w:val="001960EA"/>
    <w:rsid w:val="001A1AA6"/>
    <w:rsid w:val="001A4425"/>
    <w:rsid w:val="001A5F35"/>
    <w:rsid w:val="001B02E7"/>
    <w:rsid w:val="001B279A"/>
    <w:rsid w:val="001B50FE"/>
    <w:rsid w:val="001B792B"/>
    <w:rsid w:val="001C3165"/>
    <w:rsid w:val="001C4189"/>
    <w:rsid w:val="001C41D7"/>
    <w:rsid w:val="001C48DB"/>
    <w:rsid w:val="001D0EE7"/>
    <w:rsid w:val="001D1335"/>
    <w:rsid w:val="001D2735"/>
    <w:rsid w:val="001E0312"/>
    <w:rsid w:val="001E7972"/>
    <w:rsid w:val="001F4220"/>
    <w:rsid w:val="001F5AD0"/>
    <w:rsid w:val="001F72A6"/>
    <w:rsid w:val="00204180"/>
    <w:rsid w:val="0021093E"/>
    <w:rsid w:val="00221E72"/>
    <w:rsid w:val="00226FA5"/>
    <w:rsid w:val="002378E9"/>
    <w:rsid w:val="0024138C"/>
    <w:rsid w:val="00241977"/>
    <w:rsid w:val="0027152D"/>
    <w:rsid w:val="00276267"/>
    <w:rsid w:val="002809BF"/>
    <w:rsid w:val="002810B4"/>
    <w:rsid w:val="002818D9"/>
    <w:rsid w:val="00282153"/>
    <w:rsid w:val="002862F4"/>
    <w:rsid w:val="002866FE"/>
    <w:rsid w:val="00287A41"/>
    <w:rsid w:val="002A291F"/>
    <w:rsid w:val="002A6D85"/>
    <w:rsid w:val="002B0195"/>
    <w:rsid w:val="002B1B15"/>
    <w:rsid w:val="002C5856"/>
    <w:rsid w:val="002D10E7"/>
    <w:rsid w:val="002D37AE"/>
    <w:rsid w:val="002D393D"/>
    <w:rsid w:val="002E60AB"/>
    <w:rsid w:val="002E6882"/>
    <w:rsid w:val="002F0F54"/>
    <w:rsid w:val="002F6F1E"/>
    <w:rsid w:val="00303064"/>
    <w:rsid w:val="00303904"/>
    <w:rsid w:val="00304103"/>
    <w:rsid w:val="00310973"/>
    <w:rsid w:val="003210BF"/>
    <w:rsid w:val="003310BB"/>
    <w:rsid w:val="00333E5E"/>
    <w:rsid w:val="00345B25"/>
    <w:rsid w:val="00357954"/>
    <w:rsid w:val="00360290"/>
    <w:rsid w:val="00364C4C"/>
    <w:rsid w:val="00365542"/>
    <w:rsid w:val="003674EE"/>
    <w:rsid w:val="003702C1"/>
    <w:rsid w:val="0038457B"/>
    <w:rsid w:val="00390FF3"/>
    <w:rsid w:val="003933B3"/>
    <w:rsid w:val="00395079"/>
    <w:rsid w:val="003A06B2"/>
    <w:rsid w:val="003A30B1"/>
    <w:rsid w:val="003A32DC"/>
    <w:rsid w:val="003A619B"/>
    <w:rsid w:val="003B4ECA"/>
    <w:rsid w:val="003B7717"/>
    <w:rsid w:val="003C2639"/>
    <w:rsid w:val="003C6157"/>
    <w:rsid w:val="003D0675"/>
    <w:rsid w:val="003E1638"/>
    <w:rsid w:val="003E6770"/>
    <w:rsid w:val="003E73E5"/>
    <w:rsid w:val="003F623A"/>
    <w:rsid w:val="00403107"/>
    <w:rsid w:val="0043484F"/>
    <w:rsid w:val="004358F4"/>
    <w:rsid w:val="0046506F"/>
    <w:rsid w:val="0046514E"/>
    <w:rsid w:val="00466D8A"/>
    <w:rsid w:val="00474DD3"/>
    <w:rsid w:val="00477A01"/>
    <w:rsid w:val="00482650"/>
    <w:rsid w:val="004875D2"/>
    <w:rsid w:val="00487712"/>
    <w:rsid w:val="004924A9"/>
    <w:rsid w:val="00493095"/>
    <w:rsid w:val="004A1200"/>
    <w:rsid w:val="004A1707"/>
    <w:rsid w:val="004A4191"/>
    <w:rsid w:val="004A75B3"/>
    <w:rsid w:val="004C03AE"/>
    <w:rsid w:val="004C13BA"/>
    <w:rsid w:val="004D2520"/>
    <w:rsid w:val="004D37CA"/>
    <w:rsid w:val="004D6E7D"/>
    <w:rsid w:val="004E4C76"/>
    <w:rsid w:val="004F383C"/>
    <w:rsid w:val="00500985"/>
    <w:rsid w:val="005034C0"/>
    <w:rsid w:val="0051614B"/>
    <w:rsid w:val="0052252B"/>
    <w:rsid w:val="00531B0F"/>
    <w:rsid w:val="00532B74"/>
    <w:rsid w:val="00535585"/>
    <w:rsid w:val="005433A3"/>
    <w:rsid w:val="00547B47"/>
    <w:rsid w:val="005725E5"/>
    <w:rsid w:val="00586D0F"/>
    <w:rsid w:val="00596B48"/>
    <w:rsid w:val="005A0C6C"/>
    <w:rsid w:val="005A1F2A"/>
    <w:rsid w:val="005A777C"/>
    <w:rsid w:val="005B2584"/>
    <w:rsid w:val="005B6438"/>
    <w:rsid w:val="005C1537"/>
    <w:rsid w:val="005C1D11"/>
    <w:rsid w:val="005C1EEC"/>
    <w:rsid w:val="005F4EB6"/>
    <w:rsid w:val="00613384"/>
    <w:rsid w:val="006165B2"/>
    <w:rsid w:val="006204D2"/>
    <w:rsid w:val="00624538"/>
    <w:rsid w:val="00625AC6"/>
    <w:rsid w:val="00637BF6"/>
    <w:rsid w:val="00645B59"/>
    <w:rsid w:val="006606F7"/>
    <w:rsid w:val="006648B5"/>
    <w:rsid w:val="0067394D"/>
    <w:rsid w:val="00684FD0"/>
    <w:rsid w:val="00686ECB"/>
    <w:rsid w:val="00690C2A"/>
    <w:rsid w:val="00692ADF"/>
    <w:rsid w:val="00695F48"/>
    <w:rsid w:val="006A1EC3"/>
    <w:rsid w:val="006A379A"/>
    <w:rsid w:val="006B0FB9"/>
    <w:rsid w:val="006B32D0"/>
    <w:rsid w:val="006B3D0B"/>
    <w:rsid w:val="006B4D2F"/>
    <w:rsid w:val="006B5871"/>
    <w:rsid w:val="006C5446"/>
    <w:rsid w:val="006C7275"/>
    <w:rsid w:val="006C7B2B"/>
    <w:rsid w:val="006D3BD3"/>
    <w:rsid w:val="006D6B93"/>
    <w:rsid w:val="006E1D83"/>
    <w:rsid w:val="006F67F9"/>
    <w:rsid w:val="007016E2"/>
    <w:rsid w:val="00704207"/>
    <w:rsid w:val="00705A05"/>
    <w:rsid w:val="00710B32"/>
    <w:rsid w:val="007119B7"/>
    <w:rsid w:val="0071574E"/>
    <w:rsid w:val="0072711E"/>
    <w:rsid w:val="00731DD5"/>
    <w:rsid w:val="00732291"/>
    <w:rsid w:val="00732A19"/>
    <w:rsid w:val="007342B8"/>
    <w:rsid w:val="007438D2"/>
    <w:rsid w:val="00746588"/>
    <w:rsid w:val="0077243F"/>
    <w:rsid w:val="00774D7F"/>
    <w:rsid w:val="00775456"/>
    <w:rsid w:val="007809C4"/>
    <w:rsid w:val="00782356"/>
    <w:rsid w:val="00786515"/>
    <w:rsid w:val="00796EC6"/>
    <w:rsid w:val="007A6325"/>
    <w:rsid w:val="007B0551"/>
    <w:rsid w:val="007B2F97"/>
    <w:rsid w:val="007B565D"/>
    <w:rsid w:val="007C1939"/>
    <w:rsid w:val="007C3BA6"/>
    <w:rsid w:val="007C45CC"/>
    <w:rsid w:val="007D146E"/>
    <w:rsid w:val="007D1B41"/>
    <w:rsid w:val="007D5B6D"/>
    <w:rsid w:val="007D7E3F"/>
    <w:rsid w:val="007E2003"/>
    <w:rsid w:val="007F6942"/>
    <w:rsid w:val="00802997"/>
    <w:rsid w:val="008067E3"/>
    <w:rsid w:val="0081077A"/>
    <w:rsid w:val="00822006"/>
    <w:rsid w:val="008252B3"/>
    <w:rsid w:val="00836B88"/>
    <w:rsid w:val="00836C91"/>
    <w:rsid w:val="00856388"/>
    <w:rsid w:val="008601F4"/>
    <w:rsid w:val="00861B34"/>
    <w:rsid w:val="00873BAD"/>
    <w:rsid w:val="0087615B"/>
    <w:rsid w:val="00877456"/>
    <w:rsid w:val="008866E8"/>
    <w:rsid w:val="0089626C"/>
    <w:rsid w:val="00896B7C"/>
    <w:rsid w:val="008A0305"/>
    <w:rsid w:val="008A05BC"/>
    <w:rsid w:val="008B04C0"/>
    <w:rsid w:val="008B502C"/>
    <w:rsid w:val="008C57FE"/>
    <w:rsid w:val="008D2258"/>
    <w:rsid w:val="008D65DC"/>
    <w:rsid w:val="008E1B20"/>
    <w:rsid w:val="008F05A4"/>
    <w:rsid w:val="008F0F3F"/>
    <w:rsid w:val="008F1A3E"/>
    <w:rsid w:val="008F1E4E"/>
    <w:rsid w:val="00912640"/>
    <w:rsid w:val="00916EBD"/>
    <w:rsid w:val="00922066"/>
    <w:rsid w:val="00925C21"/>
    <w:rsid w:val="0094200E"/>
    <w:rsid w:val="0095144D"/>
    <w:rsid w:val="00952584"/>
    <w:rsid w:val="00960303"/>
    <w:rsid w:val="0097315A"/>
    <w:rsid w:val="00974F81"/>
    <w:rsid w:val="00975A0B"/>
    <w:rsid w:val="009854AD"/>
    <w:rsid w:val="00987D25"/>
    <w:rsid w:val="009929EC"/>
    <w:rsid w:val="009A1BE8"/>
    <w:rsid w:val="009B4897"/>
    <w:rsid w:val="009D2670"/>
    <w:rsid w:val="009E16C8"/>
    <w:rsid w:val="00A06223"/>
    <w:rsid w:val="00A112F7"/>
    <w:rsid w:val="00A22567"/>
    <w:rsid w:val="00A25F00"/>
    <w:rsid w:val="00A440EA"/>
    <w:rsid w:val="00A52AF9"/>
    <w:rsid w:val="00A61BCD"/>
    <w:rsid w:val="00A83418"/>
    <w:rsid w:val="00A849C0"/>
    <w:rsid w:val="00A9327E"/>
    <w:rsid w:val="00AB3007"/>
    <w:rsid w:val="00AB6AC4"/>
    <w:rsid w:val="00AC7B24"/>
    <w:rsid w:val="00AD012E"/>
    <w:rsid w:val="00AD0DFF"/>
    <w:rsid w:val="00AD4426"/>
    <w:rsid w:val="00AE4F00"/>
    <w:rsid w:val="00AE7904"/>
    <w:rsid w:val="00AF56B4"/>
    <w:rsid w:val="00AF57DA"/>
    <w:rsid w:val="00B17668"/>
    <w:rsid w:val="00B24279"/>
    <w:rsid w:val="00B3380A"/>
    <w:rsid w:val="00B34B6E"/>
    <w:rsid w:val="00B515AE"/>
    <w:rsid w:val="00B54BBC"/>
    <w:rsid w:val="00B572C7"/>
    <w:rsid w:val="00B656E6"/>
    <w:rsid w:val="00B7648B"/>
    <w:rsid w:val="00B82B5A"/>
    <w:rsid w:val="00B91E25"/>
    <w:rsid w:val="00BA234F"/>
    <w:rsid w:val="00BA4EF9"/>
    <w:rsid w:val="00BB3203"/>
    <w:rsid w:val="00BB395F"/>
    <w:rsid w:val="00BB3982"/>
    <w:rsid w:val="00BB632D"/>
    <w:rsid w:val="00BC6A8D"/>
    <w:rsid w:val="00BD6459"/>
    <w:rsid w:val="00BE7ABB"/>
    <w:rsid w:val="00BF2DCE"/>
    <w:rsid w:val="00BF4C6C"/>
    <w:rsid w:val="00BF5881"/>
    <w:rsid w:val="00BF5F82"/>
    <w:rsid w:val="00BF6061"/>
    <w:rsid w:val="00BF7A68"/>
    <w:rsid w:val="00C1129E"/>
    <w:rsid w:val="00C1219C"/>
    <w:rsid w:val="00C36068"/>
    <w:rsid w:val="00C36A0D"/>
    <w:rsid w:val="00C40F5E"/>
    <w:rsid w:val="00C44443"/>
    <w:rsid w:val="00C47114"/>
    <w:rsid w:val="00C515FB"/>
    <w:rsid w:val="00C51DE5"/>
    <w:rsid w:val="00C54D05"/>
    <w:rsid w:val="00C577C9"/>
    <w:rsid w:val="00C64A15"/>
    <w:rsid w:val="00C64AEE"/>
    <w:rsid w:val="00C66702"/>
    <w:rsid w:val="00C70F16"/>
    <w:rsid w:val="00C71258"/>
    <w:rsid w:val="00C80DF6"/>
    <w:rsid w:val="00CA7501"/>
    <w:rsid w:val="00CB03DE"/>
    <w:rsid w:val="00CB4771"/>
    <w:rsid w:val="00CD21FA"/>
    <w:rsid w:val="00CE4709"/>
    <w:rsid w:val="00CE534D"/>
    <w:rsid w:val="00D07DAF"/>
    <w:rsid w:val="00D24F32"/>
    <w:rsid w:val="00D26086"/>
    <w:rsid w:val="00D2613F"/>
    <w:rsid w:val="00D26765"/>
    <w:rsid w:val="00D30008"/>
    <w:rsid w:val="00D313A2"/>
    <w:rsid w:val="00D3679E"/>
    <w:rsid w:val="00D429D0"/>
    <w:rsid w:val="00D43A4A"/>
    <w:rsid w:val="00D44021"/>
    <w:rsid w:val="00D45764"/>
    <w:rsid w:val="00D5187E"/>
    <w:rsid w:val="00D612D0"/>
    <w:rsid w:val="00D62DFF"/>
    <w:rsid w:val="00D83122"/>
    <w:rsid w:val="00D834C9"/>
    <w:rsid w:val="00D84A1E"/>
    <w:rsid w:val="00D84FEE"/>
    <w:rsid w:val="00D864C3"/>
    <w:rsid w:val="00D933F2"/>
    <w:rsid w:val="00D95DFD"/>
    <w:rsid w:val="00D96A76"/>
    <w:rsid w:val="00D970E1"/>
    <w:rsid w:val="00DB1234"/>
    <w:rsid w:val="00DB3254"/>
    <w:rsid w:val="00DD26CA"/>
    <w:rsid w:val="00DE41A9"/>
    <w:rsid w:val="00DE4960"/>
    <w:rsid w:val="00DE5613"/>
    <w:rsid w:val="00DF2687"/>
    <w:rsid w:val="00E0030E"/>
    <w:rsid w:val="00E11C8A"/>
    <w:rsid w:val="00E142B9"/>
    <w:rsid w:val="00E15248"/>
    <w:rsid w:val="00E25372"/>
    <w:rsid w:val="00E27B8A"/>
    <w:rsid w:val="00E403E2"/>
    <w:rsid w:val="00E40C11"/>
    <w:rsid w:val="00E4156E"/>
    <w:rsid w:val="00E415BB"/>
    <w:rsid w:val="00E523BA"/>
    <w:rsid w:val="00E543DE"/>
    <w:rsid w:val="00E708E2"/>
    <w:rsid w:val="00E7250C"/>
    <w:rsid w:val="00E81C7A"/>
    <w:rsid w:val="00E9491A"/>
    <w:rsid w:val="00EA2580"/>
    <w:rsid w:val="00EA2627"/>
    <w:rsid w:val="00EA7033"/>
    <w:rsid w:val="00EB37D0"/>
    <w:rsid w:val="00EC3218"/>
    <w:rsid w:val="00EF554E"/>
    <w:rsid w:val="00F06916"/>
    <w:rsid w:val="00F14792"/>
    <w:rsid w:val="00F1622A"/>
    <w:rsid w:val="00F230FB"/>
    <w:rsid w:val="00F25367"/>
    <w:rsid w:val="00F33546"/>
    <w:rsid w:val="00F447A9"/>
    <w:rsid w:val="00F6731E"/>
    <w:rsid w:val="00F83329"/>
    <w:rsid w:val="00F87700"/>
    <w:rsid w:val="00F9181B"/>
    <w:rsid w:val="00F94995"/>
    <w:rsid w:val="00FB157C"/>
    <w:rsid w:val="00FC1135"/>
    <w:rsid w:val="00FC398F"/>
    <w:rsid w:val="00FC7D01"/>
    <w:rsid w:val="00FD3C1F"/>
    <w:rsid w:val="00FE72ED"/>
    <w:rsid w:val="00FF180E"/>
    <w:rsid w:val="00FF2174"/>
    <w:rsid w:val="00FF7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F52044"/>
  <w15:chartTrackingRefBased/>
  <w15:docId w15:val="{5B3263D2-4B6F-4521-A66C-70417ACB9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650"/>
  </w:style>
  <w:style w:type="paragraph" w:styleId="Heading1">
    <w:name w:val="heading 1"/>
    <w:basedOn w:val="Normal"/>
    <w:next w:val="Normal"/>
    <w:link w:val="Heading1Char"/>
    <w:uiPriority w:val="9"/>
    <w:qFormat/>
    <w:rsid w:val="008F1A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1A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1A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A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A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A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A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A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A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A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1A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1A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A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A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A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A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A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A3E"/>
    <w:rPr>
      <w:rFonts w:eastAsiaTheme="majorEastAsia" w:cstheme="majorBidi"/>
      <w:color w:val="272727" w:themeColor="text1" w:themeTint="D8"/>
    </w:rPr>
  </w:style>
  <w:style w:type="paragraph" w:styleId="Title">
    <w:name w:val="Title"/>
    <w:basedOn w:val="Normal"/>
    <w:next w:val="Normal"/>
    <w:link w:val="TitleChar"/>
    <w:uiPriority w:val="10"/>
    <w:qFormat/>
    <w:rsid w:val="008F1A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A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A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A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A3E"/>
    <w:pPr>
      <w:spacing w:before="160"/>
      <w:jc w:val="center"/>
    </w:pPr>
    <w:rPr>
      <w:i/>
      <w:iCs/>
      <w:color w:val="404040" w:themeColor="text1" w:themeTint="BF"/>
    </w:rPr>
  </w:style>
  <w:style w:type="character" w:customStyle="1" w:styleId="QuoteChar">
    <w:name w:val="Quote Char"/>
    <w:basedOn w:val="DefaultParagraphFont"/>
    <w:link w:val="Quote"/>
    <w:uiPriority w:val="29"/>
    <w:rsid w:val="008F1A3E"/>
    <w:rPr>
      <w:i/>
      <w:iCs/>
      <w:color w:val="404040" w:themeColor="text1" w:themeTint="BF"/>
    </w:rPr>
  </w:style>
  <w:style w:type="paragraph" w:styleId="ListParagraph">
    <w:name w:val="List Paragraph"/>
    <w:basedOn w:val="Normal"/>
    <w:uiPriority w:val="34"/>
    <w:qFormat/>
    <w:rsid w:val="008F1A3E"/>
    <w:pPr>
      <w:ind w:left="720"/>
      <w:contextualSpacing/>
    </w:pPr>
  </w:style>
  <w:style w:type="character" w:styleId="IntenseEmphasis">
    <w:name w:val="Intense Emphasis"/>
    <w:basedOn w:val="DefaultParagraphFont"/>
    <w:uiPriority w:val="21"/>
    <w:qFormat/>
    <w:rsid w:val="008F1A3E"/>
    <w:rPr>
      <w:i/>
      <w:iCs/>
      <w:color w:val="0F4761" w:themeColor="accent1" w:themeShade="BF"/>
    </w:rPr>
  </w:style>
  <w:style w:type="paragraph" w:styleId="IntenseQuote">
    <w:name w:val="Intense Quote"/>
    <w:basedOn w:val="Normal"/>
    <w:next w:val="Normal"/>
    <w:link w:val="IntenseQuoteChar"/>
    <w:uiPriority w:val="30"/>
    <w:qFormat/>
    <w:rsid w:val="008F1A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A3E"/>
    <w:rPr>
      <w:i/>
      <w:iCs/>
      <w:color w:val="0F4761" w:themeColor="accent1" w:themeShade="BF"/>
    </w:rPr>
  </w:style>
  <w:style w:type="character" w:styleId="IntenseReference">
    <w:name w:val="Intense Reference"/>
    <w:basedOn w:val="DefaultParagraphFont"/>
    <w:uiPriority w:val="32"/>
    <w:qFormat/>
    <w:rsid w:val="008F1A3E"/>
    <w:rPr>
      <w:b/>
      <w:bCs/>
      <w:smallCaps/>
      <w:color w:val="0F4761" w:themeColor="accent1" w:themeShade="BF"/>
      <w:spacing w:val="5"/>
    </w:rPr>
  </w:style>
  <w:style w:type="table" w:styleId="TableGrid">
    <w:name w:val="Table Grid"/>
    <w:basedOn w:val="TableNormal"/>
    <w:uiPriority w:val="39"/>
    <w:rsid w:val="00287A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17668"/>
    <w:rPr>
      <w:color w:val="467886" w:themeColor="hyperlink"/>
      <w:u w:val="single"/>
    </w:rPr>
  </w:style>
  <w:style w:type="paragraph" w:styleId="TOCHeading">
    <w:name w:val="TOC Heading"/>
    <w:basedOn w:val="Heading1"/>
    <w:next w:val="Normal"/>
    <w:uiPriority w:val="39"/>
    <w:unhideWhenUsed/>
    <w:qFormat/>
    <w:rsid w:val="0061338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13384"/>
    <w:pPr>
      <w:spacing w:after="100"/>
    </w:pPr>
  </w:style>
  <w:style w:type="paragraph" w:styleId="TOC2">
    <w:name w:val="toc 2"/>
    <w:basedOn w:val="Normal"/>
    <w:next w:val="Normal"/>
    <w:autoRedefine/>
    <w:uiPriority w:val="39"/>
    <w:unhideWhenUsed/>
    <w:rsid w:val="00613384"/>
    <w:pPr>
      <w:spacing w:after="100"/>
      <w:ind w:left="240"/>
    </w:pPr>
  </w:style>
  <w:style w:type="table" w:styleId="GridTable5Dark-Accent1">
    <w:name w:val="Grid Table 5 Dark Accent 1"/>
    <w:basedOn w:val="TableNormal"/>
    <w:uiPriority w:val="50"/>
    <w:rsid w:val="002809B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UnresolvedMention">
    <w:name w:val="Unresolved Mention"/>
    <w:basedOn w:val="DefaultParagraphFont"/>
    <w:uiPriority w:val="99"/>
    <w:semiHidden/>
    <w:unhideWhenUsed/>
    <w:rsid w:val="001C4189"/>
    <w:rPr>
      <w:color w:val="605E5C"/>
      <w:shd w:val="clear" w:color="auto" w:fill="E1DFDD"/>
    </w:rPr>
  </w:style>
  <w:style w:type="table" w:styleId="GridTable5Dark-Accent6">
    <w:name w:val="Grid Table 5 Dark Accent 6"/>
    <w:basedOn w:val="TableNormal"/>
    <w:uiPriority w:val="50"/>
    <w:rsid w:val="00D933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5Dark-Accent5">
    <w:name w:val="Grid Table 5 Dark Accent 5"/>
    <w:basedOn w:val="TableNormal"/>
    <w:uiPriority w:val="50"/>
    <w:rsid w:val="00D933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4">
    <w:name w:val="Grid Table 5 Dark Accent 4"/>
    <w:basedOn w:val="TableNormal"/>
    <w:uiPriority w:val="50"/>
    <w:rsid w:val="00D933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3">
    <w:name w:val="Grid Table 5 Dark Accent 3"/>
    <w:basedOn w:val="TableNormal"/>
    <w:uiPriority w:val="50"/>
    <w:rsid w:val="00D933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Accent2">
    <w:name w:val="Grid Table 5 Dark Accent 2"/>
    <w:basedOn w:val="TableNormal"/>
    <w:uiPriority w:val="50"/>
    <w:rsid w:val="00D933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5Dark">
    <w:name w:val="Grid Table 5 Dark"/>
    <w:basedOn w:val="TableNormal"/>
    <w:uiPriority w:val="50"/>
    <w:rsid w:val="00D933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Header">
    <w:name w:val="header"/>
    <w:basedOn w:val="Normal"/>
    <w:link w:val="HeaderChar"/>
    <w:uiPriority w:val="99"/>
    <w:unhideWhenUsed/>
    <w:rsid w:val="007C1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939"/>
  </w:style>
  <w:style w:type="paragraph" w:styleId="Footer">
    <w:name w:val="footer"/>
    <w:basedOn w:val="Normal"/>
    <w:link w:val="FooterChar"/>
    <w:uiPriority w:val="99"/>
    <w:unhideWhenUsed/>
    <w:rsid w:val="007C1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s2215-0366(23)00104-9" TargetMode="External"/><Relationship Id="rId18" Type="http://schemas.openxmlformats.org/officeDocument/2006/relationships/hyperlink" Target="https://www.nice.org.uk/guidance/cg120" TargetMode="External"/><Relationship Id="rId26" Type="http://schemas.openxmlformats.org/officeDocument/2006/relationships/hyperlink" Target="https://www.ncbi.nlm.nih.gov/pmc/articles/PMC6175215/" TargetMode="External"/><Relationship Id="rId3" Type="http://schemas.openxmlformats.org/officeDocument/2006/relationships/styles" Target="styles.xml"/><Relationship Id="rId21" Type="http://schemas.openxmlformats.org/officeDocument/2006/relationships/hyperlink" Target="https://www.nhs.uk/mental-health/conditions/schizophrenia/treatment/" TargetMode="External"/><Relationship Id="rId7" Type="http://schemas.openxmlformats.org/officeDocument/2006/relationships/endnotes" Target="endnotes.xml"/><Relationship Id="rId12" Type="http://schemas.openxmlformats.org/officeDocument/2006/relationships/hyperlink" Target="https://assets.publishing.service.gov.uk/media/5a821e3340f0b62305b92945/clinical_guidelines_2017.pdf" TargetMode="External"/><Relationship Id="rId17" Type="http://schemas.openxmlformats.org/officeDocument/2006/relationships/hyperlink" Target="https://www.nice.org.uk/guidance/cg120/documents/psychosis-with-substance-misuse-final-scope2?utm_source=chatgpt.com" TargetMode="External"/><Relationship Id="rId25" Type="http://schemas.openxmlformats.org/officeDocument/2006/relationships/hyperlink" Target="https://assets.publishing.service.gov.uk/media/5a75b781ed915d6faf2b5276/Co-occurring_mental_health_and_alcohol_drug_use_conditions.pdf?utm_source=chatgpt.com" TargetMode="External"/><Relationship Id="rId2" Type="http://schemas.openxmlformats.org/officeDocument/2006/relationships/numbering" Target="numbering.xml"/><Relationship Id="rId16" Type="http://schemas.openxmlformats.org/officeDocument/2006/relationships/hyperlink" Target="https://www.ncbi.nlm.nih.gov/books/NBK53217/" TargetMode="External"/><Relationship Id="rId20" Type="http://schemas.openxmlformats.org/officeDocument/2006/relationships/hyperlink" Target="https://www.nice.org.uk/guidance/qs80/chapter/quality-statement-2-cognitive-behavioural-therapy"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mental-health-act-1983-reference-guide" TargetMode="External"/><Relationship Id="rId24" Type="http://schemas.openxmlformats.org/officeDocument/2006/relationships/hyperlink" Target="https://www.ons.gov.uk/peoplepopulationandcommunity/crimeandjustice/articles/drugmisuseinenglandandwales/yearendingmarch2024" TargetMode="External"/><Relationship Id="rId5" Type="http://schemas.openxmlformats.org/officeDocument/2006/relationships/webSettings" Target="webSettings.xml"/><Relationship Id="rId15" Type="http://schemas.openxmlformats.org/officeDocument/2006/relationships/hyperlink" Target="https://www.ncbi.nlm.nih.gov/books/NBK109796/?utm_source=chatgpt.com" TargetMode="External"/><Relationship Id="rId23" Type="http://schemas.openxmlformats.org/officeDocument/2006/relationships/hyperlink" Target="https://www.england.nhs.uk/wp-content/uploads/2023/03/B1954-implementing-the-early-intervention-in-psychosis-access-and-waiting-time-standard.pdf?utm_source=chatgpt.com" TargetMode="External"/><Relationship Id="rId28" Type="http://schemas.openxmlformats.org/officeDocument/2006/relationships/hyperlink" Target="https://www.monsenso.com/uk-national-schizophrenia-awareness-day-2022-a-mental-illness-in-need-of-destigmatization/" TargetMode="External"/><Relationship Id="rId10" Type="http://schemas.openxmlformats.org/officeDocument/2006/relationships/hyperlink" Target="https://www.bps.ac.uk/getmedia/b43a3dca-1bbf-4bff-9379-20bef9349a8c/Personalised-prescribing-full-report.pdf.aspx" TargetMode="External"/><Relationship Id="rId19" Type="http://schemas.openxmlformats.org/officeDocument/2006/relationships/hyperlink" Target="https://www.nice.org.uk/guidance/CG178"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ambridge-org.ezproxy.uwtsd.ac.uk/core/services/aop-cambridge-core/content/view/S0033291717001118?pdf" TargetMode="External"/><Relationship Id="rId14" Type="http://schemas.openxmlformats.org/officeDocument/2006/relationships/hyperlink" Target="https://assets.publishing.service.gov.uk/media/5a82b5a2e5274a2e87dc2966/Drug_strategy_2017.PDF" TargetMode="External"/><Relationship Id="rId22" Type="http://schemas.openxmlformats.org/officeDocument/2006/relationships/hyperlink" Target="https://www.england.nhs.uk/midlands/wp-content/uploads/sites/46/2019/05/eip-guidance.pdf" TargetMode="External"/><Relationship Id="rId27" Type="http://schemas.openxmlformats.org/officeDocument/2006/relationships/hyperlink" Target="https://www.who.int/news-room/fact-sheets/detail/schizophrenia"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14729A-005A-4C62-AE1D-24BA177AE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1689</TotalTime>
  <Pages>25</Pages>
  <Words>5972</Words>
  <Characters>41808</Characters>
  <Application>Microsoft Office Word</Application>
  <DocSecurity>0</DocSecurity>
  <Lines>1019</Lines>
  <Paragraphs>294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Thara Bi</dc:creator>
  <cp:keywords/>
  <dc:description/>
  <cp:lastModifiedBy>Thara Bi</cp:lastModifiedBy>
  <cp:revision>109</cp:revision>
  <cp:lastPrinted>2025-11-09T20:55:00Z</cp:lastPrinted>
  <dcterms:created xsi:type="dcterms:W3CDTF">2025-11-12T09:57:00Z</dcterms:created>
  <dcterms:modified xsi:type="dcterms:W3CDTF">2025-11-13T20:57:00Z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842ee2a0-c803-4819-b856-531e4b76d552</vt:lpwstr>
  </property>
</Properties>
</file>