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C9B774" w14:textId="77777777" w:rsidR="00F474A0" w:rsidRDefault="00F474A0" w:rsidP="00F474A0">
      <w:r>
        <w:rPr>
          <w:noProof/>
        </w:rPr>
        <w:drawing>
          <wp:anchor distT="0" distB="0" distL="114300" distR="114300" simplePos="0" relativeHeight="251658240" behindDoc="0" locked="0" layoutInCell="1" allowOverlap="1" wp14:anchorId="07178848" wp14:editId="399FCEB2">
            <wp:simplePos x="0" y="0"/>
            <wp:positionH relativeFrom="column">
              <wp:posOffset>1123950</wp:posOffset>
            </wp:positionH>
            <wp:positionV relativeFrom="paragraph">
              <wp:posOffset>0</wp:posOffset>
            </wp:positionV>
            <wp:extent cx="3206750" cy="1428750"/>
            <wp:effectExtent l="0" t="0" r="0" b="0"/>
            <wp:wrapThrough wrapText="bothSides">
              <wp:wrapPolygon edited="0">
                <wp:start x="0" y="0"/>
                <wp:lineTo x="0" y="21312"/>
                <wp:lineTo x="21429" y="21312"/>
                <wp:lineTo x="21429" y="0"/>
                <wp:lineTo x="0" y="0"/>
              </wp:wrapPolygon>
            </wp:wrapThrough>
            <wp:docPr id="1" name="Picture 1" descr="University of Wales Trinity Saint David - bwbsed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bwbsed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6750" cy="1428750"/>
                    </a:xfrm>
                    <a:prstGeom prst="rect">
                      <a:avLst/>
                    </a:prstGeom>
                    <a:noFill/>
                    <a:ln>
                      <a:noFill/>
                    </a:ln>
                  </pic:spPr>
                </pic:pic>
              </a:graphicData>
            </a:graphic>
          </wp:anchor>
        </w:drawing>
      </w:r>
    </w:p>
    <w:tbl>
      <w:tblPr>
        <w:tblStyle w:val="GridTable4-Accent6"/>
        <w:tblpPr w:leftFromText="180" w:rightFromText="180" w:vertAnchor="text" w:horzAnchor="margin" w:tblpY="2623"/>
        <w:tblW w:w="0" w:type="auto"/>
        <w:tblLook w:val="04A0" w:firstRow="1" w:lastRow="0" w:firstColumn="1" w:lastColumn="0" w:noHBand="0" w:noVBand="1"/>
      </w:tblPr>
      <w:tblGrid>
        <w:gridCol w:w="2405"/>
        <w:gridCol w:w="6611"/>
      </w:tblGrid>
      <w:tr w:rsidR="00F474A0" w14:paraId="0BB0BC6E" w14:textId="77777777" w:rsidTr="00F474A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728FC66A" w14:textId="77777777" w:rsidR="00F474A0" w:rsidRPr="00AE4E62" w:rsidRDefault="00F474A0" w:rsidP="00F474A0">
            <w:pPr>
              <w:rPr>
                <w:rFonts w:cs="Arial"/>
                <w:sz w:val="28"/>
                <w:szCs w:val="28"/>
              </w:rPr>
            </w:pPr>
            <w:bookmarkStart w:id="0" w:name="_Hlk192789062"/>
            <w:r w:rsidRPr="00AE4E62">
              <w:t>Programme:</w:t>
            </w:r>
          </w:p>
        </w:tc>
        <w:tc>
          <w:tcPr>
            <w:tcW w:w="6611" w:type="dxa"/>
          </w:tcPr>
          <w:p w14:paraId="10BBB238" w14:textId="77777777" w:rsidR="00F474A0" w:rsidRDefault="00F474A0" w:rsidP="00F474A0">
            <w:pPr>
              <w:cnfStyle w:val="100000000000" w:firstRow="1" w:lastRow="0" w:firstColumn="0" w:lastColumn="0" w:oddVBand="0" w:evenVBand="0" w:oddHBand="0" w:evenHBand="0" w:firstRowFirstColumn="0" w:firstRowLastColumn="0" w:lastRowFirstColumn="0" w:lastRowLastColumn="0"/>
              <w:rPr>
                <w:rFonts w:cs="Arial"/>
                <w:b w:val="0"/>
                <w:bCs w:val="0"/>
                <w:sz w:val="28"/>
                <w:szCs w:val="28"/>
              </w:rPr>
            </w:pPr>
            <w:r w:rsidRPr="00064297">
              <w:t xml:space="preserve">MSc Public Health and Social Care in Practice  </w:t>
            </w:r>
          </w:p>
        </w:tc>
      </w:tr>
      <w:tr w:rsidR="00F474A0" w14:paraId="52AC861A" w14:textId="77777777" w:rsidTr="00F474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16397046" w14:textId="77777777" w:rsidR="00F474A0" w:rsidRPr="003B11AB" w:rsidRDefault="00F474A0" w:rsidP="00F474A0">
            <w:pPr>
              <w:rPr>
                <w:rFonts w:cs="Arial"/>
                <w:b w:val="0"/>
                <w:bCs w:val="0"/>
                <w:sz w:val="28"/>
                <w:szCs w:val="28"/>
              </w:rPr>
            </w:pPr>
            <w:r w:rsidRPr="003B11AB">
              <w:rPr>
                <w:b w:val="0"/>
                <w:bCs w:val="0"/>
              </w:rPr>
              <w:t>Module:</w:t>
            </w:r>
          </w:p>
        </w:tc>
        <w:tc>
          <w:tcPr>
            <w:tcW w:w="6611" w:type="dxa"/>
          </w:tcPr>
          <w:p w14:paraId="3494FCA1" w14:textId="77777777" w:rsidR="00F474A0" w:rsidRDefault="00F474A0" w:rsidP="00F474A0">
            <w:pPr>
              <w:cnfStyle w:val="000000100000" w:firstRow="0" w:lastRow="0" w:firstColumn="0" w:lastColumn="0" w:oddVBand="0" w:evenVBand="0" w:oddHBand="1" w:evenHBand="0" w:firstRowFirstColumn="0" w:firstRowLastColumn="0" w:lastRowFirstColumn="0" w:lastRowLastColumn="0"/>
            </w:pPr>
            <w:r w:rsidRPr="008A74B8">
              <w:t>Practice-Based Research</w:t>
            </w:r>
          </w:p>
        </w:tc>
      </w:tr>
      <w:tr w:rsidR="00F474A0" w14:paraId="59D48AA2" w14:textId="77777777" w:rsidTr="00F474A0">
        <w:tc>
          <w:tcPr>
            <w:cnfStyle w:val="001000000000" w:firstRow="0" w:lastRow="0" w:firstColumn="1" w:lastColumn="0" w:oddVBand="0" w:evenVBand="0" w:oddHBand="0" w:evenHBand="0" w:firstRowFirstColumn="0" w:firstRowLastColumn="0" w:lastRowFirstColumn="0" w:lastRowLastColumn="0"/>
            <w:tcW w:w="2405" w:type="dxa"/>
          </w:tcPr>
          <w:p w14:paraId="3FA17693" w14:textId="77777777" w:rsidR="00F474A0" w:rsidRPr="003B11AB" w:rsidRDefault="00F474A0" w:rsidP="00F474A0">
            <w:pPr>
              <w:rPr>
                <w:rFonts w:cs="Arial"/>
                <w:b w:val="0"/>
                <w:bCs w:val="0"/>
                <w:sz w:val="28"/>
                <w:szCs w:val="28"/>
              </w:rPr>
            </w:pPr>
            <w:r w:rsidRPr="003B11AB">
              <w:rPr>
                <w:b w:val="0"/>
                <w:bCs w:val="0"/>
              </w:rPr>
              <w:t>Module code:</w:t>
            </w:r>
          </w:p>
        </w:tc>
        <w:tc>
          <w:tcPr>
            <w:tcW w:w="6611" w:type="dxa"/>
          </w:tcPr>
          <w:p w14:paraId="304ECB28" w14:textId="77777777" w:rsidR="00F474A0" w:rsidRDefault="00F474A0" w:rsidP="00F474A0">
            <w:pPr>
              <w:cnfStyle w:val="000000000000" w:firstRow="0" w:lastRow="0" w:firstColumn="0" w:lastColumn="0" w:oddVBand="0" w:evenVBand="0" w:oddHBand="0" w:evenHBand="0" w:firstRowFirstColumn="0" w:firstRowLastColumn="0" w:lastRowFirstColumn="0" w:lastRowLastColumn="0"/>
            </w:pPr>
            <w:r w:rsidRPr="008A74B8">
              <w:t>LCHS7008</w:t>
            </w:r>
          </w:p>
        </w:tc>
      </w:tr>
      <w:tr w:rsidR="00F474A0" w14:paraId="343625FD" w14:textId="77777777" w:rsidTr="00F474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49D73F2B" w14:textId="77777777" w:rsidR="00F474A0" w:rsidRPr="003B11AB" w:rsidRDefault="00F474A0" w:rsidP="00F474A0">
            <w:pPr>
              <w:rPr>
                <w:rFonts w:cs="Arial"/>
                <w:b w:val="0"/>
                <w:bCs w:val="0"/>
                <w:sz w:val="28"/>
                <w:szCs w:val="28"/>
              </w:rPr>
            </w:pPr>
            <w:r w:rsidRPr="003B11AB">
              <w:rPr>
                <w:b w:val="0"/>
                <w:bCs w:val="0"/>
              </w:rPr>
              <w:t>Assignment Title:</w:t>
            </w:r>
          </w:p>
        </w:tc>
        <w:tc>
          <w:tcPr>
            <w:tcW w:w="6611" w:type="dxa"/>
          </w:tcPr>
          <w:p w14:paraId="619F380D" w14:textId="77777777" w:rsidR="00F474A0" w:rsidRDefault="00F474A0" w:rsidP="00F474A0">
            <w:pPr>
              <w:jc w:val="left"/>
              <w:cnfStyle w:val="000000100000" w:firstRow="0" w:lastRow="0" w:firstColumn="0" w:lastColumn="0" w:oddVBand="0" w:evenVBand="0" w:oddHBand="1" w:evenHBand="0" w:firstRowFirstColumn="0" w:firstRowLastColumn="0" w:lastRowFirstColumn="0" w:lastRowLastColumn="0"/>
            </w:pPr>
            <w:r>
              <w:t>Component 2 Written Research Proposal</w:t>
            </w:r>
          </w:p>
        </w:tc>
      </w:tr>
      <w:tr w:rsidR="00F474A0" w14:paraId="49266644" w14:textId="77777777" w:rsidTr="00F474A0">
        <w:tc>
          <w:tcPr>
            <w:cnfStyle w:val="001000000000" w:firstRow="0" w:lastRow="0" w:firstColumn="1" w:lastColumn="0" w:oddVBand="0" w:evenVBand="0" w:oddHBand="0" w:evenHBand="0" w:firstRowFirstColumn="0" w:firstRowLastColumn="0" w:lastRowFirstColumn="0" w:lastRowLastColumn="0"/>
            <w:tcW w:w="2405" w:type="dxa"/>
          </w:tcPr>
          <w:p w14:paraId="1C5C1788" w14:textId="77777777" w:rsidR="00F474A0" w:rsidRPr="008A74B8" w:rsidRDefault="00F474A0" w:rsidP="00F474A0">
            <w:pPr>
              <w:rPr>
                <w:b w:val="0"/>
                <w:bCs w:val="0"/>
              </w:rPr>
            </w:pPr>
            <w:r w:rsidRPr="008A74B8">
              <w:rPr>
                <w:b w:val="0"/>
                <w:bCs w:val="0"/>
              </w:rPr>
              <w:t>Lecturer:</w:t>
            </w:r>
          </w:p>
        </w:tc>
        <w:tc>
          <w:tcPr>
            <w:tcW w:w="6611" w:type="dxa"/>
          </w:tcPr>
          <w:p w14:paraId="13FF6DDD" w14:textId="77777777" w:rsidR="00F474A0" w:rsidRDefault="00F474A0" w:rsidP="00F474A0">
            <w:pPr>
              <w:jc w:val="left"/>
              <w:cnfStyle w:val="000000000000" w:firstRow="0" w:lastRow="0" w:firstColumn="0" w:lastColumn="0" w:oddVBand="0" w:evenVBand="0" w:oddHBand="0" w:evenHBand="0" w:firstRowFirstColumn="0" w:firstRowLastColumn="0" w:lastRowFirstColumn="0" w:lastRowLastColumn="0"/>
            </w:pPr>
            <w:r w:rsidRPr="008A74B8">
              <w:t>Dr Diola Bijlhout</w:t>
            </w:r>
          </w:p>
        </w:tc>
      </w:tr>
      <w:tr w:rsidR="00F474A0" w14:paraId="242BDD3F" w14:textId="77777777" w:rsidTr="00F474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612E1445" w14:textId="77777777" w:rsidR="00F474A0" w:rsidRPr="003B11AB" w:rsidRDefault="00F474A0" w:rsidP="00F474A0">
            <w:pPr>
              <w:rPr>
                <w:b w:val="0"/>
                <w:bCs w:val="0"/>
              </w:rPr>
            </w:pPr>
            <w:r w:rsidRPr="003B11AB">
              <w:rPr>
                <w:b w:val="0"/>
                <w:bCs w:val="0"/>
              </w:rPr>
              <w:t>Name:</w:t>
            </w:r>
          </w:p>
        </w:tc>
        <w:tc>
          <w:tcPr>
            <w:tcW w:w="6611" w:type="dxa"/>
          </w:tcPr>
          <w:p w14:paraId="3FCC858A" w14:textId="485196ED" w:rsidR="00F474A0" w:rsidRDefault="00F474A0" w:rsidP="00F474A0">
            <w:pPr>
              <w:cnfStyle w:val="000000100000" w:firstRow="0" w:lastRow="0" w:firstColumn="0" w:lastColumn="0" w:oddVBand="0" w:evenVBand="0" w:oddHBand="1" w:evenHBand="0" w:firstRowFirstColumn="0" w:firstRowLastColumn="0" w:lastRowFirstColumn="0" w:lastRowLastColumn="0"/>
            </w:pPr>
            <w:r w:rsidRPr="00F474A0">
              <w:t>Md. Al Zakaria</w:t>
            </w:r>
          </w:p>
        </w:tc>
      </w:tr>
      <w:tr w:rsidR="00F474A0" w14:paraId="09C3DC06" w14:textId="77777777" w:rsidTr="00F474A0">
        <w:tc>
          <w:tcPr>
            <w:cnfStyle w:val="001000000000" w:firstRow="0" w:lastRow="0" w:firstColumn="1" w:lastColumn="0" w:oddVBand="0" w:evenVBand="0" w:oddHBand="0" w:evenHBand="0" w:firstRowFirstColumn="0" w:firstRowLastColumn="0" w:lastRowFirstColumn="0" w:lastRowLastColumn="0"/>
            <w:tcW w:w="2405" w:type="dxa"/>
          </w:tcPr>
          <w:p w14:paraId="41D372C2" w14:textId="77777777" w:rsidR="00F474A0" w:rsidRPr="003B11AB" w:rsidRDefault="00F474A0" w:rsidP="00F474A0">
            <w:pPr>
              <w:rPr>
                <w:b w:val="0"/>
                <w:bCs w:val="0"/>
              </w:rPr>
            </w:pPr>
            <w:r w:rsidRPr="003B11AB">
              <w:rPr>
                <w:b w:val="0"/>
                <w:bCs w:val="0"/>
              </w:rPr>
              <w:t>ID:</w:t>
            </w:r>
          </w:p>
        </w:tc>
        <w:tc>
          <w:tcPr>
            <w:tcW w:w="6611" w:type="dxa"/>
          </w:tcPr>
          <w:p w14:paraId="67E65125" w14:textId="677D5A4B" w:rsidR="00F474A0" w:rsidRDefault="00F474A0" w:rsidP="00F474A0">
            <w:pPr>
              <w:cnfStyle w:val="000000000000" w:firstRow="0" w:lastRow="0" w:firstColumn="0" w:lastColumn="0" w:oddVBand="0" w:evenVBand="0" w:oddHBand="0" w:evenHBand="0" w:firstRowFirstColumn="0" w:firstRowLastColumn="0" w:lastRowFirstColumn="0" w:lastRowLastColumn="0"/>
            </w:pPr>
            <w:r w:rsidRPr="00F474A0">
              <w:t>2511048</w:t>
            </w:r>
          </w:p>
        </w:tc>
      </w:tr>
      <w:bookmarkEnd w:id="0"/>
    </w:tbl>
    <w:p w14:paraId="42982AE8" w14:textId="77777777" w:rsidR="00F474A0" w:rsidRDefault="00F474A0" w:rsidP="00F474A0"/>
    <w:p w14:paraId="014A4E16" w14:textId="77777777" w:rsidR="00F474A0" w:rsidRDefault="00F474A0" w:rsidP="00F474A0"/>
    <w:p w14:paraId="63EF170B" w14:textId="62B2D2B5" w:rsidR="00F474A0" w:rsidRDefault="00F474A0" w:rsidP="00F474A0">
      <w:r>
        <w:br w:type="page"/>
      </w:r>
    </w:p>
    <w:sdt>
      <w:sdtPr>
        <w:rPr>
          <w:rFonts w:ascii="Arial" w:eastAsiaTheme="minorHAnsi" w:hAnsi="Arial" w:cstheme="minorBidi"/>
          <w:color w:val="auto"/>
          <w:sz w:val="22"/>
          <w:szCs w:val="22"/>
          <w:lang w:val="en-GB"/>
        </w:rPr>
        <w:id w:val="1408963076"/>
        <w:docPartObj>
          <w:docPartGallery w:val="Table of Contents"/>
          <w:docPartUnique/>
        </w:docPartObj>
      </w:sdtPr>
      <w:sdtEndPr>
        <w:rPr>
          <w:b/>
          <w:bCs/>
          <w:noProof/>
        </w:rPr>
      </w:sdtEndPr>
      <w:sdtContent>
        <w:p w14:paraId="740DA291" w14:textId="54ADC8D1" w:rsidR="00851C9A" w:rsidRDefault="00851C9A">
          <w:pPr>
            <w:pStyle w:val="TOCHeading"/>
          </w:pPr>
          <w:r>
            <w:t>Table of Contents</w:t>
          </w:r>
        </w:p>
        <w:p w14:paraId="07E5A008" w14:textId="74B357FE" w:rsidR="00851C9A" w:rsidRDefault="00851C9A">
          <w:pPr>
            <w:pStyle w:val="TOC1"/>
            <w:tabs>
              <w:tab w:val="right" w:leader="dot" w:pos="9016"/>
            </w:tabs>
            <w:rPr>
              <w:noProof/>
            </w:rPr>
          </w:pPr>
          <w:r>
            <w:fldChar w:fldCharType="begin"/>
          </w:r>
          <w:r>
            <w:instrText xml:space="preserve"> TOC \o "1-3" \h \z \u </w:instrText>
          </w:r>
          <w:r>
            <w:fldChar w:fldCharType="separate"/>
          </w:r>
          <w:hyperlink w:anchor="_Toc226386749" w:history="1">
            <w:r w:rsidRPr="00704A73">
              <w:rPr>
                <w:rStyle w:val="Hyperlink"/>
                <w:noProof/>
              </w:rPr>
              <w:t>Prevalence of the Problem</w:t>
            </w:r>
            <w:r>
              <w:rPr>
                <w:noProof/>
                <w:webHidden/>
              </w:rPr>
              <w:tab/>
            </w:r>
            <w:r>
              <w:rPr>
                <w:noProof/>
                <w:webHidden/>
              </w:rPr>
              <w:fldChar w:fldCharType="begin"/>
            </w:r>
            <w:r>
              <w:rPr>
                <w:noProof/>
                <w:webHidden/>
              </w:rPr>
              <w:instrText xml:space="preserve"> PAGEREF _Toc226386749 \h </w:instrText>
            </w:r>
            <w:r>
              <w:rPr>
                <w:noProof/>
                <w:webHidden/>
              </w:rPr>
            </w:r>
            <w:r>
              <w:rPr>
                <w:noProof/>
                <w:webHidden/>
              </w:rPr>
              <w:fldChar w:fldCharType="separate"/>
            </w:r>
            <w:r>
              <w:rPr>
                <w:noProof/>
                <w:webHidden/>
              </w:rPr>
              <w:t>4</w:t>
            </w:r>
            <w:r>
              <w:rPr>
                <w:noProof/>
                <w:webHidden/>
              </w:rPr>
              <w:fldChar w:fldCharType="end"/>
            </w:r>
          </w:hyperlink>
        </w:p>
        <w:p w14:paraId="0F38F693" w14:textId="5A05D5E8" w:rsidR="00851C9A" w:rsidRDefault="005C2948">
          <w:pPr>
            <w:pStyle w:val="TOC1"/>
            <w:tabs>
              <w:tab w:val="right" w:leader="dot" w:pos="9016"/>
            </w:tabs>
            <w:rPr>
              <w:noProof/>
            </w:rPr>
          </w:pPr>
          <w:hyperlink w:anchor="_Toc226386750" w:history="1">
            <w:r w:rsidR="00851C9A" w:rsidRPr="00704A73">
              <w:rPr>
                <w:rStyle w:val="Hyperlink"/>
                <w:noProof/>
              </w:rPr>
              <w:t>Background to the Study and Literature Review</w:t>
            </w:r>
            <w:r w:rsidR="00851C9A">
              <w:rPr>
                <w:noProof/>
                <w:webHidden/>
              </w:rPr>
              <w:tab/>
            </w:r>
            <w:r w:rsidR="00851C9A">
              <w:rPr>
                <w:noProof/>
                <w:webHidden/>
              </w:rPr>
              <w:fldChar w:fldCharType="begin"/>
            </w:r>
            <w:r w:rsidR="00851C9A">
              <w:rPr>
                <w:noProof/>
                <w:webHidden/>
              </w:rPr>
              <w:instrText xml:space="preserve"> PAGEREF _Toc226386750 \h </w:instrText>
            </w:r>
            <w:r w:rsidR="00851C9A">
              <w:rPr>
                <w:noProof/>
                <w:webHidden/>
              </w:rPr>
            </w:r>
            <w:r w:rsidR="00851C9A">
              <w:rPr>
                <w:noProof/>
                <w:webHidden/>
              </w:rPr>
              <w:fldChar w:fldCharType="separate"/>
            </w:r>
            <w:r w:rsidR="00851C9A">
              <w:rPr>
                <w:noProof/>
                <w:webHidden/>
              </w:rPr>
              <w:t>6</w:t>
            </w:r>
            <w:r w:rsidR="00851C9A">
              <w:rPr>
                <w:noProof/>
                <w:webHidden/>
              </w:rPr>
              <w:fldChar w:fldCharType="end"/>
            </w:r>
          </w:hyperlink>
        </w:p>
        <w:p w14:paraId="17582A90" w14:textId="39093CE0" w:rsidR="00851C9A" w:rsidRDefault="005C2948">
          <w:pPr>
            <w:pStyle w:val="TOC1"/>
            <w:tabs>
              <w:tab w:val="right" w:leader="dot" w:pos="9016"/>
            </w:tabs>
            <w:rPr>
              <w:noProof/>
            </w:rPr>
          </w:pPr>
          <w:hyperlink w:anchor="_Toc226386751" w:history="1">
            <w:r w:rsidR="00851C9A" w:rsidRPr="00704A73">
              <w:rPr>
                <w:rStyle w:val="Hyperlink"/>
                <w:noProof/>
              </w:rPr>
              <w:t>Rationale of the Research</w:t>
            </w:r>
            <w:r w:rsidR="00851C9A">
              <w:rPr>
                <w:noProof/>
                <w:webHidden/>
              </w:rPr>
              <w:tab/>
            </w:r>
            <w:r w:rsidR="00851C9A">
              <w:rPr>
                <w:noProof/>
                <w:webHidden/>
              </w:rPr>
              <w:fldChar w:fldCharType="begin"/>
            </w:r>
            <w:r w:rsidR="00851C9A">
              <w:rPr>
                <w:noProof/>
                <w:webHidden/>
              </w:rPr>
              <w:instrText xml:space="preserve"> PAGEREF _Toc226386751 \h </w:instrText>
            </w:r>
            <w:r w:rsidR="00851C9A">
              <w:rPr>
                <w:noProof/>
                <w:webHidden/>
              </w:rPr>
            </w:r>
            <w:r w:rsidR="00851C9A">
              <w:rPr>
                <w:noProof/>
                <w:webHidden/>
              </w:rPr>
              <w:fldChar w:fldCharType="separate"/>
            </w:r>
            <w:r w:rsidR="00851C9A">
              <w:rPr>
                <w:noProof/>
                <w:webHidden/>
              </w:rPr>
              <w:t>7</w:t>
            </w:r>
            <w:r w:rsidR="00851C9A">
              <w:rPr>
                <w:noProof/>
                <w:webHidden/>
              </w:rPr>
              <w:fldChar w:fldCharType="end"/>
            </w:r>
          </w:hyperlink>
        </w:p>
        <w:p w14:paraId="2C65A2E4" w14:textId="7754A767" w:rsidR="00851C9A" w:rsidRDefault="005C2948">
          <w:pPr>
            <w:pStyle w:val="TOC2"/>
            <w:tabs>
              <w:tab w:val="right" w:leader="dot" w:pos="9016"/>
            </w:tabs>
            <w:rPr>
              <w:noProof/>
            </w:rPr>
          </w:pPr>
          <w:hyperlink w:anchor="_Toc226386752" w:history="1">
            <w:r w:rsidR="00851C9A" w:rsidRPr="00704A73">
              <w:rPr>
                <w:rStyle w:val="Hyperlink"/>
                <w:noProof/>
              </w:rPr>
              <w:t>Research Question</w:t>
            </w:r>
            <w:r w:rsidR="00851C9A">
              <w:rPr>
                <w:noProof/>
                <w:webHidden/>
              </w:rPr>
              <w:tab/>
            </w:r>
            <w:r w:rsidR="00851C9A">
              <w:rPr>
                <w:noProof/>
                <w:webHidden/>
              </w:rPr>
              <w:fldChar w:fldCharType="begin"/>
            </w:r>
            <w:r w:rsidR="00851C9A">
              <w:rPr>
                <w:noProof/>
                <w:webHidden/>
              </w:rPr>
              <w:instrText xml:space="preserve"> PAGEREF _Toc226386752 \h </w:instrText>
            </w:r>
            <w:r w:rsidR="00851C9A">
              <w:rPr>
                <w:noProof/>
                <w:webHidden/>
              </w:rPr>
            </w:r>
            <w:r w:rsidR="00851C9A">
              <w:rPr>
                <w:noProof/>
                <w:webHidden/>
              </w:rPr>
              <w:fldChar w:fldCharType="separate"/>
            </w:r>
            <w:r w:rsidR="00851C9A">
              <w:rPr>
                <w:noProof/>
                <w:webHidden/>
              </w:rPr>
              <w:t>8</w:t>
            </w:r>
            <w:r w:rsidR="00851C9A">
              <w:rPr>
                <w:noProof/>
                <w:webHidden/>
              </w:rPr>
              <w:fldChar w:fldCharType="end"/>
            </w:r>
          </w:hyperlink>
        </w:p>
        <w:p w14:paraId="5226D0BB" w14:textId="604DF13E" w:rsidR="00851C9A" w:rsidRDefault="005C2948">
          <w:pPr>
            <w:pStyle w:val="TOC2"/>
            <w:tabs>
              <w:tab w:val="right" w:leader="dot" w:pos="9016"/>
            </w:tabs>
            <w:rPr>
              <w:noProof/>
            </w:rPr>
          </w:pPr>
          <w:hyperlink w:anchor="_Toc226386753" w:history="1">
            <w:r w:rsidR="00851C9A" w:rsidRPr="00704A73">
              <w:rPr>
                <w:rStyle w:val="Hyperlink"/>
                <w:noProof/>
              </w:rPr>
              <w:t>Research Aim</w:t>
            </w:r>
            <w:r w:rsidR="00851C9A">
              <w:rPr>
                <w:noProof/>
                <w:webHidden/>
              </w:rPr>
              <w:tab/>
            </w:r>
            <w:r w:rsidR="00851C9A">
              <w:rPr>
                <w:noProof/>
                <w:webHidden/>
              </w:rPr>
              <w:fldChar w:fldCharType="begin"/>
            </w:r>
            <w:r w:rsidR="00851C9A">
              <w:rPr>
                <w:noProof/>
                <w:webHidden/>
              </w:rPr>
              <w:instrText xml:space="preserve"> PAGEREF _Toc226386753 \h </w:instrText>
            </w:r>
            <w:r w:rsidR="00851C9A">
              <w:rPr>
                <w:noProof/>
                <w:webHidden/>
              </w:rPr>
            </w:r>
            <w:r w:rsidR="00851C9A">
              <w:rPr>
                <w:noProof/>
                <w:webHidden/>
              </w:rPr>
              <w:fldChar w:fldCharType="separate"/>
            </w:r>
            <w:r w:rsidR="00851C9A">
              <w:rPr>
                <w:noProof/>
                <w:webHidden/>
              </w:rPr>
              <w:t>8</w:t>
            </w:r>
            <w:r w:rsidR="00851C9A">
              <w:rPr>
                <w:noProof/>
                <w:webHidden/>
              </w:rPr>
              <w:fldChar w:fldCharType="end"/>
            </w:r>
          </w:hyperlink>
        </w:p>
        <w:p w14:paraId="36226FD9" w14:textId="45416FD3" w:rsidR="00851C9A" w:rsidRDefault="005C2948">
          <w:pPr>
            <w:pStyle w:val="TOC2"/>
            <w:tabs>
              <w:tab w:val="right" w:leader="dot" w:pos="9016"/>
            </w:tabs>
            <w:rPr>
              <w:noProof/>
            </w:rPr>
          </w:pPr>
          <w:hyperlink w:anchor="_Toc226386754" w:history="1">
            <w:r w:rsidR="00851C9A" w:rsidRPr="00704A73">
              <w:rPr>
                <w:rStyle w:val="Hyperlink"/>
                <w:noProof/>
              </w:rPr>
              <w:t>Research Objectives</w:t>
            </w:r>
            <w:r w:rsidR="00851C9A">
              <w:rPr>
                <w:noProof/>
                <w:webHidden/>
              </w:rPr>
              <w:tab/>
            </w:r>
            <w:r w:rsidR="00851C9A">
              <w:rPr>
                <w:noProof/>
                <w:webHidden/>
              </w:rPr>
              <w:fldChar w:fldCharType="begin"/>
            </w:r>
            <w:r w:rsidR="00851C9A">
              <w:rPr>
                <w:noProof/>
                <w:webHidden/>
              </w:rPr>
              <w:instrText xml:space="preserve"> PAGEREF _Toc226386754 \h </w:instrText>
            </w:r>
            <w:r w:rsidR="00851C9A">
              <w:rPr>
                <w:noProof/>
                <w:webHidden/>
              </w:rPr>
            </w:r>
            <w:r w:rsidR="00851C9A">
              <w:rPr>
                <w:noProof/>
                <w:webHidden/>
              </w:rPr>
              <w:fldChar w:fldCharType="separate"/>
            </w:r>
            <w:r w:rsidR="00851C9A">
              <w:rPr>
                <w:noProof/>
                <w:webHidden/>
              </w:rPr>
              <w:t>8</w:t>
            </w:r>
            <w:r w:rsidR="00851C9A">
              <w:rPr>
                <w:noProof/>
                <w:webHidden/>
              </w:rPr>
              <w:fldChar w:fldCharType="end"/>
            </w:r>
          </w:hyperlink>
        </w:p>
        <w:p w14:paraId="6229B078" w14:textId="6F506CCA" w:rsidR="00851C9A" w:rsidRDefault="005C2948">
          <w:pPr>
            <w:pStyle w:val="TOC1"/>
            <w:tabs>
              <w:tab w:val="right" w:leader="dot" w:pos="9016"/>
            </w:tabs>
            <w:rPr>
              <w:noProof/>
            </w:rPr>
          </w:pPr>
          <w:hyperlink w:anchor="_Toc226386755" w:history="1">
            <w:r w:rsidR="00851C9A" w:rsidRPr="00704A73">
              <w:rPr>
                <w:rStyle w:val="Hyperlink"/>
                <w:noProof/>
              </w:rPr>
              <w:t>Research Methodology</w:t>
            </w:r>
            <w:r w:rsidR="00851C9A">
              <w:rPr>
                <w:noProof/>
                <w:webHidden/>
              </w:rPr>
              <w:tab/>
            </w:r>
            <w:r w:rsidR="00851C9A">
              <w:rPr>
                <w:noProof/>
                <w:webHidden/>
              </w:rPr>
              <w:fldChar w:fldCharType="begin"/>
            </w:r>
            <w:r w:rsidR="00851C9A">
              <w:rPr>
                <w:noProof/>
                <w:webHidden/>
              </w:rPr>
              <w:instrText xml:space="preserve"> PAGEREF _Toc226386755 \h </w:instrText>
            </w:r>
            <w:r w:rsidR="00851C9A">
              <w:rPr>
                <w:noProof/>
                <w:webHidden/>
              </w:rPr>
            </w:r>
            <w:r w:rsidR="00851C9A">
              <w:rPr>
                <w:noProof/>
                <w:webHidden/>
              </w:rPr>
              <w:fldChar w:fldCharType="separate"/>
            </w:r>
            <w:r w:rsidR="00851C9A">
              <w:rPr>
                <w:noProof/>
                <w:webHidden/>
              </w:rPr>
              <w:t>10</w:t>
            </w:r>
            <w:r w:rsidR="00851C9A">
              <w:rPr>
                <w:noProof/>
                <w:webHidden/>
              </w:rPr>
              <w:fldChar w:fldCharType="end"/>
            </w:r>
          </w:hyperlink>
        </w:p>
        <w:p w14:paraId="7463E739" w14:textId="3E04F2A2" w:rsidR="00851C9A" w:rsidRDefault="005C2948">
          <w:pPr>
            <w:pStyle w:val="TOC2"/>
            <w:tabs>
              <w:tab w:val="right" w:leader="dot" w:pos="9016"/>
            </w:tabs>
            <w:rPr>
              <w:noProof/>
            </w:rPr>
          </w:pPr>
          <w:hyperlink w:anchor="_Toc226386756" w:history="1">
            <w:r w:rsidR="00851C9A" w:rsidRPr="00704A73">
              <w:rPr>
                <w:rStyle w:val="Hyperlink"/>
                <w:noProof/>
              </w:rPr>
              <w:t>4.1 Research Design</w:t>
            </w:r>
            <w:r w:rsidR="00851C9A">
              <w:rPr>
                <w:noProof/>
                <w:webHidden/>
              </w:rPr>
              <w:tab/>
            </w:r>
            <w:r w:rsidR="00851C9A">
              <w:rPr>
                <w:noProof/>
                <w:webHidden/>
              </w:rPr>
              <w:fldChar w:fldCharType="begin"/>
            </w:r>
            <w:r w:rsidR="00851C9A">
              <w:rPr>
                <w:noProof/>
                <w:webHidden/>
              </w:rPr>
              <w:instrText xml:space="preserve"> PAGEREF _Toc226386756 \h </w:instrText>
            </w:r>
            <w:r w:rsidR="00851C9A">
              <w:rPr>
                <w:noProof/>
                <w:webHidden/>
              </w:rPr>
            </w:r>
            <w:r w:rsidR="00851C9A">
              <w:rPr>
                <w:noProof/>
                <w:webHidden/>
              </w:rPr>
              <w:fldChar w:fldCharType="separate"/>
            </w:r>
            <w:r w:rsidR="00851C9A">
              <w:rPr>
                <w:noProof/>
                <w:webHidden/>
              </w:rPr>
              <w:t>10</w:t>
            </w:r>
            <w:r w:rsidR="00851C9A">
              <w:rPr>
                <w:noProof/>
                <w:webHidden/>
              </w:rPr>
              <w:fldChar w:fldCharType="end"/>
            </w:r>
          </w:hyperlink>
        </w:p>
        <w:p w14:paraId="37AA6AAC" w14:textId="49E5AD63" w:rsidR="00851C9A" w:rsidRDefault="005C2948">
          <w:pPr>
            <w:pStyle w:val="TOC2"/>
            <w:tabs>
              <w:tab w:val="right" w:leader="dot" w:pos="9016"/>
            </w:tabs>
            <w:rPr>
              <w:noProof/>
            </w:rPr>
          </w:pPr>
          <w:hyperlink w:anchor="_Toc226386757" w:history="1">
            <w:r w:rsidR="00851C9A" w:rsidRPr="00704A73">
              <w:rPr>
                <w:rStyle w:val="Hyperlink"/>
                <w:noProof/>
              </w:rPr>
              <w:t>4.2 Recruitment, Sampling &amp; Study Participants</w:t>
            </w:r>
            <w:r w:rsidR="00851C9A">
              <w:rPr>
                <w:noProof/>
                <w:webHidden/>
              </w:rPr>
              <w:tab/>
            </w:r>
            <w:r w:rsidR="00851C9A">
              <w:rPr>
                <w:noProof/>
                <w:webHidden/>
              </w:rPr>
              <w:fldChar w:fldCharType="begin"/>
            </w:r>
            <w:r w:rsidR="00851C9A">
              <w:rPr>
                <w:noProof/>
                <w:webHidden/>
              </w:rPr>
              <w:instrText xml:space="preserve"> PAGEREF _Toc226386757 \h </w:instrText>
            </w:r>
            <w:r w:rsidR="00851C9A">
              <w:rPr>
                <w:noProof/>
                <w:webHidden/>
              </w:rPr>
            </w:r>
            <w:r w:rsidR="00851C9A">
              <w:rPr>
                <w:noProof/>
                <w:webHidden/>
              </w:rPr>
              <w:fldChar w:fldCharType="separate"/>
            </w:r>
            <w:r w:rsidR="00851C9A">
              <w:rPr>
                <w:noProof/>
                <w:webHidden/>
              </w:rPr>
              <w:t>10</w:t>
            </w:r>
            <w:r w:rsidR="00851C9A">
              <w:rPr>
                <w:noProof/>
                <w:webHidden/>
              </w:rPr>
              <w:fldChar w:fldCharType="end"/>
            </w:r>
          </w:hyperlink>
        </w:p>
        <w:p w14:paraId="1FCB10CB" w14:textId="38D7D0EC" w:rsidR="00851C9A" w:rsidRDefault="005C2948">
          <w:pPr>
            <w:pStyle w:val="TOC2"/>
            <w:tabs>
              <w:tab w:val="right" w:leader="dot" w:pos="9016"/>
            </w:tabs>
            <w:rPr>
              <w:noProof/>
            </w:rPr>
          </w:pPr>
          <w:hyperlink w:anchor="_Toc226386758" w:history="1">
            <w:r w:rsidR="00851C9A" w:rsidRPr="00704A73">
              <w:rPr>
                <w:rStyle w:val="Hyperlink"/>
                <w:noProof/>
              </w:rPr>
              <w:t>4.3 Data Collection Method(s)/Procedure</w:t>
            </w:r>
            <w:r w:rsidR="00851C9A">
              <w:rPr>
                <w:noProof/>
                <w:webHidden/>
              </w:rPr>
              <w:tab/>
            </w:r>
            <w:r w:rsidR="00851C9A">
              <w:rPr>
                <w:noProof/>
                <w:webHidden/>
              </w:rPr>
              <w:fldChar w:fldCharType="begin"/>
            </w:r>
            <w:r w:rsidR="00851C9A">
              <w:rPr>
                <w:noProof/>
                <w:webHidden/>
              </w:rPr>
              <w:instrText xml:space="preserve"> PAGEREF _Toc226386758 \h </w:instrText>
            </w:r>
            <w:r w:rsidR="00851C9A">
              <w:rPr>
                <w:noProof/>
                <w:webHidden/>
              </w:rPr>
            </w:r>
            <w:r w:rsidR="00851C9A">
              <w:rPr>
                <w:noProof/>
                <w:webHidden/>
              </w:rPr>
              <w:fldChar w:fldCharType="separate"/>
            </w:r>
            <w:r w:rsidR="00851C9A">
              <w:rPr>
                <w:noProof/>
                <w:webHidden/>
              </w:rPr>
              <w:t>11</w:t>
            </w:r>
            <w:r w:rsidR="00851C9A">
              <w:rPr>
                <w:noProof/>
                <w:webHidden/>
              </w:rPr>
              <w:fldChar w:fldCharType="end"/>
            </w:r>
          </w:hyperlink>
        </w:p>
        <w:p w14:paraId="4C4FFA16" w14:textId="510B2564" w:rsidR="00851C9A" w:rsidRDefault="005C2948">
          <w:pPr>
            <w:pStyle w:val="TOC2"/>
            <w:tabs>
              <w:tab w:val="right" w:leader="dot" w:pos="9016"/>
            </w:tabs>
            <w:rPr>
              <w:noProof/>
            </w:rPr>
          </w:pPr>
          <w:hyperlink w:anchor="_Toc226386759" w:history="1">
            <w:r w:rsidR="00851C9A" w:rsidRPr="00704A73">
              <w:rPr>
                <w:rStyle w:val="Hyperlink"/>
                <w:noProof/>
              </w:rPr>
              <w:t>4.4 Proposed Data Analysis Technique (Thematic Analysis)</w:t>
            </w:r>
            <w:r w:rsidR="00851C9A">
              <w:rPr>
                <w:noProof/>
                <w:webHidden/>
              </w:rPr>
              <w:tab/>
            </w:r>
            <w:r w:rsidR="00851C9A">
              <w:rPr>
                <w:noProof/>
                <w:webHidden/>
              </w:rPr>
              <w:fldChar w:fldCharType="begin"/>
            </w:r>
            <w:r w:rsidR="00851C9A">
              <w:rPr>
                <w:noProof/>
                <w:webHidden/>
              </w:rPr>
              <w:instrText xml:space="preserve"> PAGEREF _Toc226386759 \h </w:instrText>
            </w:r>
            <w:r w:rsidR="00851C9A">
              <w:rPr>
                <w:noProof/>
                <w:webHidden/>
              </w:rPr>
            </w:r>
            <w:r w:rsidR="00851C9A">
              <w:rPr>
                <w:noProof/>
                <w:webHidden/>
              </w:rPr>
              <w:fldChar w:fldCharType="separate"/>
            </w:r>
            <w:r w:rsidR="00851C9A">
              <w:rPr>
                <w:noProof/>
                <w:webHidden/>
              </w:rPr>
              <w:t>11</w:t>
            </w:r>
            <w:r w:rsidR="00851C9A">
              <w:rPr>
                <w:noProof/>
                <w:webHidden/>
              </w:rPr>
              <w:fldChar w:fldCharType="end"/>
            </w:r>
          </w:hyperlink>
        </w:p>
        <w:p w14:paraId="3339FCA1" w14:textId="0654C73E" w:rsidR="00851C9A" w:rsidRDefault="005C2948">
          <w:pPr>
            <w:pStyle w:val="TOC2"/>
            <w:tabs>
              <w:tab w:val="right" w:leader="dot" w:pos="9016"/>
            </w:tabs>
            <w:rPr>
              <w:noProof/>
            </w:rPr>
          </w:pPr>
          <w:hyperlink w:anchor="_Toc226386760" w:history="1">
            <w:r w:rsidR="00851C9A" w:rsidRPr="00704A73">
              <w:rPr>
                <w:rStyle w:val="Hyperlink"/>
                <w:noProof/>
              </w:rPr>
              <w:t>4.5 Ethical Considerations</w:t>
            </w:r>
            <w:r w:rsidR="00851C9A">
              <w:rPr>
                <w:noProof/>
                <w:webHidden/>
              </w:rPr>
              <w:tab/>
            </w:r>
            <w:r w:rsidR="00851C9A">
              <w:rPr>
                <w:noProof/>
                <w:webHidden/>
              </w:rPr>
              <w:fldChar w:fldCharType="begin"/>
            </w:r>
            <w:r w:rsidR="00851C9A">
              <w:rPr>
                <w:noProof/>
                <w:webHidden/>
              </w:rPr>
              <w:instrText xml:space="preserve"> PAGEREF _Toc226386760 \h </w:instrText>
            </w:r>
            <w:r w:rsidR="00851C9A">
              <w:rPr>
                <w:noProof/>
                <w:webHidden/>
              </w:rPr>
            </w:r>
            <w:r w:rsidR="00851C9A">
              <w:rPr>
                <w:noProof/>
                <w:webHidden/>
              </w:rPr>
              <w:fldChar w:fldCharType="separate"/>
            </w:r>
            <w:r w:rsidR="00851C9A">
              <w:rPr>
                <w:noProof/>
                <w:webHidden/>
              </w:rPr>
              <w:t>12</w:t>
            </w:r>
            <w:r w:rsidR="00851C9A">
              <w:rPr>
                <w:noProof/>
                <w:webHidden/>
              </w:rPr>
              <w:fldChar w:fldCharType="end"/>
            </w:r>
          </w:hyperlink>
        </w:p>
        <w:p w14:paraId="529D6FC6" w14:textId="5E3B3E49" w:rsidR="00851C9A" w:rsidRDefault="005C2948">
          <w:pPr>
            <w:pStyle w:val="TOC2"/>
            <w:tabs>
              <w:tab w:val="right" w:leader="dot" w:pos="9016"/>
            </w:tabs>
            <w:rPr>
              <w:noProof/>
            </w:rPr>
          </w:pPr>
          <w:hyperlink w:anchor="_Toc226386761" w:history="1">
            <w:r w:rsidR="00851C9A" w:rsidRPr="00704A73">
              <w:rPr>
                <w:rStyle w:val="Hyperlink"/>
                <w:noProof/>
              </w:rPr>
              <w:t>4.6 Implication of Research</w:t>
            </w:r>
            <w:r w:rsidR="00851C9A">
              <w:rPr>
                <w:noProof/>
                <w:webHidden/>
              </w:rPr>
              <w:tab/>
            </w:r>
            <w:r w:rsidR="00851C9A">
              <w:rPr>
                <w:noProof/>
                <w:webHidden/>
              </w:rPr>
              <w:fldChar w:fldCharType="begin"/>
            </w:r>
            <w:r w:rsidR="00851C9A">
              <w:rPr>
                <w:noProof/>
                <w:webHidden/>
              </w:rPr>
              <w:instrText xml:space="preserve"> PAGEREF _Toc226386761 \h </w:instrText>
            </w:r>
            <w:r w:rsidR="00851C9A">
              <w:rPr>
                <w:noProof/>
                <w:webHidden/>
              </w:rPr>
            </w:r>
            <w:r w:rsidR="00851C9A">
              <w:rPr>
                <w:noProof/>
                <w:webHidden/>
              </w:rPr>
              <w:fldChar w:fldCharType="separate"/>
            </w:r>
            <w:r w:rsidR="00851C9A">
              <w:rPr>
                <w:noProof/>
                <w:webHidden/>
              </w:rPr>
              <w:t>12</w:t>
            </w:r>
            <w:r w:rsidR="00851C9A">
              <w:rPr>
                <w:noProof/>
                <w:webHidden/>
              </w:rPr>
              <w:fldChar w:fldCharType="end"/>
            </w:r>
          </w:hyperlink>
        </w:p>
        <w:p w14:paraId="7CD5DD1C" w14:textId="6AF1B17A" w:rsidR="00851C9A" w:rsidRDefault="005C2948">
          <w:pPr>
            <w:pStyle w:val="TOC2"/>
            <w:tabs>
              <w:tab w:val="right" w:leader="dot" w:pos="9016"/>
            </w:tabs>
            <w:rPr>
              <w:noProof/>
            </w:rPr>
          </w:pPr>
          <w:hyperlink w:anchor="_Toc226386762" w:history="1">
            <w:r w:rsidR="00851C9A" w:rsidRPr="00704A73">
              <w:rPr>
                <w:rStyle w:val="Hyperlink"/>
                <w:noProof/>
              </w:rPr>
              <w:t>4.7 Plan of Work and Time Schedule (Gantt Chart)</w:t>
            </w:r>
            <w:r w:rsidR="00851C9A">
              <w:rPr>
                <w:noProof/>
                <w:webHidden/>
              </w:rPr>
              <w:tab/>
            </w:r>
            <w:r w:rsidR="00851C9A">
              <w:rPr>
                <w:noProof/>
                <w:webHidden/>
              </w:rPr>
              <w:fldChar w:fldCharType="begin"/>
            </w:r>
            <w:r w:rsidR="00851C9A">
              <w:rPr>
                <w:noProof/>
                <w:webHidden/>
              </w:rPr>
              <w:instrText xml:space="preserve"> PAGEREF _Toc226386762 \h </w:instrText>
            </w:r>
            <w:r w:rsidR="00851C9A">
              <w:rPr>
                <w:noProof/>
                <w:webHidden/>
              </w:rPr>
            </w:r>
            <w:r w:rsidR="00851C9A">
              <w:rPr>
                <w:noProof/>
                <w:webHidden/>
              </w:rPr>
              <w:fldChar w:fldCharType="separate"/>
            </w:r>
            <w:r w:rsidR="00851C9A">
              <w:rPr>
                <w:noProof/>
                <w:webHidden/>
              </w:rPr>
              <w:t>13</w:t>
            </w:r>
            <w:r w:rsidR="00851C9A">
              <w:rPr>
                <w:noProof/>
                <w:webHidden/>
              </w:rPr>
              <w:fldChar w:fldCharType="end"/>
            </w:r>
          </w:hyperlink>
        </w:p>
        <w:p w14:paraId="339087BD" w14:textId="76CD8163" w:rsidR="00851C9A" w:rsidRDefault="005C2948">
          <w:pPr>
            <w:pStyle w:val="TOC1"/>
            <w:tabs>
              <w:tab w:val="right" w:leader="dot" w:pos="9016"/>
            </w:tabs>
            <w:rPr>
              <w:noProof/>
            </w:rPr>
          </w:pPr>
          <w:hyperlink w:anchor="_Toc226386763" w:history="1">
            <w:r w:rsidR="00851C9A" w:rsidRPr="00704A73">
              <w:rPr>
                <w:rStyle w:val="Hyperlink"/>
                <w:noProof/>
              </w:rPr>
              <w:t>References</w:t>
            </w:r>
            <w:r w:rsidR="00851C9A">
              <w:rPr>
                <w:noProof/>
                <w:webHidden/>
              </w:rPr>
              <w:tab/>
            </w:r>
            <w:r w:rsidR="00851C9A">
              <w:rPr>
                <w:noProof/>
                <w:webHidden/>
              </w:rPr>
              <w:fldChar w:fldCharType="begin"/>
            </w:r>
            <w:r w:rsidR="00851C9A">
              <w:rPr>
                <w:noProof/>
                <w:webHidden/>
              </w:rPr>
              <w:instrText xml:space="preserve"> PAGEREF _Toc226386763 \h </w:instrText>
            </w:r>
            <w:r w:rsidR="00851C9A">
              <w:rPr>
                <w:noProof/>
                <w:webHidden/>
              </w:rPr>
            </w:r>
            <w:r w:rsidR="00851C9A">
              <w:rPr>
                <w:noProof/>
                <w:webHidden/>
              </w:rPr>
              <w:fldChar w:fldCharType="separate"/>
            </w:r>
            <w:r w:rsidR="00851C9A">
              <w:rPr>
                <w:noProof/>
                <w:webHidden/>
              </w:rPr>
              <w:t>14</w:t>
            </w:r>
            <w:r w:rsidR="00851C9A">
              <w:rPr>
                <w:noProof/>
                <w:webHidden/>
              </w:rPr>
              <w:fldChar w:fldCharType="end"/>
            </w:r>
          </w:hyperlink>
        </w:p>
        <w:p w14:paraId="4A22782E" w14:textId="44E9B411" w:rsidR="00851C9A" w:rsidRDefault="00851C9A">
          <w:r>
            <w:rPr>
              <w:b/>
              <w:bCs/>
              <w:noProof/>
            </w:rPr>
            <w:fldChar w:fldCharType="end"/>
          </w:r>
        </w:p>
      </w:sdtContent>
    </w:sdt>
    <w:p w14:paraId="0C934932" w14:textId="622AB3EE" w:rsidR="00F474A0" w:rsidRDefault="00F474A0" w:rsidP="00851C9A">
      <w:r>
        <w:br w:type="page"/>
      </w:r>
    </w:p>
    <w:p w14:paraId="7B0F798B" w14:textId="676287A7" w:rsidR="00F474A0" w:rsidRPr="00F474A0" w:rsidRDefault="00F474A0" w:rsidP="00F474A0">
      <w:pPr>
        <w:jc w:val="center"/>
        <w:rPr>
          <w:b/>
          <w:bCs/>
          <w:sz w:val="24"/>
          <w:szCs w:val="24"/>
        </w:rPr>
      </w:pPr>
      <w:r w:rsidRPr="00F474A0">
        <w:rPr>
          <w:b/>
          <w:bCs/>
          <w:sz w:val="24"/>
          <w:szCs w:val="24"/>
        </w:rPr>
        <w:lastRenderedPageBreak/>
        <w:t>Title:</w:t>
      </w:r>
    </w:p>
    <w:p w14:paraId="49FAF8D8" w14:textId="3B40EB8A" w:rsidR="00F474A0" w:rsidRPr="00F474A0" w:rsidRDefault="00F474A0" w:rsidP="00F474A0">
      <w:pPr>
        <w:jc w:val="center"/>
        <w:rPr>
          <w:b/>
          <w:bCs/>
          <w:sz w:val="24"/>
          <w:szCs w:val="24"/>
        </w:rPr>
      </w:pPr>
      <w:r w:rsidRPr="00F474A0">
        <w:rPr>
          <w:b/>
          <w:bCs/>
          <w:sz w:val="24"/>
          <w:szCs w:val="24"/>
        </w:rPr>
        <w:t>“Systematic Review on Antimicrobial Resistance and Antibiotic Prescribing Practices in Community Pharmacies in the United Kingdom”</w:t>
      </w:r>
    </w:p>
    <w:p w14:paraId="5176C90C" w14:textId="4498EE9D" w:rsidR="00F474A0" w:rsidRDefault="00F474A0">
      <w:pPr>
        <w:spacing w:line="259" w:lineRule="auto"/>
        <w:jc w:val="left"/>
      </w:pPr>
      <w:r>
        <w:br w:type="page"/>
      </w:r>
    </w:p>
    <w:p w14:paraId="3A06E2F0" w14:textId="179E37B4" w:rsidR="00F474A0" w:rsidRDefault="00A01664" w:rsidP="00192BBA">
      <w:pPr>
        <w:pStyle w:val="Heading1"/>
      </w:pPr>
      <w:bookmarkStart w:id="1" w:name="_Toc226386749"/>
      <w:r w:rsidRPr="00F67A26">
        <w:lastRenderedPageBreak/>
        <w:t>Prevalence of the Problem</w:t>
      </w:r>
      <w:bookmarkEnd w:id="1"/>
    </w:p>
    <w:p w14:paraId="688825D6" w14:textId="5B2C4C43" w:rsidR="007A0328" w:rsidRDefault="007A0328" w:rsidP="007A0328">
      <w:r>
        <w:t>Recent monitoring data indicates that over 20% of bacterial infections in the UK exhibit resistance to at least one widely used antibiotic</w:t>
      </w:r>
      <w:r w:rsidR="00C130E2">
        <w:t xml:space="preserve"> </w:t>
      </w:r>
      <w:r w:rsidR="00C130E2" w:rsidRPr="00C130E2">
        <w:t>(Cogora Limited and Warner, 2025)</w:t>
      </w:r>
      <w:r>
        <w:t>. Moreover, antibiotic use in primary care, including community pharmacy environments, constitutes around 80% of overall antibiotic usage in the UK</w:t>
      </w:r>
      <w:r w:rsidR="00C130E2">
        <w:t xml:space="preserve"> </w:t>
      </w:r>
      <w:r w:rsidR="00C130E2" w:rsidRPr="00C130E2">
        <w:t>(Fenech and Gaffiero, 2025)</w:t>
      </w:r>
      <w:r w:rsidR="00C130E2">
        <w:t>.</w:t>
      </w:r>
    </w:p>
    <w:p w14:paraId="40C378AA" w14:textId="29FECAEA" w:rsidR="007A0328" w:rsidRDefault="007A0328" w:rsidP="007A0328">
      <w:r>
        <w:t>Antimicrobial resistance (AMR) infections in the UK increased by 13.1%, from 18,103 instances in 2019 to 20,484 in 2024, while England had a 22.7% rise in specific resistant infections, escalating from 9,922 to 12,175</w:t>
      </w:r>
      <w:r w:rsidR="00C130E2">
        <w:t xml:space="preserve"> </w:t>
      </w:r>
      <w:r w:rsidR="00C130E2" w:rsidRPr="00C130E2">
        <w:t>(Lambert et al., 2025)</w:t>
      </w:r>
      <w:r>
        <w:t>. This results in around 400 new resistant illnesses per week in 2024, exceeding pre-pandemic levels and disproportionately impacting marginalised communities, the elderly, and non-White ethnic groups</w:t>
      </w:r>
      <w:r w:rsidR="00C130E2">
        <w:t xml:space="preserve"> </w:t>
      </w:r>
      <w:r w:rsidR="00C130E2" w:rsidRPr="00C130E2">
        <w:t>(McCormick et al., 2026)</w:t>
      </w:r>
      <w:r w:rsidR="00C130E2">
        <w:t>.</w:t>
      </w:r>
    </w:p>
    <w:p w14:paraId="664AD652" w14:textId="7FA47156" w:rsidR="007A0328" w:rsidRDefault="007A0328" w:rsidP="007A0328">
      <w:pPr>
        <w:jc w:val="center"/>
      </w:pPr>
      <w:r>
        <w:rPr>
          <w:noProof/>
        </w:rPr>
        <w:drawing>
          <wp:inline distT="0" distB="0" distL="0" distR="0" wp14:anchorId="14D97741" wp14:editId="75C0C723">
            <wp:extent cx="4097867" cy="3073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02059" cy="3076544"/>
                    </a:xfrm>
                    <a:prstGeom prst="rect">
                      <a:avLst/>
                    </a:prstGeom>
                    <a:noFill/>
                  </pic:spPr>
                </pic:pic>
              </a:graphicData>
            </a:graphic>
          </wp:inline>
        </w:drawing>
      </w:r>
    </w:p>
    <w:p w14:paraId="629CF889" w14:textId="4900957B" w:rsidR="007A0328" w:rsidRPr="007A0328" w:rsidRDefault="007A0328" w:rsidP="007A0328">
      <w:pPr>
        <w:jc w:val="center"/>
        <w:rPr>
          <w:b/>
          <w:bCs/>
          <w:i/>
          <w:iCs/>
        </w:rPr>
      </w:pPr>
      <w:r w:rsidRPr="00544A52">
        <w:rPr>
          <w:b/>
          <w:bCs/>
          <w:i/>
          <w:iCs/>
        </w:rPr>
        <w:t>Figure</w:t>
      </w:r>
      <w:r>
        <w:rPr>
          <w:b/>
          <w:bCs/>
          <w:i/>
          <w:iCs/>
        </w:rPr>
        <w:t xml:space="preserve"> 1</w:t>
      </w:r>
      <w:r w:rsidRPr="00544A52">
        <w:rPr>
          <w:b/>
          <w:bCs/>
          <w:i/>
          <w:iCs/>
        </w:rPr>
        <w:t>: (Bou-Antoun et al., 2026)</w:t>
      </w:r>
    </w:p>
    <w:p w14:paraId="47543B53" w14:textId="70682FD8" w:rsidR="007A0328" w:rsidRDefault="007A0328" w:rsidP="007A0328">
      <w:r>
        <w:t>Community pharmacies are responsible for dispensing the majority of antibiotics within the community, with research indicating that incorrect distribution occurs in as much as 53% of instances without interventions, including sales resembling over-the-counter transactions for non-bacterial conditions</w:t>
      </w:r>
      <w:r w:rsidR="00C130E2">
        <w:t xml:space="preserve"> </w:t>
      </w:r>
      <w:r w:rsidR="00C130E2" w:rsidRPr="00C130E2">
        <w:t>(Ndaki et al., 2025)</w:t>
      </w:r>
      <w:r>
        <w:t>. Recent studies indicate knowledge deficiencies: 5% of chemists and pharmacy technicians are uncertain about the definition of AMR, whereas 1-3.5% erroneously believe that antibiotics are effective against viruses</w:t>
      </w:r>
      <w:r w:rsidR="00C130E2">
        <w:t xml:space="preserve"> </w:t>
      </w:r>
      <w:r w:rsidR="00C130E2" w:rsidRPr="00C130E2">
        <w:t>(Mantzourani et al., 2025)</w:t>
      </w:r>
      <w:r w:rsidR="00C130E2">
        <w:t>.</w:t>
      </w:r>
    </w:p>
    <w:p w14:paraId="06EB911A" w14:textId="378F315E" w:rsidR="007A0328" w:rsidRDefault="007A0328" w:rsidP="007A0328">
      <w:r>
        <w:t>Antimicrobial resistance (AMR) in the UK is an escalating danger, with severe antibiotic-resistant illnesses totalling 66,730 in 2023, surpassing pre-pandemic figures</w:t>
      </w:r>
      <w:r w:rsidR="00C130E2">
        <w:t xml:space="preserve"> </w:t>
      </w:r>
      <w:r w:rsidR="00C130E2" w:rsidRPr="00C130E2">
        <w:t xml:space="preserve">(Qtait et al., </w:t>
      </w:r>
      <w:r w:rsidR="00C130E2" w:rsidRPr="00C130E2">
        <w:lastRenderedPageBreak/>
        <w:t>2025)</w:t>
      </w:r>
      <w:r>
        <w:t>. In the United Kingdom, those aged 70 and above saw the greatest death rates associated with antimicrobial resistance (AMR) in both 1990 and 2021, indicating that this demographic continues to be particularly vulnerable to antibiotic-resistant diseases</w:t>
      </w:r>
      <w:r w:rsidR="00C130E2">
        <w:t xml:space="preserve"> </w:t>
      </w:r>
      <w:r w:rsidR="00C130E2" w:rsidRPr="00C130E2">
        <w:t>(Rizvi et al., 2025)</w:t>
      </w:r>
      <w:r>
        <w:t xml:space="preserve">. In 2021, the deaths associated with antimicrobial resistance (AMR) among individuals aged 70 and older was 23,000 (19,900-26,100), resulting in a mortality rate of 252 per 100,000 </w:t>
      </w:r>
      <w:r w:rsidR="00C130E2" w:rsidRPr="00C130E2">
        <w:t>(Willis, 2025)</w:t>
      </w:r>
      <w:r w:rsidR="00C130E2">
        <w:t>.</w:t>
      </w:r>
    </w:p>
    <w:p w14:paraId="02FDF4B9" w14:textId="6ADF9D74" w:rsidR="007A0328" w:rsidRDefault="007A0328" w:rsidP="007A0328">
      <w:pPr>
        <w:jc w:val="center"/>
      </w:pPr>
      <w:r w:rsidRPr="00213E1B">
        <w:rPr>
          <w:noProof/>
        </w:rPr>
        <w:drawing>
          <wp:inline distT="0" distB="0" distL="0" distR="0" wp14:anchorId="635F8BD6" wp14:editId="63847093">
            <wp:extent cx="5219700" cy="2582820"/>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22160" cy="2584037"/>
                    </a:xfrm>
                    <a:prstGeom prst="rect">
                      <a:avLst/>
                    </a:prstGeom>
                  </pic:spPr>
                </pic:pic>
              </a:graphicData>
            </a:graphic>
          </wp:inline>
        </w:drawing>
      </w:r>
    </w:p>
    <w:p w14:paraId="1FA8541E" w14:textId="06124912" w:rsidR="007A0328" w:rsidRPr="007A0328" w:rsidRDefault="007A0328" w:rsidP="007A0328">
      <w:pPr>
        <w:jc w:val="center"/>
        <w:rPr>
          <w:b/>
          <w:bCs/>
          <w:i/>
          <w:iCs/>
        </w:rPr>
      </w:pPr>
      <w:r w:rsidRPr="007A0328">
        <w:rPr>
          <w:b/>
          <w:bCs/>
          <w:i/>
          <w:iCs/>
        </w:rPr>
        <w:t>Figure 2: (Healthdata, 2025)</w:t>
      </w:r>
    </w:p>
    <w:p w14:paraId="6120D6C4" w14:textId="394DFD01" w:rsidR="00A01664" w:rsidRDefault="00A01664" w:rsidP="00A01664">
      <w:r>
        <w:t>Nowadays, England records close to 400 new infections with antibiotic-resistant agents per week, which is the reason the issue is endemic in the community and hospitals</w:t>
      </w:r>
      <w:r w:rsidR="00C130E2">
        <w:t xml:space="preserve"> </w:t>
      </w:r>
      <w:r w:rsidR="00C130E2" w:rsidRPr="00C130E2">
        <w:t>(GOV.UK. 2024)</w:t>
      </w:r>
      <w:r>
        <w:t>. The overall percentage of antibiotic-resistant bloodstream infections (bacteraemia) rose by 13.1%, as 18,103 cases have grown to 20,484 cases</w:t>
      </w:r>
      <w:r w:rsidR="00C130E2">
        <w:t xml:space="preserve"> </w:t>
      </w:r>
      <w:r w:rsidR="00C130E2" w:rsidRPr="00C130E2">
        <w:t>(Healthdata, 2025)</w:t>
      </w:r>
      <w:r>
        <w:t>. The fact that much of this growth has been in the last two years since the COVID-19 pandemic makes this upward trend particularly alarming, as a 9.3% increase has been recorded since 2023</w:t>
      </w:r>
      <w:r w:rsidR="00C130E2">
        <w:t xml:space="preserve"> </w:t>
      </w:r>
      <w:r w:rsidR="00C130E2" w:rsidRPr="00C130E2">
        <w:t>(Holmes, 2025)</w:t>
      </w:r>
      <w:r w:rsidR="00C130E2">
        <w:t>.</w:t>
      </w:r>
    </w:p>
    <w:p w14:paraId="44871452" w14:textId="62AF3ED8" w:rsidR="00192BBA" w:rsidRDefault="00A01664" w:rsidP="00A01664">
      <w:r>
        <w:t>The biological resistance takes its human toll in the increased mortality rates. The number of deaths associated with resistant infections in England rose to 2,041 in 2023 and 2,379 in 2024, which is a great load to both the healthcare system and families</w:t>
      </w:r>
      <w:r w:rsidR="00C130E2">
        <w:t xml:space="preserve"> </w:t>
      </w:r>
      <w:r w:rsidR="00C130E2" w:rsidRPr="00C130E2">
        <w:t>(Zerbinato, Cunningham and Tonna, 2025)</w:t>
      </w:r>
      <w:r>
        <w:t>. Some of the pathogens have demonstrated more aggressive resistance expansion than others clinically. The rates of resistance burden increase of Klebsiella pneumoniae and Staphylococcus aureus are 39.9 and 33.0% respectively between 2019 and 2024</w:t>
      </w:r>
      <w:r w:rsidR="00C130E2">
        <w:t xml:space="preserve"> </w:t>
      </w:r>
      <w:r w:rsidR="00C130E2" w:rsidRPr="00C130E2">
        <w:t>(McCormick et al., 2026)</w:t>
      </w:r>
      <w:r w:rsidR="00C130E2">
        <w:t>.</w:t>
      </w:r>
    </w:p>
    <w:p w14:paraId="4D0B6D35" w14:textId="0689DE81" w:rsidR="007A0328" w:rsidRDefault="007A0328">
      <w:pPr>
        <w:spacing w:line="259" w:lineRule="auto"/>
        <w:jc w:val="left"/>
      </w:pPr>
      <w:r>
        <w:br w:type="page"/>
      </w:r>
    </w:p>
    <w:p w14:paraId="08492C8E" w14:textId="0F60C179" w:rsidR="007A0328" w:rsidRDefault="007A0328" w:rsidP="007A0328">
      <w:pPr>
        <w:pStyle w:val="Heading1"/>
      </w:pPr>
      <w:bookmarkStart w:id="2" w:name="_Toc226386750"/>
      <w:r w:rsidRPr="007A0328">
        <w:lastRenderedPageBreak/>
        <w:t>Background to the Study and Literature Review</w:t>
      </w:r>
      <w:bookmarkEnd w:id="2"/>
    </w:p>
    <w:p w14:paraId="5FB24ECA" w14:textId="515A0798" w:rsidR="007A0328" w:rsidRDefault="007A0328" w:rsidP="007A0328">
      <w:r>
        <w:t>Antimicrobial resistance is considered, to a large extent, to be one of the greatest threats to the survival of modern medicine. Since the discovery of penicillin, surgical success, cancer therapy, and treating common infections have relied on the clinical usefulness of antibiotics</w:t>
      </w:r>
      <w:r w:rsidR="00C130E2">
        <w:t xml:space="preserve"> </w:t>
      </w:r>
      <w:r w:rsidR="00C130E2" w:rsidRPr="00C130E2">
        <w:t>(Seaton et al., 2022)</w:t>
      </w:r>
      <w:r>
        <w:t>. Nevertheless, the indiscriminate usage and abuse of such agents have stimulated the evolutionary selection of resistant bacteria. In the United Kingdom, the 20-year vision of the government on AMR and the following 5-year National Action Plans (NAPs) have attempted to make the UK a global leader in antimicrobial stewardship</w:t>
      </w:r>
      <w:r w:rsidR="00C130E2">
        <w:t xml:space="preserve"> </w:t>
      </w:r>
      <w:r w:rsidR="00C130E2" w:rsidRPr="00C130E2">
        <w:t>(UK clinical pharmacy, 2025)</w:t>
      </w:r>
      <w:r>
        <w:t>. One of the pillars of this strategy is the optimization of antimicrobial use in primary care, in which about 80</w:t>
      </w:r>
      <w:r w:rsidR="00C130E2">
        <w:t>%</w:t>
      </w:r>
      <w:r>
        <w:t xml:space="preserve"> of all antibiotics are prescribed and dispensed</w:t>
      </w:r>
      <w:r w:rsidR="00C130E2">
        <w:t xml:space="preserve"> </w:t>
      </w:r>
      <w:r w:rsidR="00C130E2" w:rsidRPr="00C130E2">
        <w:t>(NHS England, 2023)</w:t>
      </w:r>
      <w:r w:rsidR="00C130E2">
        <w:t>.</w:t>
      </w:r>
    </w:p>
    <w:p w14:paraId="5AE8C69E" w14:textId="1F5AF656" w:rsidR="007A0328" w:rsidRDefault="007A0328" w:rsidP="007A0328">
      <w:r>
        <w:t>Community pharmacies hold a special and more clinical place in the UK primary care environment. The role of the community pharmacist traditionally as the last point of dispensing has been increased by the Community Pharmacy Contractual Framework (CPCF) and the emergence of more sophisticated services</w:t>
      </w:r>
      <w:r w:rsidR="00C130E2">
        <w:t xml:space="preserve"> </w:t>
      </w:r>
      <w:r w:rsidR="00C130E2" w:rsidRPr="00C130E2">
        <w:t>(Al Masud et al., 2025)</w:t>
      </w:r>
      <w:r>
        <w:t>. In January 2024, the service called Pharmacy First was introduced, which is a paradigm shift, allowing pharmacists to prescribe seven common conditions (UTIs, sore throat, earache, sinusitis, impetigo, shingles, and infected insect bites) with the use of Patient Group Directions (PGDs). Although the intention behind this expansion is to ease the burden on General Practice (GP) and Urgent Care services, it also subjects community pharmacists to the AMR controversy</w:t>
      </w:r>
      <w:r w:rsidR="00C130E2">
        <w:t xml:space="preserve"> </w:t>
      </w:r>
      <w:r w:rsidR="00C130E2" w:rsidRPr="00C130E2">
        <w:t>(Brown, 2023)</w:t>
      </w:r>
      <w:r>
        <w:t>. The clinical decision-making surrounding these consultations needs to be an attempt to balance the short-term goal of patient relief and the long-term goal of maintaining antibiotic efficacy</w:t>
      </w:r>
      <w:r w:rsidR="00C130E2">
        <w:t xml:space="preserve"> </w:t>
      </w:r>
      <w:r w:rsidR="00C130E2" w:rsidRPr="00C130E2">
        <w:t>(Bianco et al., 2021)</w:t>
      </w:r>
      <w:r w:rsidR="00C130E2">
        <w:t>.</w:t>
      </w:r>
    </w:p>
    <w:p w14:paraId="58CF3166" w14:textId="1B7EAB8D" w:rsidR="007A0328" w:rsidRDefault="007A0328" w:rsidP="007A0328">
      <w:r>
        <w:t>Qualitative research and surveys prove that pharmacists have a high degree of theoretical knowledge about AMR mechanisms and risks of using it inappropriately, yet the lack of systemic barriers often impedes their practical skills</w:t>
      </w:r>
      <w:r w:rsidR="00C130E2">
        <w:t xml:space="preserve"> </w:t>
      </w:r>
      <w:r w:rsidR="00C130E2" w:rsidRPr="00C130E2">
        <w:t>(Parekh et al., 2023)</w:t>
      </w:r>
      <w:r>
        <w:t>. A French study of community pharmacists, which is similar to many UK situations, reported that 96% of them supported the idea of adding more education to decrease patient pressure, but often cited dispensing pressure and customer demand as important barriers</w:t>
      </w:r>
      <w:r w:rsidR="00C130E2">
        <w:t xml:space="preserve"> </w:t>
      </w:r>
      <w:r w:rsidR="00C130E2" w:rsidRPr="00C130E2">
        <w:t>(Durand et al., 2022)</w:t>
      </w:r>
      <w:r>
        <w:t>. In the UK, pharmacists are considered highly accessible guardians, although their performance is restricted by the unavailability of detailed patient medical histories and the diagnostic ambiguity of minor ailment appointments.</w:t>
      </w:r>
    </w:p>
    <w:p w14:paraId="650B564E" w14:textId="19BEA498" w:rsidR="007A0328" w:rsidRDefault="007A0328" w:rsidP="007A0328">
      <w:r>
        <w:t>The behavioral determinants of inappropriate supply of antibiotics are complex. According to international literature, such as Malta and Palestine studies, diagnostic uncertainty and perceived patient expectations are the major causes of defensive prescribing or dispensing</w:t>
      </w:r>
      <w:r w:rsidR="00C130E2">
        <w:t xml:space="preserve"> </w:t>
      </w:r>
      <w:r w:rsidR="00C130E2" w:rsidRPr="00C130E2">
        <w:t>(de Souza et al., 2022)</w:t>
      </w:r>
      <w:r>
        <w:t xml:space="preserve">. In the UK, dispensing without a prescription is a crime and a highly </w:t>
      </w:r>
      <w:r>
        <w:lastRenderedPageBreak/>
        <w:t>policed one, but inappropriate supply is often in the nature of adhering to a PGD clinical pathway too liberally or not objecting to an obviously inappropriate prescription by a GP or a private provider. The increase of the dispensing of antibiotics in the private sector more than twice since 2019 is a specific challenge. Such private prescriptions can be based on online sources where the rigour of diagnosis might be less than in an NHS environment but the pharmacist is legally required to fill valid prescriptions unless there is a specific safety issue</w:t>
      </w:r>
      <w:r w:rsidR="00C130E2">
        <w:t xml:space="preserve"> </w:t>
      </w:r>
      <w:r w:rsidR="00C130E2" w:rsidRPr="00C130E2">
        <w:t>(Community Pharmacy England, 2025)</w:t>
      </w:r>
      <w:r>
        <w:t>.</w:t>
      </w:r>
    </w:p>
    <w:p w14:paraId="7A56448B" w14:textId="022E7B21" w:rsidR="007A0328" w:rsidRDefault="007A0328" w:rsidP="007A0328">
      <w:r>
        <w:t>In response to those pressures, the UK has developed a number of evidence-based strategies, the most notable being the TARGET (Treat antibiotics responsively, Guidance, Education, Tools) toolkit and the Pharmacy Quality Scheme (PQS). The TARGET toolkit offers organized materials including the Treating Your Infection (TYI) leaflets and the antibiotic checklists, which are aimed at supporting the shared decision-making and patient education. Assessment of the 2021-22 PQS revealed that more than 8,000 pharmacies applied the TARGET Antibiotic Checklist and that patient knowledge was increased and fewer future expectations of antibiotics were formed</w:t>
      </w:r>
      <w:r w:rsidR="00851C9A">
        <w:t xml:space="preserve"> </w:t>
      </w:r>
      <w:r w:rsidR="00851C9A" w:rsidRPr="00851C9A">
        <w:t>(Asghar et al., 2020)</w:t>
      </w:r>
      <w:r>
        <w:t>. Moreover, the implementation of clinical audits, including the 2025-26 audit on sore throat consultations, is an attempt to guarantee that pharmacists adopt evidence-based instruments, like the FeverPAIN score, to distinguish between patients who indeed require treatment and those who can be treated using self-care</w:t>
      </w:r>
      <w:r w:rsidR="00851C9A">
        <w:t xml:space="preserve"> </w:t>
      </w:r>
      <w:r w:rsidR="00851C9A" w:rsidRPr="00851C9A">
        <w:t>(Abdullah Al Masud et al., 2024)</w:t>
      </w:r>
      <w:r w:rsidR="00851C9A">
        <w:t>.</w:t>
      </w:r>
    </w:p>
    <w:p w14:paraId="7E358BF6" w14:textId="74DF2D3D" w:rsidR="007A0328" w:rsidRDefault="007A0328" w:rsidP="007A0328">
      <w:r>
        <w:t>Nonetheless, the high pace of launching such services as Pharmacy First requires continuous reviewing. Early data in 2024 indicates a situation where most patients with UTIs (85) were provided with antibiotics but no major results were found between 2023 and 2024 to indicate that short-term provision of nitrofurantoin through pharmacies may not necessarily alter an ecological balance of resistance</w:t>
      </w:r>
      <w:r w:rsidR="00851C9A">
        <w:t xml:space="preserve"> </w:t>
      </w:r>
      <w:r w:rsidR="00851C9A" w:rsidRPr="00851C9A">
        <w:t>(Holmes, 2025)</w:t>
      </w:r>
      <w:r>
        <w:t>. However, the general trend of antimicrobial use in the other community settings (43.8% rise) also highlights the necessity to research whether these services are indeed making GP appointment slots free or just adding to the total amount of antibiotics circulating</w:t>
      </w:r>
      <w:r w:rsidR="00851C9A">
        <w:t xml:space="preserve"> </w:t>
      </w:r>
      <w:r w:rsidR="00851C9A" w:rsidRPr="00851C9A">
        <w:t>(Zerbinato, Cunningham and Tonna, 2025)</w:t>
      </w:r>
      <w:r w:rsidR="00851C9A">
        <w:t>.</w:t>
      </w:r>
    </w:p>
    <w:p w14:paraId="7EF6FC42" w14:textId="7891A754" w:rsidR="00A01664" w:rsidRDefault="00372B21" w:rsidP="00372B21">
      <w:pPr>
        <w:pStyle w:val="Heading1"/>
      </w:pPr>
      <w:bookmarkStart w:id="3" w:name="_Toc226386751"/>
      <w:r w:rsidRPr="00372B21">
        <w:t>Rationale of the Research</w:t>
      </w:r>
      <w:bookmarkEnd w:id="3"/>
    </w:p>
    <w:p w14:paraId="06CD3728" w14:textId="6BAE0F25" w:rsidR="00372B21" w:rsidRDefault="00981ECA" w:rsidP="00A01664">
      <w:r w:rsidRPr="00981ECA">
        <w:t>Antimicrobial resistance (AMR) threatens UK public health, with community pharmacies handling 80% of antibiotics as key contributors through dispensing and emerging prescribing roles</w:t>
      </w:r>
      <w:r w:rsidR="00851C9A">
        <w:t xml:space="preserve"> </w:t>
      </w:r>
      <w:r w:rsidR="00851C9A" w:rsidRPr="00851C9A">
        <w:t>(Willis, 2025)</w:t>
      </w:r>
      <w:r w:rsidRPr="00981ECA">
        <w:t>. This systematic review is essential to dissect how these practices fuel resistance, evaluating safeguards like TARGET checklists and strategies such as enhanced training.</w:t>
      </w:r>
    </w:p>
    <w:p w14:paraId="734DF89A" w14:textId="4BEF8347" w:rsidR="00981ECA" w:rsidRDefault="00981ECA" w:rsidP="00981ECA">
      <w:r>
        <w:lastRenderedPageBreak/>
        <w:t>The current surveillance statistics indicate a paradoxical pattern: although overall primary care antibiotic prescribing in GP practices has declined, prescription in the other community settings, mostly pharmacies, has soared by almost 44%</w:t>
      </w:r>
      <w:r w:rsidR="00851C9A">
        <w:t xml:space="preserve"> </w:t>
      </w:r>
      <w:r w:rsidR="00851C9A" w:rsidRPr="00851C9A">
        <w:t>(Rizvi et al., 2025)</w:t>
      </w:r>
      <w:r>
        <w:t>. This implies that there may be a displacement effect of patients who used to consult a GP surgery and are currently obtaining antibiotics in a pharmacy. Without a methodical assessment of the qualitative parameters affecting these supplies, one cannot tell whether these consultations are following the category of Access in the AWaRe UK classification or whether they are causing the shift to the category of Access-Watch that fosters resistance. Moreover, dramatic increase of the prescribing of the private sector which is at 22% of all primary care use is a research gap</w:t>
      </w:r>
      <w:r w:rsidR="00851C9A">
        <w:t xml:space="preserve"> </w:t>
      </w:r>
      <w:r w:rsidR="00851C9A" w:rsidRPr="00851C9A">
        <w:t>(Qtait et al., 2025)</w:t>
      </w:r>
      <w:r>
        <w:t>. These private agents are mainly dispensed by community pharmacists, and their contribution to the private sector as a safety net is essential but not well-articulated.</w:t>
      </w:r>
    </w:p>
    <w:p w14:paraId="48A1EBDE" w14:textId="09BF47CD" w:rsidR="00981ECA" w:rsidRDefault="00981ECA" w:rsidP="00981ECA">
      <w:r>
        <w:t>The continuing implementation gap in antimicrobial stewardship also justifies this research. Although national toolkits such as TARGET exist, less than half of community healthcare organizations had written local action plans to execute them before recent PQS incentives. To comprehend the reasons behind the adoption of some stewardship approaches and the relegation of the others, qualitative inquiry is necessary. An illustration is, why did the rate of escalation to pharmacists decrease by 23 to 15 when using TYI leaflets? Does this indicate more confidence in the staff or a tick-box methodology of consultations? This review will determine the behavioural and structural "levers" that can be pulled to enhance AMS effectiveness by combining qualitative evidence. The study will eventually give a solid evidence base to policymakers, ICBs, and the Royal Pharmaceutical Society (RPS) to improve training and clinical pathways that will make sure that the growth of pharmacy services does not harm the long-term AMR strategy in the UK.</w:t>
      </w:r>
    </w:p>
    <w:p w14:paraId="2836D033" w14:textId="77777777" w:rsidR="000E20EC" w:rsidRDefault="000E20EC" w:rsidP="000E20EC">
      <w:pPr>
        <w:pStyle w:val="Heading2"/>
      </w:pPr>
      <w:bookmarkStart w:id="4" w:name="_Toc226386752"/>
      <w:r>
        <w:t>Research Question</w:t>
      </w:r>
      <w:bookmarkEnd w:id="4"/>
    </w:p>
    <w:p w14:paraId="59DDF198" w14:textId="77777777" w:rsidR="000E20EC" w:rsidRDefault="000E20EC" w:rsidP="000E20EC">
      <w:r>
        <w:t>How could antibiotic prescribing and dispensing practices in UK community pharmacies contribute to antimicrobial resistance? The safeguards enacted and strategies necessitated</w:t>
      </w:r>
    </w:p>
    <w:p w14:paraId="328A2F7C" w14:textId="77777777" w:rsidR="000E20EC" w:rsidRDefault="000E20EC" w:rsidP="000E20EC">
      <w:pPr>
        <w:pStyle w:val="Heading2"/>
      </w:pPr>
      <w:bookmarkStart w:id="5" w:name="_Toc226386753"/>
      <w:r>
        <w:t>Research Aim</w:t>
      </w:r>
      <w:bookmarkEnd w:id="5"/>
    </w:p>
    <w:p w14:paraId="7A4C64A9" w14:textId="77777777" w:rsidR="000E20EC" w:rsidRDefault="000E20EC" w:rsidP="000E20EC">
      <w:r>
        <w:t>To evaluate antibiotic prescribing and dispensing practices in community pharmacies in the UK and assess their potential contribution to antimicrobial resistance.</w:t>
      </w:r>
    </w:p>
    <w:p w14:paraId="5FBEA592" w14:textId="77777777" w:rsidR="000E20EC" w:rsidRDefault="000E20EC" w:rsidP="000E20EC">
      <w:pPr>
        <w:pStyle w:val="Heading2"/>
      </w:pPr>
      <w:bookmarkStart w:id="6" w:name="_Toc226386754"/>
      <w:r>
        <w:t>Research Objectives</w:t>
      </w:r>
      <w:bookmarkEnd w:id="6"/>
    </w:p>
    <w:p w14:paraId="2FE2CDBF" w14:textId="3BC0072E" w:rsidR="000E20EC" w:rsidRDefault="000E20EC" w:rsidP="000E20EC">
      <w:pPr>
        <w:pStyle w:val="ListParagraph"/>
        <w:numPr>
          <w:ilvl w:val="0"/>
          <w:numId w:val="1"/>
        </w:numPr>
      </w:pPr>
      <w:r>
        <w:t>To examine current antibiotic prescribing and dispensing patterns in UK community pharmacies.</w:t>
      </w:r>
    </w:p>
    <w:p w14:paraId="2AFBEDF5" w14:textId="48A32A30" w:rsidR="000E20EC" w:rsidRDefault="000E20EC" w:rsidP="000E20EC">
      <w:pPr>
        <w:pStyle w:val="ListParagraph"/>
        <w:numPr>
          <w:ilvl w:val="0"/>
          <w:numId w:val="1"/>
        </w:numPr>
      </w:pPr>
      <w:r>
        <w:lastRenderedPageBreak/>
        <w:t>To conduct a systematic review in assessing pharmacists' knowledge and awareness regarding antimicrobial resistance (AMR).</w:t>
      </w:r>
    </w:p>
    <w:p w14:paraId="1DE4941E" w14:textId="3CD508D9" w:rsidR="000E20EC" w:rsidRDefault="000E20EC" w:rsidP="000E20EC">
      <w:pPr>
        <w:pStyle w:val="ListParagraph"/>
        <w:numPr>
          <w:ilvl w:val="0"/>
          <w:numId w:val="1"/>
        </w:numPr>
      </w:pPr>
      <w:r>
        <w:t>To identify factors influencing inappropriate antibiotic supply in community pharmacy settings.</w:t>
      </w:r>
    </w:p>
    <w:p w14:paraId="0A323827" w14:textId="38314CA0" w:rsidR="00981ECA" w:rsidRDefault="000E20EC" w:rsidP="000E20EC">
      <w:pPr>
        <w:pStyle w:val="ListParagraph"/>
        <w:numPr>
          <w:ilvl w:val="0"/>
          <w:numId w:val="1"/>
        </w:numPr>
      </w:pPr>
      <w:r>
        <w:t>To explore strategies that community pharmacists use to reduce antimicrobial resistance.</w:t>
      </w:r>
      <w:r w:rsidR="00981ECA">
        <w:br w:type="page"/>
      </w:r>
    </w:p>
    <w:p w14:paraId="6430B28C" w14:textId="53C926E4" w:rsidR="00981ECA" w:rsidRDefault="00981ECA" w:rsidP="00981ECA">
      <w:pPr>
        <w:pStyle w:val="Heading1"/>
      </w:pPr>
      <w:bookmarkStart w:id="7" w:name="_Toc226386755"/>
      <w:r w:rsidRPr="00981ECA">
        <w:lastRenderedPageBreak/>
        <w:t>Research Methodology</w:t>
      </w:r>
      <w:bookmarkEnd w:id="7"/>
    </w:p>
    <w:p w14:paraId="66E5ED6A" w14:textId="1CEFBA1F" w:rsidR="00981ECA" w:rsidRDefault="00981ECA" w:rsidP="00981ECA">
      <w:r w:rsidRPr="00981ECA">
        <w:t>The methodology is meant to be rigorous, but easy to follow and act as a clear roadmap in the further synthesis of evidence on the issue of antimicrobial resistance and antibiotic prescribing in UK community pharmacies. To ensure transparency and reproducibility, the review will be reported according to the PRISMA (Preferred Reporting Items for Systematic reviews) 2020 statement.</w:t>
      </w:r>
    </w:p>
    <w:p w14:paraId="11D25628" w14:textId="5DD2C370" w:rsidR="00981ECA" w:rsidRDefault="00981ECA" w:rsidP="00981ECA">
      <w:pPr>
        <w:pStyle w:val="Heading2"/>
      </w:pPr>
      <w:bookmarkStart w:id="8" w:name="_Toc226386756"/>
      <w:r w:rsidRPr="00981ECA">
        <w:t>4.1 Research Design</w:t>
      </w:r>
      <w:bookmarkEnd w:id="8"/>
    </w:p>
    <w:p w14:paraId="1535E854" w14:textId="2754E571" w:rsidR="00981ECA" w:rsidRDefault="00981ECA" w:rsidP="00981ECA">
      <w:r>
        <w:t>This is a Qualitative Thematic Systematic Literature Review study. The design is selected because it allows the combination of the results of different qualitative research into one consistent and more profound study of the phenomenon of interest</w:t>
      </w:r>
      <w:r w:rsidR="00851C9A">
        <w:t xml:space="preserve"> </w:t>
      </w:r>
      <w:r w:rsidR="00851C9A" w:rsidRPr="00851C9A">
        <w:t>(Laryeafio and Ogbewe, 2023)</w:t>
      </w:r>
      <w:r>
        <w:t>. The study falls under an interpretive paradigm in which the reality of antibiotic prescribing is constructed socially by the nature of the relationships between pharmacists, patients and the broader healthcare framework.</w:t>
      </w:r>
    </w:p>
    <w:p w14:paraId="74A6699B" w14:textId="689749D8" w:rsidR="00981ECA" w:rsidRDefault="00981ECA" w:rsidP="00981ECA">
      <w:r>
        <w:t>Systematic nature of the review includes a systematic process of literature searching, screening and quality appraisal that reduce the chances of selection bias</w:t>
      </w:r>
      <w:r w:rsidR="00851C9A">
        <w:t xml:space="preserve"> </w:t>
      </w:r>
      <w:r w:rsidR="00851C9A" w:rsidRPr="00851C9A">
        <w:t>(Page et al., 2021)</w:t>
      </w:r>
      <w:r>
        <w:t>. The thematic part employs reflexive thematic analysis to detect patterns within various situations. The design is deliberately maintained simple so as to offer a solid base to a future full thesis, which deals with what the AMR crisis requires, in terms of the safeguards and strategies.</w:t>
      </w:r>
    </w:p>
    <w:p w14:paraId="57098351" w14:textId="77777777" w:rsidR="000E20EC" w:rsidRDefault="000E20EC" w:rsidP="000E20EC">
      <w:pPr>
        <w:pStyle w:val="Heading2"/>
      </w:pPr>
      <w:bookmarkStart w:id="9" w:name="_Toc226386757"/>
      <w:r>
        <w:t>4.2 Recruitment, Sampling &amp; Study Participants</w:t>
      </w:r>
      <w:bookmarkEnd w:id="9"/>
    </w:p>
    <w:p w14:paraId="3A5B3D43" w14:textId="1D3DCCC0" w:rsidR="00981ECA" w:rsidRDefault="000E20EC" w:rsidP="000E20EC">
      <w:r w:rsidRPr="000E20EC">
        <w:t>As this is a systematic review of secondary data, "recruitment" means finding relevant original research. The qualitative research sample technique will use SPIDER (Sample, Phenomenon of Interest, Design, Evaluation, Research type), a specialised alternative to PICO</w:t>
      </w:r>
      <w:r w:rsidR="00851C9A" w:rsidRPr="00851C9A">
        <w:t xml:space="preserve"> (Korstjens and Moser, 2017)</w:t>
      </w:r>
      <w:r w:rsidR="00851C9A">
        <w:t>.</w:t>
      </w:r>
    </w:p>
    <w:tbl>
      <w:tblPr>
        <w:tblStyle w:val="GridTable7Colorful-Accent5"/>
        <w:tblW w:w="0" w:type="dxa"/>
        <w:tblLook w:val="04A0" w:firstRow="1" w:lastRow="0" w:firstColumn="1" w:lastColumn="0" w:noHBand="0" w:noVBand="1"/>
      </w:tblPr>
      <w:tblGrid>
        <w:gridCol w:w="2499"/>
        <w:gridCol w:w="6527"/>
      </w:tblGrid>
      <w:tr w:rsidR="000E20EC" w:rsidRPr="000E20EC" w14:paraId="1CC0E6F8" w14:textId="77777777" w:rsidTr="000E20EC">
        <w:trPr>
          <w:cnfStyle w:val="100000000000" w:firstRow="1" w:lastRow="0" w:firstColumn="0" w:lastColumn="0" w:oddVBand="0" w:evenVBand="0" w:oddHBand="0" w:evenHBand="0" w:firstRowFirstColumn="0" w:firstRowLastColumn="0" w:lastRowFirstColumn="0" w:lastRowLastColumn="0"/>
          <w:trHeight w:val="315"/>
        </w:trPr>
        <w:tc>
          <w:tcPr>
            <w:cnfStyle w:val="001000000100" w:firstRow="0" w:lastRow="0" w:firstColumn="1" w:lastColumn="0" w:oddVBand="0" w:evenVBand="0" w:oddHBand="0" w:evenHBand="0" w:firstRowFirstColumn="1" w:firstRowLastColumn="0" w:lastRowFirstColumn="0" w:lastRowLastColumn="0"/>
            <w:tcW w:w="0" w:type="auto"/>
            <w:hideMark/>
          </w:tcPr>
          <w:p w14:paraId="60438895" w14:textId="77777777" w:rsidR="000E20EC" w:rsidRPr="000E20EC" w:rsidRDefault="000E20EC" w:rsidP="000E20EC">
            <w:pPr>
              <w:spacing w:line="240" w:lineRule="auto"/>
              <w:jc w:val="left"/>
              <w:rPr>
                <w:rFonts w:ascii="Roboto" w:eastAsia="Times New Roman" w:hAnsi="Roboto" w:cs="Arial"/>
                <w:color w:val="FFFFFF"/>
                <w:sz w:val="20"/>
                <w:szCs w:val="20"/>
                <w:lang w:eastAsia="en-GB"/>
              </w:rPr>
            </w:pPr>
            <w:r w:rsidRPr="000E20EC">
              <w:rPr>
                <w:rFonts w:ascii="Roboto" w:eastAsia="Times New Roman" w:hAnsi="Roboto" w:cs="Arial"/>
                <w:color w:val="FFFFFF"/>
                <w:sz w:val="20"/>
                <w:szCs w:val="20"/>
                <w:lang w:eastAsia="en-GB"/>
              </w:rPr>
              <w:t>SPIDER Component</w:t>
            </w:r>
          </w:p>
        </w:tc>
        <w:tc>
          <w:tcPr>
            <w:tcW w:w="0" w:type="auto"/>
            <w:hideMark/>
          </w:tcPr>
          <w:p w14:paraId="19DBB524" w14:textId="77777777" w:rsidR="000E20EC" w:rsidRPr="000E20EC" w:rsidRDefault="000E20EC" w:rsidP="000E20EC">
            <w:pPr>
              <w:spacing w:line="240" w:lineRule="auto"/>
              <w:jc w:val="left"/>
              <w:cnfStyle w:val="100000000000" w:firstRow="1" w:lastRow="0" w:firstColumn="0" w:lastColumn="0" w:oddVBand="0" w:evenVBand="0" w:oddHBand="0" w:evenHBand="0" w:firstRowFirstColumn="0" w:firstRowLastColumn="0" w:lastRowFirstColumn="0" w:lastRowLastColumn="0"/>
              <w:rPr>
                <w:rFonts w:ascii="Roboto" w:eastAsia="Times New Roman" w:hAnsi="Roboto" w:cs="Arial"/>
                <w:color w:val="FFFFFF"/>
                <w:sz w:val="20"/>
                <w:szCs w:val="20"/>
                <w:lang w:eastAsia="en-GB"/>
              </w:rPr>
            </w:pPr>
            <w:r w:rsidRPr="000E20EC">
              <w:rPr>
                <w:rFonts w:ascii="Roboto" w:eastAsia="Times New Roman" w:hAnsi="Roboto" w:cs="Arial"/>
                <w:color w:val="FFFFFF"/>
                <w:sz w:val="20"/>
                <w:szCs w:val="20"/>
                <w:lang w:eastAsia="en-GB"/>
              </w:rPr>
              <w:t>Definition/Inclusion Criteria</w:t>
            </w:r>
          </w:p>
        </w:tc>
      </w:tr>
      <w:tr w:rsidR="000E20EC" w:rsidRPr="000E20EC" w14:paraId="564E7FAB" w14:textId="77777777" w:rsidTr="000E20EC">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2F69771C" w14:textId="77777777" w:rsidR="000E20EC" w:rsidRPr="000E20EC" w:rsidRDefault="000E20EC" w:rsidP="000E20EC">
            <w:pPr>
              <w:spacing w:line="240" w:lineRule="auto"/>
              <w:jc w:val="left"/>
              <w:rPr>
                <w:rFonts w:ascii="Roboto" w:eastAsia="Times New Roman" w:hAnsi="Roboto" w:cs="Arial"/>
                <w:color w:val="434343"/>
                <w:sz w:val="20"/>
                <w:szCs w:val="20"/>
                <w:lang w:eastAsia="en-GB"/>
              </w:rPr>
            </w:pPr>
            <w:r w:rsidRPr="000E20EC">
              <w:rPr>
                <w:rFonts w:ascii="Roboto" w:eastAsia="Times New Roman" w:hAnsi="Roboto" w:cs="Arial"/>
                <w:color w:val="434343"/>
                <w:sz w:val="20"/>
                <w:szCs w:val="20"/>
                <w:lang w:eastAsia="en-GB"/>
              </w:rPr>
              <w:t>Sample (S)</w:t>
            </w:r>
          </w:p>
        </w:tc>
        <w:tc>
          <w:tcPr>
            <w:tcW w:w="0" w:type="auto"/>
            <w:hideMark/>
          </w:tcPr>
          <w:p w14:paraId="7C0B3DCB" w14:textId="77777777" w:rsidR="000E20EC" w:rsidRPr="000E20EC" w:rsidRDefault="000E20EC" w:rsidP="000E20EC">
            <w:pPr>
              <w:spacing w:line="240" w:lineRule="auto"/>
              <w:jc w:val="left"/>
              <w:cnfStyle w:val="000000100000" w:firstRow="0" w:lastRow="0" w:firstColumn="0" w:lastColumn="0" w:oddVBand="0" w:evenVBand="0" w:oddHBand="1" w:evenHBand="0" w:firstRowFirstColumn="0" w:firstRowLastColumn="0" w:lastRowFirstColumn="0" w:lastRowLastColumn="0"/>
              <w:rPr>
                <w:rFonts w:ascii="Roboto" w:eastAsia="Times New Roman" w:hAnsi="Roboto" w:cs="Arial"/>
                <w:color w:val="434343"/>
                <w:sz w:val="20"/>
                <w:szCs w:val="20"/>
                <w:lang w:eastAsia="en-GB"/>
              </w:rPr>
            </w:pPr>
            <w:r w:rsidRPr="000E20EC">
              <w:rPr>
                <w:rFonts w:ascii="Roboto" w:eastAsia="Times New Roman" w:hAnsi="Roboto" w:cs="Arial"/>
                <w:color w:val="434343"/>
                <w:sz w:val="20"/>
                <w:szCs w:val="20"/>
                <w:lang w:eastAsia="en-GB"/>
              </w:rPr>
              <w:t>Community pharmacists, pharmacy technicians, and pharmacy staff in the UK.</w:t>
            </w:r>
          </w:p>
        </w:tc>
      </w:tr>
      <w:tr w:rsidR="000E20EC" w:rsidRPr="000E20EC" w14:paraId="57FA6CA6" w14:textId="77777777" w:rsidTr="000E20EC">
        <w:trPr>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1C84A4C1" w14:textId="77777777" w:rsidR="000E20EC" w:rsidRPr="000E20EC" w:rsidRDefault="000E20EC" w:rsidP="000E20EC">
            <w:pPr>
              <w:spacing w:line="240" w:lineRule="auto"/>
              <w:jc w:val="left"/>
              <w:rPr>
                <w:rFonts w:ascii="Roboto" w:eastAsia="Times New Roman" w:hAnsi="Roboto" w:cs="Arial"/>
                <w:color w:val="434343"/>
                <w:sz w:val="20"/>
                <w:szCs w:val="20"/>
                <w:lang w:eastAsia="en-GB"/>
              </w:rPr>
            </w:pPr>
            <w:r w:rsidRPr="000E20EC">
              <w:rPr>
                <w:rFonts w:ascii="Roboto" w:eastAsia="Times New Roman" w:hAnsi="Roboto" w:cs="Arial"/>
                <w:color w:val="434343"/>
                <w:sz w:val="20"/>
                <w:szCs w:val="20"/>
                <w:lang w:eastAsia="en-GB"/>
              </w:rPr>
              <w:t>Phenomenon of Interest (PI)</w:t>
            </w:r>
          </w:p>
        </w:tc>
        <w:tc>
          <w:tcPr>
            <w:tcW w:w="0" w:type="auto"/>
            <w:hideMark/>
          </w:tcPr>
          <w:p w14:paraId="27B14D97" w14:textId="77777777" w:rsidR="000E20EC" w:rsidRPr="000E20EC" w:rsidRDefault="000E20EC" w:rsidP="000E20EC">
            <w:pPr>
              <w:spacing w:line="240" w:lineRule="auto"/>
              <w:jc w:val="left"/>
              <w:cnfStyle w:val="000000000000" w:firstRow="0" w:lastRow="0" w:firstColumn="0" w:lastColumn="0" w:oddVBand="0" w:evenVBand="0" w:oddHBand="0" w:evenHBand="0" w:firstRowFirstColumn="0" w:firstRowLastColumn="0" w:lastRowFirstColumn="0" w:lastRowLastColumn="0"/>
              <w:rPr>
                <w:rFonts w:ascii="Roboto" w:eastAsia="Times New Roman" w:hAnsi="Roboto" w:cs="Arial"/>
                <w:color w:val="434343"/>
                <w:sz w:val="20"/>
                <w:szCs w:val="20"/>
                <w:lang w:eastAsia="en-GB"/>
              </w:rPr>
            </w:pPr>
            <w:r w:rsidRPr="000E20EC">
              <w:rPr>
                <w:rFonts w:ascii="Roboto" w:eastAsia="Times New Roman" w:hAnsi="Roboto" w:cs="Arial"/>
                <w:color w:val="434343"/>
                <w:sz w:val="20"/>
                <w:szCs w:val="20"/>
                <w:lang w:eastAsia="en-GB"/>
              </w:rPr>
              <w:t>Antibiotic prescribing (e.g., Pharmacy First), dispensing, and AMS practices.</w:t>
            </w:r>
          </w:p>
        </w:tc>
      </w:tr>
      <w:tr w:rsidR="000E20EC" w:rsidRPr="000E20EC" w14:paraId="36251B05" w14:textId="77777777" w:rsidTr="000E20EC">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3D27117E" w14:textId="77777777" w:rsidR="000E20EC" w:rsidRPr="000E20EC" w:rsidRDefault="000E20EC" w:rsidP="000E20EC">
            <w:pPr>
              <w:spacing w:line="240" w:lineRule="auto"/>
              <w:jc w:val="left"/>
              <w:rPr>
                <w:rFonts w:ascii="Roboto" w:eastAsia="Times New Roman" w:hAnsi="Roboto" w:cs="Arial"/>
                <w:color w:val="434343"/>
                <w:sz w:val="20"/>
                <w:szCs w:val="20"/>
                <w:lang w:eastAsia="en-GB"/>
              </w:rPr>
            </w:pPr>
            <w:r w:rsidRPr="000E20EC">
              <w:rPr>
                <w:rFonts w:ascii="Roboto" w:eastAsia="Times New Roman" w:hAnsi="Roboto" w:cs="Arial"/>
                <w:color w:val="434343"/>
                <w:sz w:val="20"/>
                <w:szCs w:val="20"/>
                <w:lang w:eastAsia="en-GB"/>
              </w:rPr>
              <w:t>Design (D)</w:t>
            </w:r>
          </w:p>
        </w:tc>
        <w:tc>
          <w:tcPr>
            <w:tcW w:w="0" w:type="auto"/>
            <w:hideMark/>
          </w:tcPr>
          <w:p w14:paraId="1ED6EBE9" w14:textId="77777777" w:rsidR="000E20EC" w:rsidRPr="000E20EC" w:rsidRDefault="000E20EC" w:rsidP="000E20EC">
            <w:pPr>
              <w:spacing w:line="240" w:lineRule="auto"/>
              <w:jc w:val="left"/>
              <w:cnfStyle w:val="000000100000" w:firstRow="0" w:lastRow="0" w:firstColumn="0" w:lastColumn="0" w:oddVBand="0" w:evenVBand="0" w:oddHBand="1" w:evenHBand="0" w:firstRowFirstColumn="0" w:firstRowLastColumn="0" w:lastRowFirstColumn="0" w:lastRowLastColumn="0"/>
              <w:rPr>
                <w:rFonts w:ascii="Roboto" w:eastAsia="Times New Roman" w:hAnsi="Roboto" w:cs="Arial"/>
                <w:color w:val="434343"/>
                <w:sz w:val="20"/>
                <w:szCs w:val="20"/>
                <w:lang w:eastAsia="en-GB"/>
              </w:rPr>
            </w:pPr>
            <w:r w:rsidRPr="000E20EC">
              <w:rPr>
                <w:rFonts w:ascii="Roboto" w:eastAsia="Times New Roman" w:hAnsi="Roboto" w:cs="Arial"/>
                <w:color w:val="434343"/>
                <w:sz w:val="20"/>
                <w:szCs w:val="20"/>
                <w:lang w:eastAsia="en-GB"/>
              </w:rPr>
              <w:t>Qualitative methods: semi-structured interviews, focus groups, case studies.</w:t>
            </w:r>
          </w:p>
        </w:tc>
      </w:tr>
      <w:tr w:rsidR="000E20EC" w:rsidRPr="000E20EC" w14:paraId="0324661D" w14:textId="77777777" w:rsidTr="000E20EC">
        <w:trPr>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488A4C55" w14:textId="77777777" w:rsidR="000E20EC" w:rsidRPr="000E20EC" w:rsidRDefault="000E20EC" w:rsidP="000E20EC">
            <w:pPr>
              <w:spacing w:line="240" w:lineRule="auto"/>
              <w:jc w:val="left"/>
              <w:rPr>
                <w:rFonts w:ascii="Roboto" w:eastAsia="Times New Roman" w:hAnsi="Roboto" w:cs="Arial"/>
                <w:color w:val="434343"/>
                <w:sz w:val="20"/>
                <w:szCs w:val="20"/>
                <w:lang w:eastAsia="en-GB"/>
              </w:rPr>
            </w:pPr>
            <w:r w:rsidRPr="000E20EC">
              <w:rPr>
                <w:rFonts w:ascii="Roboto" w:eastAsia="Times New Roman" w:hAnsi="Roboto" w:cs="Arial"/>
                <w:color w:val="434343"/>
                <w:sz w:val="20"/>
                <w:szCs w:val="20"/>
                <w:lang w:eastAsia="en-GB"/>
              </w:rPr>
              <w:t>Evaluation (E)</w:t>
            </w:r>
          </w:p>
        </w:tc>
        <w:tc>
          <w:tcPr>
            <w:tcW w:w="0" w:type="auto"/>
            <w:hideMark/>
          </w:tcPr>
          <w:p w14:paraId="7C9F3796" w14:textId="77777777" w:rsidR="000E20EC" w:rsidRPr="000E20EC" w:rsidRDefault="000E20EC" w:rsidP="000E20EC">
            <w:pPr>
              <w:spacing w:line="240" w:lineRule="auto"/>
              <w:jc w:val="left"/>
              <w:cnfStyle w:val="000000000000" w:firstRow="0" w:lastRow="0" w:firstColumn="0" w:lastColumn="0" w:oddVBand="0" w:evenVBand="0" w:oddHBand="0" w:evenHBand="0" w:firstRowFirstColumn="0" w:firstRowLastColumn="0" w:lastRowFirstColumn="0" w:lastRowLastColumn="0"/>
              <w:rPr>
                <w:rFonts w:ascii="Roboto" w:eastAsia="Times New Roman" w:hAnsi="Roboto" w:cs="Arial"/>
                <w:color w:val="434343"/>
                <w:sz w:val="20"/>
                <w:szCs w:val="20"/>
                <w:lang w:eastAsia="en-GB"/>
              </w:rPr>
            </w:pPr>
            <w:r w:rsidRPr="000E20EC">
              <w:rPr>
                <w:rFonts w:ascii="Roboto" w:eastAsia="Times New Roman" w:hAnsi="Roboto" w:cs="Arial"/>
                <w:color w:val="434343"/>
                <w:sz w:val="20"/>
                <w:szCs w:val="20"/>
                <w:lang w:eastAsia="en-GB"/>
              </w:rPr>
              <w:t>Knowledge, attitudes, perceptions, barriers, facilitators, behaviors.</w:t>
            </w:r>
          </w:p>
        </w:tc>
      </w:tr>
      <w:tr w:rsidR="000E20EC" w:rsidRPr="000E20EC" w14:paraId="7BD1EECB" w14:textId="77777777" w:rsidTr="000E20EC">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266E1A50" w14:textId="77777777" w:rsidR="000E20EC" w:rsidRPr="000E20EC" w:rsidRDefault="000E20EC" w:rsidP="000E20EC">
            <w:pPr>
              <w:spacing w:line="240" w:lineRule="auto"/>
              <w:jc w:val="left"/>
              <w:rPr>
                <w:rFonts w:ascii="Roboto" w:eastAsia="Times New Roman" w:hAnsi="Roboto" w:cs="Arial"/>
                <w:color w:val="434343"/>
                <w:sz w:val="20"/>
                <w:szCs w:val="20"/>
                <w:lang w:eastAsia="en-GB"/>
              </w:rPr>
            </w:pPr>
            <w:r w:rsidRPr="000E20EC">
              <w:rPr>
                <w:rFonts w:ascii="Roboto" w:eastAsia="Times New Roman" w:hAnsi="Roboto" w:cs="Arial"/>
                <w:color w:val="434343"/>
                <w:sz w:val="20"/>
                <w:szCs w:val="20"/>
                <w:lang w:eastAsia="en-GB"/>
              </w:rPr>
              <w:t>Research type (R)</w:t>
            </w:r>
          </w:p>
        </w:tc>
        <w:tc>
          <w:tcPr>
            <w:tcW w:w="0" w:type="auto"/>
            <w:hideMark/>
          </w:tcPr>
          <w:p w14:paraId="68F4363F" w14:textId="77777777" w:rsidR="000E20EC" w:rsidRPr="000E20EC" w:rsidRDefault="000E20EC" w:rsidP="000E20EC">
            <w:pPr>
              <w:spacing w:line="240" w:lineRule="auto"/>
              <w:jc w:val="left"/>
              <w:cnfStyle w:val="000000100000" w:firstRow="0" w:lastRow="0" w:firstColumn="0" w:lastColumn="0" w:oddVBand="0" w:evenVBand="0" w:oddHBand="1" w:evenHBand="0" w:firstRowFirstColumn="0" w:firstRowLastColumn="0" w:lastRowFirstColumn="0" w:lastRowLastColumn="0"/>
              <w:rPr>
                <w:rFonts w:ascii="Roboto" w:eastAsia="Times New Roman" w:hAnsi="Roboto" w:cs="Arial"/>
                <w:color w:val="434343"/>
                <w:sz w:val="20"/>
                <w:szCs w:val="20"/>
                <w:lang w:eastAsia="en-GB"/>
              </w:rPr>
            </w:pPr>
            <w:r w:rsidRPr="000E20EC">
              <w:rPr>
                <w:rFonts w:ascii="Roboto" w:eastAsia="Times New Roman" w:hAnsi="Roboto" w:cs="Arial"/>
                <w:color w:val="434343"/>
                <w:sz w:val="20"/>
                <w:szCs w:val="20"/>
                <w:lang w:eastAsia="en-GB"/>
              </w:rPr>
              <w:t>Peer-reviewed qualitative articles and high-quality grey literature (2019-2026).</w:t>
            </w:r>
          </w:p>
        </w:tc>
      </w:tr>
    </w:tbl>
    <w:p w14:paraId="2BB4A09B" w14:textId="1AD199BF" w:rsidR="000E20EC" w:rsidRDefault="000E20EC" w:rsidP="000E20EC"/>
    <w:p w14:paraId="7603E696" w14:textId="0EB1FD29" w:rsidR="000E20EC" w:rsidRDefault="000E20EC" w:rsidP="000E20EC"/>
    <w:p w14:paraId="5D49BA53" w14:textId="4BE45BF5" w:rsidR="000E20EC" w:rsidRDefault="000E20EC" w:rsidP="000E20EC">
      <w:r w:rsidRPr="000E20EC">
        <w:lastRenderedPageBreak/>
        <w:t>Its target sample size will be approximately 13-14 articles. This is a well-calculated number to provide enough depth and variety but at the same time manageable by a single researcher. The time range (2019</w:t>
      </w:r>
      <w:r>
        <w:t>-2</w:t>
      </w:r>
      <w:r w:rsidRPr="000E20EC">
        <w:t>026) is crucial because it will reflect the influence of the 2019-2024 National Action Plan, the changes in the COVID-19 pandemic, and the initial Pharmacy First service implementation.</w:t>
      </w:r>
    </w:p>
    <w:p w14:paraId="12A892BC" w14:textId="1057F1B4" w:rsidR="000E20EC" w:rsidRDefault="000E20EC" w:rsidP="000E20EC">
      <w:pPr>
        <w:pStyle w:val="Heading2"/>
      </w:pPr>
      <w:bookmarkStart w:id="10" w:name="_Toc226386758"/>
      <w:r w:rsidRPr="000E20EC">
        <w:t>4.3 Data Collection Method(s)/Procedure</w:t>
      </w:r>
      <w:bookmarkEnd w:id="10"/>
    </w:p>
    <w:p w14:paraId="0C39FF33" w14:textId="77777777" w:rsidR="000E20EC" w:rsidRDefault="000E20EC" w:rsidP="000E20EC">
      <w:r w:rsidRPr="000E20EC">
        <w:t>The data collection procedure follows a five-stage systematic search and extraction protocol:</w:t>
      </w:r>
    </w:p>
    <w:p w14:paraId="233BBC4E" w14:textId="635CFE92" w:rsidR="000E20EC" w:rsidRDefault="000E20EC" w:rsidP="000E20EC">
      <w:r w:rsidRPr="00204FF2">
        <w:rPr>
          <w:b/>
          <w:bCs/>
        </w:rPr>
        <w:t>Database Search:</w:t>
      </w:r>
      <w:r w:rsidRPr="000E20EC">
        <w:t xml:space="preserve"> Comprehensive searches will be conducted in PubMed, </w:t>
      </w:r>
      <w:r w:rsidR="00204FF2">
        <w:t xml:space="preserve">Science Direct, </w:t>
      </w:r>
      <w:r w:rsidRPr="000E20EC">
        <w:t>EMBASE, CINAHL, and the Cochrane Library using Boolean operators (e.g., "community pharma*" AND "antimicrobial resistance" AND "qualitative"). Secondary searches will include the British Pharmaceutical Journal and UKHSA (ESPAUR) reports for relevant qualitative datasets.</w:t>
      </w:r>
    </w:p>
    <w:p w14:paraId="19D6EB74" w14:textId="77777777" w:rsidR="000E20EC" w:rsidRDefault="000E20EC" w:rsidP="000E20EC">
      <w:r w:rsidRPr="00204FF2">
        <w:rPr>
          <w:b/>
          <w:bCs/>
        </w:rPr>
        <w:t>Screening:</w:t>
      </w:r>
      <w:r w:rsidRPr="000E20EC">
        <w:t xml:space="preserve"> Two rounds of screening will be performed. First, titles and abstracts will be screened against inclusion/exclusion criteria. Second, the full text of potentially relevant articles will be reviewed.</w:t>
      </w:r>
    </w:p>
    <w:p w14:paraId="3681C22A" w14:textId="64FD8C9E" w:rsidR="000E20EC" w:rsidRDefault="000E20EC" w:rsidP="000E20EC">
      <w:r w:rsidRPr="00204FF2">
        <w:rPr>
          <w:b/>
          <w:bCs/>
        </w:rPr>
        <w:t>Quality Appraisal:</w:t>
      </w:r>
      <w:r w:rsidRPr="000E20EC">
        <w:t xml:space="preserve"> Included studies will be evaluated using a critical appraisal tool, such as the JBI Critical Appraisal Checklist for Qualitative Research, to assess the trustworthiness and validity of the primary findings</w:t>
      </w:r>
      <w:r w:rsidR="00851C9A">
        <w:t xml:space="preserve"> </w:t>
      </w:r>
      <w:r w:rsidR="00851C9A" w:rsidRPr="00851C9A">
        <w:t>(Zarate et al., 2022)</w:t>
      </w:r>
      <w:r w:rsidR="00851C9A">
        <w:t>.</w:t>
      </w:r>
    </w:p>
    <w:p w14:paraId="69938168" w14:textId="77777777" w:rsidR="00204FF2" w:rsidRDefault="000E20EC" w:rsidP="000E20EC">
      <w:r w:rsidRPr="00204FF2">
        <w:rPr>
          <w:b/>
          <w:bCs/>
        </w:rPr>
        <w:t>Data Extraction:</w:t>
      </w:r>
      <w:r w:rsidRPr="000E20EC">
        <w:t xml:space="preserve"> A standardized data extraction form will be used to record:</w:t>
      </w:r>
    </w:p>
    <w:p w14:paraId="38D4CC5B" w14:textId="77777777" w:rsidR="00204FF2" w:rsidRDefault="000E20EC" w:rsidP="00204FF2">
      <w:pPr>
        <w:pStyle w:val="ListParagraph"/>
        <w:numPr>
          <w:ilvl w:val="0"/>
          <w:numId w:val="2"/>
        </w:numPr>
      </w:pPr>
      <w:r w:rsidRPr="000E20EC">
        <w:t>Author, year, and location (UK region).</w:t>
      </w:r>
    </w:p>
    <w:p w14:paraId="4CE703C2" w14:textId="1DAB083B" w:rsidR="00204FF2" w:rsidRDefault="000E20EC" w:rsidP="00204FF2">
      <w:pPr>
        <w:pStyle w:val="ListParagraph"/>
        <w:numPr>
          <w:ilvl w:val="0"/>
          <w:numId w:val="2"/>
        </w:numPr>
      </w:pPr>
      <w:r w:rsidRPr="000E20EC">
        <w:t xml:space="preserve">Study </w:t>
      </w:r>
      <w:r w:rsidR="00851C9A" w:rsidRPr="000E20EC">
        <w:t>aims</w:t>
      </w:r>
      <w:r w:rsidRPr="000E20EC">
        <w:t xml:space="preserve"> and qualitative methodology.</w:t>
      </w:r>
    </w:p>
    <w:p w14:paraId="5C0E41F4" w14:textId="77777777" w:rsidR="00204FF2" w:rsidRDefault="000E20EC" w:rsidP="00204FF2">
      <w:pPr>
        <w:pStyle w:val="ListParagraph"/>
        <w:numPr>
          <w:ilvl w:val="0"/>
          <w:numId w:val="2"/>
        </w:numPr>
      </w:pPr>
      <w:r w:rsidRPr="000E20EC">
        <w:t>Participant characteristics (number of pharmacists/staff).</w:t>
      </w:r>
    </w:p>
    <w:p w14:paraId="3828AD27" w14:textId="5587F6A7" w:rsidR="00204FF2" w:rsidRDefault="000E20EC" w:rsidP="00204FF2">
      <w:pPr>
        <w:pStyle w:val="ListParagraph"/>
        <w:numPr>
          <w:ilvl w:val="0"/>
          <w:numId w:val="2"/>
        </w:numPr>
      </w:pPr>
      <w:r w:rsidRPr="000E20EC">
        <w:t>Key themes and representative quotes identified in the study.</w:t>
      </w:r>
    </w:p>
    <w:p w14:paraId="18E04017" w14:textId="19454556" w:rsidR="000E20EC" w:rsidRDefault="000E20EC" w:rsidP="000E20EC">
      <w:r w:rsidRPr="00204FF2">
        <w:rPr>
          <w:b/>
          <w:bCs/>
        </w:rPr>
        <w:t>Data Storage:</w:t>
      </w:r>
      <w:r w:rsidRPr="000E20EC">
        <w:t xml:space="preserve"> Extracted data and PDFs of articles will be stored in a secure, encrypted digital folder, organized by source_id to maintain a clear audit trail.</w:t>
      </w:r>
    </w:p>
    <w:p w14:paraId="1181BBA7" w14:textId="5D623952" w:rsidR="00204FF2" w:rsidRDefault="00204FF2" w:rsidP="00204FF2">
      <w:pPr>
        <w:pStyle w:val="Heading2"/>
      </w:pPr>
      <w:bookmarkStart w:id="11" w:name="_Toc226386759"/>
      <w:r w:rsidRPr="00204FF2">
        <w:t>4.4 Proposed Data Analysis Technique (Thematic Analysis)</w:t>
      </w:r>
      <w:bookmarkEnd w:id="11"/>
    </w:p>
    <w:p w14:paraId="1B5DC4BA" w14:textId="04B2BCA4" w:rsidR="00204FF2" w:rsidRDefault="00204FF2" w:rsidP="00204FF2">
      <w:r>
        <w:t>This evaluation will use Braun and Clarke's Reflexive Thematic Analysis (RTA). The six-step recursive technique permits inductive (data-driven) and deductive (theory-driven) coding</w:t>
      </w:r>
      <w:r w:rsidR="00851C9A">
        <w:t xml:space="preserve"> </w:t>
      </w:r>
      <w:r w:rsidR="00851C9A" w:rsidRPr="00851C9A">
        <w:t>(Schmidt et al., 2023)</w:t>
      </w:r>
      <w:r>
        <w:t>.</w:t>
      </w:r>
    </w:p>
    <w:p w14:paraId="1C1D3A95" w14:textId="2B1E6614" w:rsidR="00204FF2" w:rsidRDefault="00204FF2" w:rsidP="00204FF2">
      <w:r w:rsidRPr="00204FF2">
        <w:rPr>
          <w:b/>
          <w:bCs/>
        </w:rPr>
        <w:t>Familiarisation:</w:t>
      </w:r>
      <w:r>
        <w:t xml:space="preserve"> Read and reread the 13-14 articles to obtain </w:t>
      </w:r>
      <w:r w:rsidR="00851C9A">
        <w:t>an</w:t>
      </w:r>
      <w:r>
        <w:t xml:space="preserve"> "insider" grasp of chemists' viewpoints.</w:t>
      </w:r>
    </w:p>
    <w:p w14:paraId="0EEA17C3" w14:textId="7462B728" w:rsidR="00204FF2" w:rsidRDefault="00204FF2" w:rsidP="00204FF2">
      <w:r w:rsidRPr="00204FF2">
        <w:rPr>
          <w:b/>
          <w:bCs/>
        </w:rPr>
        <w:lastRenderedPageBreak/>
        <w:t>Generate Initial Codes:</w:t>
      </w:r>
      <w:r>
        <w:t xml:space="preserve"> Identifying key passages and labelling them "patient pressure," "lack of GP feedback," or "PQS as a driver".</w:t>
      </w:r>
    </w:p>
    <w:p w14:paraId="098D1249" w14:textId="796DCEB0" w:rsidR="00204FF2" w:rsidRDefault="00204FF2" w:rsidP="00204FF2">
      <w:r w:rsidRPr="00204FF2">
        <w:rPr>
          <w:b/>
          <w:bCs/>
        </w:rPr>
        <w:t>Looking for themes:</w:t>
      </w:r>
      <w:r>
        <w:t xml:space="preserve"> Combining codes into themes that express larger meanings. Time and staffing codes might create the subject "Operational Constraints as a Barrier to Clinical Stewardship".</w:t>
      </w:r>
    </w:p>
    <w:p w14:paraId="5ED1125B" w14:textId="522A308B" w:rsidR="00204FF2" w:rsidRDefault="00204FF2" w:rsidP="00204FF2">
      <w:r w:rsidRPr="00204FF2">
        <w:rPr>
          <w:b/>
          <w:bCs/>
        </w:rPr>
        <w:t>A Review of Themes:</w:t>
      </w:r>
      <w:r>
        <w:t xml:space="preserve"> Checking prospective themes against the original material for coherence and proof.</w:t>
      </w:r>
    </w:p>
    <w:p w14:paraId="1909C6CC" w14:textId="6D0151E3" w:rsidR="00204FF2" w:rsidRDefault="00204FF2" w:rsidP="00204FF2">
      <w:r w:rsidRPr="00204FF2">
        <w:rPr>
          <w:b/>
          <w:bCs/>
        </w:rPr>
        <w:t>Theme Definition and Naming:</w:t>
      </w:r>
      <w:r>
        <w:t xml:space="preserve"> Refine the "essence" of each subject and give it clear, powerful labels that meet study goals.</w:t>
      </w:r>
    </w:p>
    <w:p w14:paraId="1C3DF182" w14:textId="7D78895D" w:rsidR="00204FF2" w:rsidRDefault="00204FF2" w:rsidP="00204FF2">
      <w:r w:rsidRPr="00204FF2">
        <w:rPr>
          <w:b/>
          <w:bCs/>
        </w:rPr>
        <w:t>Writing Up:</w:t>
      </w:r>
      <w:r>
        <w:t xml:space="preserve"> Combining topics into a narrative and using main study quotations to support conclusions.</w:t>
      </w:r>
    </w:p>
    <w:p w14:paraId="143AA003" w14:textId="5AEF77F7" w:rsidR="00204FF2" w:rsidRDefault="00204FF2" w:rsidP="00204FF2">
      <w:pPr>
        <w:pStyle w:val="Heading2"/>
      </w:pPr>
      <w:bookmarkStart w:id="12" w:name="_Toc226386760"/>
      <w:r w:rsidRPr="00204FF2">
        <w:t>4.5 Ethical Considerations</w:t>
      </w:r>
      <w:bookmarkEnd w:id="12"/>
    </w:p>
    <w:p w14:paraId="58C9EFE7" w14:textId="2AAC2FB5" w:rsidR="00204FF2" w:rsidRDefault="00204FF2" w:rsidP="00204FF2">
      <w:r>
        <w:t>This systematic review does not include humans and does not need ethical clearance from a research ethics council. It will be ethical throughout the process by:</w:t>
      </w:r>
    </w:p>
    <w:p w14:paraId="17337A43" w14:textId="5AAFE5AC" w:rsidR="00204FF2" w:rsidRDefault="00204FF2" w:rsidP="00204FF2">
      <w:r w:rsidRPr="00204FF2">
        <w:rPr>
          <w:b/>
          <w:bCs/>
        </w:rPr>
        <w:t>Transparency:</w:t>
      </w:r>
      <w:r>
        <w:t xml:space="preserve"> </w:t>
      </w:r>
      <w:r w:rsidRPr="00204FF2">
        <w:t>Complying with the PRISMA principles to provide a transparent and repeatable research methodology.</w:t>
      </w:r>
    </w:p>
    <w:p w14:paraId="1DD0BE12" w14:textId="7CDDA3F8" w:rsidR="00204FF2" w:rsidRDefault="00204FF2" w:rsidP="00204FF2">
      <w:r w:rsidRPr="00204FF2">
        <w:rPr>
          <w:b/>
          <w:bCs/>
        </w:rPr>
        <w:t>Academic Honesty:</w:t>
      </w:r>
      <w:r>
        <w:t xml:space="preserve"> Avoid plagiarism and properly cite sources.</w:t>
      </w:r>
    </w:p>
    <w:p w14:paraId="2FDA16FF" w14:textId="3E795EB7" w:rsidR="00204FF2" w:rsidRDefault="00204FF2" w:rsidP="00204FF2">
      <w:r w:rsidRPr="00204FF2">
        <w:rPr>
          <w:b/>
          <w:bCs/>
        </w:rPr>
        <w:t>Manage Bias:</w:t>
      </w:r>
      <w:r>
        <w:t xml:space="preserve"> Reviewer bias is reduced by using a thorough, two-reviewer research selection and data extraction method. The quality assessment of research will also detect and critically assess any biases in the literature.</w:t>
      </w:r>
    </w:p>
    <w:p w14:paraId="51335D2F" w14:textId="6596DEEA" w:rsidR="00204FF2" w:rsidRDefault="00204FF2" w:rsidP="00204FF2">
      <w:pPr>
        <w:pStyle w:val="Heading2"/>
      </w:pPr>
      <w:bookmarkStart w:id="13" w:name="_Toc226386761"/>
      <w:r w:rsidRPr="00204FF2">
        <w:t>4.6 Implication of Research</w:t>
      </w:r>
      <w:bookmarkEnd w:id="13"/>
    </w:p>
    <w:p w14:paraId="6754BEEE" w14:textId="0C3DC8C6" w:rsidR="00204FF2" w:rsidRDefault="00204FF2" w:rsidP="00204FF2">
      <w:r>
        <w:t>The results of this systematic study are predicted to impact several UK healthcare areas:</w:t>
      </w:r>
    </w:p>
    <w:p w14:paraId="39944703" w14:textId="1DB98518" w:rsidR="00204FF2" w:rsidRDefault="00204FF2" w:rsidP="00204FF2">
      <w:r w:rsidRPr="00204FF2">
        <w:rPr>
          <w:b/>
          <w:bCs/>
        </w:rPr>
        <w:t>In Clinical Practice:</w:t>
      </w:r>
      <w:r>
        <w:t xml:space="preserve"> The project will identify pharmacists' Pharmacy First consultation hurdles to create tailored training to enhance clinical decision-making and delayed prescription.</w:t>
      </w:r>
    </w:p>
    <w:p w14:paraId="43D0C95A" w14:textId="33A198BB" w:rsidR="00204FF2" w:rsidRDefault="00204FF2" w:rsidP="00204FF2">
      <w:r w:rsidRPr="00204FF2">
        <w:rPr>
          <w:b/>
          <w:bCs/>
        </w:rPr>
        <w:t>Develop Policy:</w:t>
      </w:r>
      <w:r>
        <w:t xml:space="preserve"> Research will help Integrated Care Boards (ICBs) and NHS England improve the Pharmacy Quality Scheme. In particular, it will assess if present incentives can overcome qualitative literature's "operational barriers".</w:t>
      </w:r>
    </w:p>
    <w:p w14:paraId="1981F256" w14:textId="00646B24" w:rsidR="00204FF2" w:rsidRDefault="00204FF2" w:rsidP="00204FF2">
      <w:r w:rsidRPr="00204FF2">
        <w:rPr>
          <w:b/>
          <w:bCs/>
        </w:rPr>
        <w:t>Public Health:</w:t>
      </w:r>
      <w:r>
        <w:t xml:space="preserve"> The research will determine how chemists best educate patients about AMR, influencing national efforts like "Keep Antibiotics Working".</w:t>
      </w:r>
    </w:p>
    <w:p w14:paraId="67F2A899" w14:textId="3DE56D56" w:rsidR="00204FF2" w:rsidRDefault="00204FF2" w:rsidP="00204FF2">
      <w:r w:rsidRPr="00204FF2">
        <w:rPr>
          <w:b/>
          <w:bCs/>
        </w:rPr>
        <w:lastRenderedPageBreak/>
        <w:t>Identification of Research Gaps:</w:t>
      </w:r>
      <w:r>
        <w:t xml:space="preserve"> The assessment will identify areas that need further primary research, such as AMR in ethnic minority populations or pharmacy technicians in AMS.</w:t>
      </w:r>
    </w:p>
    <w:p w14:paraId="25A04EE4" w14:textId="154FA988" w:rsidR="00204FF2" w:rsidRDefault="00204FF2" w:rsidP="00204FF2">
      <w:pPr>
        <w:pStyle w:val="Heading2"/>
      </w:pPr>
      <w:bookmarkStart w:id="14" w:name="_Toc226386762"/>
      <w:r w:rsidRPr="00204FF2">
        <w:t>4.7 Plan of Work and Time Schedule (Gantt Chart)</w:t>
      </w:r>
      <w:bookmarkEnd w:id="14"/>
    </w:p>
    <w:tbl>
      <w:tblPr>
        <w:tblStyle w:val="TableGrid"/>
        <w:tblW w:w="0" w:type="auto"/>
        <w:tblLook w:val="04A0" w:firstRow="1" w:lastRow="0" w:firstColumn="1" w:lastColumn="0" w:noHBand="0" w:noVBand="1"/>
      </w:tblPr>
      <w:tblGrid>
        <w:gridCol w:w="2802"/>
        <w:gridCol w:w="1006"/>
        <w:gridCol w:w="1005"/>
        <w:gridCol w:w="1005"/>
        <w:gridCol w:w="1066"/>
        <w:gridCol w:w="1066"/>
        <w:gridCol w:w="1066"/>
      </w:tblGrid>
      <w:tr w:rsidR="007E6FFF" w:rsidRPr="00EE6C00" w14:paraId="0CCC353C" w14:textId="77777777" w:rsidTr="00DA0D50">
        <w:tc>
          <w:tcPr>
            <w:tcW w:w="0" w:type="auto"/>
            <w:hideMark/>
          </w:tcPr>
          <w:p w14:paraId="605F117A" w14:textId="77777777" w:rsidR="007E6FFF" w:rsidRPr="00EE6C00" w:rsidRDefault="007E6FFF" w:rsidP="00DA0D50">
            <w:pPr>
              <w:jc w:val="center"/>
              <w:rPr>
                <w:rFonts w:cs="Arial"/>
                <w:b/>
                <w:bCs/>
              </w:rPr>
            </w:pPr>
            <w:r w:rsidRPr="00EE6C00">
              <w:rPr>
                <w:rFonts w:cs="Arial"/>
                <w:b/>
                <w:bCs/>
              </w:rPr>
              <w:t>Tasks</w:t>
            </w:r>
          </w:p>
        </w:tc>
        <w:tc>
          <w:tcPr>
            <w:tcW w:w="0" w:type="auto"/>
            <w:hideMark/>
          </w:tcPr>
          <w:p w14:paraId="3A2E5FA5" w14:textId="77777777" w:rsidR="007E6FFF" w:rsidRPr="00EE6C00" w:rsidRDefault="007E6FFF" w:rsidP="00DA0D50">
            <w:pPr>
              <w:jc w:val="center"/>
              <w:rPr>
                <w:rFonts w:cs="Arial"/>
                <w:b/>
                <w:bCs/>
              </w:rPr>
            </w:pPr>
            <w:r>
              <w:rPr>
                <w:rFonts w:cs="Arial"/>
                <w:b/>
                <w:bCs/>
              </w:rPr>
              <w:t xml:space="preserve">Weeks </w:t>
            </w:r>
            <w:r w:rsidRPr="00EE6C00">
              <w:rPr>
                <w:rFonts w:cs="Arial"/>
                <w:b/>
                <w:bCs/>
              </w:rPr>
              <w:t>1</w:t>
            </w:r>
          </w:p>
        </w:tc>
        <w:tc>
          <w:tcPr>
            <w:tcW w:w="0" w:type="auto"/>
            <w:hideMark/>
          </w:tcPr>
          <w:p w14:paraId="20180D1E" w14:textId="77777777" w:rsidR="007E6FFF" w:rsidRPr="00EE6C00" w:rsidRDefault="007E6FFF" w:rsidP="00DA0D50">
            <w:pPr>
              <w:jc w:val="center"/>
              <w:rPr>
                <w:rFonts w:cs="Arial"/>
                <w:b/>
                <w:bCs/>
              </w:rPr>
            </w:pPr>
            <w:r>
              <w:rPr>
                <w:rFonts w:cs="Arial"/>
                <w:b/>
                <w:bCs/>
              </w:rPr>
              <w:t>Weeks</w:t>
            </w:r>
            <w:r w:rsidRPr="00EE6C00">
              <w:rPr>
                <w:rFonts w:cs="Arial"/>
                <w:b/>
                <w:bCs/>
              </w:rPr>
              <w:t xml:space="preserve"> </w:t>
            </w:r>
            <w:r>
              <w:rPr>
                <w:rFonts w:cs="Arial"/>
                <w:b/>
                <w:bCs/>
              </w:rPr>
              <w:t>4</w:t>
            </w:r>
          </w:p>
        </w:tc>
        <w:tc>
          <w:tcPr>
            <w:tcW w:w="0" w:type="auto"/>
            <w:hideMark/>
          </w:tcPr>
          <w:p w14:paraId="55BBF903" w14:textId="77777777" w:rsidR="007E6FFF" w:rsidRPr="00EE6C00" w:rsidRDefault="007E6FFF" w:rsidP="00DA0D50">
            <w:pPr>
              <w:jc w:val="center"/>
              <w:rPr>
                <w:rFonts w:cs="Arial"/>
                <w:b/>
                <w:bCs/>
              </w:rPr>
            </w:pPr>
            <w:r>
              <w:rPr>
                <w:rFonts w:cs="Arial"/>
                <w:b/>
                <w:bCs/>
              </w:rPr>
              <w:t>Weeks</w:t>
            </w:r>
            <w:r w:rsidRPr="00EE6C00">
              <w:rPr>
                <w:rFonts w:cs="Arial"/>
                <w:b/>
                <w:bCs/>
              </w:rPr>
              <w:t xml:space="preserve"> </w:t>
            </w:r>
            <w:r>
              <w:rPr>
                <w:rFonts w:cs="Arial"/>
                <w:b/>
                <w:bCs/>
              </w:rPr>
              <w:t>6</w:t>
            </w:r>
          </w:p>
        </w:tc>
        <w:tc>
          <w:tcPr>
            <w:tcW w:w="0" w:type="auto"/>
            <w:hideMark/>
          </w:tcPr>
          <w:p w14:paraId="274CBC03" w14:textId="77777777" w:rsidR="007E6FFF" w:rsidRPr="00EE6C00" w:rsidRDefault="007E6FFF" w:rsidP="00DA0D50">
            <w:pPr>
              <w:jc w:val="center"/>
              <w:rPr>
                <w:rFonts w:cs="Arial"/>
                <w:b/>
                <w:bCs/>
              </w:rPr>
            </w:pPr>
            <w:r>
              <w:rPr>
                <w:rFonts w:cs="Arial"/>
                <w:b/>
                <w:bCs/>
              </w:rPr>
              <w:t>Weeks</w:t>
            </w:r>
            <w:r w:rsidRPr="00EE6C00">
              <w:rPr>
                <w:rFonts w:cs="Arial"/>
                <w:b/>
                <w:bCs/>
              </w:rPr>
              <w:t xml:space="preserve"> </w:t>
            </w:r>
            <w:r>
              <w:rPr>
                <w:rFonts w:cs="Arial"/>
                <w:b/>
                <w:bCs/>
              </w:rPr>
              <w:t>10</w:t>
            </w:r>
          </w:p>
        </w:tc>
        <w:tc>
          <w:tcPr>
            <w:tcW w:w="0" w:type="auto"/>
            <w:hideMark/>
          </w:tcPr>
          <w:p w14:paraId="45D58359" w14:textId="77777777" w:rsidR="007E6FFF" w:rsidRPr="00EE6C00" w:rsidRDefault="007E6FFF" w:rsidP="00DA0D50">
            <w:pPr>
              <w:jc w:val="center"/>
              <w:rPr>
                <w:rFonts w:cs="Arial"/>
                <w:b/>
                <w:bCs/>
              </w:rPr>
            </w:pPr>
            <w:r>
              <w:rPr>
                <w:rFonts w:cs="Arial"/>
                <w:b/>
                <w:bCs/>
              </w:rPr>
              <w:t>Weeks</w:t>
            </w:r>
            <w:r w:rsidRPr="00EE6C00">
              <w:rPr>
                <w:rFonts w:cs="Arial"/>
                <w:b/>
                <w:bCs/>
              </w:rPr>
              <w:t xml:space="preserve"> </w:t>
            </w:r>
            <w:r>
              <w:rPr>
                <w:rFonts w:cs="Arial"/>
                <w:b/>
                <w:bCs/>
              </w:rPr>
              <w:t>12</w:t>
            </w:r>
          </w:p>
        </w:tc>
        <w:tc>
          <w:tcPr>
            <w:tcW w:w="0" w:type="auto"/>
            <w:hideMark/>
          </w:tcPr>
          <w:p w14:paraId="2B1CD961" w14:textId="77777777" w:rsidR="007E6FFF" w:rsidRPr="00EE6C00" w:rsidRDefault="007E6FFF" w:rsidP="00DA0D50">
            <w:pPr>
              <w:jc w:val="center"/>
              <w:rPr>
                <w:rFonts w:cs="Arial"/>
                <w:b/>
                <w:bCs/>
              </w:rPr>
            </w:pPr>
            <w:r>
              <w:rPr>
                <w:rFonts w:cs="Arial"/>
                <w:b/>
                <w:bCs/>
              </w:rPr>
              <w:t>Weeks</w:t>
            </w:r>
            <w:r w:rsidRPr="00EE6C00">
              <w:rPr>
                <w:rFonts w:cs="Arial"/>
                <w:b/>
                <w:bCs/>
              </w:rPr>
              <w:t xml:space="preserve"> </w:t>
            </w:r>
            <w:r>
              <w:rPr>
                <w:rFonts w:cs="Arial"/>
                <w:b/>
                <w:bCs/>
              </w:rPr>
              <w:t>1</w:t>
            </w:r>
            <w:r w:rsidRPr="00EE6C00">
              <w:rPr>
                <w:rFonts w:cs="Arial"/>
                <w:b/>
                <w:bCs/>
              </w:rPr>
              <w:t>6</w:t>
            </w:r>
          </w:p>
        </w:tc>
      </w:tr>
      <w:tr w:rsidR="007E6FFF" w:rsidRPr="00EE6C00" w14:paraId="16F4CCB0" w14:textId="77777777" w:rsidTr="00DA0D50">
        <w:tc>
          <w:tcPr>
            <w:tcW w:w="0" w:type="auto"/>
            <w:hideMark/>
          </w:tcPr>
          <w:p w14:paraId="1122EDDB" w14:textId="77777777" w:rsidR="007E6FFF" w:rsidRPr="00EE6C00" w:rsidRDefault="007E6FFF" w:rsidP="00DA0D50">
            <w:pPr>
              <w:rPr>
                <w:rFonts w:cs="Arial"/>
              </w:rPr>
            </w:pPr>
            <w:r w:rsidRPr="00EE6C00">
              <w:rPr>
                <w:rFonts w:cs="Arial"/>
              </w:rPr>
              <w:t>Topic selection &amp; proposal development</w:t>
            </w:r>
          </w:p>
        </w:tc>
        <w:tc>
          <w:tcPr>
            <w:tcW w:w="0" w:type="auto"/>
            <w:shd w:val="clear" w:color="auto" w:fill="70AD47" w:themeFill="accent6"/>
          </w:tcPr>
          <w:p w14:paraId="040BA0BC" w14:textId="77777777" w:rsidR="007E6FFF" w:rsidRPr="007E6FFF" w:rsidRDefault="007E6FFF" w:rsidP="00DA0D50">
            <w:pPr>
              <w:jc w:val="center"/>
              <w:rPr>
                <w:rFonts w:cs="Arial"/>
                <w:color w:val="5B9BD5" w:themeColor="accent5"/>
              </w:rPr>
            </w:pPr>
          </w:p>
        </w:tc>
        <w:tc>
          <w:tcPr>
            <w:tcW w:w="0" w:type="auto"/>
          </w:tcPr>
          <w:p w14:paraId="4D220C49" w14:textId="77777777" w:rsidR="007E6FFF" w:rsidRPr="007E6FFF" w:rsidRDefault="007E6FFF" w:rsidP="00DA0D50">
            <w:pPr>
              <w:jc w:val="center"/>
              <w:rPr>
                <w:rFonts w:cs="Arial"/>
                <w:color w:val="5B9BD5" w:themeColor="accent5"/>
              </w:rPr>
            </w:pPr>
          </w:p>
        </w:tc>
        <w:tc>
          <w:tcPr>
            <w:tcW w:w="0" w:type="auto"/>
          </w:tcPr>
          <w:p w14:paraId="2E3E2B01" w14:textId="77777777" w:rsidR="007E6FFF" w:rsidRPr="007E6FFF" w:rsidRDefault="007E6FFF" w:rsidP="00DA0D50">
            <w:pPr>
              <w:jc w:val="center"/>
              <w:rPr>
                <w:rFonts w:cs="Arial"/>
                <w:color w:val="5B9BD5" w:themeColor="accent5"/>
              </w:rPr>
            </w:pPr>
          </w:p>
        </w:tc>
        <w:tc>
          <w:tcPr>
            <w:tcW w:w="0" w:type="auto"/>
          </w:tcPr>
          <w:p w14:paraId="2204A114" w14:textId="77777777" w:rsidR="007E6FFF" w:rsidRPr="007E6FFF" w:rsidRDefault="007E6FFF" w:rsidP="00DA0D50">
            <w:pPr>
              <w:jc w:val="center"/>
              <w:rPr>
                <w:rFonts w:cs="Arial"/>
                <w:color w:val="5B9BD5" w:themeColor="accent5"/>
              </w:rPr>
            </w:pPr>
          </w:p>
        </w:tc>
        <w:tc>
          <w:tcPr>
            <w:tcW w:w="0" w:type="auto"/>
          </w:tcPr>
          <w:p w14:paraId="26A43C55" w14:textId="77777777" w:rsidR="007E6FFF" w:rsidRPr="007E6FFF" w:rsidRDefault="007E6FFF" w:rsidP="00DA0D50">
            <w:pPr>
              <w:jc w:val="center"/>
              <w:rPr>
                <w:rFonts w:cs="Arial"/>
                <w:color w:val="5B9BD5" w:themeColor="accent5"/>
              </w:rPr>
            </w:pPr>
          </w:p>
        </w:tc>
        <w:tc>
          <w:tcPr>
            <w:tcW w:w="0" w:type="auto"/>
          </w:tcPr>
          <w:p w14:paraId="05AB47F9" w14:textId="77777777" w:rsidR="007E6FFF" w:rsidRPr="007E6FFF" w:rsidRDefault="007E6FFF" w:rsidP="00DA0D50">
            <w:pPr>
              <w:jc w:val="center"/>
              <w:rPr>
                <w:rFonts w:cs="Arial"/>
                <w:color w:val="5B9BD5" w:themeColor="accent5"/>
              </w:rPr>
            </w:pPr>
          </w:p>
        </w:tc>
      </w:tr>
      <w:tr w:rsidR="007E6FFF" w:rsidRPr="00EE6C00" w14:paraId="73CEA2CC" w14:textId="77777777" w:rsidTr="00DA0D50">
        <w:tc>
          <w:tcPr>
            <w:tcW w:w="0" w:type="auto"/>
            <w:hideMark/>
          </w:tcPr>
          <w:p w14:paraId="485D3C60" w14:textId="77777777" w:rsidR="007E6FFF" w:rsidRPr="00EE6C00" w:rsidRDefault="007E6FFF" w:rsidP="00DA0D50">
            <w:pPr>
              <w:rPr>
                <w:rFonts w:cs="Arial"/>
              </w:rPr>
            </w:pPr>
            <w:r w:rsidRPr="00EE6C00">
              <w:rPr>
                <w:rFonts w:cs="Arial"/>
              </w:rPr>
              <w:t>Literature search (databases &amp; sources)</w:t>
            </w:r>
          </w:p>
        </w:tc>
        <w:tc>
          <w:tcPr>
            <w:tcW w:w="0" w:type="auto"/>
            <w:shd w:val="clear" w:color="auto" w:fill="5B9BD5" w:themeFill="accent5"/>
          </w:tcPr>
          <w:p w14:paraId="3BE210CF" w14:textId="77777777" w:rsidR="007E6FFF" w:rsidRPr="007E6FFF" w:rsidRDefault="007E6FFF" w:rsidP="00DA0D50">
            <w:pPr>
              <w:jc w:val="center"/>
              <w:rPr>
                <w:rFonts w:cs="Arial"/>
                <w:color w:val="5B9BD5" w:themeColor="accent5"/>
              </w:rPr>
            </w:pPr>
          </w:p>
        </w:tc>
        <w:tc>
          <w:tcPr>
            <w:tcW w:w="0" w:type="auto"/>
            <w:shd w:val="clear" w:color="auto" w:fill="5B9BD5" w:themeFill="accent5"/>
          </w:tcPr>
          <w:p w14:paraId="6AAB982F" w14:textId="77777777" w:rsidR="007E6FFF" w:rsidRPr="007E6FFF" w:rsidRDefault="007E6FFF" w:rsidP="00DA0D50">
            <w:pPr>
              <w:jc w:val="center"/>
              <w:rPr>
                <w:rFonts w:cs="Arial"/>
                <w:color w:val="5B9BD5" w:themeColor="accent5"/>
              </w:rPr>
            </w:pPr>
          </w:p>
        </w:tc>
        <w:tc>
          <w:tcPr>
            <w:tcW w:w="0" w:type="auto"/>
          </w:tcPr>
          <w:p w14:paraId="53FA2BC0" w14:textId="77777777" w:rsidR="007E6FFF" w:rsidRPr="007E6FFF" w:rsidRDefault="007E6FFF" w:rsidP="00DA0D50">
            <w:pPr>
              <w:jc w:val="center"/>
              <w:rPr>
                <w:rFonts w:cs="Arial"/>
                <w:color w:val="5B9BD5" w:themeColor="accent5"/>
              </w:rPr>
            </w:pPr>
          </w:p>
        </w:tc>
        <w:tc>
          <w:tcPr>
            <w:tcW w:w="0" w:type="auto"/>
          </w:tcPr>
          <w:p w14:paraId="3F6D3513" w14:textId="77777777" w:rsidR="007E6FFF" w:rsidRPr="007E6FFF" w:rsidRDefault="007E6FFF" w:rsidP="00DA0D50">
            <w:pPr>
              <w:jc w:val="center"/>
              <w:rPr>
                <w:rFonts w:cs="Arial"/>
                <w:color w:val="5B9BD5" w:themeColor="accent5"/>
              </w:rPr>
            </w:pPr>
          </w:p>
        </w:tc>
        <w:tc>
          <w:tcPr>
            <w:tcW w:w="0" w:type="auto"/>
          </w:tcPr>
          <w:p w14:paraId="5B99E8F3" w14:textId="77777777" w:rsidR="007E6FFF" w:rsidRPr="007E6FFF" w:rsidRDefault="007E6FFF" w:rsidP="00DA0D50">
            <w:pPr>
              <w:jc w:val="center"/>
              <w:rPr>
                <w:rFonts w:cs="Arial"/>
                <w:color w:val="5B9BD5" w:themeColor="accent5"/>
              </w:rPr>
            </w:pPr>
          </w:p>
        </w:tc>
        <w:tc>
          <w:tcPr>
            <w:tcW w:w="0" w:type="auto"/>
          </w:tcPr>
          <w:p w14:paraId="3A8AA452" w14:textId="77777777" w:rsidR="007E6FFF" w:rsidRPr="007E6FFF" w:rsidRDefault="007E6FFF" w:rsidP="00DA0D50">
            <w:pPr>
              <w:jc w:val="center"/>
              <w:rPr>
                <w:rFonts w:cs="Arial"/>
                <w:color w:val="5B9BD5" w:themeColor="accent5"/>
              </w:rPr>
            </w:pPr>
          </w:p>
        </w:tc>
      </w:tr>
      <w:tr w:rsidR="007E6FFF" w:rsidRPr="00EE6C00" w14:paraId="12860542" w14:textId="77777777" w:rsidTr="00DA0D50">
        <w:tc>
          <w:tcPr>
            <w:tcW w:w="0" w:type="auto"/>
            <w:hideMark/>
          </w:tcPr>
          <w:p w14:paraId="5948511D" w14:textId="77777777" w:rsidR="007E6FFF" w:rsidRPr="00EE6C00" w:rsidRDefault="007E6FFF" w:rsidP="00DA0D50">
            <w:pPr>
              <w:rPr>
                <w:rFonts w:cs="Arial"/>
              </w:rPr>
            </w:pPr>
            <w:r w:rsidRPr="00EE6C00">
              <w:rPr>
                <w:rFonts w:cs="Arial"/>
              </w:rPr>
              <w:t>Screening &amp; selection of studies</w:t>
            </w:r>
          </w:p>
        </w:tc>
        <w:tc>
          <w:tcPr>
            <w:tcW w:w="0" w:type="auto"/>
          </w:tcPr>
          <w:p w14:paraId="465C99AE" w14:textId="77777777" w:rsidR="007E6FFF" w:rsidRPr="007E6FFF" w:rsidRDefault="007E6FFF" w:rsidP="00DA0D50">
            <w:pPr>
              <w:jc w:val="center"/>
              <w:rPr>
                <w:rFonts w:cs="Arial"/>
                <w:color w:val="5B9BD5" w:themeColor="accent5"/>
              </w:rPr>
            </w:pPr>
          </w:p>
        </w:tc>
        <w:tc>
          <w:tcPr>
            <w:tcW w:w="0" w:type="auto"/>
            <w:shd w:val="clear" w:color="auto" w:fill="FFC000" w:themeFill="accent4"/>
          </w:tcPr>
          <w:p w14:paraId="69808160" w14:textId="77777777" w:rsidR="007E6FFF" w:rsidRPr="007E6FFF" w:rsidRDefault="007E6FFF" w:rsidP="00DA0D50">
            <w:pPr>
              <w:jc w:val="center"/>
              <w:rPr>
                <w:rFonts w:cs="Arial"/>
                <w:color w:val="5B9BD5" w:themeColor="accent5"/>
              </w:rPr>
            </w:pPr>
          </w:p>
        </w:tc>
        <w:tc>
          <w:tcPr>
            <w:tcW w:w="0" w:type="auto"/>
            <w:shd w:val="clear" w:color="auto" w:fill="FFC000" w:themeFill="accent4"/>
          </w:tcPr>
          <w:p w14:paraId="01F01F90" w14:textId="77777777" w:rsidR="007E6FFF" w:rsidRPr="007E6FFF" w:rsidRDefault="007E6FFF" w:rsidP="00DA0D50">
            <w:pPr>
              <w:jc w:val="center"/>
              <w:rPr>
                <w:rFonts w:cs="Arial"/>
                <w:color w:val="5B9BD5" w:themeColor="accent5"/>
              </w:rPr>
            </w:pPr>
          </w:p>
        </w:tc>
        <w:tc>
          <w:tcPr>
            <w:tcW w:w="0" w:type="auto"/>
          </w:tcPr>
          <w:p w14:paraId="73F78910" w14:textId="77777777" w:rsidR="007E6FFF" w:rsidRPr="007E6FFF" w:rsidRDefault="007E6FFF" w:rsidP="00DA0D50">
            <w:pPr>
              <w:jc w:val="center"/>
              <w:rPr>
                <w:rFonts w:cs="Arial"/>
                <w:color w:val="5B9BD5" w:themeColor="accent5"/>
              </w:rPr>
            </w:pPr>
          </w:p>
        </w:tc>
        <w:tc>
          <w:tcPr>
            <w:tcW w:w="0" w:type="auto"/>
          </w:tcPr>
          <w:p w14:paraId="7A521C07" w14:textId="77777777" w:rsidR="007E6FFF" w:rsidRPr="007E6FFF" w:rsidRDefault="007E6FFF" w:rsidP="00DA0D50">
            <w:pPr>
              <w:jc w:val="center"/>
              <w:rPr>
                <w:rFonts w:cs="Arial"/>
                <w:color w:val="5B9BD5" w:themeColor="accent5"/>
              </w:rPr>
            </w:pPr>
          </w:p>
        </w:tc>
        <w:tc>
          <w:tcPr>
            <w:tcW w:w="0" w:type="auto"/>
          </w:tcPr>
          <w:p w14:paraId="3B0A3AFE" w14:textId="77777777" w:rsidR="007E6FFF" w:rsidRPr="007E6FFF" w:rsidRDefault="007E6FFF" w:rsidP="00DA0D50">
            <w:pPr>
              <w:jc w:val="center"/>
              <w:rPr>
                <w:rFonts w:cs="Arial"/>
                <w:color w:val="5B9BD5" w:themeColor="accent5"/>
              </w:rPr>
            </w:pPr>
          </w:p>
        </w:tc>
      </w:tr>
      <w:tr w:rsidR="007E6FFF" w:rsidRPr="00EE6C00" w14:paraId="66614DFF" w14:textId="77777777" w:rsidTr="00DA0D50">
        <w:tc>
          <w:tcPr>
            <w:tcW w:w="0" w:type="auto"/>
            <w:hideMark/>
          </w:tcPr>
          <w:p w14:paraId="3A84666E" w14:textId="77777777" w:rsidR="007E6FFF" w:rsidRPr="00EE6C00" w:rsidRDefault="007E6FFF" w:rsidP="00DA0D50">
            <w:pPr>
              <w:rPr>
                <w:rFonts w:cs="Arial"/>
              </w:rPr>
            </w:pPr>
            <w:r w:rsidRPr="00EE6C00">
              <w:rPr>
                <w:rFonts w:cs="Arial"/>
              </w:rPr>
              <w:t>Data extraction &amp; organisation</w:t>
            </w:r>
          </w:p>
        </w:tc>
        <w:tc>
          <w:tcPr>
            <w:tcW w:w="0" w:type="auto"/>
          </w:tcPr>
          <w:p w14:paraId="045A5F4F" w14:textId="77777777" w:rsidR="007E6FFF" w:rsidRPr="007E6FFF" w:rsidRDefault="007E6FFF" w:rsidP="00DA0D50">
            <w:pPr>
              <w:jc w:val="center"/>
              <w:rPr>
                <w:rFonts w:cs="Arial"/>
                <w:color w:val="5B9BD5" w:themeColor="accent5"/>
              </w:rPr>
            </w:pPr>
          </w:p>
        </w:tc>
        <w:tc>
          <w:tcPr>
            <w:tcW w:w="0" w:type="auto"/>
          </w:tcPr>
          <w:p w14:paraId="1A0708E8" w14:textId="77777777" w:rsidR="007E6FFF" w:rsidRPr="007E6FFF" w:rsidRDefault="007E6FFF" w:rsidP="00DA0D50">
            <w:pPr>
              <w:jc w:val="center"/>
              <w:rPr>
                <w:rFonts w:cs="Arial"/>
                <w:color w:val="5B9BD5" w:themeColor="accent5"/>
              </w:rPr>
            </w:pPr>
          </w:p>
        </w:tc>
        <w:tc>
          <w:tcPr>
            <w:tcW w:w="0" w:type="auto"/>
            <w:shd w:val="clear" w:color="auto" w:fill="A5A5A5" w:themeFill="accent3"/>
          </w:tcPr>
          <w:p w14:paraId="1AED7065" w14:textId="77777777" w:rsidR="007E6FFF" w:rsidRPr="007E6FFF" w:rsidRDefault="007E6FFF" w:rsidP="00DA0D50">
            <w:pPr>
              <w:jc w:val="center"/>
              <w:rPr>
                <w:rFonts w:cs="Arial"/>
                <w:color w:val="5B9BD5" w:themeColor="accent5"/>
              </w:rPr>
            </w:pPr>
          </w:p>
        </w:tc>
        <w:tc>
          <w:tcPr>
            <w:tcW w:w="0" w:type="auto"/>
            <w:shd w:val="clear" w:color="auto" w:fill="A5A5A5" w:themeFill="accent3"/>
          </w:tcPr>
          <w:p w14:paraId="21FD8A71" w14:textId="77777777" w:rsidR="007E6FFF" w:rsidRPr="007E6FFF" w:rsidRDefault="007E6FFF" w:rsidP="00DA0D50">
            <w:pPr>
              <w:jc w:val="center"/>
              <w:rPr>
                <w:rFonts w:cs="Arial"/>
                <w:color w:val="5B9BD5" w:themeColor="accent5"/>
              </w:rPr>
            </w:pPr>
          </w:p>
        </w:tc>
        <w:tc>
          <w:tcPr>
            <w:tcW w:w="0" w:type="auto"/>
          </w:tcPr>
          <w:p w14:paraId="16B4C9ED" w14:textId="77777777" w:rsidR="007E6FFF" w:rsidRPr="007E6FFF" w:rsidRDefault="007E6FFF" w:rsidP="00DA0D50">
            <w:pPr>
              <w:jc w:val="center"/>
              <w:rPr>
                <w:rFonts w:cs="Arial"/>
                <w:color w:val="5B9BD5" w:themeColor="accent5"/>
              </w:rPr>
            </w:pPr>
          </w:p>
        </w:tc>
        <w:tc>
          <w:tcPr>
            <w:tcW w:w="0" w:type="auto"/>
          </w:tcPr>
          <w:p w14:paraId="30B33768" w14:textId="77777777" w:rsidR="007E6FFF" w:rsidRPr="007E6FFF" w:rsidRDefault="007E6FFF" w:rsidP="00DA0D50">
            <w:pPr>
              <w:jc w:val="center"/>
              <w:rPr>
                <w:rFonts w:cs="Arial"/>
                <w:color w:val="5B9BD5" w:themeColor="accent5"/>
              </w:rPr>
            </w:pPr>
          </w:p>
        </w:tc>
      </w:tr>
      <w:tr w:rsidR="007E6FFF" w:rsidRPr="00EE6C00" w14:paraId="7AEFF384" w14:textId="77777777" w:rsidTr="00DA0D50">
        <w:tc>
          <w:tcPr>
            <w:tcW w:w="0" w:type="auto"/>
            <w:hideMark/>
          </w:tcPr>
          <w:p w14:paraId="3DFA18D6" w14:textId="50AF00D4" w:rsidR="007E6FFF" w:rsidRPr="00EE6C00" w:rsidRDefault="007E6FFF" w:rsidP="00DA0D50">
            <w:pPr>
              <w:rPr>
                <w:rFonts w:cs="Arial"/>
              </w:rPr>
            </w:pPr>
            <w:r w:rsidRPr="00EE6C00">
              <w:rPr>
                <w:rFonts w:cs="Arial"/>
              </w:rPr>
              <w:t>Data analysis (qualitative)</w:t>
            </w:r>
          </w:p>
        </w:tc>
        <w:tc>
          <w:tcPr>
            <w:tcW w:w="0" w:type="auto"/>
          </w:tcPr>
          <w:p w14:paraId="3E97A47B" w14:textId="77777777" w:rsidR="007E6FFF" w:rsidRPr="007E6FFF" w:rsidRDefault="007E6FFF" w:rsidP="00DA0D50">
            <w:pPr>
              <w:jc w:val="center"/>
              <w:rPr>
                <w:rFonts w:cs="Arial"/>
                <w:color w:val="5B9BD5" w:themeColor="accent5"/>
              </w:rPr>
            </w:pPr>
          </w:p>
        </w:tc>
        <w:tc>
          <w:tcPr>
            <w:tcW w:w="0" w:type="auto"/>
          </w:tcPr>
          <w:p w14:paraId="5A8DDB3F" w14:textId="77777777" w:rsidR="007E6FFF" w:rsidRPr="007E6FFF" w:rsidRDefault="007E6FFF" w:rsidP="00DA0D50">
            <w:pPr>
              <w:jc w:val="center"/>
              <w:rPr>
                <w:rFonts w:cs="Arial"/>
                <w:color w:val="5B9BD5" w:themeColor="accent5"/>
              </w:rPr>
            </w:pPr>
          </w:p>
        </w:tc>
        <w:tc>
          <w:tcPr>
            <w:tcW w:w="0" w:type="auto"/>
          </w:tcPr>
          <w:p w14:paraId="0F20F48E" w14:textId="77777777" w:rsidR="007E6FFF" w:rsidRPr="007E6FFF" w:rsidRDefault="007E6FFF" w:rsidP="00DA0D50">
            <w:pPr>
              <w:jc w:val="center"/>
              <w:rPr>
                <w:rFonts w:cs="Arial"/>
                <w:color w:val="5B9BD5" w:themeColor="accent5"/>
              </w:rPr>
            </w:pPr>
          </w:p>
        </w:tc>
        <w:tc>
          <w:tcPr>
            <w:tcW w:w="0" w:type="auto"/>
            <w:shd w:val="clear" w:color="auto" w:fill="7030A0"/>
          </w:tcPr>
          <w:p w14:paraId="7E5297F1" w14:textId="77777777" w:rsidR="007E6FFF" w:rsidRPr="007E6FFF" w:rsidRDefault="007E6FFF" w:rsidP="00DA0D50">
            <w:pPr>
              <w:jc w:val="center"/>
              <w:rPr>
                <w:rFonts w:cs="Arial"/>
                <w:color w:val="5B9BD5" w:themeColor="accent5"/>
              </w:rPr>
            </w:pPr>
          </w:p>
        </w:tc>
        <w:tc>
          <w:tcPr>
            <w:tcW w:w="0" w:type="auto"/>
            <w:shd w:val="clear" w:color="auto" w:fill="7030A0"/>
          </w:tcPr>
          <w:p w14:paraId="419BE6C5" w14:textId="77777777" w:rsidR="007E6FFF" w:rsidRPr="007E6FFF" w:rsidRDefault="007E6FFF" w:rsidP="00DA0D50">
            <w:pPr>
              <w:jc w:val="center"/>
              <w:rPr>
                <w:rFonts w:cs="Arial"/>
                <w:color w:val="5B9BD5" w:themeColor="accent5"/>
              </w:rPr>
            </w:pPr>
          </w:p>
        </w:tc>
        <w:tc>
          <w:tcPr>
            <w:tcW w:w="0" w:type="auto"/>
          </w:tcPr>
          <w:p w14:paraId="14F0F4E7" w14:textId="77777777" w:rsidR="007E6FFF" w:rsidRPr="007E6FFF" w:rsidRDefault="007E6FFF" w:rsidP="00DA0D50">
            <w:pPr>
              <w:jc w:val="center"/>
              <w:rPr>
                <w:rFonts w:cs="Arial"/>
                <w:color w:val="5B9BD5" w:themeColor="accent5"/>
              </w:rPr>
            </w:pPr>
          </w:p>
        </w:tc>
      </w:tr>
      <w:tr w:rsidR="007E6FFF" w:rsidRPr="00EE6C00" w14:paraId="5B20A027" w14:textId="77777777" w:rsidTr="00DA0D50">
        <w:tc>
          <w:tcPr>
            <w:tcW w:w="0" w:type="auto"/>
            <w:hideMark/>
          </w:tcPr>
          <w:p w14:paraId="625E1898" w14:textId="77777777" w:rsidR="007E6FFF" w:rsidRPr="00EE6C00" w:rsidRDefault="007E6FFF" w:rsidP="00DA0D50">
            <w:pPr>
              <w:rPr>
                <w:rFonts w:cs="Arial"/>
              </w:rPr>
            </w:pPr>
            <w:r w:rsidRPr="00EE6C00">
              <w:rPr>
                <w:rFonts w:cs="Arial"/>
              </w:rPr>
              <w:t>Writing findings &amp; discussion</w:t>
            </w:r>
          </w:p>
        </w:tc>
        <w:tc>
          <w:tcPr>
            <w:tcW w:w="0" w:type="auto"/>
          </w:tcPr>
          <w:p w14:paraId="4EE272FB" w14:textId="77777777" w:rsidR="007E6FFF" w:rsidRPr="007E6FFF" w:rsidRDefault="007E6FFF" w:rsidP="00DA0D50">
            <w:pPr>
              <w:jc w:val="center"/>
              <w:rPr>
                <w:rFonts w:cs="Arial"/>
                <w:color w:val="5B9BD5" w:themeColor="accent5"/>
              </w:rPr>
            </w:pPr>
          </w:p>
        </w:tc>
        <w:tc>
          <w:tcPr>
            <w:tcW w:w="0" w:type="auto"/>
          </w:tcPr>
          <w:p w14:paraId="6061F95F" w14:textId="77777777" w:rsidR="007E6FFF" w:rsidRPr="007E6FFF" w:rsidRDefault="007E6FFF" w:rsidP="00DA0D50">
            <w:pPr>
              <w:jc w:val="center"/>
              <w:rPr>
                <w:rFonts w:cs="Arial"/>
                <w:color w:val="5B9BD5" w:themeColor="accent5"/>
              </w:rPr>
            </w:pPr>
          </w:p>
        </w:tc>
        <w:tc>
          <w:tcPr>
            <w:tcW w:w="0" w:type="auto"/>
          </w:tcPr>
          <w:p w14:paraId="29A8AAD3" w14:textId="77777777" w:rsidR="007E6FFF" w:rsidRPr="007E6FFF" w:rsidRDefault="007E6FFF" w:rsidP="00DA0D50">
            <w:pPr>
              <w:jc w:val="center"/>
              <w:rPr>
                <w:rFonts w:cs="Arial"/>
                <w:color w:val="5B9BD5" w:themeColor="accent5"/>
              </w:rPr>
            </w:pPr>
          </w:p>
        </w:tc>
        <w:tc>
          <w:tcPr>
            <w:tcW w:w="0" w:type="auto"/>
          </w:tcPr>
          <w:p w14:paraId="46AE170D" w14:textId="77777777" w:rsidR="007E6FFF" w:rsidRPr="007E6FFF" w:rsidRDefault="007E6FFF" w:rsidP="00DA0D50">
            <w:pPr>
              <w:jc w:val="center"/>
              <w:rPr>
                <w:rFonts w:cs="Arial"/>
                <w:color w:val="5B9BD5" w:themeColor="accent5"/>
              </w:rPr>
            </w:pPr>
          </w:p>
        </w:tc>
        <w:tc>
          <w:tcPr>
            <w:tcW w:w="0" w:type="auto"/>
            <w:shd w:val="clear" w:color="auto" w:fill="FFFF00"/>
          </w:tcPr>
          <w:p w14:paraId="1FB7229E" w14:textId="77777777" w:rsidR="007E6FFF" w:rsidRPr="007E6FFF" w:rsidRDefault="007E6FFF" w:rsidP="00DA0D50">
            <w:pPr>
              <w:jc w:val="center"/>
              <w:rPr>
                <w:rFonts w:cs="Arial"/>
                <w:color w:val="5B9BD5" w:themeColor="accent5"/>
              </w:rPr>
            </w:pPr>
          </w:p>
        </w:tc>
        <w:tc>
          <w:tcPr>
            <w:tcW w:w="0" w:type="auto"/>
          </w:tcPr>
          <w:p w14:paraId="4FB7D985" w14:textId="77777777" w:rsidR="007E6FFF" w:rsidRPr="007E6FFF" w:rsidRDefault="007E6FFF" w:rsidP="00DA0D50">
            <w:pPr>
              <w:jc w:val="center"/>
              <w:rPr>
                <w:rFonts w:cs="Arial"/>
                <w:color w:val="5B9BD5" w:themeColor="accent5"/>
              </w:rPr>
            </w:pPr>
          </w:p>
        </w:tc>
      </w:tr>
      <w:tr w:rsidR="007E6FFF" w:rsidRPr="00EE6C00" w14:paraId="0B96225E" w14:textId="77777777" w:rsidTr="00DA0D50">
        <w:tc>
          <w:tcPr>
            <w:tcW w:w="0" w:type="auto"/>
            <w:hideMark/>
          </w:tcPr>
          <w:p w14:paraId="0DACD409" w14:textId="77777777" w:rsidR="007E6FFF" w:rsidRPr="00EE6C00" w:rsidRDefault="007E6FFF" w:rsidP="00DA0D50">
            <w:pPr>
              <w:rPr>
                <w:rFonts w:cs="Arial"/>
              </w:rPr>
            </w:pPr>
            <w:r w:rsidRPr="00EE6C00">
              <w:rPr>
                <w:rFonts w:cs="Arial"/>
              </w:rPr>
              <w:t>Final review, editing &amp; proofreading</w:t>
            </w:r>
          </w:p>
        </w:tc>
        <w:tc>
          <w:tcPr>
            <w:tcW w:w="0" w:type="auto"/>
          </w:tcPr>
          <w:p w14:paraId="3A4F04E8" w14:textId="77777777" w:rsidR="007E6FFF" w:rsidRPr="007E6FFF" w:rsidRDefault="007E6FFF" w:rsidP="00DA0D50">
            <w:pPr>
              <w:jc w:val="center"/>
              <w:rPr>
                <w:rFonts w:cs="Arial"/>
                <w:color w:val="5B9BD5" w:themeColor="accent5"/>
              </w:rPr>
            </w:pPr>
          </w:p>
        </w:tc>
        <w:tc>
          <w:tcPr>
            <w:tcW w:w="0" w:type="auto"/>
          </w:tcPr>
          <w:p w14:paraId="047C157F" w14:textId="77777777" w:rsidR="007E6FFF" w:rsidRPr="007E6FFF" w:rsidRDefault="007E6FFF" w:rsidP="00DA0D50">
            <w:pPr>
              <w:jc w:val="center"/>
              <w:rPr>
                <w:rFonts w:cs="Arial"/>
                <w:color w:val="5B9BD5" w:themeColor="accent5"/>
              </w:rPr>
            </w:pPr>
          </w:p>
        </w:tc>
        <w:tc>
          <w:tcPr>
            <w:tcW w:w="0" w:type="auto"/>
          </w:tcPr>
          <w:p w14:paraId="27515B1E" w14:textId="77777777" w:rsidR="007E6FFF" w:rsidRPr="007E6FFF" w:rsidRDefault="007E6FFF" w:rsidP="00DA0D50">
            <w:pPr>
              <w:jc w:val="center"/>
              <w:rPr>
                <w:rFonts w:cs="Arial"/>
                <w:color w:val="5B9BD5" w:themeColor="accent5"/>
              </w:rPr>
            </w:pPr>
          </w:p>
        </w:tc>
        <w:tc>
          <w:tcPr>
            <w:tcW w:w="0" w:type="auto"/>
          </w:tcPr>
          <w:p w14:paraId="7721474A" w14:textId="77777777" w:rsidR="007E6FFF" w:rsidRPr="007E6FFF" w:rsidRDefault="007E6FFF" w:rsidP="00DA0D50">
            <w:pPr>
              <w:jc w:val="center"/>
              <w:rPr>
                <w:rFonts w:cs="Arial"/>
                <w:color w:val="5B9BD5" w:themeColor="accent5"/>
              </w:rPr>
            </w:pPr>
          </w:p>
        </w:tc>
        <w:tc>
          <w:tcPr>
            <w:tcW w:w="0" w:type="auto"/>
          </w:tcPr>
          <w:p w14:paraId="52B8E754" w14:textId="77777777" w:rsidR="007E6FFF" w:rsidRPr="007E6FFF" w:rsidRDefault="007E6FFF" w:rsidP="00DA0D50">
            <w:pPr>
              <w:jc w:val="center"/>
              <w:rPr>
                <w:rFonts w:cs="Arial"/>
                <w:color w:val="5B9BD5" w:themeColor="accent5"/>
              </w:rPr>
            </w:pPr>
          </w:p>
        </w:tc>
        <w:tc>
          <w:tcPr>
            <w:tcW w:w="0" w:type="auto"/>
            <w:shd w:val="clear" w:color="auto" w:fill="00B0F0"/>
          </w:tcPr>
          <w:p w14:paraId="1A8F6EB0" w14:textId="77777777" w:rsidR="007E6FFF" w:rsidRPr="007E6FFF" w:rsidRDefault="007E6FFF" w:rsidP="00DA0D50">
            <w:pPr>
              <w:jc w:val="center"/>
              <w:rPr>
                <w:rFonts w:cs="Arial"/>
                <w:color w:val="5B9BD5" w:themeColor="accent5"/>
              </w:rPr>
            </w:pPr>
          </w:p>
        </w:tc>
      </w:tr>
      <w:tr w:rsidR="007E6FFF" w:rsidRPr="00EE6C00" w14:paraId="1C090AC5" w14:textId="77777777" w:rsidTr="00DA0D50">
        <w:tc>
          <w:tcPr>
            <w:tcW w:w="0" w:type="auto"/>
            <w:hideMark/>
          </w:tcPr>
          <w:p w14:paraId="19B12E1E" w14:textId="77777777" w:rsidR="007E6FFF" w:rsidRPr="00EE6C00" w:rsidRDefault="007E6FFF" w:rsidP="00DA0D50">
            <w:pPr>
              <w:rPr>
                <w:rFonts w:cs="Arial"/>
              </w:rPr>
            </w:pPr>
            <w:r w:rsidRPr="00EE6C00">
              <w:rPr>
                <w:rFonts w:cs="Arial"/>
              </w:rPr>
              <w:t>Submission</w:t>
            </w:r>
          </w:p>
        </w:tc>
        <w:tc>
          <w:tcPr>
            <w:tcW w:w="0" w:type="auto"/>
          </w:tcPr>
          <w:p w14:paraId="3D42F0B1" w14:textId="77777777" w:rsidR="007E6FFF" w:rsidRPr="007E6FFF" w:rsidRDefault="007E6FFF" w:rsidP="00DA0D50">
            <w:pPr>
              <w:jc w:val="center"/>
              <w:rPr>
                <w:rFonts w:cs="Arial"/>
                <w:color w:val="5B9BD5" w:themeColor="accent5"/>
              </w:rPr>
            </w:pPr>
          </w:p>
        </w:tc>
        <w:tc>
          <w:tcPr>
            <w:tcW w:w="0" w:type="auto"/>
          </w:tcPr>
          <w:p w14:paraId="4C188E31" w14:textId="77777777" w:rsidR="007E6FFF" w:rsidRPr="007E6FFF" w:rsidRDefault="007E6FFF" w:rsidP="00DA0D50">
            <w:pPr>
              <w:jc w:val="center"/>
              <w:rPr>
                <w:rFonts w:cs="Arial"/>
                <w:color w:val="5B9BD5" w:themeColor="accent5"/>
              </w:rPr>
            </w:pPr>
          </w:p>
        </w:tc>
        <w:tc>
          <w:tcPr>
            <w:tcW w:w="0" w:type="auto"/>
          </w:tcPr>
          <w:p w14:paraId="6513CA1C" w14:textId="77777777" w:rsidR="007E6FFF" w:rsidRPr="007E6FFF" w:rsidRDefault="007E6FFF" w:rsidP="00DA0D50">
            <w:pPr>
              <w:jc w:val="center"/>
              <w:rPr>
                <w:rFonts w:cs="Arial"/>
                <w:color w:val="5B9BD5" w:themeColor="accent5"/>
              </w:rPr>
            </w:pPr>
          </w:p>
        </w:tc>
        <w:tc>
          <w:tcPr>
            <w:tcW w:w="0" w:type="auto"/>
          </w:tcPr>
          <w:p w14:paraId="433D8BFB" w14:textId="77777777" w:rsidR="007E6FFF" w:rsidRPr="007E6FFF" w:rsidRDefault="007E6FFF" w:rsidP="00DA0D50">
            <w:pPr>
              <w:jc w:val="center"/>
              <w:rPr>
                <w:rFonts w:cs="Arial"/>
                <w:color w:val="5B9BD5" w:themeColor="accent5"/>
              </w:rPr>
            </w:pPr>
          </w:p>
        </w:tc>
        <w:tc>
          <w:tcPr>
            <w:tcW w:w="0" w:type="auto"/>
          </w:tcPr>
          <w:p w14:paraId="2B300708" w14:textId="77777777" w:rsidR="007E6FFF" w:rsidRPr="007E6FFF" w:rsidRDefault="007E6FFF" w:rsidP="00DA0D50">
            <w:pPr>
              <w:jc w:val="center"/>
              <w:rPr>
                <w:rFonts w:cs="Arial"/>
                <w:color w:val="5B9BD5" w:themeColor="accent5"/>
              </w:rPr>
            </w:pPr>
          </w:p>
        </w:tc>
        <w:tc>
          <w:tcPr>
            <w:tcW w:w="0" w:type="auto"/>
            <w:shd w:val="clear" w:color="auto" w:fill="C00000"/>
          </w:tcPr>
          <w:p w14:paraId="6C8A987E" w14:textId="77777777" w:rsidR="007E6FFF" w:rsidRPr="007E6FFF" w:rsidRDefault="007E6FFF" w:rsidP="00DA0D50">
            <w:pPr>
              <w:jc w:val="center"/>
              <w:rPr>
                <w:rFonts w:cs="Arial"/>
                <w:color w:val="5B9BD5" w:themeColor="accent5"/>
              </w:rPr>
            </w:pPr>
          </w:p>
        </w:tc>
      </w:tr>
    </w:tbl>
    <w:p w14:paraId="2C2790F6" w14:textId="7D64DB00" w:rsidR="007E6FFF" w:rsidRDefault="007E6FFF" w:rsidP="00204FF2"/>
    <w:p w14:paraId="21328BE8" w14:textId="77777777" w:rsidR="007E6FFF" w:rsidRDefault="007E6FFF">
      <w:pPr>
        <w:spacing w:line="259" w:lineRule="auto"/>
        <w:jc w:val="left"/>
      </w:pPr>
      <w:r>
        <w:br w:type="page"/>
      </w:r>
    </w:p>
    <w:p w14:paraId="28CA8BE0" w14:textId="5C1A2945" w:rsidR="00204FF2" w:rsidRDefault="007E6FFF" w:rsidP="007E6FFF">
      <w:pPr>
        <w:pStyle w:val="Heading1"/>
      </w:pPr>
      <w:bookmarkStart w:id="15" w:name="_Toc226386763"/>
      <w:r>
        <w:lastRenderedPageBreak/>
        <w:t>References</w:t>
      </w:r>
      <w:bookmarkEnd w:id="15"/>
    </w:p>
    <w:p w14:paraId="5F397AEC" w14:textId="02BE4C16" w:rsidR="00851C9A" w:rsidRDefault="00851C9A" w:rsidP="00851C9A">
      <w:pPr>
        <w:rPr>
          <w:rFonts w:ascii="Times New Roman" w:hAnsi="Times New Roman"/>
        </w:rPr>
      </w:pPr>
      <w:r>
        <w:t xml:space="preserve">Abdullah Al Masud, Ramesh Lahiru Walpola, Sarker, M., Kabir, A., Muhammad Asaduzzaman, Md Saiful Islam, Ayesha Tasnim Mostafa, Akhtar, Z., Barua, M. and Seale, H. (2024). Understanding antibiotic purchasing practices in community pharmacies: A potential driver of emerging antimicrobial resistance. </w:t>
      </w:r>
      <w:r>
        <w:rPr>
          <w:i/>
          <w:iCs/>
        </w:rPr>
        <w:t>Exploratory Research in Clinical and Social Pharmacy</w:t>
      </w:r>
      <w:r>
        <w:t>, 15, pp.100485–100485. doi: https://doi.org/10.1016/j.rcsop.2024.100485.</w:t>
      </w:r>
    </w:p>
    <w:p w14:paraId="3B2D95CA" w14:textId="77777777" w:rsidR="00851C9A" w:rsidRDefault="00851C9A" w:rsidP="008B4DAA">
      <w:r>
        <w:t xml:space="preserve">Al Masud, A., Walpola, R.L., Sarker, M., Asaduzzaman, M., Islam, Md.S., Mostafa, A.T., Akhtar, Z., Kabir, A. and Seale, H. (2025). Antibiotic dispensing practices in community pharmacies: Implications for antimicrobial stewardship in resource-constrained settings. </w:t>
      </w:r>
      <w:r>
        <w:rPr>
          <w:i/>
          <w:iCs/>
        </w:rPr>
        <w:t>Exploratory Research in Clinical and Social Pharmacy</w:t>
      </w:r>
      <w:r>
        <w:t>, [online] 19, p.100606. doi: https://doi.org/10.1016/j.rcsop.2025.100606.</w:t>
      </w:r>
    </w:p>
    <w:p w14:paraId="5ED828FE" w14:textId="55B04945" w:rsidR="00851C9A" w:rsidRDefault="00851C9A" w:rsidP="00851C9A">
      <w:r>
        <w:t xml:space="preserve">Asghar, S., Atif, M., Mushtaq, I., Malik, I., Hayat, K. and Babar, Z.-U.-D. (2020). Factors associated with inappropriate dispensing of antibiotics among non-pharmacist pharmacy workers. </w:t>
      </w:r>
      <w:r>
        <w:rPr>
          <w:i/>
          <w:iCs/>
        </w:rPr>
        <w:t>Research in Social and Administrative Pharmacy</w:t>
      </w:r>
      <w:r>
        <w:t>, 16(6), pp.805–811. doi: https://doi.org/10.1016/j.sapharm.2019.09.003.</w:t>
      </w:r>
    </w:p>
    <w:p w14:paraId="25A98479" w14:textId="1D59B4AD" w:rsidR="00851C9A" w:rsidRDefault="00851C9A" w:rsidP="00851C9A">
      <w:r>
        <w:t xml:space="preserve">Bianco, A., Licata, F., Trovato, A., Napolitano, F. and Pavia, M. (2021). Antibiotics dispensing practice in community pharmacies: results of a cross sectional study in Italy. </w:t>
      </w:r>
      <w:r>
        <w:rPr>
          <w:i/>
          <w:iCs/>
        </w:rPr>
        <w:t>Antimicrobial Agents and Chemotherapy</w:t>
      </w:r>
      <w:r>
        <w:t>. doi: https://doi.org/10.1128/aac.02729-20.</w:t>
      </w:r>
    </w:p>
    <w:p w14:paraId="734BD485" w14:textId="77777777" w:rsidR="00851C9A" w:rsidRDefault="00851C9A" w:rsidP="008B4DAA">
      <w:r>
        <w:t xml:space="preserve">Bou-Antoun, S., Beattie, A., Stevens, C., Falola, A., Oettle, R., Budd, E., Opoku, A., Brown, C., Hope, R., Muller-Pebody, B. and Demirjian, A. (2026). Antimicrobial Consumption in England, 2019 to 2024: ESPAUR Report 2024-25. </w:t>
      </w:r>
      <w:r>
        <w:rPr>
          <w:i/>
          <w:iCs/>
        </w:rPr>
        <w:t>JAC-Antimicrobial Resistance</w:t>
      </w:r>
      <w:r>
        <w:t>, [online] 8(Supplement_2). doi: https://doi.org/10.1093/jacamr/dlaf243.002.</w:t>
      </w:r>
    </w:p>
    <w:p w14:paraId="3F24E5DB" w14:textId="77777777" w:rsidR="00851C9A" w:rsidRDefault="00851C9A" w:rsidP="008B4DAA">
      <w:r>
        <w:t xml:space="preserve">Brown, L. (2023). </w:t>
      </w:r>
      <w:r>
        <w:rPr>
          <w:i/>
          <w:iCs/>
        </w:rPr>
        <w:t>Community Pharmacist prescriptions for antibiotics: BSAC highlights need for evaluation of impact on antimicrobial resistance - The British Society for Antimicrobial Chemotherapy</w:t>
      </w:r>
      <w:r>
        <w:t xml:space="preserve">. [online] The British Society for Antimicrobial Chemotherapy. Available at: </w:t>
      </w:r>
      <w:hyperlink r:id="rId11" w:history="1">
        <w:r w:rsidRPr="0038338B">
          <w:rPr>
            <w:rStyle w:val="Hyperlink"/>
          </w:rPr>
          <w:t>https://bsac.org.uk/community-pharmacist-prescriptions-for-antibiotics-bsac-highlights-need-for-evaluation-of-impact-on-antimicrobial-resistance/</w:t>
        </w:r>
      </w:hyperlink>
    </w:p>
    <w:p w14:paraId="0592E000" w14:textId="77777777" w:rsidR="00851C9A" w:rsidRDefault="00851C9A" w:rsidP="00851C9A">
      <w:r>
        <w:t xml:space="preserve">Cogora Limited and Warner, E. (2025). </w:t>
      </w:r>
      <w:r>
        <w:rPr>
          <w:i/>
          <w:iCs/>
        </w:rPr>
        <w:t>Antimicrobials supplied in 45% to 85% of Pharmacy First consultations</w:t>
      </w:r>
      <w:r>
        <w:t>. [online] The Pharmacist. Available at: https://www.thepharmacist.co.uk/clinical/antimicrobials-supplied-in-45-to-85-of-pharmacy-first-consultations/ [Accessed 6 Apr. 2026].</w:t>
      </w:r>
    </w:p>
    <w:p w14:paraId="6EA80084" w14:textId="77777777" w:rsidR="00851C9A" w:rsidRDefault="00851C9A" w:rsidP="00851C9A">
      <w:r>
        <w:lastRenderedPageBreak/>
        <w:t xml:space="preserve">Community Pharmacy England. (2025). </w:t>
      </w:r>
      <w:r>
        <w:rPr>
          <w:i/>
          <w:iCs/>
        </w:rPr>
        <w:t>PQS: Research published on the use of TYI RTI leaflets - Community Pharmacy England</w:t>
      </w:r>
      <w:r>
        <w:t>. [online] Available at: https://cpe.org.uk/our-news/pqs-research-published-on-the-use-of-tyi-rti-leaflets/.</w:t>
      </w:r>
    </w:p>
    <w:p w14:paraId="3E28C1B6" w14:textId="2E05824F" w:rsidR="00851C9A" w:rsidRDefault="00851C9A" w:rsidP="00851C9A">
      <w:r>
        <w:t xml:space="preserve">de Souza, E.V., Vieira, L.J.S.C., dos Santos, S.N.P., Cerqueira-Santos, S., Rocha, K.S.S. and de Lyra, D.P. (2022). Antimicrobial dispensing process in community pharmacies: a scoping review. </w:t>
      </w:r>
      <w:r>
        <w:rPr>
          <w:i/>
          <w:iCs/>
        </w:rPr>
        <w:t>Antimicrobial Resistance &amp; Infection Control</w:t>
      </w:r>
      <w:r>
        <w:t>, 11(1). doi: https://doi.org/10.1186/s13756-022-01157-0.</w:t>
      </w:r>
    </w:p>
    <w:p w14:paraId="3C9C4367" w14:textId="556525ED" w:rsidR="00851C9A" w:rsidRDefault="00851C9A" w:rsidP="00851C9A">
      <w:r>
        <w:t xml:space="preserve">Durand, C., Chappuis, A., Douriez, E., Poulain, F., Ahmad, R., Lescure, F.-X. and Peiffer-Smadja, N. (2022). Perceptions, current practices, and interventions of community pharmacists regarding antimicrobial stewardship: A qualitative study. </w:t>
      </w:r>
      <w:r>
        <w:rPr>
          <w:i/>
          <w:iCs/>
        </w:rPr>
        <w:t>Journal of the American Pharmacists Association</w:t>
      </w:r>
      <w:r>
        <w:t>. doi: https://doi.org/10.1016/j.japh.2022.02.003.</w:t>
      </w:r>
    </w:p>
    <w:p w14:paraId="51D2898E" w14:textId="797129CC" w:rsidR="00851C9A" w:rsidRDefault="00851C9A" w:rsidP="00851C9A">
      <w:r>
        <w:t xml:space="preserve">Fenech, B. and Gaffiero, D. (2025). Barriers and Facilitators to Antimicrobial Stewardship in Antibiotic Prescribing and Dispensing by General Practitioners and Pharmacists in Malta: A Systematic Review. </w:t>
      </w:r>
      <w:r>
        <w:rPr>
          <w:i/>
          <w:iCs/>
        </w:rPr>
        <w:t>Antibiotics</w:t>
      </w:r>
      <w:r>
        <w:t>, 14(12), p.1181. doi: https://doi.org/10.3390/antibiotics14121181.</w:t>
      </w:r>
    </w:p>
    <w:p w14:paraId="14F3DCD6" w14:textId="77777777" w:rsidR="00851C9A" w:rsidRDefault="00851C9A" w:rsidP="008B4DAA">
      <w:r>
        <w:t xml:space="preserve">GOV.UK. (2024). </w:t>
      </w:r>
      <w:r>
        <w:rPr>
          <w:i/>
          <w:iCs/>
        </w:rPr>
        <w:t>Confronting antimicrobial resistance 2024 to 2029</w:t>
      </w:r>
      <w:r>
        <w:t>. [online] GOV.UK. Available at: https://www.gov.uk/government/publications/uk-5-year-action-plan-for-antimicrobial-resistance-2024-to-2029/confronting-antimicrobial-resistance-2024-to-2029.</w:t>
      </w:r>
    </w:p>
    <w:p w14:paraId="6A6BC5D2" w14:textId="77777777" w:rsidR="00851C9A" w:rsidRDefault="00851C9A" w:rsidP="008B4DAA">
      <w:r>
        <w:t xml:space="preserve">Healthdata (2025). </w:t>
      </w:r>
      <w:r>
        <w:rPr>
          <w:i/>
          <w:iCs/>
        </w:rPr>
        <w:t>Antimicrobial resistance (AMR)</w:t>
      </w:r>
      <w:r>
        <w:t>. [online] Institute for Health Metrics and Evaluation. Available at: https://www.healthdata.org/research-analysis/health-topics/antimicrobial-resistance-amr.</w:t>
      </w:r>
    </w:p>
    <w:p w14:paraId="4390FF73" w14:textId="77777777" w:rsidR="00851C9A" w:rsidRDefault="00851C9A" w:rsidP="008B4DAA">
      <w:r>
        <w:t xml:space="preserve">Holmes, N. (2025). </w:t>
      </w:r>
      <w:r>
        <w:rPr>
          <w:i/>
          <w:iCs/>
        </w:rPr>
        <w:t>Nearly 400 Antibiotic-Resistant Infections Hit the UK Weekly</w:t>
      </w:r>
      <w:r>
        <w:t>. [online] European Medical Journal. Available at: https://www.emjreviews.com/microbiology-infectious-diseases/news/nearly-400-antibiotic-resistant-infections-hit-the-uk-weekly/.</w:t>
      </w:r>
    </w:p>
    <w:p w14:paraId="2CA4C9C7" w14:textId="60DA9520" w:rsidR="00851C9A" w:rsidRDefault="00851C9A" w:rsidP="00851C9A">
      <w:r>
        <w:t xml:space="preserve">Korstjens, I. and Moser, A. (2017). Series: Practical Guidance to Qualitative research. Part 2: Context, Research Questions and Designs. </w:t>
      </w:r>
      <w:r>
        <w:rPr>
          <w:i/>
          <w:iCs/>
        </w:rPr>
        <w:t>European Journal of General Practice</w:t>
      </w:r>
      <w:r>
        <w:t>, 23(1), pp.274–279. doi: https://doi.org/10.1080/13814788.2017.1375090.</w:t>
      </w:r>
    </w:p>
    <w:p w14:paraId="48DD9974" w14:textId="663F0CB5" w:rsidR="00851C9A" w:rsidRDefault="00851C9A" w:rsidP="00851C9A">
      <w:r>
        <w:t xml:space="preserve">Lambert, M., van Dijk, L., Benko, R., Llor, C., Lykkegaard, J., Mantel-Teeuwisse, A.K., Pont, L. and Taxis, K. (2025). The role of the community pharmacist in antibiotic use – a commentary on current status and future perspectives. </w:t>
      </w:r>
      <w:r>
        <w:rPr>
          <w:i/>
          <w:iCs/>
        </w:rPr>
        <w:t>Exploratory Research in Clinical and Social Pharmacy</w:t>
      </w:r>
      <w:r>
        <w:t>, [online] 20, p.100652. doi: https://doi.org/10.1016/j.rcsop.2025.100652.</w:t>
      </w:r>
    </w:p>
    <w:p w14:paraId="7854DFE3" w14:textId="31FFA572" w:rsidR="00851C9A" w:rsidRDefault="00851C9A" w:rsidP="00851C9A">
      <w:r>
        <w:t xml:space="preserve">Laryeafio, M.N. and Ogbewe, O.C. (2023). Ethical Consideration dilemma: Systematic Review of Ethics in Qualitative Data Collection through Interviews. </w:t>
      </w:r>
      <w:r>
        <w:rPr>
          <w:i/>
          <w:iCs/>
        </w:rPr>
        <w:t xml:space="preserve">Journal of Ethics in </w:t>
      </w:r>
      <w:r>
        <w:rPr>
          <w:i/>
          <w:iCs/>
        </w:rPr>
        <w:lastRenderedPageBreak/>
        <w:t>Entrepreneurship and Technology</w:t>
      </w:r>
      <w:r>
        <w:t>, [online] 3(2), pp.94–110. doi: https://doi.org/10.1108/JEET-09-2022-0014.</w:t>
      </w:r>
    </w:p>
    <w:p w14:paraId="6B1E051E" w14:textId="6DA3539D" w:rsidR="00851C9A" w:rsidRDefault="00851C9A" w:rsidP="00851C9A">
      <w:r>
        <w:t xml:space="preserve">Mantzourani, E., Ahmed, H., Evans, A., Macdonald, S., Lintern, G., Phyfer, R., Davies, M. and Cannings-John, R. (2025). A national pilot community pharmacy–led urinary tract infection service: clinical and patient-reported outcomes from 9077 consultations. </w:t>
      </w:r>
      <w:r>
        <w:rPr>
          <w:i/>
          <w:iCs/>
        </w:rPr>
        <w:t>Journal of Antimicrobial Chemotherapy</w:t>
      </w:r>
      <w:r>
        <w:t>, [online] 81(1). doi: https://doi.org/10.1093/jac/dkaf466.</w:t>
      </w:r>
    </w:p>
    <w:p w14:paraId="79B74143" w14:textId="77777777" w:rsidR="00851C9A" w:rsidRDefault="00851C9A" w:rsidP="008B4DAA">
      <w:r>
        <w:t xml:space="preserve">McCormick, J., Mason, E.L., Simmons, B., Higgins, H., Budd, E., Hopkins, K.L., Berit Muller-Pebody, Demirjian, A., Henderson, K. and Mariyam Mirfenderesky (2026). Antimicrobial Resistance trends in England, 2019 to 2024: ESPAUR Report 2024-25. </w:t>
      </w:r>
      <w:r>
        <w:rPr>
          <w:i/>
          <w:iCs/>
        </w:rPr>
        <w:t>JAC-Antimicrobial Resistance</w:t>
      </w:r>
      <w:r>
        <w:t>, [online] 8(Supplement_2). doi: https://doi.org/10.1093/jacamr/dlaf243.001.</w:t>
      </w:r>
    </w:p>
    <w:p w14:paraId="064FA0CD" w14:textId="205220C1" w:rsidR="00851C9A" w:rsidRDefault="00851C9A" w:rsidP="00851C9A">
      <w:r>
        <w:t xml:space="preserve">Ndaki, P.M., Mwanga, J.R., Mushi, M.F., Konje, E.T., Mwita, S.M. and Mshana, S.E. (2025). Drivers of inappropriate use of antibiotics among community members in low- and middle-income countries: a systematic review of qualitative studies. </w:t>
      </w:r>
      <w:r>
        <w:rPr>
          <w:i/>
          <w:iCs/>
        </w:rPr>
        <w:t>BMC Public Health</w:t>
      </w:r>
      <w:r>
        <w:t>, 25(1). doi: https://doi.org/10.1186/s12889-025-21553-6.</w:t>
      </w:r>
    </w:p>
    <w:p w14:paraId="37D89CE2" w14:textId="77777777" w:rsidR="00851C9A" w:rsidRDefault="00851C9A" w:rsidP="008B4DAA">
      <w:r>
        <w:t xml:space="preserve">NHS England (2023). </w:t>
      </w:r>
      <w:r>
        <w:rPr>
          <w:i/>
          <w:iCs/>
        </w:rPr>
        <w:t>NHS England» Community pharmacy quality scheme 2020-22: findings and recommendations from the antimicrobial stewardship initiatives</w:t>
      </w:r>
      <w:r>
        <w:t>. [online] www.england.nhs.uk. Available at: https://www.england.nhs.uk/long-read/community-pharmacy-quality-scheme-2020-22-findings-and-recommendations-from-the-antimicrobial-stewardship-initiatives/.</w:t>
      </w:r>
    </w:p>
    <w:p w14:paraId="0C075DBA" w14:textId="16321F0C" w:rsidR="00851C9A" w:rsidRDefault="00851C9A" w:rsidP="00851C9A">
      <w:r>
        <w:t xml:space="preserve">Page, M.J., McKenzie, J.E., Bossuyt, P.M., Boutron, I., Hoffmann, T.C., Mulrow, C.D., Shamseer, L., Tetzlaff, J.M., Akl, E.A., Brennan, S.E., Chou, R., Glanville, J., Grimshaw, J.M., Hróbjartsson, A., Lalu, M.M., Li, T., Loder, E.W., Mayo-Wilson, E., McDonald, S. and McGuinness, L.A. (2021). The PRISMA 2020 statement: An updated guideline for reporting systematic reviews. </w:t>
      </w:r>
      <w:r>
        <w:rPr>
          <w:i/>
          <w:iCs/>
        </w:rPr>
        <w:t>PLOS Medicine</w:t>
      </w:r>
      <w:r>
        <w:t>, [online] 18(3), p.e1003583. doi: https://doi.org/10.1371/journal.pmed.1003583.</w:t>
      </w:r>
    </w:p>
    <w:p w14:paraId="11A350F6" w14:textId="61C5E169" w:rsidR="00851C9A" w:rsidRDefault="00851C9A" w:rsidP="00851C9A">
      <w:r>
        <w:t xml:space="preserve">Parekh, S., Hayes, C.V., Loader, J., Ashiru-Oredope, D., Hand, K., Hicks, G. and Lecky, D. (2023). The Use of the TARGET Antibiotic Checklist to Support Antimicrobial Stewardship in England’s Community Pharmacies. </w:t>
      </w:r>
      <w:r>
        <w:rPr>
          <w:i/>
          <w:iCs/>
        </w:rPr>
        <w:t>Antibiotics (Basel, Switzerland)</w:t>
      </w:r>
      <w:r>
        <w:t>, [online] 12(4), p.647. doi: https://doi.org/10.3390/antibiotics12040647.</w:t>
      </w:r>
    </w:p>
    <w:p w14:paraId="41659D2C" w14:textId="0DA987D1" w:rsidR="00851C9A" w:rsidRDefault="00851C9A" w:rsidP="00851C9A">
      <w:r>
        <w:t xml:space="preserve">Qtait, M., Alqaissi, N., Shahin, M., Masalma, A., Alraai, G., Aljuba, R., Darawish, N. and Abunema, O. (2025). Pharmacists’ practices, perceptions, and challenges in dispensing antibiotics without prescription: a qualitative study in Palestine. </w:t>
      </w:r>
      <w:r>
        <w:rPr>
          <w:i/>
          <w:iCs/>
        </w:rPr>
        <w:t>JAC-Antimicrobial Resistance</w:t>
      </w:r>
      <w:r>
        <w:t>, 7(5). doi: https://doi.org/10.1093/jacamr/dlaf195.</w:t>
      </w:r>
    </w:p>
    <w:p w14:paraId="724B767A" w14:textId="5004A299" w:rsidR="00851C9A" w:rsidRDefault="00851C9A" w:rsidP="00851C9A">
      <w:r>
        <w:lastRenderedPageBreak/>
        <w:t xml:space="preserve">Rizvi, T., Syed, Williams, M., Thompson, A. and Peterson, G.M. (2025). Factors Influencing Community Pharmacists’ Participation in Antimicrobial Stewardship: A Qualitative Inquiry. </w:t>
      </w:r>
      <w:r>
        <w:rPr>
          <w:i/>
          <w:iCs/>
        </w:rPr>
        <w:t>Pharmacy</w:t>
      </w:r>
      <w:r>
        <w:t>, 13(2), pp.56–56. doi: https://doi.org/10.3390/pharmacy13020056.</w:t>
      </w:r>
    </w:p>
    <w:p w14:paraId="540D09D3" w14:textId="77777777" w:rsidR="00851C9A" w:rsidRDefault="00851C9A" w:rsidP="008B4DAA">
      <w:r>
        <w:t xml:space="preserve">Schmidt, L., Finnerty, N., Elmore, R.W., Olorisade, B.K., Thomas, J. and Higgins, J.P.T. (2023). Data Extraction Methods for Systematic Review (semi)automation: Update of a Living Systematic Review. </w:t>
      </w:r>
      <w:r>
        <w:rPr>
          <w:i/>
          <w:iCs/>
        </w:rPr>
        <w:t>F1000Research</w:t>
      </w:r>
      <w:r>
        <w:t xml:space="preserve">, [online] 10(401), pp.401–401. doi: </w:t>
      </w:r>
      <w:hyperlink r:id="rId12" w:history="1">
        <w:r w:rsidRPr="0038338B">
          <w:rPr>
            <w:rStyle w:val="Hyperlink"/>
          </w:rPr>
          <w:t>https://doi.org/10.12688/f1000research.51117.2</w:t>
        </w:r>
      </w:hyperlink>
    </w:p>
    <w:p w14:paraId="133EC5E3" w14:textId="1A504419" w:rsidR="00851C9A" w:rsidRDefault="00851C9A" w:rsidP="00851C9A">
      <w:r>
        <w:t xml:space="preserve">Seaton, D., Ashiru-Oredope, D., Charlesworth, J., Gemmell, I. and Harrison, R. (2022). Evaluating UK Pharmacy Workers’ Knowledge, Attitudes and Behaviour towards Antimicrobial Stewardship and Assessing the Impact of Training in Community Pharmacy. </w:t>
      </w:r>
      <w:r>
        <w:rPr>
          <w:i/>
          <w:iCs/>
        </w:rPr>
        <w:t>Pharmacy</w:t>
      </w:r>
      <w:r>
        <w:t>, 10(4), p.98. doi: https://doi.org/10.3390/pharmacy10040098.</w:t>
      </w:r>
    </w:p>
    <w:p w14:paraId="6A3A4DF5" w14:textId="77777777" w:rsidR="00851C9A" w:rsidRDefault="00851C9A" w:rsidP="008B4DAA">
      <w:r>
        <w:t xml:space="preserve">UK clinical pharmacy (2025). </w:t>
      </w:r>
      <w:r>
        <w:rPr>
          <w:i/>
          <w:iCs/>
        </w:rPr>
        <w:t>Antimicrobial stewardship: Tackling AMR - UKCPA</w:t>
      </w:r>
      <w:r>
        <w:t>. [online] UnderConstruction. Available at: https://ukclinicalpharmacy.org/clinical/infection/antimicrobial-stewardship-tackling-amr/.</w:t>
      </w:r>
    </w:p>
    <w:p w14:paraId="59CDAE8E" w14:textId="77777777" w:rsidR="00851C9A" w:rsidRDefault="00851C9A" w:rsidP="00851C9A">
      <w:r>
        <w:t xml:space="preserve">Willis, S. (2025). </w:t>
      </w:r>
      <w:r>
        <w:rPr>
          <w:i/>
          <w:iCs/>
        </w:rPr>
        <w:t>Pharmacy First data included in AMR report for first time</w:t>
      </w:r>
      <w:r>
        <w:t>. [online] The Pharmaceutical Journal. Available at: https://pharmaceutical-journal.com/article/news/pharmacy-first-data-included-in-amr-report-for-first-time.</w:t>
      </w:r>
    </w:p>
    <w:p w14:paraId="42AE75C5" w14:textId="77777777" w:rsidR="00851C9A" w:rsidRDefault="00851C9A" w:rsidP="008B4DAA">
      <w:r w:rsidRPr="00CA1155">
        <w:t>Zarate, D., Stavropoulos, V., Ball, M., de Sena Collier, G. and Jacobson, N.C.</w:t>
      </w:r>
      <w:r>
        <w:t xml:space="preserve"> (</w:t>
      </w:r>
      <w:r w:rsidRPr="00CA1155">
        <w:t>2022</w:t>
      </w:r>
      <w:r>
        <w:t>)</w:t>
      </w:r>
      <w:r w:rsidRPr="00CA1155">
        <w:t>. Exploring the digital footprint of depression: a PRISMA systematic literature review of the empirical evidence. BMC psychiatry, 22(1), p.421.</w:t>
      </w:r>
    </w:p>
    <w:p w14:paraId="39E8EDE5" w14:textId="43D4CA06" w:rsidR="00851C9A" w:rsidRDefault="00851C9A" w:rsidP="00851C9A">
      <w:r>
        <w:t xml:space="preserve">Zerbinato, F., Cunningham, S. and Tonna, A.P. (2025). Antimicrobial stewardship interventions involving community pharmacy teams: a scoping review. </w:t>
      </w:r>
      <w:r>
        <w:rPr>
          <w:i/>
          <w:iCs/>
        </w:rPr>
        <w:t>JAC-Antimicrobial Resistance</w:t>
      </w:r>
      <w:r>
        <w:t>, 7(5). doi: https://doi.org/10.1093/jacamr/dlaf156.</w:t>
      </w:r>
    </w:p>
    <w:p w14:paraId="6FAF0F4A" w14:textId="77777777" w:rsidR="008B4DAA" w:rsidRDefault="008B4DAA" w:rsidP="008B4DAA"/>
    <w:sectPr w:rsidR="008B4DAA">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2C08B4" w14:textId="77777777" w:rsidR="005C2948" w:rsidRDefault="005C2948" w:rsidP="00851C9A">
      <w:pPr>
        <w:spacing w:after="0" w:line="240" w:lineRule="auto"/>
      </w:pPr>
      <w:r>
        <w:separator/>
      </w:r>
    </w:p>
  </w:endnote>
  <w:endnote w:type="continuationSeparator" w:id="0">
    <w:p w14:paraId="2A061059" w14:textId="77777777" w:rsidR="005C2948" w:rsidRDefault="005C2948" w:rsidP="00851C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042793"/>
      <w:docPartObj>
        <w:docPartGallery w:val="Page Numbers (Bottom of Page)"/>
        <w:docPartUnique/>
      </w:docPartObj>
    </w:sdtPr>
    <w:sdtEndPr>
      <w:rPr>
        <w:color w:val="7F7F7F" w:themeColor="background1" w:themeShade="7F"/>
        <w:spacing w:val="60"/>
      </w:rPr>
    </w:sdtEndPr>
    <w:sdtContent>
      <w:p w14:paraId="3DBE918E" w14:textId="5F38FE3F" w:rsidR="00851C9A" w:rsidRDefault="00851C9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348743B" w14:textId="77777777" w:rsidR="00851C9A" w:rsidRDefault="00851C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C07414" w14:textId="77777777" w:rsidR="005C2948" w:rsidRDefault="005C2948" w:rsidP="00851C9A">
      <w:pPr>
        <w:spacing w:after="0" w:line="240" w:lineRule="auto"/>
      </w:pPr>
      <w:r>
        <w:separator/>
      </w:r>
    </w:p>
  </w:footnote>
  <w:footnote w:type="continuationSeparator" w:id="0">
    <w:p w14:paraId="3FA4C581" w14:textId="77777777" w:rsidR="005C2948" w:rsidRDefault="005C2948" w:rsidP="00851C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8" type="#_x0000_t75" style="width:11.5pt;height:11.5pt" o:bullet="t">
        <v:imagedata r:id="rId1" o:title="msoAE57"/>
      </v:shape>
    </w:pict>
  </w:numPicBullet>
  <w:abstractNum w:abstractNumId="0" w15:restartNumberingAfterBreak="0">
    <w:nsid w:val="019F50CA"/>
    <w:multiLevelType w:val="hybridMultilevel"/>
    <w:tmpl w:val="4606DA62"/>
    <w:lvl w:ilvl="0" w:tplc="4C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04168D"/>
    <w:multiLevelType w:val="hybridMultilevel"/>
    <w:tmpl w:val="A60CB570"/>
    <w:lvl w:ilvl="0" w:tplc="4C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4A0"/>
    <w:rsid w:val="000E20EC"/>
    <w:rsid w:val="000E7AC7"/>
    <w:rsid w:val="00192BBA"/>
    <w:rsid w:val="00204FF2"/>
    <w:rsid w:val="00372B21"/>
    <w:rsid w:val="005B69D6"/>
    <w:rsid w:val="005C2948"/>
    <w:rsid w:val="007A0328"/>
    <w:rsid w:val="007B15E0"/>
    <w:rsid w:val="007E6FFF"/>
    <w:rsid w:val="00851C9A"/>
    <w:rsid w:val="008B4DAA"/>
    <w:rsid w:val="009109B0"/>
    <w:rsid w:val="00955F96"/>
    <w:rsid w:val="00981ECA"/>
    <w:rsid w:val="00A01664"/>
    <w:rsid w:val="00C12E49"/>
    <w:rsid w:val="00C130E2"/>
    <w:rsid w:val="00F474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DF2B7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74A0"/>
    <w:pPr>
      <w:spacing w:line="360" w:lineRule="auto"/>
      <w:jc w:val="both"/>
    </w:pPr>
    <w:rPr>
      <w:rFonts w:ascii="Arial" w:hAnsi="Arial"/>
    </w:rPr>
  </w:style>
  <w:style w:type="paragraph" w:styleId="Heading1">
    <w:name w:val="heading 1"/>
    <w:basedOn w:val="Normal"/>
    <w:next w:val="Normal"/>
    <w:link w:val="Heading1Char"/>
    <w:autoRedefine/>
    <w:uiPriority w:val="9"/>
    <w:qFormat/>
    <w:rsid w:val="00F474A0"/>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F474A0"/>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474A0"/>
    <w:rPr>
      <w:rFonts w:ascii="Arial" w:eastAsiaTheme="majorEastAsia" w:hAnsi="Arial" w:cstheme="majorBidi"/>
      <w:color w:val="2F5496" w:themeColor="accent1" w:themeShade="BF"/>
      <w:sz w:val="28"/>
      <w:szCs w:val="26"/>
    </w:rPr>
  </w:style>
  <w:style w:type="character" w:customStyle="1" w:styleId="Heading1Char">
    <w:name w:val="Heading 1 Char"/>
    <w:basedOn w:val="DefaultParagraphFont"/>
    <w:link w:val="Heading1"/>
    <w:uiPriority w:val="9"/>
    <w:rsid w:val="00F474A0"/>
    <w:rPr>
      <w:rFonts w:ascii="Arial" w:eastAsiaTheme="majorEastAsia" w:hAnsi="Arial" w:cstheme="majorBidi"/>
      <w:color w:val="2F5496" w:themeColor="accent1" w:themeShade="BF"/>
      <w:sz w:val="32"/>
      <w:szCs w:val="32"/>
    </w:rPr>
  </w:style>
  <w:style w:type="table" w:styleId="GridTable4-Accent4">
    <w:name w:val="Grid Table 4 Accent 4"/>
    <w:basedOn w:val="TableNormal"/>
    <w:uiPriority w:val="49"/>
    <w:rsid w:val="00F474A0"/>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6">
    <w:name w:val="Grid Table 4 Accent 6"/>
    <w:basedOn w:val="TableNormal"/>
    <w:uiPriority w:val="49"/>
    <w:rsid w:val="00F474A0"/>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uiPriority w:val="34"/>
    <w:qFormat/>
    <w:rsid w:val="000E20EC"/>
    <w:pPr>
      <w:ind w:left="720"/>
      <w:contextualSpacing/>
    </w:pPr>
  </w:style>
  <w:style w:type="table" w:styleId="GridTable7Colorful-Accent5">
    <w:name w:val="Grid Table 7 Colorful Accent 5"/>
    <w:basedOn w:val="TableNormal"/>
    <w:uiPriority w:val="52"/>
    <w:rsid w:val="000E20EC"/>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TableGrid">
    <w:name w:val="Table Grid"/>
    <w:basedOn w:val="TableNormal"/>
    <w:uiPriority w:val="39"/>
    <w:rsid w:val="007E6F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B4DAA"/>
    <w:rPr>
      <w:color w:val="0563C1" w:themeColor="hyperlink"/>
      <w:u w:val="single"/>
    </w:rPr>
  </w:style>
  <w:style w:type="character" w:styleId="UnresolvedMention">
    <w:name w:val="Unresolved Mention"/>
    <w:basedOn w:val="DefaultParagraphFont"/>
    <w:uiPriority w:val="99"/>
    <w:semiHidden/>
    <w:unhideWhenUsed/>
    <w:rsid w:val="008B4DAA"/>
    <w:rPr>
      <w:color w:val="605E5C"/>
      <w:shd w:val="clear" w:color="auto" w:fill="E1DFDD"/>
    </w:rPr>
  </w:style>
  <w:style w:type="paragraph" w:styleId="NormalWeb">
    <w:name w:val="Normal (Web)"/>
    <w:basedOn w:val="Normal"/>
    <w:uiPriority w:val="99"/>
    <w:semiHidden/>
    <w:unhideWhenUsed/>
    <w:rsid w:val="00851C9A"/>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51C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1C9A"/>
    <w:rPr>
      <w:rFonts w:ascii="Arial" w:hAnsi="Arial"/>
    </w:rPr>
  </w:style>
  <w:style w:type="paragraph" w:styleId="Footer">
    <w:name w:val="footer"/>
    <w:basedOn w:val="Normal"/>
    <w:link w:val="FooterChar"/>
    <w:uiPriority w:val="99"/>
    <w:unhideWhenUsed/>
    <w:rsid w:val="00851C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1C9A"/>
    <w:rPr>
      <w:rFonts w:ascii="Arial" w:hAnsi="Arial"/>
    </w:rPr>
  </w:style>
  <w:style w:type="paragraph" w:styleId="TOCHeading">
    <w:name w:val="TOC Heading"/>
    <w:basedOn w:val="Heading1"/>
    <w:next w:val="Normal"/>
    <w:uiPriority w:val="39"/>
    <w:unhideWhenUsed/>
    <w:qFormat/>
    <w:rsid w:val="00851C9A"/>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851C9A"/>
    <w:pPr>
      <w:spacing w:after="100"/>
    </w:pPr>
  </w:style>
  <w:style w:type="paragraph" w:styleId="TOC2">
    <w:name w:val="toc 2"/>
    <w:basedOn w:val="Normal"/>
    <w:next w:val="Normal"/>
    <w:autoRedefine/>
    <w:uiPriority w:val="39"/>
    <w:unhideWhenUsed/>
    <w:rsid w:val="00851C9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7178310">
      <w:bodyDiv w:val="1"/>
      <w:marLeft w:val="0"/>
      <w:marRight w:val="0"/>
      <w:marTop w:val="0"/>
      <w:marBottom w:val="0"/>
      <w:divBdr>
        <w:top w:val="none" w:sz="0" w:space="0" w:color="auto"/>
        <w:left w:val="none" w:sz="0" w:space="0" w:color="auto"/>
        <w:bottom w:val="none" w:sz="0" w:space="0" w:color="auto"/>
        <w:right w:val="none" w:sz="0" w:space="0" w:color="auto"/>
      </w:divBdr>
      <w:divsChild>
        <w:div w:id="1866597465">
          <w:marLeft w:val="0"/>
          <w:marRight w:val="0"/>
          <w:marTop w:val="0"/>
          <w:marBottom w:val="0"/>
          <w:divBdr>
            <w:top w:val="none" w:sz="0" w:space="0" w:color="auto"/>
            <w:left w:val="none" w:sz="0" w:space="0" w:color="auto"/>
            <w:bottom w:val="none" w:sz="0" w:space="0" w:color="auto"/>
            <w:right w:val="none" w:sz="0" w:space="0" w:color="auto"/>
          </w:divBdr>
        </w:div>
      </w:divsChild>
    </w:div>
    <w:div w:id="2103404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2688/f1000research.51117.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sac.org.uk/community-pharmacist-prescriptions-for-antibiotics-bsac-highlights-need-for-evaluation-of-impact-on-antimicrobial-resistanc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D4D6EC-AB9D-4F6E-810B-8EA534F6AA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4530</Words>
  <Characters>25827</Characters>
  <Application>Microsoft Office Word</Application>
  <DocSecurity>0</DocSecurity>
  <Lines>215</Lines>
  <Paragraphs>60</Paragraphs>
  <ScaleCrop>false</ScaleCrop>
  <Company/>
  <LinksUpToDate>false</LinksUpToDate>
  <CharactersWithSpaces>30297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2026-04-07T05:20:00Z</dcterms:created>
  <dcterms:modified xsi:type="dcterms:W3CDTF">2026-04-07T05:20:00Z</dcterms:modified>
</cp:coreProperties>
</file>