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FCECE" w:themeFill="background2" w:themeFillShade="E5"/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8522"/>
      </w:tblGrid>
      <w:tr w14:paraId="4B02125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522" w:type="dxa"/>
            <w:shd w:val="clear" w:color="auto" w:fill="CFCECE" w:themeFill="background2" w:themeFillShade="E5"/>
          </w:tcPr>
          <w:p w14:paraId="01080E74">
            <w:pPr>
              <w:rPr>
                <w:rFonts w:hint="default" w:eastAsiaTheme="minorEastAsia"/>
                <w:sz w:val="24"/>
                <w:szCs w:val="24"/>
                <w:vertAlign w:val="baseline"/>
                <w:lang w:val="en-US" w:eastAsia="zh-CN"/>
              </w:rPr>
            </w:pPr>
            <w:r>
              <w:rPr>
                <w:rFonts w:hint="eastAsia"/>
                <w:sz w:val="24"/>
                <w:szCs w:val="24"/>
                <w:vertAlign w:val="baseline"/>
                <w:lang w:val="en-US" w:eastAsia="zh-CN"/>
              </w:rPr>
              <w:t xml:space="preserve">                     </w:t>
            </w:r>
            <w:r>
              <w:rPr>
                <w:rFonts w:hint="default" w:ascii="Arial" w:hAnsi="Arial" w:cs="Arial"/>
                <w:b/>
                <w:bCs/>
                <w:sz w:val="24"/>
                <w:szCs w:val="24"/>
                <w:vertAlign w:val="baseline"/>
                <w:lang w:val="en-US" w:eastAsia="zh-CN"/>
              </w:rPr>
              <w:t>ASSESSMENT 2 SPECIFICATION</w:t>
            </w:r>
          </w:p>
        </w:tc>
      </w:tr>
    </w:tbl>
    <w:p w14:paraId="76028327">
      <w:pPr>
        <w:rPr>
          <w:sz w:val="20"/>
          <w:szCs w:val="20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126"/>
        <w:gridCol w:w="2"/>
        <w:gridCol w:w="2132"/>
        <w:gridCol w:w="2131"/>
        <w:gridCol w:w="2131"/>
      </w:tblGrid>
      <w:tr w14:paraId="4160D346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26" w:type="dxa"/>
            <w:shd w:val="clear" w:color="auto" w:fill="CFCECE" w:themeFill="background2" w:themeFillShade="E5"/>
          </w:tcPr>
          <w:p w14:paraId="0EAFBA57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Student name:</w:t>
            </w:r>
          </w:p>
        </w:tc>
        <w:tc>
          <w:tcPr>
            <w:tcW w:w="2134" w:type="dxa"/>
            <w:gridSpan w:val="2"/>
          </w:tcPr>
          <w:p w14:paraId="1696CF21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eastAsia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 xml:space="preserve"> Yuze Tang</w:t>
            </w:r>
          </w:p>
        </w:tc>
        <w:tc>
          <w:tcPr>
            <w:tcW w:w="2131" w:type="dxa"/>
            <w:shd w:val="clear" w:color="auto" w:fill="CFCECE" w:themeFill="background2" w:themeFillShade="E5"/>
          </w:tcPr>
          <w:p w14:paraId="42B99D65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Student ID number:</w:t>
            </w:r>
          </w:p>
        </w:tc>
        <w:tc>
          <w:tcPr>
            <w:tcW w:w="2131" w:type="dxa"/>
          </w:tcPr>
          <w:p w14:paraId="223E968B">
            <w:pPr>
              <w:ind w:firstLine="402" w:firstLineChars="200"/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eastAsia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2500218</w:t>
            </w:r>
          </w:p>
        </w:tc>
      </w:tr>
      <w:tr w14:paraId="7470FBAC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60" w:type="dxa"/>
            <w:gridSpan w:val="3"/>
            <w:shd w:val="clear" w:color="auto" w:fill="CFCECE" w:themeFill="background2" w:themeFillShade="E5"/>
          </w:tcPr>
          <w:p w14:paraId="3722CE84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Programme:</w:t>
            </w:r>
          </w:p>
        </w:tc>
        <w:tc>
          <w:tcPr>
            <w:tcW w:w="4262" w:type="dxa"/>
            <w:gridSpan w:val="2"/>
          </w:tcPr>
          <w:p w14:paraId="58676EF7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Business Management</w:t>
            </w:r>
          </w:p>
        </w:tc>
      </w:tr>
      <w:tr w14:paraId="63954DCF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60" w:type="dxa"/>
            <w:gridSpan w:val="3"/>
            <w:shd w:val="clear" w:color="auto" w:fill="CFCECE" w:themeFill="background2" w:themeFillShade="E5"/>
          </w:tcPr>
          <w:p w14:paraId="50744C67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lang w:val="en-US" w:eastAsia="zh-CN"/>
              </w:rPr>
              <w:t>Module:</w:t>
            </w:r>
          </w:p>
          <w:p w14:paraId="43A4299A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</w:p>
        </w:tc>
        <w:tc>
          <w:tcPr>
            <w:tcW w:w="4262" w:type="dxa"/>
            <w:gridSpan w:val="2"/>
          </w:tcPr>
          <w:p w14:paraId="0E120FF4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Contemporary Issues in Management</w:t>
            </w:r>
          </w:p>
        </w:tc>
      </w:tr>
      <w:tr w14:paraId="0E848B0F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28" w:type="dxa"/>
            <w:gridSpan w:val="2"/>
            <w:shd w:val="clear" w:color="auto" w:fill="CFCECE" w:themeFill="background2" w:themeFillShade="E5"/>
          </w:tcPr>
          <w:p w14:paraId="6DF84C34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Module code:</w:t>
            </w:r>
          </w:p>
        </w:tc>
        <w:tc>
          <w:tcPr>
            <w:tcW w:w="2132" w:type="dxa"/>
          </w:tcPr>
          <w:p w14:paraId="7F0B0BAB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BMBM6003</w:t>
            </w:r>
          </w:p>
        </w:tc>
        <w:tc>
          <w:tcPr>
            <w:tcW w:w="2131" w:type="dxa"/>
            <w:shd w:val="clear" w:color="auto" w:fill="CFCECE" w:themeFill="background2" w:themeFillShade="E5"/>
          </w:tcPr>
          <w:p w14:paraId="4DE7E7D5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Contribution to Overall Module Assessment (%):</w:t>
            </w:r>
          </w:p>
        </w:tc>
        <w:tc>
          <w:tcPr>
            <w:tcW w:w="2131" w:type="dxa"/>
          </w:tcPr>
          <w:p w14:paraId="0B9CA550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50%</w:t>
            </w:r>
          </w:p>
        </w:tc>
      </w:tr>
      <w:tr w14:paraId="4D542393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28" w:type="dxa"/>
            <w:gridSpan w:val="2"/>
            <w:shd w:val="clear" w:color="auto" w:fill="CFCECE" w:themeFill="background2" w:themeFillShade="E5"/>
          </w:tcPr>
          <w:p w14:paraId="43328E36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Lecturer:</w:t>
            </w:r>
          </w:p>
        </w:tc>
        <w:tc>
          <w:tcPr>
            <w:tcW w:w="2132" w:type="dxa"/>
          </w:tcPr>
          <w:p w14:paraId="6D7A13C1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Robyn Griffiths</w:t>
            </w:r>
          </w:p>
        </w:tc>
        <w:tc>
          <w:tcPr>
            <w:tcW w:w="2131" w:type="dxa"/>
            <w:shd w:val="clear" w:color="auto" w:fill="CFCECE" w:themeFill="background2" w:themeFillShade="E5"/>
          </w:tcPr>
          <w:p w14:paraId="7CCFDD77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Internal Verifier:</w:t>
            </w:r>
          </w:p>
        </w:tc>
        <w:tc>
          <w:tcPr>
            <w:tcW w:w="2131" w:type="dxa"/>
          </w:tcPr>
          <w:p w14:paraId="218AC5FF">
            <w:pP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</w:rPr>
            </w:pPr>
          </w:p>
        </w:tc>
      </w:tr>
      <w:tr w14:paraId="79E8360D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28" w:type="dxa"/>
            <w:gridSpan w:val="2"/>
            <w:shd w:val="clear" w:color="auto" w:fill="CFCECE" w:themeFill="background2" w:themeFillShade="E5"/>
          </w:tcPr>
          <w:p w14:paraId="49C49BA3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Assignment Title:</w:t>
            </w:r>
          </w:p>
        </w:tc>
        <w:tc>
          <w:tcPr>
            <w:tcW w:w="2132" w:type="dxa"/>
          </w:tcPr>
          <w:p w14:paraId="77B33ACB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Challenges Facing Managers in the Modern Organisation</w:t>
            </w:r>
          </w:p>
        </w:tc>
        <w:tc>
          <w:tcPr>
            <w:tcW w:w="2131" w:type="dxa"/>
            <w:shd w:val="clear" w:color="auto" w:fill="CFCECE" w:themeFill="background2" w:themeFillShade="E5"/>
          </w:tcPr>
          <w:p w14:paraId="3DAA40D1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Word count (or equivalent):</w:t>
            </w:r>
          </w:p>
        </w:tc>
        <w:tc>
          <w:tcPr>
            <w:tcW w:w="2131" w:type="dxa"/>
          </w:tcPr>
          <w:p w14:paraId="65C1E60D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15-minute Presentation</w:t>
            </w:r>
          </w:p>
        </w:tc>
      </w:tr>
      <w:tr w14:paraId="454B438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28" w:type="dxa"/>
            <w:gridSpan w:val="2"/>
            <w:shd w:val="clear" w:color="auto" w:fill="CFCECE" w:themeFill="background2" w:themeFillShade="E5"/>
          </w:tcPr>
          <w:p w14:paraId="44A15942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Submission deadline:</w:t>
            </w:r>
          </w:p>
        </w:tc>
        <w:tc>
          <w:tcPr>
            <w:tcW w:w="2132" w:type="dxa"/>
          </w:tcPr>
          <w:p w14:paraId="24BE333B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17/12/2025</w:t>
            </w:r>
          </w:p>
        </w:tc>
        <w:tc>
          <w:tcPr>
            <w:tcW w:w="2131" w:type="dxa"/>
            <w:shd w:val="clear" w:color="auto" w:fill="CFCECE" w:themeFill="background2" w:themeFillShade="E5"/>
          </w:tcPr>
          <w:p w14:paraId="6D213292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Return date of provisional marks &amp; written feedback:</w:t>
            </w:r>
          </w:p>
        </w:tc>
        <w:tc>
          <w:tcPr>
            <w:tcW w:w="2131" w:type="dxa"/>
          </w:tcPr>
          <w:p w14:paraId="77A10E42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25/01/2026</w:t>
            </w:r>
          </w:p>
        </w:tc>
      </w:tr>
      <w:tr w14:paraId="1F5DE926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60" w:type="dxa"/>
            <w:gridSpan w:val="3"/>
            <w:shd w:val="clear" w:color="auto" w:fill="CFCECE" w:themeFill="background2" w:themeFillShade="E5"/>
          </w:tcPr>
          <w:p w14:paraId="5151122B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Submission method:</w:t>
            </w:r>
          </w:p>
        </w:tc>
        <w:tc>
          <w:tcPr>
            <w:tcW w:w="4262" w:type="dxa"/>
            <w:gridSpan w:val="2"/>
          </w:tcPr>
          <w:p w14:paraId="36285183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b w:val="0"/>
                <w:bCs w:val="0"/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All written assessments, where practical and possible, must be submitted via </w:t>
            </w:r>
          </w:p>
          <w:p w14:paraId="30E85F9B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b w:val="0"/>
                <w:bCs w:val="0"/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Turnitin unless otherwise instructed by the Lecturer. (Please DO NOT put this </w:t>
            </w:r>
          </w:p>
          <w:p w14:paraId="224A1224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b w:val="0"/>
                <w:bCs w:val="0"/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assessment specification into Turnitin or it will match many similarities with </w:t>
            </w:r>
          </w:p>
          <w:p w14:paraId="66DA8E98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b w:val="0"/>
                <w:bCs w:val="0"/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other students’ submissions.) </w:t>
            </w:r>
          </w:p>
          <w:p w14:paraId="3343A99B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hint="default" w:ascii="Arial" w:hAnsi="Arial" w:eastAsia="Arial-BoldMT" w:cs="Arial"/>
                <w:b/>
                <w:bCs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Alternative submission method (if applicable): </w:t>
            </w:r>
          </w:p>
          <w:p w14:paraId="7146F2A8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hint="default" w:ascii="Arial" w:hAnsi="Arial" w:eastAsia="Arial-BoldMT" w:cs="Arial"/>
                <w:b/>
                <w:bCs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Late submission of the assessment will result in a late penalty mark. </w:t>
            </w:r>
          </w:p>
          <w:p w14:paraId="5AF1ED29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b w:val="0"/>
                <w:bCs w:val="0"/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Penalties for late submission: Up to one week late, maximum mark of 40%. </w:t>
            </w:r>
          </w:p>
          <w:p w14:paraId="325BE5C6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b w:val="0"/>
                <w:bCs w:val="0"/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Over one week late, 0%. Only the Extenuating Circumstances Panel may </w:t>
            </w:r>
          </w:p>
          <w:p w14:paraId="3C39675B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b w:val="0"/>
                <w:bCs w:val="0"/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b w:val="0"/>
                <w:bCs w:val="0"/>
                <w:color w:val="000000"/>
                <w:kern w:val="0"/>
                <w:sz w:val="20"/>
                <w:szCs w:val="20"/>
                <w:lang w:val="en-US" w:eastAsia="zh-CN" w:bidi="ar"/>
              </w:rPr>
              <w:t>approve a change to submission dates.</w:t>
            </w:r>
          </w:p>
          <w:p w14:paraId="0CC8AE55">
            <w:pPr>
              <w:rPr>
                <w:sz w:val="20"/>
                <w:szCs w:val="20"/>
                <w:vertAlign w:val="baseline"/>
              </w:rPr>
            </w:pPr>
          </w:p>
        </w:tc>
      </w:tr>
      <w:tr w14:paraId="04434E16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60" w:type="dxa"/>
            <w:gridSpan w:val="3"/>
            <w:shd w:val="clear" w:color="auto" w:fill="CFCECE" w:themeFill="background2" w:themeFillShade="E5"/>
          </w:tcPr>
          <w:p w14:paraId="2BA6BAE1">
            <w:pPr>
              <w:rPr>
                <w:rFonts w:hint="default" w:ascii="Arial" w:hAnsi="Arial" w:cs="Arial" w:eastAsiaTheme="minorEastAsia"/>
                <w:b/>
                <w:bCs/>
                <w:sz w:val="20"/>
                <w:szCs w:val="20"/>
                <w:vertAlign w:val="baseline"/>
                <w:lang w:val="en-US" w:eastAsia="zh-CN"/>
              </w:rPr>
            </w:pPr>
            <w:r>
              <w:rPr>
                <w:rFonts w:hint="default" w:ascii="Arial" w:hAnsi="Arial" w:cs="Arial"/>
                <w:b/>
                <w:bCs/>
                <w:sz w:val="20"/>
                <w:szCs w:val="20"/>
                <w:vertAlign w:val="baseline"/>
                <w:lang w:val="en-US" w:eastAsia="zh-CN"/>
              </w:rPr>
              <w:t>Academic honesty/ referencing:</w:t>
            </w:r>
          </w:p>
        </w:tc>
        <w:tc>
          <w:tcPr>
            <w:tcW w:w="4262" w:type="dxa"/>
            <w:gridSpan w:val="2"/>
          </w:tcPr>
          <w:p w14:paraId="78CD972D">
            <w:pPr>
              <w:keepNext w:val="0"/>
              <w:keepLines w:val="0"/>
              <w:widowControl/>
              <w:suppressLineNumbers w:val="0"/>
              <w:jc w:val="left"/>
              <w:rPr>
                <w:sz w:val="20"/>
                <w:szCs w:val="20"/>
              </w:rPr>
            </w:pPr>
            <w:r>
              <w:rPr>
                <w:rFonts w:ascii="Arial" w:hAnsi="Arial" w:eastAsia="宋体" w:cs="Arial"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Academic honesty is required. In the main body of your submission you must </w:t>
            </w:r>
          </w:p>
          <w:p w14:paraId="753B86ED">
            <w:pPr>
              <w:keepNext w:val="0"/>
              <w:keepLines w:val="0"/>
              <w:widowControl/>
              <w:suppressLineNumbers w:val="0"/>
              <w:jc w:val="left"/>
              <w:rPr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give credit to authors on whose research and ideas your work is based. Append </w:t>
            </w:r>
          </w:p>
          <w:p w14:paraId="2F2C6B72">
            <w:pPr>
              <w:keepNext w:val="0"/>
              <w:keepLines w:val="0"/>
              <w:widowControl/>
              <w:suppressLineNumbers w:val="0"/>
              <w:jc w:val="left"/>
              <w:rPr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to your submission a reference list that indicates the books, articles, etc. that </w:t>
            </w:r>
          </w:p>
          <w:p w14:paraId="7D685EE7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/>
                <w:sz w:val="20"/>
                <w:szCs w:val="20"/>
                <w:lang w:val="en-US"/>
              </w:rPr>
            </w:pPr>
            <w:r>
              <w:rPr>
                <w:rFonts w:hint="default" w:ascii="Arial" w:hAnsi="Arial" w:eastAsia="宋体" w:cs="Arial"/>
                <w:color w:val="000000"/>
                <w:kern w:val="0"/>
                <w:sz w:val="20"/>
                <w:szCs w:val="20"/>
                <w:lang w:val="en-US" w:eastAsia="zh-CN" w:bidi="ar"/>
              </w:rPr>
              <w:t>you have used, cited or quoted in order to complete this assessment</w:t>
            </w:r>
            <w:r>
              <w:rPr>
                <w:rFonts w:hint="eastAsia" w:ascii="Arial" w:hAnsi="Arial" w:eastAsia="宋体" w:cs="Arial"/>
                <w:color w:val="000000"/>
                <w:kern w:val="0"/>
                <w:sz w:val="20"/>
                <w:szCs w:val="20"/>
                <w:lang w:val="en-US" w:eastAsia="zh-CN" w:bidi="ar"/>
              </w:rPr>
              <w:t>.</w:t>
            </w:r>
          </w:p>
          <w:p w14:paraId="6B2845E9">
            <w:pPr>
              <w:rPr>
                <w:sz w:val="20"/>
                <w:szCs w:val="20"/>
                <w:vertAlign w:val="baseline"/>
              </w:rPr>
            </w:pPr>
          </w:p>
        </w:tc>
      </w:tr>
      <w:tr w14:paraId="0730574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522" w:type="dxa"/>
            <w:gridSpan w:val="5"/>
            <w:shd w:val="clear" w:color="auto" w:fill="CFCECE" w:themeFill="background2" w:themeFillShade="E5"/>
          </w:tcPr>
          <w:p w14:paraId="0844BED1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sz w:val="20"/>
                <w:szCs w:val="20"/>
              </w:rPr>
            </w:pPr>
            <w:r>
              <w:rPr>
                <w:rFonts w:hint="default" w:ascii="Arial" w:hAnsi="Arial" w:eastAsia="Arial-BoldMT" w:cs="Arial"/>
                <w:b/>
                <w:bCs/>
                <w:color w:val="000000"/>
                <w:kern w:val="0"/>
                <w:sz w:val="20"/>
                <w:szCs w:val="20"/>
                <w:lang w:val="en-US" w:eastAsia="zh-CN" w:bidi="ar"/>
              </w:rPr>
              <w:t xml:space="preserve">Module Learning Outcomes </w:t>
            </w:r>
          </w:p>
          <w:p w14:paraId="3D709D72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Arial" w:hAnsi="Arial" w:cs="Arial"/>
                <w:sz w:val="20"/>
                <w:szCs w:val="20"/>
              </w:rPr>
            </w:pPr>
            <w:r>
              <w:rPr>
                <w:rFonts w:hint="default" w:ascii="Arial" w:hAnsi="Arial" w:eastAsia="Arial-BoldMT" w:cs="Arial"/>
                <w:b/>
                <w:bCs/>
                <w:color w:val="000000"/>
                <w:kern w:val="0"/>
                <w:sz w:val="20"/>
                <w:szCs w:val="20"/>
                <w:lang w:val="en-US" w:eastAsia="zh-CN" w:bidi="ar"/>
              </w:rPr>
              <w:t>(from module syllabus)</w:t>
            </w:r>
          </w:p>
          <w:p w14:paraId="13CB0504">
            <w:pPr>
              <w:rPr>
                <w:rFonts w:hint="default" w:ascii="Arial" w:hAnsi="Arial" w:cs="Arial"/>
                <w:sz w:val="20"/>
                <w:szCs w:val="20"/>
                <w:vertAlign w:val="baseline"/>
              </w:rPr>
            </w:pPr>
          </w:p>
        </w:tc>
      </w:tr>
      <w:tr w14:paraId="7EF9D7E6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522" w:type="dxa"/>
            <w:gridSpan w:val="5"/>
          </w:tcPr>
          <w:p w14:paraId="68B6331F">
            <w:pPr>
              <w:keepNext w:val="0"/>
              <w:keepLines w:val="0"/>
              <w:widowControl/>
              <w:suppressLineNumbers w:val="0"/>
              <w:jc w:val="left"/>
              <w:rPr>
                <w:sz w:val="20"/>
                <w:szCs w:val="20"/>
              </w:rPr>
            </w:pPr>
            <w:r>
              <w:rPr>
                <w:rFonts w:ascii="Arial" w:hAnsi="Arial" w:eastAsia="宋体" w:cs="Arial"/>
                <w:color w:val="201F1E"/>
                <w:kern w:val="0"/>
                <w:sz w:val="20"/>
                <w:szCs w:val="20"/>
                <w:lang w:val="en-US" w:eastAsia="zh-CN" w:bidi="ar"/>
              </w:rPr>
              <w:t xml:space="preserve">Upon the successful completion of this assessment, the student should be able to demonstrate the ability </w:t>
            </w:r>
          </w:p>
          <w:p w14:paraId="2C2A8C21">
            <w:pPr>
              <w:keepNext w:val="0"/>
              <w:keepLines w:val="0"/>
              <w:widowControl/>
              <w:suppressLineNumbers w:val="0"/>
              <w:jc w:val="left"/>
              <w:rPr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color w:val="201F1E"/>
                <w:kern w:val="0"/>
                <w:sz w:val="20"/>
                <w:szCs w:val="20"/>
                <w:lang w:val="en-US" w:eastAsia="zh-CN" w:bidi="ar"/>
              </w:rPr>
              <w:t xml:space="preserve">to: </w:t>
            </w:r>
          </w:p>
          <w:p w14:paraId="6F2D26CB">
            <w:pPr>
              <w:keepNext w:val="0"/>
              <w:keepLines w:val="0"/>
              <w:widowControl/>
              <w:suppressLineNumbers w:val="0"/>
              <w:jc w:val="left"/>
              <w:rPr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color w:val="201F1E"/>
                <w:kern w:val="0"/>
                <w:sz w:val="20"/>
                <w:szCs w:val="20"/>
                <w:lang w:val="en-US" w:eastAsia="zh-CN" w:bidi="ar"/>
              </w:rPr>
              <w:t xml:space="preserve">Analyse problems arising in a select number of contemporary management/organisational topics and </w:t>
            </w:r>
          </w:p>
          <w:p w14:paraId="6F442F5B">
            <w:pPr>
              <w:keepNext w:val="0"/>
              <w:keepLines w:val="0"/>
              <w:widowControl/>
              <w:suppressLineNumbers w:val="0"/>
              <w:jc w:val="left"/>
              <w:rPr>
                <w:sz w:val="20"/>
                <w:szCs w:val="20"/>
              </w:rPr>
            </w:pPr>
            <w:r>
              <w:rPr>
                <w:rFonts w:hint="default" w:ascii="Arial" w:hAnsi="Arial" w:eastAsia="宋体" w:cs="Arial"/>
                <w:color w:val="201F1E"/>
                <w:kern w:val="0"/>
                <w:sz w:val="20"/>
                <w:szCs w:val="20"/>
                <w:lang w:val="en-US" w:eastAsia="zh-CN" w:bidi="ar"/>
              </w:rPr>
              <w:t xml:space="preserve">themes including, but not limited to, bureaucracy and post bureaucracy, scientific management, team </w:t>
            </w:r>
          </w:p>
          <w:p w14:paraId="776B53EE">
            <w:pPr>
              <w:keepNext w:val="0"/>
              <w:keepLines w:val="0"/>
              <w:widowControl/>
              <w:suppressLineNumbers w:val="0"/>
              <w:jc w:val="left"/>
              <w:rPr>
                <w:sz w:val="20"/>
                <w:szCs w:val="20"/>
                <w:vertAlign w:val="baseline"/>
              </w:rPr>
            </w:pPr>
            <w:r>
              <w:rPr>
                <w:rFonts w:hint="default" w:ascii="Arial" w:hAnsi="Arial" w:eastAsia="宋体" w:cs="Arial"/>
                <w:color w:val="201F1E"/>
                <w:kern w:val="0"/>
                <w:sz w:val="20"/>
                <w:szCs w:val="20"/>
                <w:lang w:val="en-US" w:eastAsia="zh-CN" w:bidi="ar"/>
              </w:rPr>
              <w:t>working, and ethical decision making and argue coherently for acceptable solutions.</w:t>
            </w:r>
          </w:p>
        </w:tc>
      </w:tr>
    </w:tbl>
    <w:p w14:paraId="3F1F33F5">
      <w:pPr>
        <w:rPr>
          <w:sz w:val="20"/>
          <w:szCs w:val="20"/>
        </w:rPr>
      </w:pPr>
    </w:p>
    <w:p w14:paraId="7BDD0118">
      <w:pPr>
        <w:rPr>
          <w:rFonts w:hint="eastAsia" w:eastAsiaTheme="minorEastAsia"/>
          <w:sz w:val="20"/>
          <w:szCs w:val="20"/>
          <w:lang w:eastAsia="zh-CN"/>
        </w:rPr>
      </w:pPr>
    </w:p>
    <w:p w14:paraId="2EA207D5">
      <w:pPr>
        <w:rPr>
          <w:rFonts w:hint="eastAsia" w:eastAsiaTheme="minorEastAsia"/>
          <w:sz w:val="20"/>
          <w:szCs w:val="20"/>
          <w:lang w:eastAsia="zh-CN"/>
        </w:rPr>
      </w:pPr>
    </w:p>
    <w:p w14:paraId="07CC4D2D">
      <w:pPr>
        <w:rPr>
          <w:rFonts w:hint="eastAsia" w:eastAsiaTheme="minorEastAsia"/>
          <w:sz w:val="20"/>
          <w:szCs w:val="20"/>
          <w:lang w:eastAsia="zh-CN"/>
        </w:rPr>
      </w:pPr>
    </w:p>
    <w:p w14:paraId="69C0D8C0">
      <w:pPr>
        <w:rPr>
          <w:rFonts w:hint="eastAsia" w:eastAsiaTheme="minorEastAsia"/>
          <w:sz w:val="20"/>
          <w:szCs w:val="20"/>
          <w:lang w:eastAsia="zh-CN"/>
        </w:rPr>
      </w:pPr>
    </w:p>
    <w:p w14:paraId="72D89018">
      <w:pPr>
        <w:rPr>
          <w:rFonts w:hint="eastAsia" w:eastAsiaTheme="minorEastAsia"/>
          <w:sz w:val="20"/>
          <w:szCs w:val="20"/>
          <w:lang w:eastAsia="zh-CN"/>
        </w:rPr>
      </w:pPr>
    </w:p>
    <w:p w14:paraId="0695D9D3">
      <w:pPr>
        <w:rPr>
          <w:rFonts w:hint="eastAsia" w:eastAsiaTheme="minorEastAsia"/>
          <w:sz w:val="20"/>
          <w:szCs w:val="20"/>
          <w:lang w:eastAsia="zh-CN"/>
        </w:rPr>
      </w:pPr>
    </w:p>
    <w:p w14:paraId="5F354BDB">
      <w:pPr>
        <w:rPr>
          <w:rFonts w:hint="eastAsia" w:eastAsiaTheme="minorEastAsia"/>
          <w:sz w:val="20"/>
          <w:szCs w:val="20"/>
          <w:lang w:eastAsia="zh-CN"/>
        </w:rPr>
      </w:pPr>
    </w:p>
    <w:p w14:paraId="26EF65E9">
      <w:pPr>
        <w:rPr>
          <w:rFonts w:hint="eastAsia" w:eastAsiaTheme="minorEastAsia"/>
          <w:sz w:val="20"/>
          <w:szCs w:val="20"/>
          <w:lang w:eastAsia="zh-CN"/>
        </w:rPr>
      </w:pPr>
    </w:p>
    <w:p w14:paraId="38DEE12A">
      <w:pPr>
        <w:rPr>
          <w:rFonts w:hint="eastAsia" w:eastAsiaTheme="minorEastAsia"/>
          <w:sz w:val="20"/>
          <w:szCs w:val="20"/>
          <w:lang w:eastAsia="zh-CN"/>
        </w:rPr>
      </w:pPr>
    </w:p>
    <w:p w14:paraId="265C48BF">
      <w:pPr>
        <w:rPr>
          <w:rFonts w:hint="eastAsia" w:eastAsiaTheme="minorEastAsia"/>
          <w:sz w:val="20"/>
          <w:szCs w:val="20"/>
          <w:lang w:eastAsia="zh-CN"/>
        </w:rPr>
      </w:pPr>
    </w:p>
    <w:p w14:paraId="4470247B">
      <w:pPr>
        <w:rPr>
          <w:rFonts w:hint="eastAsia" w:eastAsiaTheme="minorEastAsia"/>
          <w:sz w:val="20"/>
          <w:szCs w:val="20"/>
          <w:lang w:eastAsia="zh-CN"/>
        </w:rPr>
      </w:pPr>
    </w:p>
    <w:p w14:paraId="0D8168EB">
      <w:pPr>
        <w:rPr>
          <w:rFonts w:hint="eastAsia" w:eastAsiaTheme="minorEastAsia"/>
          <w:sz w:val="20"/>
          <w:szCs w:val="20"/>
          <w:lang w:eastAsia="zh-CN"/>
        </w:rPr>
      </w:pPr>
    </w:p>
    <w:p w14:paraId="75827A6B">
      <w:pPr>
        <w:rPr>
          <w:rFonts w:hint="eastAsia" w:eastAsiaTheme="minorEastAsia"/>
          <w:sz w:val="20"/>
          <w:szCs w:val="20"/>
          <w:lang w:eastAsia="zh-CN"/>
        </w:rPr>
      </w:pPr>
    </w:p>
    <w:p w14:paraId="4C8758F7">
      <w:pPr>
        <w:rPr>
          <w:rFonts w:hint="eastAsia" w:eastAsiaTheme="minorEastAsia"/>
          <w:sz w:val="20"/>
          <w:szCs w:val="20"/>
          <w:lang w:eastAsia="zh-CN"/>
        </w:rPr>
      </w:pPr>
    </w:p>
    <w:p w14:paraId="6727FB29">
      <w:pPr>
        <w:rPr>
          <w:rFonts w:hint="eastAsia" w:eastAsiaTheme="minorEastAsia"/>
          <w:sz w:val="20"/>
          <w:szCs w:val="20"/>
          <w:lang w:eastAsia="zh-CN"/>
        </w:rPr>
      </w:pPr>
    </w:p>
    <w:p w14:paraId="1AC596AE">
      <w:pPr>
        <w:rPr>
          <w:rFonts w:hint="eastAsia" w:eastAsiaTheme="minorEastAsia"/>
          <w:sz w:val="20"/>
          <w:szCs w:val="20"/>
          <w:lang w:eastAsia="zh-CN"/>
        </w:rPr>
      </w:pPr>
    </w:p>
    <w:p w14:paraId="5C86EEA1">
      <w:pPr>
        <w:rPr>
          <w:rFonts w:hint="eastAsia" w:eastAsiaTheme="minorEastAsia"/>
          <w:sz w:val="20"/>
          <w:szCs w:val="20"/>
          <w:lang w:eastAsia="zh-CN"/>
        </w:rPr>
      </w:pPr>
    </w:p>
    <w:p w14:paraId="00C65D9A">
      <w:pPr>
        <w:rPr>
          <w:rFonts w:hint="eastAsia" w:eastAsiaTheme="minorEastAsia"/>
          <w:sz w:val="20"/>
          <w:szCs w:val="20"/>
          <w:lang w:eastAsia="zh-CN"/>
        </w:rPr>
      </w:pPr>
    </w:p>
    <w:p w14:paraId="7EF2D609">
      <w:pPr>
        <w:rPr>
          <w:rFonts w:hint="eastAsia" w:eastAsiaTheme="minorEastAsia"/>
          <w:sz w:val="20"/>
          <w:szCs w:val="20"/>
          <w:lang w:eastAsia="zh-CN"/>
        </w:rPr>
      </w:pPr>
    </w:p>
    <w:p w14:paraId="4853E16F">
      <w:pPr>
        <w:rPr>
          <w:rFonts w:hint="eastAsia" w:eastAsiaTheme="minorEastAsia"/>
          <w:sz w:val="20"/>
          <w:szCs w:val="20"/>
          <w:lang w:eastAsia="zh-CN"/>
        </w:rPr>
      </w:pPr>
    </w:p>
    <w:p w14:paraId="6D35186A">
      <w:pPr>
        <w:rPr>
          <w:rFonts w:hint="eastAsia" w:eastAsiaTheme="minorEastAsia"/>
          <w:sz w:val="20"/>
          <w:szCs w:val="20"/>
          <w:lang w:eastAsia="zh-CN"/>
        </w:rPr>
      </w:pPr>
    </w:p>
    <w:p w14:paraId="1EB55264">
      <w:pPr>
        <w:rPr>
          <w:rFonts w:hint="eastAsia" w:eastAsiaTheme="minorEastAsia"/>
          <w:sz w:val="20"/>
          <w:szCs w:val="20"/>
          <w:lang w:eastAsia="zh-CN"/>
        </w:rPr>
      </w:pPr>
    </w:p>
    <w:p w14:paraId="1BB253A8">
      <w:pPr>
        <w:rPr>
          <w:rFonts w:hint="eastAsia" w:eastAsiaTheme="minorEastAsia"/>
          <w:sz w:val="20"/>
          <w:szCs w:val="20"/>
          <w:lang w:eastAsia="zh-CN"/>
        </w:rPr>
      </w:pPr>
    </w:p>
    <w:p w14:paraId="4207E0F6">
      <w:pPr>
        <w:rPr>
          <w:rFonts w:hint="eastAsia" w:eastAsiaTheme="minorEastAsia"/>
          <w:sz w:val="20"/>
          <w:szCs w:val="20"/>
          <w:lang w:eastAsia="zh-CN"/>
        </w:rPr>
      </w:pPr>
    </w:p>
    <w:p w14:paraId="0DEACF63">
      <w:pPr>
        <w:rPr>
          <w:rFonts w:hint="eastAsia" w:eastAsiaTheme="minorEastAsia"/>
          <w:sz w:val="20"/>
          <w:szCs w:val="20"/>
          <w:lang w:eastAsia="zh-CN"/>
        </w:rPr>
      </w:pPr>
    </w:p>
    <w:p w14:paraId="5402141C">
      <w:pPr>
        <w:rPr>
          <w:rFonts w:hint="eastAsia" w:eastAsiaTheme="minorEastAsia"/>
          <w:sz w:val="20"/>
          <w:szCs w:val="20"/>
          <w:lang w:eastAsia="zh-CN"/>
        </w:rPr>
      </w:pPr>
    </w:p>
    <w:p w14:paraId="3916CFB2">
      <w:pPr>
        <w:rPr>
          <w:rFonts w:hint="eastAsia" w:eastAsiaTheme="minorEastAsia"/>
          <w:sz w:val="20"/>
          <w:szCs w:val="20"/>
          <w:lang w:eastAsia="zh-CN"/>
        </w:rPr>
      </w:pPr>
    </w:p>
    <w:p w14:paraId="050176F2">
      <w:pPr>
        <w:rPr>
          <w:rFonts w:hint="eastAsia" w:eastAsiaTheme="minorEastAsia"/>
          <w:sz w:val="20"/>
          <w:szCs w:val="20"/>
          <w:lang w:eastAsia="zh-CN"/>
        </w:rPr>
      </w:pPr>
    </w:p>
    <w:p w14:paraId="11BFA89E">
      <w:pPr>
        <w:rPr>
          <w:rFonts w:hint="eastAsia" w:eastAsiaTheme="minorEastAsia"/>
          <w:sz w:val="20"/>
          <w:szCs w:val="20"/>
          <w:lang w:eastAsia="zh-CN"/>
        </w:rPr>
      </w:pPr>
    </w:p>
    <w:p w14:paraId="042D947F">
      <w:pPr>
        <w:rPr>
          <w:rFonts w:hint="eastAsia" w:eastAsiaTheme="minorEastAsia"/>
          <w:sz w:val="20"/>
          <w:szCs w:val="20"/>
          <w:lang w:eastAsia="zh-CN"/>
        </w:rPr>
      </w:pPr>
    </w:p>
    <w:p w14:paraId="42830E4F">
      <w:pPr>
        <w:rPr>
          <w:rFonts w:hint="eastAsia" w:eastAsiaTheme="minorEastAsia"/>
          <w:sz w:val="20"/>
          <w:szCs w:val="20"/>
          <w:lang w:eastAsia="zh-CN"/>
        </w:rPr>
      </w:pPr>
    </w:p>
    <w:p w14:paraId="6BA256AF">
      <w:pPr>
        <w:rPr>
          <w:rFonts w:hint="eastAsia" w:eastAsiaTheme="minorEastAsia"/>
          <w:sz w:val="20"/>
          <w:szCs w:val="20"/>
          <w:lang w:eastAsia="zh-CN"/>
        </w:rPr>
      </w:pPr>
    </w:p>
    <w:p w14:paraId="6E6C0E36">
      <w:pPr>
        <w:rPr>
          <w:rFonts w:hint="eastAsia"/>
          <w:sz w:val="20"/>
          <w:szCs w:val="20"/>
        </w:rPr>
      </w:pPr>
    </w:p>
    <w:p w14:paraId="12D9B764">
      <w:pPr>
        <w:rPr>
          <w:rFonts w:hint="default" w:ascii="Times New Roman" w:hAnsi="Times New Roman" w:cs="Times New Roman"/>
          <w:sz w:val="28"/>
          <w:szCs w:val="28"/>
          <w:lang w:val="en-US" w:eastAsia="zh-CN"/>
        </w:rPr>
      </w:pPr>
      <w:r>
        <w:rPr>
          <w:rFonts w:hint="default" w:ascii="Times New Roman" w:hAnsi="Times New Roman" w:cs="Times New Roman"/>
          <w:sz w:val="28"/>
          <w:szCs w:val="28"/>
          <w:lang w:val="en-US" w:eastAsia="zh-CN"/>
        </w:rPr>
        <w:t>Screen recording link:</w:t>
      </w:r>
    </w:p>
    <w:p w14:paraId="06177EF8">
      <w:pPr>
        <w:rPr>
          <w:rFonts w:hint="default"/>
          <w:sz w:val="20"/>
          <w:szCs w:val="20"/>
          <w:lang w:val="en-US" w:eastAsia="zh-CN"/>
        </w:rPr>
      </w:pPr>
    </w:p>
    <w:p w14:paraId="323FB8FD">
      <w:pPr>
        <w:rPr>
          <w:rFonts w:hint="eastAsia" w:eastAsiaTheme="minorEastAsia"/>
          <w:sz w:val="20"/>
          <w:szCs w:val="20"/>
          <w:lang w:eastAsia="zh-CN"/>
        </w:rPr>
      </w:pPr>
      <w:r>
        <w:rPr>
          <w:rFonts w:hint="eastAsia" w:eastAsiaTheme="minorEastAsia"/>
          <w:sz w:val="20"/>
          <w:szCs w:val="20"/>
          <w:lang w:eastAsia="zh-CN"/>
        </w:rPr>
        <w:fldChar w:fldCharType="begin"/>
      </w:r>
      <w:r>
        <w:rPr>
          <w:rFonts w:hint="eastAsia" w:eastAsiaTheme="minorEastAsia"/>
          <w:sz w:val="20"/>
          <w:szCs w:val="20"/>
          <w:lang w:eastAsia="zh-CN"/>
        </w:rPr>
        <w:instrText xml:space="preserve"> HYPERLINK "https://uowtsd-my.sharepoint.com/personal/2500218_student_uwtsd_ac_uk/_layouts/15/download.aspx?UniqueId=97a53c55%2D2a65%2D44ed%2D80fb%2Dce579da4ad88" </w:instrText>
      </w:r>
      <w:r>
        <w:rPr>
          <w:rFonts w:hint="eastAsia" w:eastAsiaTheme="minorEastAsia"/>
          <w:sz w:val="20"/>
          <w:szCs w:val="20"/>
          <w:lang w:eastAsia="zh-CN"/>
        </w:rPr>
        <w:fldChar w:fldCharType="separate"/>
      </w:r>
      <w:r>
        <w:rPr>
          <w:rStyle w:val="5"/>
          <w:rFonts w:hint="eastAsia" w:eastAsiaTheme="minorEastAsia"/>
          <w:sz w:val="20"/>
          <w:szCs w:val="20"/>
          <w:lang w:eastAsia="zh-CN"/>
        </w:rPr>
        <w:t>https://uowtsd-my.sharepoint.com/personal/2500218_student_uwtsd_ac_uk/_layouts/15/download.aspx?UniqueId=97a53c55%2D2a65%2D44ed%2D80fb%2Dce579da4ad88</w:t>
      </w:r>
      <w:r>
        <w:rPr>
          <w:rFonts w:hint="eastAsia" w:eastAsiaTheme="minorEastAsia"/>
          <w:sz w:val="20"/>
          <w:szCs w:val="20"/>
          <w:lang w:eastAsia="zh-CN"/>
        </w:rPr>
        <w:fldChar w:fldCharType="end"/>
      </w:r>
    </w:p>
    <w:p w14:paraId="7A7CCA4F">
      <w:pPr>
        <w:rPr>
          <w:rFonts w:hint="eastAsia" w:eastAsiaTheme="minorEastAsia"/>
          <w:sz w:val="20"/>
          <w:szCs w:val="20"/>
          <w:lang w:eastAsia="zh-CN"/>
        </w:rPr>
      </w:pPr>
    </w:p>
    <w:p w14:paraId="71784E84">
      <w:pPr>
        <w:rPr>
          <w:rFonts w:hint="eastAsia" w:eastAsiaTheme="minorEastAsia"/>
          <w:sz w:val="20"/>
          <w:szCs w:val="20"/>
          <w:lang w:eastAsia="zh-CN"/>
        </w:rPr>
      </w:pPr>
    </w:p>
    <w:p w14:paraId="5F82D550">
      <w:pPr>
        <w:rPr>
          <w:rFonts w:hint="eastAsia" w:eastAsiaTheme="minorEastAsia"/>
          <w:sz w:val="20"/>
          <w:szCs w:val="20"/>
          <w:lang w:eastAsia="zh-CN"/>
        </w:rPr>
      </w:pPr>
    </w:p>
    <w:p w14:paraId="0550DA33">
      <w:pPr>
        <w:rPr>
          <w:rFonts w:hint="default" w:ascii="Times New Roman" w:hAnsi="Times New Roman" w:cs="Times New Roman" w:eastAsiaTheme="minorEastAsia"/>
          <w:sz w:val="28"/>
          <w:szCs w:val="28"/>
          <w:lang w:val="en-US" w:eastAsia="zh-CN"/>
        </w:rPr>
      </w:pPr>
      <w:r>
        <w:rPr>
          <w:rFonts w:hint="default" w:ascii="Times New Roman" w:hAnsi="Times New Roman" w:cs="Times New Roman"/>
          <w:sz w:val="28"/>
          <w:szCs w:val="28"/>
          <w:lang w:val="en-US" w:eastAsia="zh-CN"/>
        </w:rPr>
        <w:t>Summarize</w:t>
      </w:r>
    </w:p>
    <w:p w14:paraId="212BAD70">
      <w:pPr>
        <w:rPr>
          <w:rFonts w:hint="default" w:ascii="Times New Roman" w:hAnsi="Times New Roman" w:cs="Times New Roman" w:eastAsiaTheme="minorEastAsia"/>
          <w:sz w:val="24"/>
          <w:szCs w:val="24"/>
          <w:lang w:val="en-US" w:eastAsia="zh-CN"/>
        </w:rPr>
      </w:pPr>
    </w:p>
    <w:p w14:paraId="4B116C76">
      <w:pPr>
        <w:spacing w:line="240" w:lineRule="auto"/>
        <w:jc w:val="both"/>
        <w:rPr>
          <w:rFonts w:hint="default" w:ascii="Times New Roman" w:hAnsi="Times New Roman" w:cs="Times New Roman" w:eastAsiaTheme="minorEastAsia"/>
          <w:sz w:val="24"/>
          <w:szCs w:val="24"/>
          <w:lang w:eastAsia="zh-CN"/>
        </w:rPr>
      </w:pPr>
      <w:r>
        <w:rPr>
          <w:rFonts w:hint="default" w:ascii="Times New Roman" w:hAnsi="Times New Roman" w:cs="Times New Roman" w:eastAsiaTheme="minorEastAsia"/>
          <w:sz w:val="24"/>
          <w:szCs w:val="24"/>
          <w:lang w:eastAsia="zh-CN"/>
        </w:rPr>
        <w:t>This speech focuses on GreenHaven, a British eco-friendly retail cooperative, centering on the conflict between its core missions of "sustainability" and "people-centeredness" and practical operational efficiency. The speech first introduces GreenHaven's positioning—selling environmentally friendly products, implementing democratic decision-making and shared ownership—then identifies its key dilemmas: delayed supply chains due to slow decision-making, inter-departmental power imbalances, and low employee morale caused by layoffs that violate people-centered commitments. After analyzing the root causes through mainstream management theory (emphasizing rapid and professional decision-making) and critical management theory (focusing on power and equity), targeted solutions are proposed: differentiating democratic voting for minor matters and professional quick decisions for urgent issues in decision-making; disclosing powers and responsibilities and collecting employee feedback in power governance; and adopting non-layoff alternatives such as reduced working hours and inter-departmental staff transfer for cost control. The core conclusion is that organizations must uphold their core missions while flexibly adjusting operational methods to achieve a balance between "doing good" and "doing things well."</w:t>
      </w:r>
    </w:p>
    <w:p w14:paraId="7053D543">
      <w:pPr>
        <w:spacing w:line="240" w:lineRule="auto"/>
        <w:jc w:val="both"/>
        <w:rPr>
          <w:rFonts w:hint="default" w:ascii="Times New Roman" w:hAnsi="Times New Roman" w:cs="Times New Roman" w:eastAsiaTheme="minorEastAsia"/>
          <w:sz w:val="24"/>
          <w:szCs w:val="24"/>
          <w:lang w:eastAsia="zh-CN"/>
        </w:rPr>
      </w:pPr>
    </w:p>
    <w:p w14:paraId="031426E4">
      <w:pPr>
        <w:spacing w:line="240" w:lineRule="auto"/>
        <w:jc w:val="both"/>
        <w:rPr>
          <w:rFonts w:hint="default" w:ascii="Times New Roman" w:hAnsi="Times New Roman" w:cs="Times New Roman"/>
          <w:b w:val="0"/>
          <w:bCs w:val="0"/>
          <w:sz w:val="28"/>
          <w:szCs w:val="28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8"/>
          <w:szCs w:val="28"/>
          <w:lang w:val="en-US" w:eastAsia="zh-CN"/>
        </w:rPr>
        <w:t>Reference</w:t>
      </w:r>
    </w:p>
    <w:p w14:paraId="71CA0352">
      <w:pPr>
        <w:spacing w:line="240" w:lineRule="auto"/>
        <w:jc w:val="both"/>
        <w:rPr>
          <w:rFonts w:hint="default" w:ascii="Times New Roman" w:hAnsi="Times New Roman" w:cs="Times New Roman"/>
          <w:sz w:val="24"/>
          <w:szCs w:val="24"/>
          <w:lang w:val="en-US" w:eastAsia="zh-CN"/>
        </w:rPr>
      </w:pPr>
    </w:p>
    <w:p w14:paraId="1103BB5C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1. Smith, A., &amp; Jones, B. (2025). </w:t>
      </w:r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 xml:space="preserve">The effect of corporate social responsibility on performance in retail. </w:t>
      </w:r>
      <w:r>
        <w:rPr>
          <w:rFonts w:hint="default" w:ascii="Times New Roman" w:hAnsi="Times New Roman" w:cs="Times New Roman"/>
          <w:sz w:val="24"/>
          <w:szCs w:val="24"/>
          <w:lang w:eastAsia="zh-CN"/>
        </w:rPr>
        <w:t>Journal of Retailing &amp; Consumer Services, 78, 103892.</w:t>
      </w:r>
    </w:p>
    <w:p w14:paraId="3FBFB43E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</w:p>
    <w:p w14:paraId="25397550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2. Popescu, M., &amp; Georgescu, C. (2024). </w:t>
      </w:r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>THE SOCIAL RESPONSIBILITY OF RETAILERS THROUGH THE EYES OF STUDENTS OF A COMMERCE FACULTY – A QUALITATIVE APPROACH.</w:t>
      </w: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 Review of Economic and Business Studies, 17(2), 45-62.</w:t>
      </w:r>
    </w:p>
    <w:p w14:paraId="541D5467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</w:p>
    <w:p w14:paraId="64B5AF1D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  <w:r>
        <w:rPr>
          <w:rFonts w:hint="default" w:ascii="Times New Roman" w:hAnsi="Times New Roman" w:cs="Times New Roman"/>
          <w:sz w:val="24"/>
          <w:szCs w:val="24"/>
          <w:lang w:eastAsia="zh-CN"/>
        </w:rPr>
        <w:t>3. Brown, C., &amp; Davis, E. (2023). C</w:t>
      </w:r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 xml:space="preserve">ognitive coordination mechanisms in collaborative problem solving. </w:t>
      </w:r>
      <w:r>
        <w:rPr>
          <w:rFonts w:hint="default" w:ascii="Times New Roman" w:hAnsi="Times New Roman" w:cs="Times New Roman"/>
          <w:sz w:val="24"/>
          <w:szCs w:val="24"/>
          <w:lang w:eastAsia="zh-CN"/>
        </w:rPr>
        <w:t>Journal of Organizational Behavior, 44(5), 890-907.</w:t>
      </w:r>
    </w:p>
    <w:p w14:paraId="58B3E77E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</w:p>
    <w:p w14:paraId="6BBD0BE8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4. Wilson, F., &amp; Taylor, G. (2025). </w:t>
      </w:r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>How Power Imbalances Can Empower: Examining Collaborative Dynamics in a Third-Sector Consortium.</w:t>
      </w: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 Academy of Management Proceedings, 2025(1), 12484.</w:t>
      </w:r>
    </w:p>
    <w:p w14:paraId="595F3421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</w:p>
    <w:p w14:paraId="120D89B9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5. Miller, H., &amp; Thompson, I. (2025). </w:t>
      </w:r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 xml:space="preserve">Beyond Collaboration: Mutual Dependence and Power Imbalance in Addressing Grand Challenges. </w:t>
      </w:r>
      <w:r>
        <w:rPr>
          <w:rFonts w:hint="default" w:ascii="Times New Roman" w:hAnsi="Times New Roman" w:cs="Times New Roman"/>
          <w:sz w:val="24"/>
          <w:szCs w:val="24"/>
          <w:lang w:eastAsia="zh-CN"/>
        </w:rPr>
        <w:t>Academy of Management Proceedings, 2025(1), 307.</w:t>
      </w:r>
    </w:p>
    <w:p w14:paraId="72341CD5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</w:p>
    <w:p w14:paraId="6FD43E2E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6. Garcia, J., &amp; Rodriguez, K. (2024). </w:t>
      </w:r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>Ethical dilemmas in cooperative retail: Mission vs. efficiency trade-offs.</w:t>
      </w: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 International Journal of Retail &amp; Distribution Management, 52(3), 289-305.</w:t>
      </w:r>
    </w:p>
    <w:p w14:paraId="0F2DAF0D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</w:p>
    <w:p w14:paraId="4A7CFBCC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7. Nelson, L., &amp; Parker, M. (2023). </w:t>
      </w:r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>Power asymmetry and organizational justice in third-sector collaborations.</w:t>
      </w: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 Nonprofit and Voluntary Sector Quarterly, 52(4), 876-894.</w:t>
      </w:r>
    </w:p>
    <w:p w14:paraId="736C0DB5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</w:p>
    <w:p w14:paraId="4834C81F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8. Ortiz, N., &amp; Sanchez, P. (2022). </w:t>
      </w:r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 xml:space="preserve">Flexible workforce strategies for ethical organizations in financial distress. </w:t>
      </w:r>
      <w:r>
        <w:rPr>
          <w:rFonts w:hint="default" w:ascii="Times New Roman" w:hAnsi="Times New Roman" w:cs="Times New Roman"/>
          <w:sz w:val="24"/>
          <w:szCs w:val="24"/>
          <w:lang w:eastAsia="zh-CN"/>
        </w:rPr>
        <w:t>Human Resource Management Journal, 32(1), 112-129.</w:t>
      </w:r>
    </w:p>
    <w:p w14:paraId="74C7A9B4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</w:p>
    <w:p w14:paraId="7BF67949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9. Clark, Q., &amp; White, R. (2021). </w:t>
      </w:r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>Decision-making efficiency in democratic cooperatives: A cognitive load</w:t>
      </w:r>
      <w:bookmarkStart w:id="0" w:name="_GoBack"/>
      <w:bookmarkEnd w:id="0"/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 xml:space="preserve"> perspective. </w:t>
      </w:r>
      <w:r>
        <w:rPr>
          <w:rFonts w:hint="default" w:ascii="Times New Roman" w:hAnsi="Times New Roman" w:cs="Times New Roman"/>
          <w:sz w:val="24"/>
          <w:szCs w:val="24"/>
          <w:lang w:eastAsia="zh-CN"/>
        </w:rPr>
        <w:t>Journal of Cooperative Organization and Management, 9(1), 100231.</w:t>
      </w:r>
    </w:p>
    <w:p w14:paraId="392BEDD2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</w:p>
    <w:p w14:paraId="1270C18E">
      <w:pPr>
        <w:rPr>
          <w:rFonts w:hint="default" w:ascii="Times New Roman" w:hAnsi="Times New Roman" w:cs="Times New Roman"/>
          <w:sz w:val="24"/>
          <w:szCs w:val="24"/>
          <w:lang w:eastAsia="zh-CN"/>
        </w:rPr>
      </w:pP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10. Bennett, S., &amp; Hughes, T. (2020). </w:t>
      </w:r>
      <w:r>
        <w:rPr>
          <w:rFonts w:hint="default" w:ascii="Times New Roman" w:hAnsi="Times New Roman" w:cs="Times New Roman"/>
          <w:i/>
          <w:iCs/>
          <w:sz w:val="24"/>
          <w:szCs w:val="24"/>
          <w:lang w:eastAsia="zh-CN"/>
        </w:rPr>
        <w:t>Moral mission and operational performance: Tensions in sustainable retail.</w:t>
      </w:r>
      <w:r>
        <w:rPr>
          <w:rFonts w:hint="default" w:ascii="Times New Roman" w:hAnsi="Times New Roman" w:cs="Times New Roman"/>
          <w:sz w:val="24"/>
          <w:szCs w:val="24"/>
          <w:lang w:eastAsia="zh-CN"/>
        </w:rPr>
        <w:t xml:space="preserve"> Sustainability Accounting, Management and Policy Journal, 11(3), 678-699.</w:t>
      </w:r>
    </w:p>
    <w:p w14:paraId="55B0BE12">
      <w:pPr>
        <w:rPr>
          <w:rFonts w:hint="eastAsia"/>
          <w:lang w:eastAsia="zh-CN"/>
        </w:rPr>
      </w:pPr>
    </w:p>
    <w:p w14:paraId="094919BB">
      <w:pPr>
        <w:rPr>
          <w:rFonts w:hint="eastAsia"/>
          <w:lang w:eastAsia="zh-CN"/>
        </w:rPr>
      </w:pPr>
    </w:p>
    <w:p w14:paraId="679A089C">
      <w:pPr>
        <w:rPr>
          <w:rFonts w:hint="eastAsia"/>
          <w:lang w:eastAsia="zh-CN"/>
        </w:rPr>
      </w:pPr>
    </w:p>
    <w:p w14:paraId="3F102EA7">
      <w:pPr>
        <w:rPr>
          <w:rFonts w:hint="eastAsia"/>
          <w:lang w:eastAsia="zh-CN"/>
        </w:rPr>
      </w:pPr>
    </w:p>
    <w:p w14:paraId="417533FB">
      <w:pPr>
        <w:rPr>
          <w:rFonts w:hint="eastAsia"/>
          <w:lang w:eastAsia="zh-CN"/>
        </w:rPr>
      </w:pPr>
    </w:p>
    <w:p w14:paraId="07BB5CD2">
      <w:pPr>
        <w:rPr>
          <w:rFonts w:hint="eastAsia"/>
          <w:lang w:eastAsia="zh-CN"/>
        </w:rPr>
      </w:pPr>
    </w:p>
    <w:p w14:paraId="2567FBA0">
      <w:pPr>
        <w:rPr>
          <w:rFonts w:hint="eastAsia"/>
          <w:lang w:eastAsia="zh-CN"/>
        </w:rPr>
      </w:pPr>
    </w:p>
    <w:p w14:paraId="4CFC0234">
      <w:pPr>
        <w:rPr>
          <w:rFonts w:hint="eastAsia"/>
          <w:lang w:eastAsia="zh-CN"/>
        </w:rPr>
      </w:pPr>
    </w:p>
    <w:p w14:paraId="6D8FCCEF">
      <w:pPr>
        <w:rPr>
          <w:rFonts w:hint="eastAsia"/>
          <w:lang w:eastAsia="zh-CN"/>
        </w:rPr>
      </w:pPr>
    </w:p>
    <w:p w14:paraId="05CC7FCF">
      <w:pPr>
        <w:rPr>
          <w:rFonts w:hint="eastAsia"/>
          <w:lang w:eastAsia="zh-CN"/>
        </w:rPr>
      </w:pPr>
    </w:p>
    <w:p w14:paraId="2458FA86">
      <w:pPr>
        <w:rPr>
          <w:rFonts w:hint="eastAsia"/>
          <w:lang w:eastAsia="zh-CN"/>
        </w:rPr>
      </w:pPr>
      <w:r>
        <w:drawing>
          <wp:inline distT="0" distB="0" distL="114300" distR="114300">
            <wp:extent cx="5267325" cy="2978150"/>
            <wp:effectExtent l="0" t="0" r="3175" b="6350"/>
            <wp:docPr id="1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3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67325" cy="297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drawing>
          <wp:inline distT="0" distB="0" distL="114300" distR="114300">
            <wp:extent cx="5267960" cy="2921635"/>
            <wp:effectExtent l="0" t="0" r="2540" b="12065"/>
            <wp:docPr id="2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4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67960" cy="2921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drawing>
          <wp:inline distT="0" distB="0" distL="114300" distR="114300">
            <wp:extent cx="5263515" cy="3001645"/>
            <wp:effectExtent l="0" t="0" r="6985" b="8255"/>
            <wp:docPr id="3" name="图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5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63515" cy="3001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drawing>
          <wp:inline distT="0" distB="0" distL="114300" distR="114300">
            <wp:extent cx="5273040" cy="2869565"/>
            <wp:effectExtent l="0" t="0" r="10160" b="635"/>
            <wp:docPr id="4" name="图片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6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3040" cy="2869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drawing>
          <wp:inline distT="0" distB="0" distL="114300" distR="114300">
            <wp:extent cx="5262880" cy="3066415"/>
            <wp:effectExtent l="0" t="0" r="7620" b="6985"/>
            <wp:docPr id="5" name="图片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7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62880" cy="3066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drawing>
          <wp:inline distT="0" distB="0" distL="114300" distR="114300">
            <wp:extent cx="5262880" cy="3006725"/>
            <wp:effectExtent l="0" t="0" r="7620" b="3175"/>
            <wp:docPr id="6" name="图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图片 8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62880" cy="3006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drawing>
          <wp:inline distT="0" distB="0" distL="114300" distR="114300">
            <wp:extent cx="5270500" cy="2955290"/>
            <wp:effectExtent l="0" t="0" r="0" b="3810"/>
            <wp:docPr id="7" name="图片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图片 9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2955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Arial-BoldM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176C2E88"/>
    <w:rsid w:val="0F087FB5"/>
    <w:rsid w:val="176C2E88"/>
    <w:rsid w:val="1B0A0AE9"/>
    <w:rsid w:val="1C8E6253"/>
    <w:rsid w:val="1E7456D2"/>
    <w:rsid w:val="29583C63"/>
    <w:rsid w:val="2C2372FA"/>
    <w:rsid w:val="2C3C52FF"/>
    <w:rsid w:val="36E13395"/>
    <w:rsid w:val="41A213BA"/>
    <w:rsid w:val="539F0F3D"/>
    <w:rsid w:val="6C741EF9"/>
    <w:rsid w:val="6D2209A9"/>
    <w:rsid w:val="70375BED"/>
    <w:rsid w:val="7ECD5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0"/>
    <w:pPr>
      <w:widowControl w:val="0"/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5">
    <w:name w:val="Hyperlink"/>
    <w:basedOn w:val="4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6.png"/><Relationship Id="rId8" Type="http://schemas.openxmlformats.org/officeDocument/2006/relationships/image" Target="media/image5.png"/><Relationship Id="rId7" Type="http://schemas.openxmlformats.org/officeDocument/2006/relationships/image" Target="media/image4.png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1" Type="http://schemas.openxmlformats.org/officeDocument/2006/relationships/fontTable" Target="fontTable.xml"/><Relationship Id="rId10" Type="http://schemas.openxmlformats.org/officeDocument/2006/relationships/image" Target="media/image7.png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8</Pages>
  <Words>624</Words>
  <Characters>4331</Characters>
  <Lines>0</Lines>
  <Paragraphs>0</Paragraphs>
  <TotalTime>29</TotalTime>
  <ScaleCrop>false</ScaleCrop>
  <LinksUpToDate>false</LinksUpToDate>
  <CharactersWithSpaces>4931</CharactersWithSpaces>
  <Application>WPS Office_12.1.0.24034_F1E327BC-269C-435d-A152-05C5408002CA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2025-12-11T17:33:00Z</dcterms:created>
  <dc:creator>沐言小朋友</dc:creator>
  <cp:lastModifiedBy>沐言小朋友</cp:lastModifiedBy>
  <dcterms:modified xsi:type="dcterms:W3CDTF">2025-12-11T22:51:01Z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2052-12.1.0.24034</vt:lpwstr>
  </property>
  <property fmtid="{D5CDD505-2E9C-101B-9397-08002B2CF9AE}" pid="3" name="ICV">
    <vt:lpwstr>609428A4671D47E295825BD3F670C660_13</vt:lpwstr>
  </property>
  <property fmtid="{D5CDD505-2E9C-101B-9397-08002B2CF9AE}" pid="4" name="KSOTemplateDocerSaveRecord">
    <vt:lpwstr>eyJoZGlkIjoiMTVjZDMyZTNiNmRiYWY2MzFiMmFhMzgyYzU1YjcyMzUiLCJ1c2VySWQiOiIxMTU5MzgwNTA2In0=</vt:lpwstr>
  </property>
</Properties>
</file>