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DD90D" w14:textId="0A911AD7" w:rsidR="003C1ADD" w:rsidRPr="003C1ADD" w:rsidRDefault="00DA716F" w:rsidP="00611DEE">
      <w:pPr>
        <w:rPr>
          <w:rFonts w:ascii="Calibri" w:eastAsiaTheme="minorEastAsia" w:hAnsi="Calibri" w:cs="Calibri"/>
          <w:sz w:val="24"/>
          <w:szCs w:val="24"/>
        </w:rPr>
      </w:pPr>
      <w:r>
        <w:rPr>
          <w:rFonts w:ascii="Calibri" w:eastAsia="Times New Roman" w:hAnsi="Calibri" w:cs="Calibri"/>
          <w:b/>
          <w:bCs/>
          <w:noProof/>
          <w:color w:val="0E101A"/>
          <w:sz w:val="24"/>
          <w:szCs w:val="24"/>
          <w:u w:val="single"/>
          <w:lang w:eastAsia="en-GB"/>
        </w:rPr>
        <mc:AlternateContent>
          <mc:Choice Requires="wps">
            <w:drawing>
              <wp:anchor distT="0" distB="0" distL="114300" distR="114300" simplePos="0" relativeHeight="251661312" behindDoc="1" locked="0" layoutInCell="1" allowOverlap="1" wp14:anchorId="7BBF7063" wp14:editId="7A476E56">
                <wp:simplePos x="0" y="0"/>
                <wp:positionH relativeFrom="column">
                  <wp:posOffset>0</wp:posOffset>
                </wp:positionH>
                <wp:positionV relativeFrom="paragraph">
                  <wp:posOffset>0</wp:posOffset>
                </wp:positionV>
                <wp:extent cx="6858000" cy="1371600"/>
                <wp:effectExtent l="0" t="0" r="0" b="0"/>
                <wp:wrapNone/>
                <wp:docPr id="194" name="Rectangle 194"/>
                <wp:cNvGraphicFramePr/>
                <a:graphic xmlns:a="http://schemas.openxmlformats.org/drawingml/2006/main">
                  <a:graphicData uri="http://schemas.microsoft.com/office/word/2010/wordprocessingShape">
                    <wps:wsp>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6F9CDF" id="Rectangle 194" o:spid="_x0000_s1026" style="position:absolute;margin-left:0;margin-top:0;width:540pt;height:108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" fillcolor="#4472c4 [3204]" stroked="f" strokeweight="1pt"/>
            </w:pict>
          </mc:Fallback>
        </mc:AlternateContent>
      </w:r>
    </w:p>
    <w:p w14:paraId="56E67076" w14:textId="3BE73409" w:rsidR="002772B7" w:rsidRDefault="001C20A4" w:rsidP="00611DEE">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58240" behindDoc="1" locked="0" layoutInCell="1" allowOverlap="1" wp14:anchorId="6B945940" wp14:editId="6DCBF97E">
                <wp:simplePos x="0" y="0"/>
                <wp:positionH relativeFrom="column">
                  <wp:posOffset>0</wp:posOffset>
                </wp:positionH>
                <wp:positionV relativeFrom="paragraph">
                  <wp:posOffset>4182110</wp:posOffset>
                </wp:positionV>
                <wp:extent cx="6858000" cy="4660900"/>
                <wp:effectExtent l="0" t="0" r="0" b="0"/>
                <wp:wrapNone/>
                <wp:docPr id="195" name="Rectangle 195"/>
                <wp:cNvGraphicFramePr/>
                <a:graphic xmlns:a="http://schemas.openxmlformats.org/drawingml/2006/main">
                  <a:graphicData uri="http://schemas.microsoft.com/office/word/2010/wordprocessingShape">
                    <wps:wsp>
                      <wps:cNvSpPr/>
                      <wps:spPr>
                        <a:xfrm>
                          <a:off x="0" y="0"/>
                          <a:ext cx="6858000" cy="46609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ect w14:anchorId="6B945940" id="Rectangle 195" o:spid="_x0000_s1026" style="position:absolute;margin-left:0;margin-top:329.3pt;width:540pt;height:367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" fillcolor="#4472c4 [3204]" stroked="f" strokeweight="1pt">
                <v:textbox inset="36pt,57.6pt,36pt,36pt">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v:textbox>
              </v:rect>
            </w:pict>
          </mc:Fallback>
        </mc:AlternateContent>
      </w:r>
    </w:p>
    <w:p w14:paraId="6A241CE1" w14:textId="77777777" w:rsidR="002772B7" w:rsidRDefault="002772B7" w:rsidP="00611DEE">
      <w:pPr>
        <w:rPr>
          <w:rFonts w:ascii="Calibri" w:hAnsi="Calibri" w:cs="Calibri"/>
          <w:sz w:val="24"/>
          <w:szCs w:val="24"/>
        </w:rPr>
      </w:pPr>
    </w:p>
    <w:p w14:paraId="4ADE22CE" w14:textId="77777777" w:rsidR="002772B7" w:rsidRDefault="002772B7" w:rsidP="00611DEE">
      <w:pPr>
        <w:rPr>
          <w:rFonts w:ascii="Calibri" w:hAnsi="Calibri" w:cs="Calibri"/>
          <w:sz w:val="24"/>
          <w:szCs w:val="24"/>
        </w:rPr>
      </w:pPr>
    </w:p>
    <w:p w14:paraId="1B4BBA80" w14:textId="2FC408B9" w:rsidR="002772B7" w:rsidRDefault="00C7467D" w:rsidP="00611DEE">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59264" behindDoc="1" locked="0" layoutInCell="1" allowOverlap="1" wp14:anchorId="374DA2A1" wp14:editId="2E0A9752">
                <wp:simplePos x="0" y="0"/>
                <wp:positionH relativeFrom="column">
                  <wp:posOffset>12700</wp:posOffset>
                </wp:positionH>
                <wp:positionV relativeFrom="paragraph">
                  <wp:posOffset>64770</wp:posOffset>
                </wp:positionV>
                <wp:extent cx="6858000" cy="3136900"/>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6858000" cy="31369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5F31993" w14:textId="77777777" w:rsidR="004B2AF0" w:rsidRPr="004B2AF0" w:rsidRDefault="004B2AF0" w:rsidP="00C7467D">
                            <w:pPr>
                              <w:pStyle w:val="PersonalName"/>
                              <w:rPr>
                                <w:rStyle w:val="BookTitle"/>
                                <w:rFonts w:ascii="Times" w:hAnsi="Times"/>
                                <w:b/>
                                <w:bCs w:val="0"/>
                                <w:sz w:val="32"/>
                                <w:szCs w:val="32"/>
                              </w:rPr>
                            </w:pPr>
                          </w:p>
                          <w:p w14:paraId="18DDC66D" w14:textId="6B85C568" w:rsidR="008543B7" w:rsidRDefault="008543B7" w:rsidP="00C7467D">
                            <w:pPr>
                              <w:pStyle w:val="PersonalName"/>
                              <w:rPr>
                                <w:rStyle w:val="BookTitle"/>
                                <w:rFonts w:ascii="Times" w:hAnsi="Times"/>
                                <w:sz w:val="72"/>
                                <w:szCs w:val="72"/>
                              </w:rPr>
                            </w:pPr>
                            <w:r w:rsidRPr="004B2AF0">
                              <w:rPr>
                                <w:rStyle w:val="BookTitle"/>
                                <w:rFonts w:ascii="Times" w:hAnsi="Times"/>
                                <w:b/>
                                <w:bCs w:val="0"/>
                                <w:sz w:val="72"/>
                                <w:szCs w:val="72"/>
                              </w:rPr>
                              <w:t>HPHI6912</w:t>
                            </w:r>
                            <w:r w:rsidR="001C20A4" w:rsidRPr="00DA716F">
                              <w:rPr>
                                <w:rStyle w:val="BookTitle"/>
                                <w:rFonts w:ascii="Times" w:hAnsi="Times"/>
                                <w:sz w:val="72"/>
                                <w:szCs w:val="72"/>
                              </w:rPr>
                              <w:t xml:space="preserve"> –                     </w:t>
                            </w:r>
                          </w:p>
                          <w:p w14:paraId="056BE447" w14:textId="2BD15605" w:rsidR="00C7467D" w:rsidRPr="004B2AF0" w:rsidRDefault="008543B7" w:rsidP="00C7467D">
                            <w:pPr>
                              <w:pStyle w:val="PersonalName"/>
                              <w:rPr>
                                <w:rStyle w:val="BookTitle"/>
                                <w:rFonts w:ascii="Times" w:hAnsi="Times"/>
                                <w:sz w:val="72"/>
                                <w:szCs w:val="72"/>
                              </w:rPr>
                            </w:pPr>
                            <w:r w:rsidRPr="004B2AF0">
                              <w:rPr>
                                <w:rStyle w:val="BookTitle"/>
                                <w:rFonts w:ascii="Times" w:hAnsi="Times"/>
                                <w:sz w:val="72"/>
                                <w:szCs w:val="72"/>
                              </w:rPr>
                              <w:t xml:space="preserve">The Irish Question </w:t>
                            </w:r>
                          </w:p>
                          <w:p w14:paraId="531880EF" w14:textId="77777777" w:rsidR="008543B7" w:rsidRPr="004B2AF0" w:rsidRDefault="008543B7" w:rsidP="00C7467D">
                            <w:pPr>
                              <w:pStyle w:val="PersonalName"/>
                              <w:rPr>
                                <w:rStyle w:val="BookTitle"/>
                                <w:rFonts w:ascii="Times" w:hAnsi="Times"/>
                                <w:sz w:val="32"/>
                                <w:szCs w:val="32"/>
                              </w:rPr>
                            </w:pPr>
                          </w:p>
                          <w:p w14:paraId="108820D9" w14:textId="77777777" w:rsidR="00016168" w:rsidRDefault="001C20A4" w:rsidP="00016168">
                            <w:pPr>
                              <w:pStyle w:val="PersonalName"/>
                              <w:rPr>
                                <w:rStyle w:val="BookTitle"/>
                                <w:rFonts w:ascii="Times" w:hAnsi="Times"/>
                                <w:sz w:val="52"/>
                                <w:szCs w:val="52"/>
                              </w:rPr>
                            </w:pPr>
                            <w:r w:rsidRPr="004B2AF0">
                              <w:rPr>
                                <w:rStyle w:val="BookTitle"/>
                                <w:rFonts w:ascii="Times" w:hAnsi="Times"/>
                                <w:b/>
                                <w:bCs w:val="0"/>
                                <w:sz w:val="72"/>
                                <w:szCs w:val="72"/>
                              </w:rPr>
                              <w:t xml:space="preserve">Assignment </w:t>
                            </w:r>
                            <w:r w:rsidR="00016168">
                              <w:rPr>
                                <w:rStyle w:val="BookTitle"/>
                                <w:rFonts w:ascii="Times" w:hAnsi="Times"/>
                                <w:b/>
                                <w:bCs w:val="0"/>
                                <w:sz w:val="72"/>
                                <w:szCs w:val="72"/>
                              </w:rPr>
                              <w:t>2</w:t>
                            </w:r>
                            <w:r w:rsidRPr="004B2AF0">
                              <w:rPr>
                                <w:rStyle w:val="BookTitle"/>
                                <w:rFonts w:ascii="Times" w:hAnsi="Times"/>
                                <w:sz w:val="72"/>
                                <w:szCs w:val="72"/>
                              </w:rPr>
                              <w:t xml:space="preserve"> </w:t>
                            </w:r>
                            <w:r w:rsidR="00C7467D">
                              <w:rPr>
                                <w:rStyle w:val="BookTitle"/>
                                <w:rFonts w:ascii="Times" w:hAnsi="Times"/>
                                <w:sz w:val="52"/>
                                <w:szCs w:val="52"/>
                              </w:rPr>
                              <w:t xml:space="preserve">– </w:t>
                            </w:r>
                          </w:p>
                          <w:p w14:paraId="7E8691F2" w14:textId="756DCE16" w:rsidR="003C1ADD" w:rsidRPr="00DA716F" w:rsidRDefault="00016168" w:rsidP="00016168">
                            <w:pPr>
                              <w:pStyle w:val="PersonalName"/>
                              <w:rPr>
                                <w:rStyle w:val="BookTitle"/>
                                <w:rFonts w:ascii="Times" w:hAnsi="Times"/>
                                <w:sz w:val="52"/>
                                <w:szCs w:val="52"/>
                              </w:rPr>
                            </w:pPr>
                            <w:r w:rsidRPr="00016168">
                              <w:rPr>
                                <w:rStyle w:val="BookTitle"/>
                                <w:rFonts w:ascii="Times" w:hAnsi="Times"/>
                                <w:sz w:val="40"/>
                                <w:szCs w:val="40"/>
                              </w:rPr>
                              <w:t>Discuss the changes in British policy towards Northern Ireland between 1968 and 1979. What accounts for the shift in policy from March 1972?</w:t>
                            </w:r>
                            <w:r w:rsidR="001C20A4" w:rsidRPr="00016168">
                              <w:rPr>
                                <w:rStyle w:val="BookTitle"/>
                                <w:rFonts w:ascii="Times" w:hAnsi="Times"/>
                                <w:sz w:val="40"/>
                                <w:szCs w:val="40"/>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74DA2A1" id="_x0000_t202" coordsize="21600,21600" o:spt="202" path="m,l,21600r21600,l21600,xe">
                <v:stroke joinstyle="miter"/>
                <v:path gradientshapeok="t" o:connecttype="rect"/>
              </v:shapetype>
              <v:shape id="Text Box 196" o:spid="_x0000_s1027" type="#_x0000_t202" style="position:absolute;margin-left:1pt;margin-top:5.1pt;width:540pt;height:247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" fillcolor="white [3212]" stroked="f" strokeweight=".5pt">
                <v:textbox inset="36pt,7.2pt,36pt,7.2pt">
                  <w:txbxContent>
                    <w:p w14:paraId="05F31993" w14:textId="77777777" w:rsidR="004B2AF0" w:rsidRPr="004B2AF0" w:rsidRDefault="004B2AF0" w:rsidP="00C7467D">
                      <w:pPr>
                        <w:pStyle w:val="PersonalName"/>
                        <w:rPr>
                          <w:rStyle w:val="BookTitle"/>
                          <w:rFonts w:ascii="Times" w:hAnsi="Times"/>
                          <w:b/>
                          <w:bCs w:val="0"/>
                          <w:sz w:val="32"/>
                          <w:szCs w:val="32"/>
                        </w:rPr>
                      </w:pPr>
                    </w:p>
                    <w:p w14:paraId="18DDC66D" w14:textId="6B85C568" w:rsidR="008543B7" w:rsidRDefault="008543B7" w:rsidP="00C7467D">
                      <w:pPr>
                        <w:pStyle w:val="PersonalName"/>
                        <w:rPr>
                          <w:rStyle w:val="BookTitle"/>
                          <w:rFonts w:ascii="Times" w:hAnsi="Times"/>
                          <w:sz w:val="72"/>
                          <w:szCs w:val="72"/>
                        </w:rPr>
                      </w:pPr>
                      <w:r w:rsidRPr="004B2AF0">
                        <w:rPr>
                          <w:rStyle w:val="BookTitle"/>
                          <w:rFonts w:ascii="Times" w:hAnsi="Times"/>
                          <w:b/>
                          <w:bCs w:val="0"/>
                          <w:sz w:val="72"/>
                          <w:szCs w:val="72"/>
                        </w:rPr>
                        <w:t>HPHI6912</w:t>
                      </w:r>
                      <w:r w:rsidR="001C20A4" w:rsidRPr="00DA716F">
                        <w:rPr>
                          <w:rStyle w:val="BookTitle"/>
                          <w:rFonts w:ascii="Times" w:hAnsi="Times"/>
                          <w:sz w:val="72"/>
                          <w:szCs w:val="72"/>
                        </w:rPr>
                        <w:t xml:space="preserve"> –                     </w:t>
                      </w:r>
                    </w:p>
                    <w:p w14:paraId="056BE447" w14:textId="2BD15605" w:rsidR="00C7467D" w:rsidRPr="004B2AF0" w:rsidRDefault="008543B7" w:rsidP="00C7467D">
                      <w:pPr>
                        <w:pStyle w:val="PersonalName"/>
                        <w:rPr>
                          <w:rStyle w:val="BookTitle"/>
                          <w:rFonts w:ascii="Times" w:hAnsi="Times"/>
                          <w:sz w:val="72"/>
                          <w:szCs w:val="72"/>
                        </w:rPr>
                      </w:pPr>
                      <w:r w:rsidRPr="004B2AF0">
                        <w:rPr>
                          <w:rStyle w:val="BookTitle"/>
                          <w:rFonts w:ascii="Times" w:hAnsi="Times"/>
                          <w:sz w:val="72"/>
                          <w:szCs w:val="72"/>
                        </w:rPr>
                        <w:t xml:space="preserve">The Irish Question </w:t>
                      </w:r>
                    </w:p>
                    <w:p w14:paraId="531880EF" w14:textId="77777777" w:rsidR="008543B7" w:rsidRPr="004B2AF0" w:rsidRDefault="008543B7" w:rsidP="00C7467D">
                      <w:pPr>
                        <w:pStyle w:val="PersonalName"/>
                        <w:rPr>
                          <w:rStyle w:val="BookTitle"/>
                          <w:rFonts w:ascii="Times" w:hAnsi="Times"/>
                          <w:sz w:val="32"/>
                          <w:szCs w:val="32"/>
                        </w:rPr>
                      </w:pPr>
                    </w:p>
                    <w:p w14:paraId="108820D9" w14:textId="77777777" w:rsidR="00016168" w:rsidRDefault="001C20A4" w:rsidP="00016168">
                      <w:pPr>
                        <w:pStyle w:val="PersonalName"/>
                        <w:rPr>
                          <w:rStyle w:val="BookTitle"/>
                          <w:rFonts w:ascii="Times" w:hAnsi="Times"/>
                          <w:sz w:val="52"/>
                          <w:szCs w:val="52"/>
                        </w:rPr>
                      </w:pPr>
                      <w:r w:rsidRPr="004B2AF0">
                        <w:rPr>
                          <w:rStyle w:val="BookTitle"/>
                          <w:rFonts w:ascii="Times" w:hAnsi="Times"/>
                          <w:b/>
                          <w:bCs w:val="0"/>
                          <w:sz w:val="72"/>
                          <w:szCs w:val="72"/>
                        </w:rPr>
                        <w:t xml:space="preserve">Assignment </w:t>
                      </w:r>
                      <w:r w:rsidR="00016168">
                        <w:rPr>
                          <w:rStyle w:val="BookTitle"/>
                          <w:rFonts w:ascii="Times" w:hAnsi="Times"/>
                          <w:b/>
                          <w:bCs w:val="0"/>
                          <w:sz w:val="72"/>
                          <w:szCs w:val="72"/>
                        </w:rPr>
                        <w:t>2</w:t>
                      </w:r>
                      <w:r w:rsidRPr="004B2AF0">
                        <w:rPr>
                          <w:rStyle w:val="BookTitle"/>
                          <w:rFonts w:ascii="Times" w:hAnsi="Times"/>
                          <w:sz w:val="72"/>
                          <w:szCs w:val="72"/>
                        </w:rPr>
                        <w:t xml:space="preserve"> </w:t>
                      </w:r>
                      <w:r w:rsidR="00C7467D">
                        <w:rPr>
                          <w:rStyle w:val="BookTitle"/>
                          <w:rFonts w:ascii="Times" w:hAnsi="Times"/>
                          <w:sz w:val="52"/>
                          <w:szCs w:val="52"/>
                        </w:rPr>
                        <w:t xml:space="preserve">– </w:t>
                      </w:r>
                    </w:p>
                    <w:p w14:paraId="7E8691F2" w14:textId="756DCE16" w:rsidR="003C1ADD" w:rsidRPr="00DA716F" w:rsidRDefault="00016168" w:rsidP="00016168">
                      <w:pPr>
                        <w:pStyle w:val="PersonalName"/>
                        <w:rPr>
                          <w:rStyle w:val="BookTitle"/>
                          <w:rFonts w:ascii="Times" w:hAnsi="Times"/>
                          <w:sz w:val="52"/>
                          <w:szCs w:val="52"/>
                        </w:rPr>
                      </w:pPr>
                      <w:r w:rsidRPr="00016168">
                        <w:rPr>
                          <w:rStyle w:val="BookTitle"/>
                          <w:rFonts w:ascii="Times" w:hAnsi="Times"/>
                          <w:sz w:val="40"/>
                          <w:szCs w:val="40"/>
                        </w:rPr>
                        <w:t>Discuss the changes in British policy towards Northern Ireland between 1968 and 1979. What accounts for the shift in policy from March 1972?</w:t>
                      </w:r>
                      <w:r w:rsidR="001C20A4" w:rsidRPr="00016168">
                        <w:rPr>
                          <w:rStyle w:val="BookTitle"/>
                          <w:rFonts w:ascii="Times" w:hAnsi="Times"/>
                          <w:sz w:val="40"/>
                          <w:szCs w:val="40"/>
                        </w:rPr>
                        <w:t xml:space="preserve">                             </w:t>
                      </w:r>
                    </w:p>
                  </w:txbxContent>
                </v:textbox>
              </v:shape>
            </w:pict>
          </mc:Fallback>
        </mc:AlternateContent>
      </w:r>
    </w:p>
    <w:p w14:paraId="4D7E34CB" w14:textId="77777777" w:rsidR="002772B7" w:rsidRDefault="002772B7" w:rsidP="00611DEE">
      <w:pPr>
        <w:rPr>
          <w:rFonts w:ascii="Calibri" w:hAnsi="Calibri" w:cs="Calibri"/>
          <w:sz w:val="24"/>
          <w:szCs w:val="24"/>
        </w:rPr>
      </w:pPr>
    </w:p>
    <w:p w14:paraId="38D5F72C" w14:textId="77777777" w:rsidR="002772B7" w:rsidRDefault="002772B7" w:rsidP="00611DEE">
      <w:pPr>
        <w:rPr>
          <w:rFonts w:ascii="Calibri" w:hAnsi="Calibri" w:cs="Calibri"/>
          <w:sz w:val="24"/>
          <w:szCs w:val="24"/>
        </w:rPr>
      </w:pPr>
    </w:p>
    <w:p w14:paraId="30E71428" w14:textId="77777777" w:rsidR="002772B7" w:rsidRDefault="002772B7" w:rsidP="00611DEE">
      <w:pPr>
        <w:rPr>
          <w:rFonts w:ascii="Calibri" w:hAnsi="Calibri" w:cs="Calibri"/>
          <w:sz w:val="24"/>
          <w:szCs w:val="24"/>
        </w:rPr>
      </w:pPr>
    </w:p>
    <w:p w14:paraId="28A37545" w14:textId="77777777" w:rsidR="002772B7" w:rsidRDefault="002772B7" w:rsidP="00611DEE">
      <w:pPr>
        <w:rPr>
          <w:rFonts w:ascii="Calibri" w:hAnsi="Calibri" w:cs="Calibri"/>
          <w:sz w:val="24"/>
          <w:szCs w:val="24"/>
        </w:rPr>
      </w:pPr>
    </w:p>
    <w:p w14:paraId="43E9E929" w14:textId="77777777" w:rsidR="002772B7" w:rsidRDefault="002772B7" w:rsidP="00611DEE">
      <w:pPr>
        <w:rPr>
          <w:rFonts w:ascii="Calibri" w:hAnsi="Calibri" w:cs="Calibri"/>
          <w:sz w:val="24"/>
          <w:szCs w:val="24"/>
        </w:rPr>
      </w:pPr>
    </w:p>
    <w:p w14:paraId="34F968DC" w14:textId="690E0D06" w:rsidR="00617A74" w:rsidRDefault="00617A74" w:rsidP="00611DEE">
      <w:pPr>
        <w:tabs>
          <w:tab w:val="left" w:pos="4380"/>
        </w:tabs>
        <w:rPr>
          <w:rFonts w:ascii="Calibri" w:hAnsi="Calibri" w:cs="Calibri"/>
          <w:sz w:val="24"/>
          <w:szCs w:val="24"/>
        </w:rPr>
      </w:pPr>
    </w:p>
    <w:p w14:paraId="54A6BCED" w14:textId="778F056B" w:rsidR="00617A74" w:rsidRDefault="009B7387" w:rsidP="00611DEE">
      <w:pPr>
        <w:tabs>
          <w:tab w:val="left" w:pos="1529"/>
          <w:tab w:val="left" w:pos="3097"/>
        </w:tabs>
        <w:rPr>
          <w:rFonts w:ascii="Calibri" w:hAnsi="Calibri" w:cs="Calibri"/>
          <w:sz w:val="24"/>
          <w:szCs w:val="24"/>
        </w:rPr>
      </w:pPr>
      <w:r>
        <w:rPr>
          <w:rFonts w:ascii="Calibri" w:hAnsi="Calibri" w:cs="Calibri"/>
          <w:sz w:val="24"/>
          <w:szCs w:val="24"/>
        </w:rPr>
        <w:tab/>
      </w:r>
    </w:p>
    <w:p w14:paraId="2F569C24" w14:textId="77777777" w:rsidR="002772B7" w:rsidRDefault="002772B7" w:rsidP="00CC5F1E">
      <w:pPr>
        <w:jc w:val="center"/>
        <w:rPr>
          <w:rFonts w:ascii="Calibri" w:hAnsi="Calibri" w:cs="Calibri"/>
          <w:sz w:val="24"/>
          <w:szCs w:val="24"/>
        </w:rPr>
      </w:pPr>
    </w:p>
    <w:p w14:paraId="215D02A8" w14:textId="77777777" w:rsidR="002772B7" w:rsidRDefault="002772B7" w:rsidP="00611DEE">
      <w:pPr>
        <w:rPr>
          <w:rFonts w:ascii="Calibri" w:hAnsi="Calibri" w:cs="Calibri"/>
          <w:sz w:val="24"/>
          <w:szCs w:val="24"/>
        </w:rPr>
      </w:pPr>
    </w:p>
    <w:p w14:paraId="72ABB2FF" w14:textId="77777777" w:rsidR="002772B7" w:rsidRDefault="002772B7" w:rsidP="00611DEE">
      <w:pPr>
        <w:rPr>
          <w:rFonts w:ascii="Calibri" w:hAnsi="Calibri" w:cs="Calibri"/>
          <w:sz w:val="24"/>
          <w:szCs w:val="24"/>
        </w:rPr>
      </w:pPr>
    </w:p>
    <w:p w14:paraId="309FA2DF" w14:textId="77777777" w:rsidR="002772B7" w:rsidRDefault="002772B7" w:rsidP="00611DEE">
      <w:pPr>
        <w:rPr>
          <w:rFonts w:ascii="Calibri" w:hAnsi="Calibri" w:cs="Calibri"/>
          <w:sz w:val="24"/>
          <w:szCs w:val="24"/>
        </w:rPr>
      </w:pPr>
    </w:p>
    <w:p w14:paraId="3B63ECA4" w14:textId="77777777" w:rsidR="002772B7" w:rsidRDefault="002772B7" w:rsidP="00611DEE">
      <w:pPr>
        <w:rPr>
          <w:rFonts w:ascii="Calibri" w:hAnsi="Calibri" w:cs="Calibri"/>
          <w:sz w:val="24"/>
          <w:szCs w:val="24"/>
        </w:rPr>
      </w:pPr>
    </w:p>
    <w:p w14:paraId="7EC7D43B" w14:textId="77777777" w:rsidR="002772B7" w:rsidRDefault="002772B7" w:rsidP="00611DEE">
      <w:pPr>
        <w:rPr>
          <w:rFonts w:ascii="Calibri" w:hAnsi="Calibri" w:cs="Calibri"/>
          <w:sz w:val="24"/>
          <w:szCs w:val="24"/>
        </w:rPr>
      </w:pPr>
    </w:p>
    <w:p w14:paraId="6F6A8252" w14:textId="77777777" w:rsidR="002772B7" w:rsidRDefault="002772B7" w:rsidP="00611DEE">
      <w:pPr>
        <w:rPr>
          <w:rFonts w:ascii="Calibri" w:hAnsi="Calibri" w:cs="Calibri"/>
          <w:sz w:val="24"/>
          <w:szCs w:val="24"/>
        </w:rPr>
      </w:pPr>
    </w:p>
    <w:p w14:paraId="4BF579EC" w14:textId="77777777" w:rsidR="002772B7" w:rsidRDefault="002772B7" w:rsidP="00611DEE">
      <w:pPr>
        <w:rPr>
          <w:rFonts w:ascii="Calibri" w:hAnsi="Calibri" w:cs="Calibri"/>
          <w:sz w:val="24"/>
          <w:szCs w:val="24"/>
        </w:rPr>
      </w:pPr>
    </w:p>
    <w:p w14:paraId="4B125BDB" w14:textId="77777777" w:rsidR="002772B7" w:rsidRDefault="002772B7" w:rsidP="00611DEE">
      <w:pPr>
        <w:rPr>
          <w:rFonts w:ascii="Calibri" w:hAnsi="Calibri" w:cs="Calibri"/>
          <w:sz w:val="24"/>
          <w:szCs w:val="24"/>
        </w:rPr>
      </w:pPr>
    </w:p>
    <w:p w14:paraId="25EA0A03" w14:textId="77777777" w:rsidR="002772B7" w:rsidRDefault="002772B7" w:rsidP="00611DEE">
      <w:pPr>
        <w:rPr>
          <w:rFonts w:ascii="Calibri" w:hAnsi="Calibri" w:cs="Calibri"/>
          <w:sz w:val="24"/>
          <w:szCs w:val="24"/>
        </w:rPr>
      </w:pPr>
    </w:p>
    <w:p w14:paraId="24B5715D" w14:textId="2FE172D1" w:rsidR="00464788" w:rsidRDefault="005E1E80" w:rsidP="00611DEE">
      <w:pPr>
        <w:tabs>
          <w:tab w:val="left" w:pos="6840"/>
        </w:tabs>
        <w:rPr>
          <w:rFonts w:ascii="Calibri" w:eastAsia="Times New Roman" w:hAnsi="Calibri" w:cs="Calibri"/>
          <w:color w:val="0E101A"/>
          <w:sz w:val="24"/>
          <w:szCs w:val="24"/>
          <w:lang w:eastAsia="en-GB"/>
        </w:rPr>
      </w:pPr>
      <w:r>
        <w:rPr>
          <w:rFonts w:ascii="Calibri" w:eastAsia="Times New Roman" w:hAnsi="Calibri" w:cs="Calibri"/>
          <w:color w:val="0E101A"/>
          <w:sz w:val="24"/>
          <w:szCs w:val="24"/>
          <w:lang w:eastAsia="en-GB"/>
        </w:rPr>
        <w:tab/>
      </w:r>
    </w:p>
    <w:p w14:paraId="3BFC1200" w14:textId="77777777" w:rsidR="00B552F5" w:rsidRDefault="00B552F5" w:rsidP="00323815">
      <w:pPr>
        <w:spacing w:after="200" w:line="276" w:lineRule="auto"/>
        <w:rPr>
          <w:rFonts w:ascii="Calibri" w:eastAsia="Times New Roman" w:hAnsi="Calibri" w:cs="Calibri"/>
          <w:color w:val="0E101A"/>
          <w:sz w:val="24"/>
          <w:szCs w:val="24"/>
          <w:lang w:eastAsia="en-GB"/>
        </w:rPr>
      </w:pPr>
    </w:p>
    <w:p w14:paraId="183B961D" w14:textId="44B93B1A" w:rsidR="00323815" w:rsidRPr="00B552F5" w:rsidRDefault="00B552F5" w:rsidP="00323815">
      <w:pPr>
        <w:spacing w:after="200" w:line="276" w:lineRule="auto"/>
        <w:rPr>
          <w:rFonts w:ascii="Times New Roman" w:hAnsi="Times New Roman" w:cs="Times New Roman"/>
          <w:sz w:val="22"/>
        </w:rPr>
      </w:pPr>
      <w:r w:rsidRPr="00B552F5">
        <w:rPr>
          <w:rFonts w:ascii="Times New Roman" w:eastAsia="Times New Roman" w:hAnsi="Times New Roman" w:cs="Times New Roman"/>
          <w:color w:val="0E101A"/>
          <w:sz w:val="22"/>
          <w:lang w:eastAsia="en-GB"/>
        </w:rPr>
        <w:lastRenderedPageBreak/>
        <w:t>I</w:t>
      </w:r>
      <w:r w:rsidR="00323815" w:rsidRPr="00B552F5">
        <w:rPr>
          <w:rFonts w:ascii="Times New Roman" w:hAnsi="Times New Roman" w:cs="Times New Roman"/>
          <w:sz w:val="22"/>
        </w:rPr>
        <w:t>reland has a complex and troubled history that dates back to the 12th Century when British control began.</w:t>
      </w:r>
      <w:r w:rsidR="00323815" w:rsidRPr="00B552F5">
        <w:rPr>
          <w:rStyle w:val="FootnoteReference"/>
          <w:rFonts w:ascii="Times New Roman" w:hAnsi="Times New Roman" w:cs="Times New Roman"/>
          <w:sz w:val="22"/>
        </w:rPr>
        <w:footnoteReference w:id="1"/>
      </w:r>
      <w:r w:rsidR="00323815" w:rsidRPr="00B552F5">
        <w:rPr>
          <w:rFonts w:ascii="Times New Roman" w:hAnsi="Times New Roman" w:cs="Times New Roman"/>
          <w:sz w:val="22"/>
        </w:rPr>
        <w:t xml:space="preserve"> Over the last 750 years,</w:t>
      </w:r>
      <w:r w:rsidR="00323815" w:rsidRPr="00B552F5">
        <w:rPr>
          <w:rStyle w:val="FootnoteReference"/>
          <w:rFonts w:ascii="Times New Roman" w:hAnsi="Times New Roman" w:cs="Times New Roman"/>
          <w:sz w:val="22"/>
        </w:rPr>
        <w:footnoteReference w:id="2"/>
      </w:r>
      <w:r w:rsidR="00323815" w:rsidRPr="00B552F5">
        <w:rPr>
          <w:rFonts w:ascii="Times New Roman" w:hAnsi="Times New Roman" w:cs="Times New Roman"/>
          <w:sz w:val="22"/>
        </w:rPr>
        <w:t xml:space="preserve"> this period has been marked by significant turmoil and loss of life. Despite facing hardships, Ireland has learned valuable lessons and continues to strengthen and evolve, especially after its separation from Britain. The violence and civil unrest in Northern Ireland became known as The Troubles and began in August 1969 and lasted until the signing of the Good Friday Agreement in 1998.</w:t>
      </w:r>
      <w:r w:rsidR="00323815" w:rsidRPr="00B552F5">
        <w:rPr>
          <w:rStyle w:val="FootnoteReference"/>
          <w:rFonts w:ascii="Times New Roman" w:hAnsi="Times New Roman" w:cs="Times New Roman"/>
          <w:sz w:val="22"/>
        </w:rPr>
        <w:footnoteReference w:id="3"/>
      </w:r>
      <w:r w:rsidR="00323815" w:rsidRPr="00B552F5">
        <w:rPr>
          <w:rFonts w:ascii="Times New Roman" w:hAnsi="Times New Roman" w:cs="Times New Roman"/>
          <w:sz w:val="22"/>
        </w:rPr>
        <w:t xml:space="preserve"> This period was marked by significant violence and uncertainty, which profoundly influenced the social and political landscape of Northern Ireland. Existing laws and policies are ineffective, as civil unrest and subsequent armed conflict have significantly tested the established systems of governance, legal frameworks, and order. This situation indicates that a change is necessary. Over the years, tensions have grown between Catholic nationalists and Protestant unionists. Many believe that republican and loyalist paramilitary groups have committed acts of violence and terrorism, driven by the belief that these acts are the only way to bring about change in Northern Ireland. In this essay, I will review various academic and publicly available sources to help discuss the changes in British policy towards Northern Ireland between 1968 and 1979. I will thoroughly analyse two significant accounts that have played a crucial role in driving the shift in policy, starting from March 1972.</w:t>
      </w:r>
    </w:p>
    <w:p w14:paraId="40FA90FB" w14:textId="77777777"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Before 1968, the Northern Irish Government, known as Stormont</w:t>
      </w:r>
      <w:r w:rsidRPr="00B552F5">
        <w:rPr>
          <w:rFonts w:ascii="Times New Roman" w:hAnsi="Times New Roman" w:cs="Times New Roman"/>
          <w:sz w:val="22"/>
        </w:rPr>
        <w:t>,</w:t>
      </w:r>
      <w:r w:rsidRPr="00B552F5">
        <w:rPr>
          <w:rStyle w:val="FootnoteReference"/>
          <w:rFonts w:ascii="Times New Roman" w:hAnsi="Times New Roman" w:cs="Times New Roman"/>
          <w:sz w:val="22"/>
        </w:rPr>
        <w:footnoteReference w:id="4"/>
      </w:r>
      <w:r w:rsidRPr="00FB578C">
        <w:rPr>
          <w:rFonts w:ascii="Times New Roman" w:hAnsi="Times New Roman" w:cs="Times New Roman"/>
          <w:sz w:val="22"/>
        </w:rPr>
        <w:t xml:space="preserve"> operated under a Unionist-dominated administration established by the Government of Ireland Act of 1920.</w:t>
      </w:r>
      <w:r w:rsidRPr="00B552F5">
        <w:rPr>
          <w:rStyle w:val="FootnoteReference"/>
          <w:rFonts w:ascii="Times New Roman" w:hAnsi="Times New Roman" w:cs="Times New Roman"/>
          <w:sz w:val="22"/>
        </w:rPr>
        <w:footnoteReference w:id="5"/>
      </w:r>
      <w:r w:rsidRPr="00FB578C">
        <w:rPr>
          <w:rFonts w:ascii="Times New Roman" w:hAnsi="Times New Roman" w:cs="Times New Roman"/>
          <w:sz w:val="22"/>
        </w:rPr>
        <w:t xml:space="preserve"> While Stormont managed internal affairs, key issues like foreign policy and defence remained under British control. During the Troubles, changes in leadership and significant roles within the government may have influenced the policies and transformations occurring during that tumultuous period.</w:t>
      </w:r>
    </w:p>
    <w:p w14:paraId="6798BABB" w14:textId="77777777"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Violence has played a pivotal role in shaping British policy towards Northern Ireland, reflecting the region's turbulent history. The ongoing civil unrest between the Catholic and Protestant communities and the Republican and Loyalist paramilitary groups during this period became known as The Troubles</w:t>
      </w:r>
      <w:r w:rsidRPr="00B552F5">
        <w:rPr>
          <w:rStyle w:val="FootnoteReference"/>
          <w:rFonts w:ascii="Times New Roman" w:hAnsi="Times New Roman" w:cs="Times New Roman"/>
          <w:sz w:val="22"/>
        </w:rPr>
        <w:footnoteReference w:id="6"/>
      </w:r>
      <w:r w:rsidRPr="00B552F5">
        <w:rPr>
          <w:rFonts w:ascii="Times New Roman" w:hAnsi="Times New Roman" w:cs="Times New Roman"/>
          <w:sz w:val="22"/>
        </w:rPr>
        <w:t xml:space="preserve"> </w:t>
      </w:r>
      <w:r w:rsidRPr="00FB578C">
        <w:rPr>
          <w:rFonts w:ascii="Times New Roman" w:hAnsi="Times New Roman" w:cs="Times New Roman"/>
          <w:sz w:val="22"/>
        </w:rPr>
        <w:t>from August 1969 to the signing of the Good Friday Agreement</w:t>
      </w:r>
      <w:r w:rsidRPr="00B552F5">
        <w:rPr>
          <w:rFonts w:ascii="Times New Roman" w:hAnsi="Times New Roman" w:cs="Times New Roman"/>
          <w:sz w:val="22"/>
        </w:rPr>
        <w:t xml:space="preserve"> </w:t>
      </w:r>
      <w:r w:rsidRPr="00FB578C">
        <w:rPr>
          <w:rFonts w:ascii="Times New Roman" w:hAnsi="Times New Roman" w:cs="Times New Roman"/>
          <w:sz w:val="22"/>
        </w:rPr>
        <w:t>in 1998, highlighted Britain's deep involvement and influence in efforts to foster peace in Northern Ireland. </w:t>
      </w:r>
      <w:r w:rsidRPr="00B552F5">
        <w:rPr>
          <w:rFonts w:ascii="Times New Roman" w:hAnsi="Times New Roman" w:cs="Times New Roman"/>
          <w:sz w:val="22"/>
        </w:rPr>
        <w:t>T</w:t>
      </w:r>
      <w:r w:rsidRPr="00FB578C">
        <w:rPr>
          <w:rFonts w:ascii="Times New Roman" w:hAnsi="Times New Roman" w:cs="Times New Roman"/>
          <w:sz w:val="22"/>
        </w:rPr>
        <w:t>hroughout the Troubles, it is believed that 3,524 deaths occurred from the summer of 1969 until the end of 2001, of which 93% occurred within Northern Ireland; however, 125 of these 3,524 deaths occurred on British soil and were the result of terrorism.</w:t>
      </w:r>
      <w:r w:rsidRPr="00B552F5">
        <w:rPr>
          <w:rStyle w:val="FootnoteReference"/>
          <w:rFonts w:ascii="Times New Roman" w:hAnsi="Times New Roman" w:cs="Times New Roman"/>
          <w:sz w:val="22"/>
        </w:rPr>
        <w:footnoteReference w:id="7"/>
      </w:r>
      <w:r w:rsidRPr="00FB578C">
        <w:rPr>
          <w:rFonts w:ascii="Times New Roman" w:hAnsi="Times New Roman" w:cs="Times New Roman"/>
          <w:sz w:val="22"/>
        </w:rPr>
        <w:t xml:space="preserve">  </w:t>
      </w:r>
    </w:p>
    <w:p w14:paraId="6940980F" w14:textId="10616C40"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As a result of this, the British Army was deployed. The British Army's deployment to Northern Ireland became significantly influenced by a series of incidents aimed at addressing rising tensions in the region. This eventually resulted in violence being brought over to Britain in the form of terrorism-style attacks. This military presence began on 14 August 1968 and continued until 31 July 2007, making it one of the longest operations in which the British Army was involved in a single country. This period became known by the British Army as Operation Banner.</w:t>
      </w:r>
      <w:r w:rsidR="002B023C">
        <w:rPr>
          <w:rStyle w:val="FootnoteReference"/>
          <w:rFonts w:ascii="Times New Roman" w:hAnsi="Times New Roman" w:cs="Times New Roman"/>
          <w:sz w:val="22"/>
        </w:rPr>
        <w:footnoteReference w:id="8"/>
      </w:r>
      <w:r w:rsidRPr="00FB578C">
        <w:rPr>
          <w:rFonts w:ascii="Times New Roman" w:hAnsi="Times New Roman" w:cs="Times New Roman"/>
          <w:sz w:val="22"/>
        </w:rPr>
        <w:t xml:space="preserve"> The violence during the Troubles </w:t>
      </w:r>
      <w:r w:rsidRPr="00FB578C">
        <w:rPr>
          <w:rFonts w:ascii="Times New Roman" w:hAnsi="Times New Roman" w:cs="Times New Roman"/>
          <w:sz w:val="22"/>
        </w:rPr>
        <w:lastRenderedPageBreak/>
        <w:t>in Northern Ireland created a complex and dangerous environment that led to British soldiers facing travel restrictions. Despite the Good Friday Agreement, some of my friends who served in Northern Ireland were still prohibited from travelling there in recent years, as they remained at risk of being targeted.</w:t>
      </w:r>
    </w:p>
    <w:p w14:paraId="6E166883" w14:textId="77777777"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The violence in Northern Ireland intensified with the Battle of the Bogside, a significant event that occurred in Derry/Londonderry in 1969. This confrontation marked a pivotal moment in the region's history and is often seen as a catalyst for further unrest. It stemmed from longstanding tensions between Protestant and Catholic communities. In response to the escalating conflict, the British Army was called in to provide support at the request of the unionist government of Northern Ireland. </w:t>
      </w:r>
    </w:p>
    <w:p w14:paraId="6CB46D76" w14:textId="77777777"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Following this, Bloody Sunday took place on 30 January 1972. Bloody Sunday refers to a peaceful Civil Rights protest that turned violent, resulting in the British Paratroopers shooting 13 unarmed civilians and wounding 15 others.</w:t>
      </w:r>
      <w:r w:rsidRPr="00B552F5">
        <w:rPr>
          <w:rStyle w:val="FootnoteReference"/>
          <w:rFonts w:ascii="Times New Roman" w:hAnsi="Times New Roman" w:cs="Times New Roman"/>
          <w:sz w:val="22"/>
        </w:rPr>
        <w:footnoteReference w:id="9"/>
      </w:r>
      <w:r w:rsidRPr="00FB578C">
        <w:rPr>
          <w:rFonts w:ascii="Times New Roman" w:hAnsi="Times New Roman" w:cs="Times New Roman"/>
          <w:sz w:val="22"/>
        </w:rPr>
        <w:t xml:space="preserve"> The protest in question was conducted by </w:t>
      </w:r>
      <w:r w:rsidRPr="00B552F5">
        <w:rPr>
          <w:rFonts w:ascii="Times New Roman" w:hAnsi="Times New Roman" w:cs="Times New Roman"/>
          <w:sz w:val="22"/>
        </w:rPr>
        <w:t>t</w:t>
      </w:r>
      <w:r w:rsidRPr="00FB578C">
        <w:rPr>
          <w:rFonts w:ascii="Times New Roman" w:hAnsi="Times New Roman" w:cs="Times New Roman"/>
          <w:sz w:val="22"/>
        </w:rPr>
        <w:t>he Northern Ireland Civil Rights Association (NICRA)</w:t>
      </w:r>
      <w:r w:rsidRPr="00B552F5">
        <w:rPr>
          <w:rStyle w:val="FootnoteReference"/>
          <w:rFonts w:ascii="Times New Roman" w:hAnsi="Times New Roman" w:cs="Times New Roman"/>
          <w:sz w:val="22"/>
        </w:rPr>
        <w:footnoteReference w:id="10"/>
      </w:r>
      <w:r w:rsidRPr="00FB578C">
        <w:rPr>
          <w:rFonts w:ascii="Times New Roman" w:hAnsi="Times New Roman" w:cs="Times New Roman"/>
          <w:sz w:val="22"/>
        </w:rPr>
        <w:t xml:space="preserve"> in response to the newly legislated policy of imprisonment without trial </w:t>
      </w:r>
      <w:r w:rsidRPr="00B552F5">
        <w:rPr>
          <w:rFonts w:ascii="Times New Roman" w:hAnsi="Times New Roman" w:cs="Times New Roman"/>
          <w:sz w:val="22"/>
        </w:rPr>
        <w:t>to</w:t>
      </w:r>
      <w:r w:rsidRPr="00FB578C">
        <w:rPr>
          <w:rFonts w:ascii="Times New Roman" w:hAnsi="Times New Roman" w:cs="Times New Roman"/>
          <w:sz w:val="22"/>
        </w:rPr>
        <w:t xml:space="preserve"> prevent paramilitary attacks before they </w:t>
      </w:r>
      <w:r w:rsidRPr="00B552F5">
        <w:rPr>
          <w:rFonts w:ascii="Times New Roman" w:hAnsi="Times New Roman" w:cs="Times New Roman"/>
          <w:sz w:val="22"/>
        </w:rPr>
        <w:t>occurred</w:t>
      </w:r>
      <w:r w:rsidRPr="00FB578C">
        <w:rPr>
          <w:rFonts w:ascii="Times New Roman" w:hAnsi="Times New Roman" w:cs="Times New Roman"/>
          <w:sz w:val="22"/>
        </w:rPr>
        <w:t>.</w:t>
      </w:r>
      <w:r w:rsidRPr="00B552F5">
        <w:rPr>
          <w:rStyle w:val="FootnoteReference"/>
          <w:rFonts w:ascii="Times New Roman" w:hAnsi="Times New Roman" w:cs="Times New Roman"/>
          <w:sz w:val="22"/>
        </w:rPr>
        <w:footnoteReference w:id="11"/>
      </w:r>
    </w:p>
    <w:p w14:paraId="6B057CDE" w14:textId="77777777" w:rsidR="00C318BD"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Bloody Sunday had a profound impact on the Northern Irish community, prompting the British government to conduct an inquest into the events that occurred. The inquiry sought to determine whether the incident could have been avoided and to establish the truth regarding whether the British Army were targeted first. In April 1972, the Widgery Report was published, claiming that those who were killed were members of the Irish Republican Army (IRA) and publicly proclaiming that the British Army acted in self-defence. However, this report has been criticised as being biased, suggesting an intent to portray the IRA unfavourably.</w:t>
      </w:r>
      <w:r w:rsidRPr="00B552F5">
        <w:rPr>
          <w:rStyle w:val="FootnoteReference"/>
          <w:rFonts w:ascii="Times New Roman" w:hAnsi="Times New Roman" w:cs="Times New Roman"/>
          <w:sz w:val="22"/>
        </w:rPr>
        <w:footnoteReference w:id="12"/>
      </w:r>
      <w:r w:rsidRPr="00FB578C">
        <w:rPr>
          <w:rFonts w:ascii="Times New Roman" w:hAnsi="Times New Roman" w:cs="Times New Roman"/>
          <w:sz w:val="22"/>
        </w:rPr>
        <w:t xml:space="preserve">  Bloody Sunday highlighted serious flaws in British policy, leading to widespread international condemnation and demands for accountability from the British government. In response, the government initiated a second inquiry known as the Saville Inquiry, </w:t>
      </w:r>
    </w:p>
    <w:p w14:paraId="60D83C14" w14:textId="685048CB"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which began in January 1998 and concluded in June 2010.</w:t>
      </w:r>
      <w:r w:rsidRPr="00B552F5">
        <w:rPr>
          <w:rStyle w:val="FootnoteReference"/>
          <w:rFonts w:ascii="Times New Roman" w:hAnsi="Times New Roman" w:cs="Times New Roman"/>
          <w:sz w:val="22"/>
        </w:rPr>
        <w:footnoteReference w:id="13"/>
      </w:r>
      <w:r w:rsidRPr="00FB578C">
        <w:rPr>
          <w:rFonts w:ascii="Times New Roman" w:hAnsi="Times New Roman" w:cs="Times New Roman"/>
          <w:sz w:val="22"/>
        </w:rPr>
        <w:t>The findings of this inquiry revealed that those who lost their lives were to be acquitted of any wrongdoing, while the British Army was found to be entirely at fault for 'firing first'. Following these acknowledgements, then-Prime Minister David Cameron issued a formal public apology on behalf of the British government.</w:t>
      </w:r>
      <w:r w:rsidRPr="00B552F5">
        <w:rPr>
          <w:rStyle w:val="FootnoteReference"/>
          <w:rFonts w:ascii="Times New Roman" w:hAnsi="Times New Roman" w:cs="Times New Roman"/>
          <w:sz w:val="22"/>
        </w:rPr>
        <w:footnoteReference w:id="14"/>
      </w:r>
      <w:r w:rsidRPr="00FB578C">
        <w:rPr>
          <w:rFonts w:ascii="Times New Roman" w:hAnsi="Times New Roman" w:cs="Times New Roman"/>
          <w:sz w:val="22"/>
        </w:rPr>
        <w:t xml:space="preserve"> </w:t>
      </w:r>
    </w:p>
    <w:p w14:paraId="6285C0FA" w14:textId="77777777"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The Saville inquiry, along with a statement from Prime Minister David Cameron, underscored the British Army's failure to fulfil its duty to protect civilians during Bloody Sunday. This failure was compounded by attempts to cover up the events through lies and continued acts of violence. Cameron acknowledged the wrongdoing, asserting that </w:t>
      </w:r>
      <w:r w:rsidRPr="00FB578C">
        <w:rPr>
          <w:rFonts w:ascii="Times New Roman" w:hAnsi="Times New Roman" w:cs="Times New Roman"/>
          <w:i/>
          <w:iCs/>
          <w:sz w:val="22"/>
        </w:rPr>
        <w:t>"What happened on Bloody Sunday was both unjustified and unjustifiable."</w:t>
      </w:r>
      <w:r w:rsidRPr="00B552F5">
        <w:rPr>
          <w:rStyle w:val="FootnoteReference"/>
          <w:rFonts w:ascii="Times New Roman" w:hAnsi="Times New Roman" w:cs="Times New Roman"/>
          <w:i/>
          <w:iCs/>
          <w:sz w:val="22"/>
        </w:rPr>
        <w:footnoteReference w:id="15"/>
      </w:r>
      <w:r w:rsidRPr="00FB578C">
        <w:rPr>
          <w:rFonts w:ascii="Times New Roman" w:hAnsi="Times New Roman" w:cs="Times New Roman"/>
          <w:sz w:val="22"/>
        </w:rPr>
        <w:t xml:space="preserve"> His apology on behalf of the British government </w:t>
      </w:r>
      <w:r w:rsidRPr="00FB578C">
        <w:rPr>
          <w:rFonts w:ascii="Times New Roman" w:hAnsi="Times New Roman" w:cs="Times New Roman"/>
          <w:sz w:val="22"/>
        </w:rPr>
        <w:lastRenderedPageBreak/>
        <w:t>highlighted the serious errors made during this tragic event by notably saying, "</w:t>
      </w:r>
      <w:r w:rsidRPr="00FB578C">
        <w:rPr>
          <w:rFonts w:ascii="Times New Roman" w:hAnsi="Times New Roman" w:cs="Times New Roman"/>
          <w:i/>
          <w:iCs/>
          <w:sz w:val="22"/>
        </w:rPr>
        <w:t>And for that, on behalf of the Government - and indeed our country - I am deeply sorry.</w:t>
      </w:r>
      <w:r w:rsidRPr="00FB578C">
        <w:rPr>
          <w:rFonts w:ascii="Times New Roman" w:hAnsi="Times New Roman" w:cs="Times New Roman"/>
          <w:sz w:val="22"/>
        </w:rPr>
        <w:t>"</w:t>
      </w:r>
      <w:r w:rsidRPr="00B552F5">
        <w:rPr>
          <w:rStyle w:val="FootnoteReference"/>
          <w:rFonts w:ascii="Times New Roman" w:hAnsi="Times New Roman" w:cs="Times New Roman"/>
          <w:sz w:val="22"/>
        </w:rPr>
        <w:footnoteReference w:id="16"/>
      </w:r>
      <w:r w:rsidRPr="00FB578C">
        <w:rPr>
          <w:rFonts w:ascii="Times New Roman" w:hAnsi="Times New Roman" w:cs="Times New Roman"/>
          <w:sz w:val="22"/>
        </w:rPr>
        <w:t xml:space="preserve"> </w:t>
      </w:r>
    </w:p>
    <w:p w14:paraId="38769CBA" w14:textId="4B96DD99" w:rsidR="00323815" w:rsidRPr="00FB578C" w:rsidRDefault="00323815" w:rsidP="00323815">
      <w:pPr>
        <w:spacing w:after="200" w:line="276" w:lineRule="auto"/>
        <w:rPr>
          <w:rFonts w:ascii="Times New Roman" w:hAnsi="Times New Roman" w:cs="Times New Roman"/>
          <w:sz w:val="22"/>
        </w:rPr>
      </w:pPr>
      <w:r w:rsidRPr="00B552F5">
        <w:rPr>
          <w:rFonts w:ascii="Times New Roman" w:hAnsi="Times New Roman" w:cs="Times New Roman"/>
          <w:sz w:val="22"/>
        </w:rPr>
        <w:t>The British government's efforts to hide the civil unrest caused by the British Army highlight why victims' families fought for justice. Bloody Sunday was a pivotal event in Northern Ireland, sparking widespread unrest and shaping the conflict's narrative. In retaliation, the IRA targeted British government sites, including the Aldershot bombing on 22 February 1972, which killed seven.</w:t>
      </w:r>
      <w:r w:rsidRPr="00B552F5">
        <w:rPr>
          <w:rStyle w:val="FootnoteReference"/>
          <w:rFonts w:ascii="Times New Roman" w:hAnsi="Times New Roman" w:cs="Times New Roman"/>
          <w:sz w:val="22"/>
        </w:rPr>
        <w:footnoteReference w:id="17"/>
      </w:r>
      <w:r w:rsidRPr="00B552F5">
        <w:rPr>
          <w:rFonts w:ascii="Times New Roman" w:hAnsi="Times New Roman" w:cs="Times New Roman"/>
          <w:sz w:val="22"/>
        </w:rPr>
        <w:t xml:space="preserve"> Later into the Troubles, they also bombed a Brighton hotel in 1984, aiming to kill Prime Minister Margaret Thatcher</w:t>
      </w:r>
      <w:r w:rsidR="00B552F5" w:rsidRPr="00B552F5">
        <w:rPr>
          <w:rFonts w:ascii="Times New Roman" w:hAnsi="Times New Roman" w:cs="Times New Roman"/>
          <w:sz w:val="22"/>
        </w:rPr>
        <w:t xml:space="preserve"> and to take down her government</w:t>
      </w:r>
      <w:r w:rsidRPr="00B552F5">
        <w:rPr>
          <w:rFonts w:ascii="Times New Roman" w:hAnsi="Times New Roman" w:cs="Times New Roman"/>
          <w:sz w:val="22"/>
        </w:rPr>
        <w:t>,</w:t>
      </w:r>
      <w:r w:rsidR="00B552F5" w:rsidRPr="00B552F5">
        <w:rPr>
          <w:rStyle w:val="FootnoteReference"/>
          <w:rFonts w:ascii="Times New Roman" w:hAnsi="Times New Roman" w:cs="Times New Roman"/>
          <w:sz w:val="22"/>
        </w:rPr>
        <w:footnoteReference w:id="18"/>
      </w:r>
      <w:r w:rsidRPr="00B552F5">
        <w:rPr>
          <w:rFonts w:ascii="Times New Roman" w:hAnsi="Times New Roman" w:cs="Times New Roman"/>
          <w:sz w:val="22"/>
        </w:rPr>
        <w:t xml:space="preserve"> resulting in five deaths. The IRA's actions, including attacks on</w:t>
      </w:r>
      <w:r w:rsidR="00B552F5" w:rsidRPr="00B552F5">
        <w:rPr>
          <w:rFonts w:ascii="Times New Roman" w:hAnsi="Times New Roman" w:cs="Times New Roman"/>
          <w:sz w:val="22"/>
        </w:rPr>
        <w:t xml:space="preserve"> garrison towns,</w:t>
      </w:r>
      <w:r w:rsidRPr="00B552F5">
        <w:rPr>
          <w:rFonts w:ascii="Times New Roman" w:hAnsi="Times New Roman" w:cs="Times New Roman"/>
          <w:sz w:val="22"/>
        </w:rPr>
        <w:t xml:space="preserve"> </w:t>
      </w:r>
      <w:r w:rsidR="00B552F5" w:rsidRPr="00B552F5">
        <w:rPr>
          <w:rFonts w:ascii="Times New Roman" w:hAnsi="Times New Roman" w:cs="Times New Roman"/>
          <w:sz w:val="22"/>
        </w:rPr>
        <w:t xml:space="preserve">such as </w:t>
      </w:r>
      <w:r w:rsidRPr="00B552F5">
        <w:rPr>
          <w:rFonts w:ascii="Times New Roman" w:hAnsi="Times New Roman" w:cs="Times New Roman"/>
          <w:sz w:val="22"/>
        </w:rPr>
        <w:t>Colchester</w:t>
      </w:r>
      <w:r w:rsidR="00B552F5" w:rsidRPr="00B552F5">
        <w:rPr>
          <w:rFonts w:ascii="Times New Roman" w:hAnsi="Times New Roman" w:cs="Times New Roman"/>
          <w:sz w:val="22"/>
        </w:rPr>
        <w:t>,</w:t>
      </w:r>
      <w:r w:rsidR="00B552F5" w:rsidRPr="00B552F5">
        <w:rPr>
          <w:rStyle w:val="FootnoteReference"/>
          <w:rFonts w:ascii="Times New Roman" w:hAnsi="Times New Roman" w:cs="Times New Roman"/>
          <w:sz w:val="22"/>
        </w:rPr>
        <w:footnoteReference w:id="19"/>
      </w:r>
      <w:r w:rsidR="00B552F5" w:rsidRPr="00B552F5">
        <w:rPr>
          <w:rFonts w:ascii="Times New Roman" w:hAnsi="Times New Roman" w:cs="Times New Roman"/>
          <w:sz w:val="22"/>
        </w:rPr>
        <w:t xml:space="preserve"> for example</w:t>
      </w:r>
      <w:r w:rsidRPr="00B552F5">
        <w:rPr>
          <w:rFonts w:ascii="Times New Roman" w:hAnsi="Times New Roman" w:cs="Times New Roman"/>
          <w:sz w:val="22"/>
        </w:rPr>
        <w:t>, reflected pressure on the British government to withdraw from Northern Ireland. The government's response included security measures and efforts to hold perpetrators accountable.</w:t>
      </w:r>
      <w:r w:rsidRPr="00B552F5">
        <w:rPr>
          <w:rStyle w:val="FootnoteReference"/>
          <w:rFonts w:ascii="Times New Roman" w:hAnsi="Times New Roman" w:cs="Times New Roman"/>
          <w:sz w:val="22"/>
        </w:rPr>
        <w:footnoteReference w:id="20"/>
      </w:r>
      <w:r w:rsidRPr="00B552F5">
        <w:rPr>
          <w:rFonts w:ascii="Times New Roman" w:hAnsi="Times New Roman" w:cs="Times New Roman"/>
          <w:sz w:val="22"/>
        </w:rPr>
        <w:t xml:space="preserve"> The</w:t>
      </w:r>
      <w:r w:rsidRPr="00FB578C">
        <w:rPr>
          <w:rFonts w:ascii="Times New Roman" w:hAnsi="Times New Roman" w:cs="Times New Roman"/>
          <w:sz w:val="22"/>
        </w:rPr>
        <w:t xml:space="preserve"> presence of the British Army in Northern Ireland prompted significant policy changes in response to the ongoing violence. This unrest eventually spread to Britain, as evidenced by several IRA bombings such as those stated above that occurred on British soil, resulting in a tragic loss of 125 lives.</w:t>
      </w:r>
    </w:p>
    <w:p w14:paraId="501EFD66" w14:textId="77777777"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In 1972, the escalating violence linked to paramilitary actions reached critical proportions, resulting in the deaths of over 470 individuals. This marked the deadliest year of the Troubles, highlighting the intense turmoil and conflict of that period. Consequently, the Northern Ireland (Emergency Provisions) Act 1973</w:t>
      </w:r>
      <w:r w:rsidRPr="00B552F5">
        <w:rPr>
          <w:rStyle w:val="FootnoteReference"/>
          <w:rFonts w:ascii="Times New Roman" w:hAnsi="Times New Roman" w:cs="Times New Roman"/>
          <w:sz w:val="22"/>
        </w:rPr>
        <w:footnoteReference w:id="21"/>
      </w:r>
      <w:r w:rsidRPr="00FB578C">
        <w:rPr>
          <w:rFonts w:ascii="Times New Roman" w:hAnsi="Times New Roman" w:cs="Times New Roman"/>
          <w:sz w:val="22"/>
        </w:rPr>
        <w:t xml:space="preserve"> was introduced to Northern Ireland. The Northern Ireland (Emergency Provisions) Act 1973 was enacted to address the significant challenges posed by terrorism and civil unrest during the early years of the Troubles. The necessity for such legislation stemmed from the violence of 1972, which became one of the deadliest years of the conflict, claiming</w:t>
      </w:r>
      <w:bookmarkStart w:id="0" w:name="OLE_LINK1"/>
      <w:r w:rsidRPr="00FB578C">
        <w:rPr>
          <w:rFonts w:ascii="Times New Roman" w:hAnsi="Times New Roman" w:cs="Times New Roman"/>
          <w:sz w:val="22"/>
        </w:rPr>
        <w:t xml:space="preserve"> 472 </w:t>
      </w:r>
      <w:bookmarkEnd w:id="0"/>
      <w:r w:rsidRPr="00FB578C">
        <w:rPr>
          <w:rFonts w:ascii="Times New Roman" w:hAnsi="Times New Roman" w:cs="Times New Roman"/>
          <w:sz w:val="22"/>
        </w:rPr>
        <w:t xml:space="preserve">lives and marking a peak in the turmoil since the Troubles began in 1969. Notably, civilians made up </w:t>
      </w:r>
      <w:r w:rsidRPr="00B552F5">
        <w:rPr>
          <w:rFonts w:ascii="Times New Roman" w:hAnsi="Times New Roman" w:cs="Times New Roman"/>
          <w:sz w:val="22"/>
        </w:rPr>
        <w:t>most of</w:t>
      </w:r>
      <w:r w:rsidRPr="00FB578C">
        <w:rPr>
          <w:rFonts w:ascii="Times New Roman" w:hAnsi="Times New Roman" w:cs="Times New Roman"/>
          <w:sz w:val="22"/>
        </w:rPr>
        <w:t xml:space="preserve"> the casualties, with 321 people losing their lives.</w:t>
      </w:r>
      <w:r w:rsidRPr="00B552F5">
        <w:rPr>
          <w:rStyle w:val="FootnoteReference"/>
          <w:rFonts w:ascii="Times New Roman" w:hAnsi="Times New Roman" w:cs="Times New Roman"/>
          <w:sz w:val="22"/>
        </w:rPr>
        <w:footnoteReference w:id="22"/>
      </w:r>
    </w:p>
    <w:p w14:paraId="4FEC188E" w14:textId="77777777"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 xml:space="preserve">The 1973 Act implemented several critical legal changes, primarily aimed at addressing terrorism-related offences. It established a clear distinction between "scheduled" (terror-related) and "non-scheduled" offences, automatically subjecting individuals charged with scheduled offences to trial without a jury, unless the Attorney General decided otherwise. The Act granted security forces the power to arrest and detain individuals for up to 72 hours without charge, a period that has since been extended by further legislation. Additionally, it enabled the government to maintain a list of banned organisations, which could be reviewed and amended, making support or membership in groups like the Provisional Irish Republican Army (IRA) and the Ulster Volunteer Force (UVF) a criminal act. Moreover, the Act revised </w:t>
      </w:r>
      <w:r w:rsidRPr="00FB578C">
        <w:rPr>
          <w:rFonts w:ascii="Times New Roman" w:hAnsi="Times New Roman" w:cs="Times New Roman"/>
          <w:sz w:val="22"/>
        </w:rPr>
        <w:lastRenderedPageBreak/>
        <w:t>the rules concerning the admissibility of confessions in court to address concerns over coercion and mistreatment, allowing confessions to be used in legal proceedings. It also introduced non-jury courts for scheduled offences, often referred to as "Troubles Offences", such as bombings and murders, to minimise the risk to jurors becoming intimidated, with judges handling the cases.</w:t>
      </w:r>
    </w:p>
    <w:p w14:paraId="2F76EC02" w14:textId="77777777"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The Act, which was subject to several reviews before its repeal in 1998, highlights the British government's response to terrorism in Northern Ireland during a tumultuous period. These reviews, conducted annually, reflect the extreme measures taken to address security concerns. However, this raises ethical questions, particularly regarding the right to a fair trial, as guaranteed by the Human Rights Act 1998.</w:t>
      </w:r>
      <w:r w:rsidRPr="00B552F5">
        <w:rPr>
          <w:rStyle w:val="FootnoteReference"/>
          <w:rFonts w:ascii="Times New Roman" w:hAnsi="Times New Roman" w:cs="Times New Roman"/>
          <w:sz w:val="22"/>
        </w:rPr>
        <w:footnoteReference w:id="23"/>
      </w:r>
      <w:r w:rsidRPr="00FB578C">
        <w:rPr>
          <w:rFonts w:ascii="Times New Roman" w:hAnsi="Times New Roman" w:cs="Times New Roman"/>
          <w:sz w:val="22"/>
        </w:rPr>
        <w:t xml:space="preserve"> Article 6 of this Act emphasises the importance of fair trial rights in the UK, suggesting that similar legislation to the Northern Ireland (Emergency Provisions) Act would likely not be introduced in 2025.</w:t>
      </w:r>
    </w:p>
    <w:p w14:paraId="0048DC33" w14:textId="77777777"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 xml:space="preserve">Between 1968 and 1979, Northern Ireland experienced significant </w:t>
      </w:r>
      <w:r w:rsidRPr="00B552F5">
        <w:rPr>
          <w:rFonts w:ascii="Times New Roman" w:hAnsi="Times New Roman" w:cs="Times New Roman"/>
          <w:sz w:val="22"/>
        </w:rPr>
        <w:t>political</w:t>
      </w:r>
      <w:r w:rsidRPr="00FB578C">
        <w:rPr>
          <w:rFonts w:ascii="Times New Roman" w:hAnsi="Times New Roman" w:cs="Times New Roman"/>
          <w:sz w:val="22"/>
        </w:rPr>
        <w:t xml:space="preserve"> and policy shifts due to the escalating issues of the Troubles. The demand for civil rights grew amid increasing violence, prompting responses from the British government that indicated a lack of confidence in the Northern Irish government's ability to manage the situation. As a result, the British gradually took control of Northern Ireland. In 1968, Northern Ireland was governed by the Ulster Unionist Party,</w:t>
      </w:r>
      <w:r w:rsidRPr="00B552F5">
        <w:rPr>
          <w:rStyle w:val="FootnoteReference"/>
          <w:rFonts w:ascii="Times New Roman" w:hAnsi="Times New Roman" w:cs="Times New Roman"/>
          <w:sz w:val="22"/>
        </w:rPr>
        <w:footnoteReference w:id="24"/>
      </w:r>
      <w:r w:rsidRPr="00FB578C">
        <w:rPr>
          <w:rFonts w:ascii="Times New Roman" w:hAnsi="Times New Roman" w:cs="Times New Roman"/>
          <w:sz w:val="22"/>
        </w:rPr>
        <w:t xml:space="preserve"> which operated through the Stormont government to manage local affairs. As tensions escalated, British involvement increased, highlighting the challenges faced by the local government amid growing violence and the rise of paramilitary groups and hardline parties.</w:t>
      </w:r>
    </w:p>
    <w:p w14:paraId="06345158" w14:textId="77777777" w:rsidR="00323815" w:rsidRPr="00FB578C" w:rsidRDefault="00323815" w:rsidP="00323815">
      <w:pPr>
        <w:spacing w:after="200" w:line="276" w:lineRule="auto"/>
        <w:rPr>
          <w:rFonts w:ascii="Times New Roman" w:hAnsi="Times New Roman" w:cs="Times New Roman"/>
          <w:sz w:val="22"/>
        </w:rPr>
      </w:pPr>
      <w:r w:rsidRPr="00B552F5">
        <w:rPr>
          <w:rFonts w:ascii="Times New Roman" w:hAnsi="Times New Roman" w:cs="Times New Roman"/>
          <w:sz w:val="22"/>
        </w:rPr>
        <w:t>The political landscape was characterised by a division between Unionist/Loyalist parties, which were pro-British and aimed to remain part of the United Kingdom, and Nationalist/Republican parties that sought unity with the Republic of Ireland. Sinn Féin, a political party closely associated with the notorious Provisional IRA, was particularly notable during this period. The Provisional IRA's goals included ending British rule in Northern Ireland and unifying it with the Republic, while also representing the interests of the Catholic/Nationalist communities it claimed to defend. This group was designated as a terrorist organisation by both Britain and the USA. Today, Sinn Féin has evolved considerably, becoming a highly influential party in the politics of both Northern Ireland and the Republic of Ireland. While its violent past is now behind it, the party continues to focus on nationalist and socialist political objectives, reflecting a shift from its earlier militant activities. In</w:t>
      </w:r>
      <w:r w:rsidRPr="00FB578C">
        <w:rPr>
          <w:rFonts w:ascii="Times New Roman" w:hAnsi="Times New Roman" w:cs="Times New Roman"/>
          <w:sz w:val="22"/>
        </w:rPr>
        <w:t xml:space="preserve"> response to increasing violence, in January 1972, Brian Faulkner, the Prime Minister of Northern Ireland, imposed a ban on all parades and marches throughout the country until the end of the year. Despite this prohibition, protests continued to take place, particularly those organised by NICRA, with Bloody Sunday serving as a significant and notable example of civil unrest during this period.</w:t>
      </w:r>
      <w:r w:rsidRPr="00B552F5">
        <w:rPr>
          <w:rStyle w:val="FootnoteReference"/>
          <w:rFonts w:ascii="Times New Roman" w:hAnsi="Times New Roman" w:cs="Times New Roman"/>
          <w:sz w:val="22"/>
        </w:rPr>
        <w:footnoteReference w:id="25"/>
      </w:r>
      <w:r w:rsidRPr="00FB578C">
        <w:rPr>
          <w:rFonts w:ascii="Times New Roman" w:hAnsi="Times New Roman" w:cs="Times New Roman"/>
          <w:sz w:val="22"/>
        </w:rPr>
        <w:t xml:space="preserve"> </w:t>
      </w:r>
    </w:p>
    <w:p w14:paraId="20215505" w14:textId="77777777" w:rsidR="00323815" w:rsidRPr="00B552F5"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A review of the notes from a meeting held on 22 March 1972 between the British and Northern Irish governments reveals growing concerns among the British regarding escalating issues in Northern Ireland. The notes indicate that the British authorities were beginning to understand the potential consequences these challenges could have on their governance and that they needed to start to take control of the Northern Irish Government. Despite this recognition, the Stormont government was hesitant to relinquish control over law and order to British oversight, reflecting the complexities and tensions of the political situation at the time.</w:t>
      </w:r>
      <w:r w:rsidRPr="00B552F5">
        <w:rPr>
          <w:rStyle w:val="FootnoteReference"/>
          <w:rFonts w:ascii="Times New Roman" w:hAnsi="Times New Roman" w:cs="Times New Roman"/>
          <w:sz w:val="22"/>
        </w:rPr>
        <w:footnoteReference w:id="26"/>
      </w:r>
      <w:r w:rsidRPr="00FB578C">
        <w:rPr>
          <w:rFonts w:ascii="Times New Roman" w:hAnsi="Times New Roman" w:cs="Times New Roman"/>
          <w:sz w:val="22"/>
        </w:rPr>
        <w:t xml:space="preserve"> </w:t>
      </w:r>
    </w:p>
    <w:p w14:paraId="39C75D92" w14:textId="77777777"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lastRenderedPageBreak/>
        <w:t>On 24 March 1972, the British Government announced '</w:t>
      </w:r>
      <w:r w:rsidRPr="00FB578C">
        <w:rPr>
          <w:rFonts w:ascii="Times New Roman" w:hAnsi="Times New Roman" w:cs="Times New Roman"/>
          <w:i/>
          <w:iCs/>
          <w:sz w:val="22"/>
        </w:rPr>
        <w:t>Direct Rule</w:t>
      </w:r>
      <w:r w:rsidRPr="00FB578C">
        <w:rPr>
          <w:rFonts w:ascii="Times New Roman" w:hAnsi="Times New Roman" w:cs="Times New Roman"/>
          <w:sz w:val="22"/>
        </w:rPr>
        <w:t>' in Northern Ireland, communicated to Prime Minister Brian Faulkner, and effective from 30 March 1972, under the Northern Ireland (Temporary Provisions) Act.</w:t>
      </w:r>
      <w:r w:rsidRPr="00B552F5">
        <w:rPr>
          <w:rStyle w:val="FootnoteReference"/>
          <w:rFonts w:ascii="Times New Roman" w:hAnsi="Times New Roman" w:cs="Times New Roman"/>
          <w:sz w:val="22"/>
        </w:rPr>
        <w:footnoteReference w:id="27"/>
      </w:r>
      <w:r w:rsidRPr="00FB578C">
        <w:rPr>
          <w:rFonts w:ascii="Times New Roman" w:hAnsi="Times New Roman" w:cs="Times New Roman"/>
          <w:sz w:val="22"/>
        </w:rPr>
        <w:t xml:space="preserve"> This decision meant reclaiming control over governance to address the violence and seek a long-term political solution.</w:t>
      </w:r>
      <w:r w:rsidRPr="00B552F5">
        <w:rPr>
          <w:rStyle w:val="FootnoteReference"/>
          <w:rFonts w:ascii="Times New Roman" w:hAnsi="Times New Roman" w:cs="Times New Roman"/>
          <w:sz w:val="22"/>
        </w:rPr>
        <w:footnoteReference w:id="28"/>
      </w:r>
      <w:r w:rsidRPr="00FB578C">
        <w:rPr>
          <w:rFonts w:ascii="Times New Roman" w:hAnsi="Times New Roman" w:cs="Times New Roman"/>
          <w:sz w:val="22"/>
        </w:rPr>
        <w:t xml:space="preserve"> This significant development of Britain, theoretically taking matters into its own hands, led to the resignation of many Northern Irish politicians affected by the change in governance.</w:t>
      </w:r>
      <w:r w:rsidRPr="00B552F5">
        <w:rPr>
          <w:rStyle w:val="FootnoteReference"/>
          <w:rFonts w:ascii="Times New Roman" w:hAnsi="Times New Roman" w:cs="Times New Roman"/>
          <w:sz w:val="22"/>
        </w:rPr>
        <w:footnoteReference w:id="29"/>
      </w:r>
      <w:r w:rsidRPr="00FB578C">
        <w:rPr>
          <w:rFonts w:ascii="Times New Roman" w:hAnsi="Times New Roman" w:cs="Times New Roman"/>
          <w:sz w:val="22"/>
        </w:rPr>
        <w:t xml:space="preserve"> Northern Ireland experienced governance directly from Westminster until 1999.</w:t>
      </w:r>
    </w:p>
    <w:p w14:paraId="305D78E7" w14:textId="77777777" w:rsidR="00323815" w:rsidRPr="00B552F5" w:rsidRDefault="00323815" w:rsidP="00323815">
      <w:pPr>
        <w:spacing w:after="200" w:line="276" w:lineRule="auto"/>
        <w:rPr>
          <w:rFonts w:ascii="Times New Roman" w:hAnsi="Times New Roman" w:cs="Times New Roman"/>
          <w:sz w:val="22"/>
        </w:rPr>
      </w:pPr>
      <w:r w:rsidRPr="00B552F5">
        <w:rPr>
          <w:rFonts w:ascii="Times New Roman" w:hAnsi="Times New Roman" w:cs="Times New Roman"/>
          <w:sz w:val="22"/>
        </w:rPr>
        <w:t>The 1973 Sunningdale Agreement aimed to foster peace between Britain and Northern Ireland through joint power-sharing and better relations with Ireland. Despite opposition from Unionist parties and its eventual failure, it laid important groundwork for the 1998 Good Friday Agreement. The deal helped end a 30-year conflict, restored devolved government, facilitated weapons decommissioning and prisoner releases, and promoted cross-border cooperation, equality, and civil rights.</w:t>
      </w:r>
    </w:p>
    <w:p w14:paraId="0CF40366" w14:textId="77777777" w:rsidR="00323815" w:rsidRPr="00B552F5" w:rsidRDefault="00323815" w:rsidP="00323815">
      <w:pPr>
        <w:spacing w:after="200" w:line="276" w:lineRule="auto"/>
        <w:rPr>
          <w:rFonts w:ascii="Times New Roman" w:hAnsi="Times New Roman" w:cs="Times New Roman"/>
          <w:sz w:val="22"/>
        </w:rPr>
      </w:pPr>
      <w:r w:rsidRPr="00B552F5">
        <w:rPr>
          <w:rFonts w:ascii="Times New Roman" w:hAnsi="Times New Roman" w:cs="Times New Roman"/>
          <w:sz w:val="22"/>
        </w:rPr>
        <w:t>The British policy changes led to unrest and some individuals resorted to extreme measures, even risking death for their beliefs. In July 1972, the British Conservative Government granted Special Category Status (SCS)</w:t>
      </w:r>
      <w:r w:rsidRPr="00B552F5">
        <w:rPr>
          <w:rStyle w:val="FootnoteReference"/>
          <w:rFonts w:ascii="Times New Roman" w:hAnsi="Times New Roman" w:cs="Times New Roman"/>
          <w:sz w:val="22"/>
        </w:rPr>
        <w:t xml:space="preserve"> </w:t>
      </w:r>
      <w:r w:rsidRPr="00B552F5">
        <w:rPr>
          <w:rStyle w:val="FootnoteReference"/>
          <w:rFonts w:ascii="Times New Roman" w:hAnsi="Times New Roman" w:cs="Times New Roman"/>
          <w:sz w:val="22"/>
        </w:rPr>
        <w:footnoteReference w:id="30"/>
      </w:r>
      <w:r w:rsidRPr="00B552F5">
        <w:rPr>
          <w:rFonts w:ascii="Times New Roman" w:hAnsi="Times New Roman" w:cs="Times New Roman"/>
          <w:sz w:val="22"/>
        </w:rPr>
        <w:t xml:space="preserve"> to prisoners in Northern Ireland involved in Troubles offences, classifying them differently from criminal prisoners.</w:t>
      </w:r>
      <w:r w:rsidRPr="00B552F5">
        <w:rPr>
          <w:rStyle w:val="FootnoteReference"/>
          <w:rFonts w:ascii="Times New Roman" w:hAnsi="Times New Roman" w:cs="Times New Roman"/>
          <w:sz w:val="22"/>
        </w:rPr>
        <w:footnoteReference w:id="31"/>
      </w:r>
      <w:r w:rsidRPr="00B552F5">
        <w:rPr>
          <w:rFonts w:ascii="Times New Roman" w:hAnsi="Times New Roman" w:cs="Times New Roman"/>
          <w:sz w:val="22"/>
        </w:rPr>
        <w:t xml:space="preserve"> These offences included serious acts like murder, manslaughter, or causing death or severe harm, which could result in conditions such as paralysis, severe brain injuries, blindness, deafness, amputations, or disfigurement.</w:t>
      </w:r>
      <w:r w:rsidRPr="00B552F5">
        <w:rPr>
          <w:rStyle w:val="FootnoteReference"/>
          <w:rFonts w:ascii="Times New Roman" w:hAnsi="Times New Roman" w:cs="Times New Roman"/>
          <w:sz w:val="22"/>
        </w:rPr>
        <w:t xml:space="preserve"> </w:t>
      </w:r>
      <w:r w:rsidRPr="00B552F5">
        <w:rPr>
          <w:rStyle w:val="FootnoteReference"/>
          <w:rFonts w:ascii="Times New Roman" w:hAnsi="Times New Roman" w:cs="Times New Roman"/>
          <w:sz w:val="22"/>
        </w:rPr>
        <w:footnoteReference w:id="32"/>
      </w:r>
    </w:p>
    <w:p w14:paraId="08330C7E" w14:textId="77777777" w:rsidR="00323815" w:rsidRPr="00FB578C" w:rsidRDefault="00323815" w:rsidP="00323815">
      <w:pPr>
        <w:spacing w:after="200" w:line="276" w:lineRule="auto"/>
        <w:rPr>
          <w:rFonts w:ascii="Times New Roman" w:hAnsi="Times New Roman" w:cs="Times New Roman"/>
          <w:sz w:val="22"/>
        </w:rPr>
      </w:pPr>
      <w:r w:rsidRPr="00B552F5">
        <w:rPr>
          <w:rFonts w:ascii="Times New Roman" w:hAnsi="Times New Roman" w:cs="Times New Roman"/>
          <w:sz w:val="22"/>
        </w:rPr>
        <w:t>This classification allowed prisoners to be recognised as Prisoners of War (PoWs), meaning they were granted a specific status that required their treatment to follow the guidelines set out by the Geneva Conventions.</w:t>
      </w:r>
      <w:r w:rsidRPr="00B552F5">
        <w:rPr>
          <w:rStyle w:val="FootnoteReference"/>
          <w:rFonts w:ascii="Times New Roman" w:hAnsi="Times New Roman" w:cs="Times New Roman"/>
          <w:sz w:val="22"/>
        </w:rPr>
        <w:footnoteReference w:id="33"/>
      </w:r>
      <w:r w:rsidRPr="00B552F5">
        <w:rPr>
          <w:rFonts w:ascii="Times New Roman" w:hAnsi="Times New Roman" w:cs="Times New Roman"/>
          <w:sz w:val="22"/>
        </w:rPr>
        <w:t xml:space="preserve"> This status ensured that prisoners could refuse work, stay with fellow inmates without being separated, receive extra food, visitation rights, and avoid wearing prison uniforms. It was initially introduced by the British as part of a ceasefire with the IRA. However, this status was ultimately rescinded in 1976.</w:t>
      </w:r>
    </w:p>
    <w:p w14:paraId="2972E63D" w14:textId="77777777"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During the later years of the Troubles, significant protests unfolded, most notably the Irish hunger strike of 1981, which marked a critical moment in Irish history. This protest was a standoff between political prisoners and Prime Minister Margaret Thatcher, ultimately resulting in the tragic loss of ten lives as the prisoners sought the reinstatement of the removal of Special Category Status. Among those who died was Bobby Sands, a newly elected Sinn Féin MP, whose commitment to the cause established him as a pivotal figure in the modern Sinn Féin party and contributed to its transformation into a mainstream political entity.</w:t>
      </w:r>
      <w:r w:rsidRPr="00B552F5">
        <w:rPr>
          <w:rStyle w:val="FootnoteReference"/>
          <w:rFonts w:ascii="Times New Roman" w:hAnsi="Times New Roman" w:cs="Times New Roman"/>
          <w:sz w:val="22"/>
        </w:rPr>
        <w:footnoteReference w:id="34"/>
      </w:r>
      <w:r w:rsidRPr="00FB578C">
        <w:rPr>
          <w:rFonts w:ascii="Times New Roman" w:hAnsi="Times New Roman" w:cs="Times New Roman"/>
          <w:sz w:val="22"/>
        </w:rPr>
        <w:t xml:space="preserve"> His death resonated deeply, with estimates of 100,000 to 150,000 </w:t>
      </w:r>
      <w:r w:rsidRPr="00FB578C">
        <w:rPr>
          <w:rFonts w:ascii="Times New Roman" w:hAnsi="Times New Roman" w:cs="Times New Roman"/>
          <w:sz w:val="22"/>
        </w:rPr>
        <w:lastRenderedPageBreak/>
        <w:t>people attending his funeral</w:t>
      </w:r>
      <w:r w:rsidRPr="00B552F5">
        <w:rPr>
          <w:rStyle w:val="FootnoteReference"/>
          <w:rFonts w:ascii="Times New Roman" w:hAnsi="Times New Roman" w:cs="Times New Roman"/>
          <w:sz w:val="22"/>
        </w:rPr>
        <w:footnoteReference w:id="35"/>
      </w:r>
      <w:r w:rsidRPr="00FB578C">
        <w:rPr>
          <w:rFonts w:ascii="Times New Roman" w:hAnsi="Times New Roman" w:cs="Times New Roman"/>
          <w:sz w:val="22"/>
        </w:rPr>
        <w:t xml:space="preserve"> highlighting the impact he had on the movement. While many viewed his sacrifice as a rallying point for the cause, it was perceived by the Thatcher government as a victory</w:t>
      </w:r>
      <w:r w:rsidRPr="00B552F5">
        <w:rPr>
          <w:rFonts w:ascii="Times New Roman" w:hAnsi="Times New Roman" w:cs="Times New Roman"/>
          <w:sz w:val="22"/>
        </w:rPr>
        <w:t>.</w:t>
      </w:r>
      <w:r w:rsidRPr="00B552F5">
        <w:rPr>
          <w:rStyle w:val="FootnoteReference"/>
          <w:rFonts w:ascii="Times New Roman" w:hAnsi="Times New Roman" w:cs="Times New Roman"/>
          <w:sz w:val="22"/>
        </w:rPr>
        <w:footnoteReference w:id="36"/>
      </w:r>
    </w:p>
    <w:p w14:paraId="37F768EF" w14:textId="77777777" w:rsidR="00323815"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The signing of the Good Friday Agreement in April 1998 marked a significant turning point, as it sought to address decades of violence and conflict and bring an end to the Troubles. This landmark agreement promoted peace, reconciliation, cooperation, and power-sharing among all parties involved. It also emphasised the importance of respecting human rights and provided a platform for various groups to express their concerns, ultimately paving the way for lasting peace in Northern Ireland.</w:t>
      </w:r>
    </w:p>
    <w:p w14:paraId="7DC70E65" w14:textId="77777777" w:rsidR="00DF0DED" w:rsidRDefault="00DF0DED" w:rsidP="00323815">
      <w:pPr>
        <w:spacing w:after="200" w:line="276" w:lineRule="auto"/>
        <w:rPr>
          <w:rFonts w:ascii="Times New Roman" w:hAnsi="Times New Roman" w:cs="Times New Roman"/>
          <w:sz w:val="22"/>
        </w:rPr>
      </w:pPr>
      <w:r w:rsidRPr="00DF0DED">
        <w:rPr>
          <w:rFonts w:ascii="Times New Roman" w:hAnsi="Times New Roman" w:cs="Times New Roman"/>
          <w:sz w:val="22"/>
        </w:rPr>
        <w:t xml:space="preserve">In conclusion, violence significantly shaped British policy in Northern Ireland, creating a vicious cycle where policy changes sparked further violence. Developments within both British and Northern Irish governments also influence policy, as they each hold a range of views aimed at realising Northern Ireland’s full potential. </w:t>
      </w:r>
    </w:p>
    <w:p w14:paraId="64D3E40B" w14:textId="43AA77E9"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The actions of the IRA highlighted their intent to retaliate against these policy changes, demonstrating that their struggle was about more than just Northern Ireland; it was a broader effort to make their voice heard. The impact of the conflict extended beyond Northern Ireland, affecting military families and communities throughout the UK, showcasing the widespread consequences of the violence.</w:t>
      </w:r>
    </w:p>
    <w:p w14:paraId="4DB0280B" w14:textId="77777777" w:rsidR="00B552F5" w:rsidRDefault="00B552F5" w:rsidP="00323815">
      <w:pPr>
        <w:spacing w:after="200" w:line="276" w:lineRule="auto"/>
        <w:rPr>
          <w:rFonts w:ascii="Times New Roman" w:hAnsi="Times New Roman" w:cs="Times New Roman"/>
          <w:b/>
          <w:bCs/>
          <w:sz w:val="22"/>
        </w:rPr>
      </w:pPr>
      <w:r w:rsidRPr="00B552F5">
        <w:rPr>
          <w:rFonts w:ascii="Times New Roman" w:hAnsi="Times New Roman" w:cs="Times New Roman"/>
          <w:sz w:val="22"/>
        </w:rPr>
        <w:t xml:space="preserve">The numerous policy changes between 1968 and 1979 were heavily influenced by the violent incidents that took place, which ultimately resulted in 472 individuals losing their lives, either innocently or </w:t>
      </w:r>
      <w:r w:rsidRPr="00B552F5">
        <w:rPr>
          <w:rFonts w:ascii="Times New Roman" w:hAnsi="Times New Roman" w:cs="Times New Roman"/>
          <w:sz w:val="22"/>
        </w:rPr>
        <w:t>while</w:t>
      </w:r>
      <w:r w:rsidRPr="00B552F5">
        <w:rPr>
          <w:rFonts w:ascii="Times New Roman" w:hAnsi="Times New Roman" w:cs="Times New Roman"/>
          <w:sz w:val="22"/>
        </w:rPr>
        <w:t xml:space="preserve"> fighting for what they believe</w:t>
      </w:r>
      <w:r w:rsidRPr="00B552F5">
        <w:rPr>
          <w:rFonts w:ascii="Times New Roman" w:hAnsi="Times New Roman" w:cs="Times New Roman"/>
          <w:sz w:val="22"/>
        </w:rPr>
        <w:t>d</w:t>
      </w:r>
      <w:r w:rsidRPr="00B552F5">
        <w:rPr>
          <w:rFonts w:ascii="Times New Roman" w:hAnsi="Times New Roman" w:cs="Times New Roman"/>
          <w:sz w:val="22"/>
        </w:rPr>
        <w:t xml:space="preserve"> in.</w:t>
      </w:r>
      <w:r w:rsidRPr="00B552F5">
        <w:rPr>
          <w:rFonts w:ascii="Times New Roman" w:hAnsi="Times New Roman" w:cs="Times New Roman"/>
          <w:b/>
          <w:bCs/>
          <w:sz w:val="22"/>
        </w:rPr>
        <w:t xml:space="preserve"> </w:t>
      </w:r>
    </w:p>
    <w:p w14:paraId="4CB7E202" w14:textId="28AE9C55" w:rsidR="00323815" w:rsidRPr="00FB578C" w:rsidRDefault="00323815" w:rsidP="00323815">
      <w:pPr>
        <w:spacing w:after="200" w:line="276" w:lineRule="auto"/>
        <w:rPr>
          <w:rFonts w:ascii="Times New Roman" w:hAnsi="Times New Roman" w:cs="Times New Roman"/>
          <w:sz w:val="22"/>
        </w:rPr>
      </w:pPr>
      <w:r w:rsidRPr="00FB578C">
        <w:rPr>
          <w:rFonts w:ascii="Times New Roman" w:hAnsi="Times New Roman" w:cs="Times New Roman"/>
          <w:sz w:val="22"/>
        </w:rPr>
        <w:t>Getting to the Good Friday Agreemen</w:t>
      </w:r>
      <w:r w:rsidR="00B552F5">
        <w:rPr>
          <w:rFonts w:ascii="Times New Roman" w:hAnsi="Times New Roman" w:cs="Times New Roman"/>
          <w:sz w:val="22"/>
        </w:rPr>
        <w:t>t</w:t>
      </w:r>
      <w:r w:rsidRPr="00FB578C">
        <w:rPr>
          <w:rFonts w:ascii="Times New Roman" w:hAnsi="Times New Roman" w:cs="Times New Roman"/>
          <w:sz w:val="22"/>
        </w:rPr>
        <w:t xml:space="preserve"> took a lot of time and effort from all parties to ensure that they gained what they </w:t>
      </w:r>
      <w:r w:rsidR="00B552F5">
        <w:rPr>
          <w:rFonts w:ascii="Times New Roman" w:hAnsi="Times New Roman" w:cs="Times New Roman"/>
          <w:sz w:val="22"/>
        </w:rPr>
        <w:t xml:space="preserve">had </w:t>
      </w:r>
      <w:r w:rsidRPr="00FB578C">
        <w:rPr>
          <w:rFonts w:ascii="Times New Roman" w:hAnsi="Times New Roman" w:cs="Times New Roman"/>
          <w:sz w:val="22"/>
        </w:rPr>
        <w:t>successful</w:t>
      </w:r>
      <w:r w:rsidRPr="00B552F5">
        <w:rPr>
          <w:rFonts w:ascii="Times New Roman" w:hAnsi="Times New Roman" w:cs="Times New Roman"/>
          <w:sz w:val="22"/>
        </w:rPr>
        <w:t>l</w:t>
      </w:r>
      <w:r w:rsidRPr="00FB578C">
        <w:rPr>
          <w:rFonts w:ascii="Times New Roman" w:hAnsi="Times New Roman" w:cs="Times New Roman"/>
          <w:sz w:val="22"/>
        </w:rPr>
        <w:t>y plan</w:t>
      </w:r>
      <w:r w:rsidRPr="00B552F5">
        <w:rPr>
          <w:rFonts w:ascii="Times New Roman" w:hAnsi="Times New Roman" w:cs="Times New Roman"/>
          <w:sz w:val="22"/>
        </w:rPr>
        <w:t>n</w:t>
      </w:r>
      <w:r w:rsidRPr="00FB578C">
        <w:rPr>
          <w:rFonts w:ascii="Times New Roman" w:hAnsi="Times New Roman" w:cs="Times New Roman"/>
          <w:sz w:val="22"/>
        </w:rPr>
        <w:t>ed to take from the agreement. It had its problems; however, it has successfully and officially put an end to the Troubles and helped to maintain law, order</w:t>
      </w:r>
      <w:r w:rsidRPr="00B552F5">
        <w:rPr>
          <w:rFonts w:ascii="Times New Roman" w:hAnsi="Times New Roman" w:cs="Times New Roman"/>
          <w:sz w:val="22"/>
        </w:rPr>
        <w:t>,</w:t>
      </w:r>
      <w:r w:rsidRPr="00FB578C">
        <w:rPr>
          <w:rFonts w:ascii="Times New Roman" w:hAnsi="Times New Roman" w:cs="Times New Roman"/>
          <w:sz w:val="22"/>
        </w:rPr>
        <w:t xml:space="preserve"> and peace between all countries. </w:t>
      </w:r>
    </w:p>
    <w:p w14:paraId="3628E0B1" w14:textId="77777777" w:rsidR="00B552F5" w:rsidRDefault="00B552F5" w:rsidP="00611DEE">
      <w:pPr>
        <w:pStyle w:val="FootnoteText"/>
        <w:spacing w:after="0"/>
        <w:ind w:firstLine="720"/>
        <w:rPr>
          <w:rFonts w:cstheme="minorHAnsi"/>
          <w:color w:val="000000" w:themeColor="text1"/>
        </w:rPr>
      </w:pPr>
    </w:p>
    <w:p w14:paraId="788928D2" w14:textId="77777777" w:rsidR="00D16EF0" w:rsidRDefault="00D16EF0" w:rsidP="00611DEE">
      <w:pPr>
        <w:pStyle w:val="FootnoteText"/>
        <w:spacing w:after="0"/>
        <w:ind w:firstLine="720"/>
        <w:rPr>
          <w:rFonts w:cstheme="minorHAnsi"/>
          <w:color w:val="000000" w:themeColor="text1"/>
        </w:rPr>
      </w:pPr>
    </w:p>
    <w:p w14:paraId="4FC05102" w14:textId="77777777" w:rsidR="00D16EF0" w:rsidRDefault="00D16EF0" w:rsidP="00611DEE">
      <w:pPr>
        <w:pStyle w:val="FootnoteText"/>
        <w:spacing w:after="0"/>
        <w:ind w:firstLine="720"/>
        <w:rPr>
          <w:rFonts w:cstheme="minorHAnsi"/>
          <w:color w:val="000000" w:themeColor="text1"/>
        </w:rPr>
      </w:pPr>
    </w:p>
    <w:p w14:paraId="6968A9B8" w14:textId="77777777" w:rsidR="00D16EF0" w:rsidRDefault="00D16EF0" w:rsidP="00611DEE">
      <w:pPr>
        <w:pStyle w:val="FootnoteText"/>
        <w:spacing w:after="0"/>
        <w:ind w:firstLine="720"/>
        <w:rPr>
          <w:rFonts w:cstheme="minorHAnsi"/>
          <w:color w:val="000000" w:themeColor="text1"/>
        </w:rPr>
      </w:pPr>
    </w:p>
    <w:p w14:paraId="1B1A325B" w14:textId="77777777" w:rsidR="00D16EF0" w:rsidRDefault="00D16EF0" w:rsidP="00611DEE">
      <w:pPr>
        <w:pStyle w:val="FootnoteText"/>
        <w:spacing w:after="0"/>
        <w:ind w:firstLine="720"/>
        <w:rPr>
          <w:rFonts w:cstheme="minorHAnsi"/>
          <w:color w:val="000000" w:themeColor="text1"/>
        </w:rPr>
      </w:pPr>
    </w:p>
    <w:p w14:paraId="4BE8B74D" w14:textId="77777777" w:rsidR="00D16EF0" w:rsidRDefault="00D16EF0" w:rsidP="00611DEE">
      <w:pPr>
        <w:pStyle w:val="FootnoteText"/>
        <w:spacing w:after="0"/>
        <w:ind w:firstLine="720"/>
        <w:rPr>
          <w:rFonts w:cstheme="minorHAnsi"/>
          <w:color w:val="000000" w:themeColor="text1"/>
        </w:rPr>
      </w:pPr>
    </w:p>
    <w:p w14:paraId="016A7BCF" w14:textId="77777777" w:rsidR="00D16EF0" w:rsidRDefault="00D16EF0" w:rsidP="00611DEE">
      <w:pPr>
        <w:pStyle w:val="FootnoteText"/>
        <w:spacing w:after="0"/>
        <w:ind w:firstLine="720"/>
        <w:rPr>
          <w:rFonts w:cstheme="minorHAnsi"/>
          <w:color w:val="000000" w:themeColor="text1"/>
        </w:rPr>
      </w:pPr>
    </w:p>
    <w:p w14:paraId="780C8F23" w14:textId="77777777" w:rsidR="00D16EF0" w:rsidRDefault="00D16EF0" w:rsidP="00611DEE">
      <w:pPr>
        <w:pStyle w:val="FootnoteText"/>
        <w:spacing w:after="0"/>
        <w:ind w:firstLine="720"/>
        <w:rPr>
          <w:rFonts w:cstheme="minorHAnsi"/>
          <w:color w:val="000000" w:themeColor="text1"/>
        </w:rPr>
      </w:pPr>
    </w:p>
    <w:p w14:paraId="5ADBFF80" w14:textId="77777777" w:rsidR="00D16EF0" w:rsidRDefault="00D16EF0" w:rsidP="00611DEE">
      <w:pPr>
        <w:pStyle w:val="FootnoteText"/>
        <w:spacing w:after="0"/>
        <w:ind w:firstLine="720"/>
        <w:rPr>
          <w:rFonts w:cstheme="minorHAnsi"/>
          <w:color w:val="000000" w:themeColor="text1"/>
        </w:rPr>
      </w:pPr>
    </w:p>
    <w:p w14:paraId="3D0CF632" w14:textId="77777777" w:rsidR="00D16EF0" w:rsidRDefault="00D16EF0" w:rsidP="00611DEE">
      <w:pPr>
        <w:pStyle w:val="FootnoteText"/>
        <w:spacing w:after="0"/>
        <w:ind w:firstLine="720"/>
        <w:rPr>
          <w:rFonts w:cstheme="minorHAnsi"/>
          <w:color w:val="000000" w:themeColor="text1"/>
        </w:rPr>
      </w:pPr>
    </w:p>
    <w:p w14:paraId="0165F4E0" w14:textId="77777777" w:rsidR="00D16EF0" w:rsidRDefault="00D16EF0" w:rsidP="00611DEE">
      <w:pPr>
        <w:pStyle w:val="FootnoteText"/>
        <w:spacing w:after="0"/>
        <w:ind w:firstLine="720"/>
        <w:rPr>
          <w:rFonts w:cstheme="minorHAnsi"/>
          <w:color w:val="000000" w:themeColor="text1"/>
        </w:rPr>
      </w:pPr>
    </w:p>
    <w:p w14:paraId="43646372" w14:textId="77777777" w:rsidR="00D16EF0" w:rsidRDefault="00D16EF0" w:rsidP="00611DEE">
      <w:pPr>
        <w:pStyle w:val="FootnoteText"/>
        <w:spacing w:after="0"/>
        <w:ind w:firstLine="720"/>
        <w:rPr>
          <w:rFonts w:cstheme="minorHAnsi"/>
          <w:color w:val="000000" w:themeColor="text1"/>
        </w:rPr>
      </w:pPr>
    </w:p>
    <w:p w14:paraId="3C4FE0E5" w14:textId="77777777" w:rsidR="001375A7" w:rsidRDefault="001375A7" w:rsidP="00611DEE">
      <w:pPr>
        <w:pStyle w:val="FootnoteText"/>
        <w:spacing w:after="0"/>
        <w:ind w:firstLine="720"/>
        <w:rPr>
          <w:rFonts w:cstheme="minorHAnsi"/>
          <w:color w:val="000000" w:themeColor="text1"/>
        </w:rPr>
      </w:pPr>
    </w:p>
    <w:p w14:paraId="6BB2A5B8" w14:textId="77777777" w:rsidR="001375A7" w:rsidRDefault="001375A7" w:rsidP="00611DEE">
      <w:pPr>
        <w:pStyle w:val="FootnoteText"/>
        <w:spacing w:after="0"/>
        <w:ind w:firstLine="720"/>
        <w:rPr>
          <w:rFonts w:cstheme="minorHAnsi"/>
          <w:color w:val="000000" w:themeColor="text1"/>
        </w:rPr>
      </w:pPr>
    </w:p>
    <w:p w14:paraId="4AF4564D" w14:textId="77777777" w:rsidR="00D16EF0" w:rsidRDefault="00D16EF0" w:rsidP="00611DEE">
      <w:pPr>
        <w:pStyle w:val="FootnoteText"/>
        <w:spacing w:after="0"/>
        <w:ind w:firstLine="720"/>
        <w:rPr>
          <w:rFonts w:cstheme="minorHAnsi"/>
          <w:color w:val="000000" w:themeColor="text1"/>
        </w:rPr>
      </w:pPr>
    </w:p>
    <w:p w14:paraId="7A236DD1" w14:textId="77777777" w:rsidR="00D16EF0" w:rsidRDefault="00D16EF0" w:rsidP="00611DEE">
      <w:pPr>
        <w:pStyle w:val="FootnoteText"/>
        <w:spacing w:after="0"/>
        <w:ind w:firstLine="720"/>
        <w:rPr>
          <w:rFonts w:cstheme="minorHAnsi"/>
          <w:color w:val="000000" w:themeColor="text1"/>
        </w:rPr>
      </w:pPr>
    </w:p>
    <w:p w14:paraId="710CD418" w14:textId="77777777" w:rsidR="00B552F5" w:rsidRDefault="00B552F5" w:rsidP="00611DEE">
      <w:pPr>
        <w:pStyle w:val="FootnoteText"/>
        <w:spacing w:after="0"/>
        <w:ind w:firstLine="720"/>
        <w:rPr>
          <w:rFonts w:cstheme="minorHAnsi"/>
          <w:color w:val="000000" w:themeColor="text1"/>
        </w:rPr>
      </w:pPr>
    </w:p>
    <w:p w14:paraId="7452581F" w14:textId="77777777" w:rsidR="00B552F5" w:rsidRDefault="00B552F5" w:rsidP="00B552F5">
      <w:pPr>
        <w:rPr>
          <w:rFonts w:cstheme="minorHAnsi"/>
          <w:b/>
          <w:bCs/>
          <w:u w:val="single"/>
        </w:rPr>
      </w:pPr>
      <w:r w:rsidRPr="00D16EF0">
        <w:rPr>
          <w:rFonts w:cstheme="minorHAnsi"/>
          <w:b/>
          <w:bCs/>
          <w:u w:val="single"/>
        </w:rPr>
        <w:lastRenderedPageBreak/>
        <w:t>Bibliography</w:t>
      </w:r>
      <w:r w:rsidRPr="00611DEE">
        <w:rPr>
          <w:rFonts w:cstheme="minorHAnsi"/>
          <w:b/>
          <w:bCs/>
          <w:u w:val="single"/>
        </w:rPr>
        <w:t xml:space="preserve"> </w:t>
      </w:r>
    </w:p>
    <w:p w14:paraId="6C724678" w14:textId="69C8A50A" w:rsidR="001375A7" w:rsidRDefault="006010C4" w:rsidP="006010C4">
      <w:pPr>
        <w:pStyle w:val="FootnoteText"/>
        <w:spacing w:after="0"/>
      </w:pPr>
      <w:r w:rsidRPr="00D16EF0">
        <w:t xml:space="preserve">Nicolas van der Bijl, </w:t>
      </w:r>
      <w:r w:rsidRPr="00D16EF0">
        <w:rPr>
          <w:i/>
          <w:iCs/>
        </w:rPr>
        <w:t>Operation Banner: The British Army in Northen Ireland, 1969 – 2007</w:t>
      </w:r>
      <w:r w:rsidRPr="00D16EF0">
        <w:t>, (Great Britain: Pen and Sword Books Ltd.).</w:t>
      </w:r>
    </w:p>
    <w:p w14:paraId="50A51FFA" w14:textId="77777777" w:rsidR="006010C4" w:rsidRPr="006010C4" w:rsidRDefault="006010C4" w:rsidP="006010C4">
      <w:pPr>
        <w:pStyle w:val="FootnoteText"/>
        <w:spacing w:after="0"/>
      </w:pPr>
    </w:p>
    <w:p w14:paraId="69FEA4B8" w14:textId="77777777" w:rsidR="001375A7" w:rsidRDefault="001375A7" w:rsidP="001375A7">
      <w:pPr>
        <w:pStyle w:val="FootnoteText"/>
        <w:spacing w:after="0"/>
      </w:pPr>
      <w:r w:rsidRPr="00D16EF0">
        <w:t xml:space="preserve">CAIN Archive - Conflict and Politics in Northern Ireland, </w:t>
      </w:r>
      <w:r w:rsidRPr="00D16EF0">
        <w:rPr>
          <w:i/>
          <w:iCs/>
        </w:rPr>
        <w:t>A Chronology of the Conflict – 1972</w:t>
      </w:r>
      <w:r w:rsidRPr="00D16EF0">
        <w:t xml:space="preserve"> </w:t>
      </w:r>
    </w:p>
    <w:p w14:paraId="6902246C" w14:textId="77777777" w:rsidR="001375A7" w:rsidRDefault="001375A7" w:rsidP="001375A7">
      <w:pPr>
        <w:pStyle w:val="FootnoteText"/>
        <w:spacing w:after="0"/>
        <w:ind w:firstLine="720"/>
        <w:rPr>
          <w:rFonts w:cstheme="minorHAnsi"/>
        </w:rPr>
      </w:pPr>
      <w:r w:rsidRPr="00D16EF0">
        <w:t xml:space="preserve">(2025) </w:t>
      </w:r>
      <w:r w:rsidRPr="00FB578C">
        <w:rPr>
          <w:rFonts w:cstheme="minorHAnsi"/>
        </w:rPr>
        <w:t xml:space="preserve">&lt;https://cain.ulster.ac.uk/othelem/chron/ch72.htm&gt; [accessed </w:t>
      </w:r>
      <w:r w:rsidRPr="00D16EF0">
        <w:rPr>
          <w:rFonts w:cstheme="minorHAnsi"/>
        </w:rPr>
        <w:t>14</w:t>
      </w:r>
      <w:r w:rsidRPr="00FB578C">
        <w:rPr>
          <w:rFonts w:cstheme="minorHAnsi"/>
        </w:rPr>
        <w:t xml:space="preserve"> July 2025]</w:t>
      </w:r>
    </w:p>
    <w:p w14:paraId="23A22021" w14:textId="77777777" w:rsidR="001375A7" w:rsidRDefault="001375A7" w:rsidP="001375A7">
      <w:pPr>
        <w:pStyle w:val="FootnoteText"/>
        <w:spacing w:after="0"/>
        <w:ind w:firstLine="720"/>
        <w:rPr>
          <w:rFonts w:cstheme="minorHAnsi"/>
        </w:rPr>
      </w:pPr>
    </w:p>
    <w:p w14:paraId="722AF2F1" w14:textId="77777777" w:rsidR="001375A7" w:rsidRDefault="001375A7" w:rsidP="001375A7">
      <w:pPr>
        <w:pStyle w:val="FootnoteText"/>
        <w:spacing w:after="0"/>
        <w:rPr>
          <w:rFonts w:cstheme="minorHAnsi"/>
        </w:rPr>
      </w:pPr>
      <w:r w:rsidRPr="00D16EF0">
        <w:t xml:space="preserve">CAIN Archive - Conflict and Politics in Northern Ireland, </w:t>
      </w:r>
      <w:r w:rsidRPr="00FB578C">
        <w:rPr>
          <w:rFonts w:cstheme="minorHAnsi"/>
        </w:rPr>
        <w:t xml:space="preserve">HA/32/2/51 </w:t>
      </w:r>
    </w:p>
    <w:p w14:paraId="74B6F29F" w14:textId="77777777" w:rsidR="001375A7" w:rsidRDefault="001375A7" w:rsidP="001375A7">
      <w:pPr>
        <w:pStyle w:val="FootnoteText"/>
        <w:spacing w:after="0"/>
        <w:ind w:firstLine="720"/>
        <w:rPr>
          <w:rFonts w:cstheme="minorHAnsi"/>
        </w:rPr>
      </w:pPr>
      <w:r w:rsidRPr="00FB578C">
        <w:rPr>
          <w:rFonts w:cstheme="minorHAnsi"/>
        </w:rPr>
        <w:t>&lt;https://cain.ulster.ac.uk/proni/1972/proni_HA-32-2-51_1972-03-24.pdf&gt; [accessed 26 July 2025]</w:t>
      </w:r>
    </w:p>
    <w:p w14:paraId="2986AD55" w14:textId="77777777" w:rsidR="001375A7" w:rsidRPr="00D16EF0" w:rsidRDefault="001375A7" w:rsidP="001375A7">
      <w:pPr>
        <w:pStyle w:val="FootnoteText"/>
        <w:spacing w:after="0"/>
      </w:pPr>
    </w:p>
    <w:p w14:paraId="016BBD1B" w14:textId="11F4CD36" w:rsidR="001375A7" w:rsidRDefault="001375A7" w:rsidP="001375A7">
      <w:pPr>
        <w:spacing w:after="200" w:line="276" w:lineRule="auto"/>
        <w:rPr>
          <w:rFonts w:cstheme="minorHAnsi"/>
          <w:sz w:val="20"/>
          <w:szCs w:val="20"/>
        </w:rPr>
      </w:pPr>
      <w:r w:rsidRPr="00D16EF0">
        <w:rPr>
          <w:sz w:val="20"/>
          <w:szCs w:val="20"/>
        </w:rPr>
        <w:t xml:space="preserve">CAIN Archive - Conflict and Politics in Northern Ireland,  </w:t>
      </w:r>
      <w:r w:rsidRPr="00D16EF0">
        <w:rPr>
          <w:i/>
          <w:iCs/>
          <w:sz w:val="20"/>
          <w:szCs w:val="20"/>
        </w:rPr>
        <w:t>PCC/1/5/7</w:t>
      </w:r>
      <w:r>
        <w:rPr>
          <w:i/>
          <w:iCs/>
          <w:sz w:val="20"/>
          <w:szCs w:val="20"/>
        </w:rPr>
        <w:tab/>
      </w:r>
      <w:r>
        <w:rPr>
          <w:i/>
          <w:iCs/>
          <w:sz w:val="20"/>
          <w:szCs w:val="20"/>
        </w:rPr>
        <w:tab/>
      </w:r>
      <w:r>
        <w:rPr>
          <w:i/>
          <w:iCs/>
          <w:sz w:val="20"/>
          <w:szCs w:val="20"/>
        </w:rPr>
        <w:tab/>
      </w:r>
      <w:r>
        <w:rPr>
          <w:i/>
          <w:iCs/>
          <w:sz w:val="20"/>
          <w:szCs w:val="20"/>
        </w:rPr>
        <w:tab/>
      </w:r>
      <w:r>
        <w:rPr>
          <w:i/>
          <w:iCs/>
          <w:sz w:val="20"/>
          <w:szCs w:val="20"/>
        </w:rPr>
        <w:tab/>
      </w:r>
      <w:r>
        <w:rPr>
          <w:i/>
          <w:iCs/>
          <w:sz w:val="20"/>
          <w:szCs w:val="20"/>
        </w:rPr>
        <w:tab/>
      </w:r>
      <w:r>
        <w:rPr>
          <w:i/>
          <w:iCs/>
          <w:sz w:val="20"/>
          <w:szCs w:val="20"/>
        </w:rPr>
        <w:tab/>
      </w:r>
      <w:r>
        <w:rPr>
          <w:i/>
          <w:iCs/>
          <w:sz w:val="20"/>
          <w:szCs w:val="20"/>
        </w:rPr>
        <w:tab/>
      </w:r>
      <w:r>
        <w:rPr>
          <w:i/>
          <w:iCs/>
          <w:sz w:val="20"/>
          <w:szCs w:val="20"/>
        </w:rPr>
        <w:tab/>
      </w:r>
      <w:r w:rsidRPr="00D16EF0">
        <w:rPr>
          <w:i/>
          <w:iCs/>
          <w:sz w:val="20"/>
          <w:szCs w:val="20"/>
        </w:rPr>
        <w:t xml:space="preserve"> </w:t>
      </w:r>
      <w:r w:rsidRPr="00FB578C">
        <w:rPr>
          <w:rFonts w:cstheme="minorHAnsi"/>
          <w:sz w:val="20"/>
          <w:szCs w:val="20"/>
        </w:rPr>
        <w:t>&lt;https://cain.ulster.ac.uk/proni/1976/proni_PCC-1-5-7_1976-03-10.pdf&gt; [accessed 26 July 2025]</w:t>
      </w:r>
    </w:p>
    <w:p w14:paraId="53F42E47" w14:textId="77777777" w:rsidR="001375A7" w:rsidRDefault="001375A7" w:rsidP="001375A7">
      <w:pPr>
        <w:pStyle w:val="FootnoteText"/>
        <w:spacing w:after="0"/>
      </w:pPr>
      <w:r w:rsidRPr="00D16EF0">
        <w:t xml:space="preserve">CAIN Archive - Conflict and Politics in Northern Ireland, </w:t>
      </w:r>
      <w:r w:rsidRPr="00D16EF0">
        <w:rPr>
          <w:i/>
          <w:iCs/>
        </w:rPr>
        <w:t>Violence - Significant Violent Incidents During the Conflict</w:t>
      </w:r>
      <w:r w:rsidRPr="00D16EF0">
        <w:t xml:space="preserve"> </w:t>
      </w:r>
    </w:p>
    <w:p w14:paraId="59A041B8" w14:textId="77777777" w:rsidR="001375A7" w:rsidRDefault="001375A7" w:rsidP="001375A7">
      <w:pPr>
        <w:pStyle w:val="FootnoteText"/>
        <w:spacing w:after="0"/>
        <w:ind w:left="720"/>
        <w:rPr>
          <w:rFonts w:cstheme="minorHAnsi"/>
        </w:rPr>
      </w:pPr>
      <w:r w:rsidRPr="00D16EF0">
        <w:t>(2025)</w:t>
      </w:r>
      <w:r>
        <w:t xml:space="preserve"> </w:t>
      </w:r>
      <w:r w:rsidRPr="00FB578C">
        <w:rPr>
          <w:rFonts w:cstheme="minorHAnsi"/>
        </w:rPr>
        <w:t>&lt;https://cain.ulster.ac.uk/issues/violence/majinc.htm#:~:text=In%201972%2C%20472%20people%20died,</w:t>
      </w:r>
      <w:r>
        <w:rPr>
          <w:rFonts w:cstheme="minorHAnsi"/>
        </w:rPr>
        <w:t xml:space="preserve"> </w:t>
      </w:r>
      <w:r w:rsidRPr="00FB578C">
        <w:rPr>
          <w:rFonts w:cstheme="minorHAnsi"/>
        </w:rPr>
        <w:t>people%20(321)%20were%20civilians.&amp;text=Andrew%20Maguire%2C%20aged%206%20weeks,killed%20on%2010%20August%201976&gt; [accessed 14 July 2025]</w:t>
      </w:r>
    </w:p>
    <w:p w14:paraId="74060735" w14:textId="77777777" w:rsidR="001375A7" w:rsidRDefault="001375A7" w:rsidP="001375A7">
      <w:pPr>
        <w:pStyle w:val="FootnoteText"/>
        <w:spacing w:after="0"/>
        <w:ind w:left="720"/>
        <w:rPr>
          <w:rFonts w:cstheme="minorHAnsi"/>
        </w:rPr>
      </w:pPr>
    </w:p>
    <w:p w14:paraId="264F7484" w14:textId="77777777" w:rsidR="001375A7" w:rsidRDefault="001375A7" w:rsidP="001375A7">
      <w:pPr>
        <w:spacing w:after="0" w:line="276" w:lineRule="auto"/>
        <w:rPr>
          <w:rFonts w:cstheme="minorHAnsi"/>
          <w:sz w:val="20"/>
          <w:szCs w:val="20"/>
        </w:rPr>
      </w:pPr>
      <w:r w:rsidRPr="00D16EF0">
        <w:rPr>
          <w:sz w:val="20"/>
          <w:szCs w:val="20"/>
        </w:rPr>
        <w:t xml:space="preserve">CAIN Archive - Conflict and Politics in Northern Ireland, </w:t>
      </w:r>
      <w:r w:rsidRPr="00FB578C">
        <w:rPr>
          <w:rFonts w:cstheme="minorHAnsi"/>
          <w:i/>
          <w:iCs/>
          <w:sz w:val="20"/>
          <w:szCs w:val="20"/>
        </w:rPr>
        <w:t>CAB/4/1647</w:t>
      </w:r>
      <w:r w:rsidRPr="00D16EF0">
        <w:rPr>
          <w:rFonts w:cstheme="minorHAnsi"/>
          <w:sz w:val="20"/>
          <w:szCs w:val="20"/>
        </w:rPr>
        <w:t xml:space="preserve"> </w:t>
      </w:r>
    </w:p>
    <w:p w14:paraId="5135B3F5" w14:textId="77777777" w:rsidR="001375A7" w:rsidRDefault="001375A7" w:rsidP="001375A7">
      <w:pPr>
        <w:spacing w:after="0" w:line="276" w:lineRule="auto"/>
        <w:ind w:firstLine="720"/>
        <w:rPr>
          <w:rFonts w:cstheme="minorHAnsi"/>
          <w:sz w:val="20"/>
          <w:szCs w:val="20"/>
        </w:rPr>
      </w:pPr>
      <w:r w:rsidRPr="00FB578C">
        <w:rPr>
          <w:rFonts w:cstheme="minorHAnsi"/>
          <w:sz w:val="20"/>
          <w:szCs w:val="20"/>
        </w:rPr>
        <w:t>&lt;https://cain.ulster.ac.uk/proni/1972/proni_CAB-4-1647_1972-03-22_a.pdf&gt; [accessed 26 July 2025]</w:t>
      </w:r>
    </w:p>
    <w:p w14:paraId="1445AD33" w14:textId="77777777" w:rsidR="001375A7" w:rsidRPr="001375A7" w:rsidRDefault="001375A7" w:rsidP="001375A7">
      <w:pPr>
        <w:pStyle w:val="FootnoteText"/>
        <w:spacing w:after="0"/>
      </w:pPr>
    </w:p>
    <w:p w14:paraId="50124648" w14:textId="77777777" w:rsidR="001375A7" w:rsidRDefault="001375A7" w:rsidP="001375A7">
      <w:pPr>
        <w:pStyle w:val="FootnoteText"/>
        <w:spacing w:after="0"/>
        <w:rPr>
          <w:rFonts w:cstheme="minorHAnsi"/>
          <w:i/>
          <w:iCs/>
        </w:rPr>
      </w:pPr>
      <w:r w:rsidRPr="00D16EF0">
        <w:rPr>
          <w:rFonts w:cstheme="minorHAnsi"/>
        </w:rPr>
        <w:t xml:space="preserve">Equality and Human Rights Commission, </w:t>
      </w:r>
      <w:r w:rsidRPr="00D16EF0">
        <w:rPr>
          <w:rFonts w:cstheme="minorHAnsi"/>
          <w:i/>
          <w:iCs/>
        </w:rPr>
        <w:t>Article 6: Right to a fair trial</w:t>
      </w:r>
    </w:p>
    <w:p w14:paraId="681F204E" w14:textId="77777777" w:rsidR="001375A7" w:rsidRPr="00D16EF0" w:rsidRDefault="001375A7" w:rsidP="001375A7">
      <w:pPr>
        <w:pStyle w:val="FootnoteText"/>
        <w:spacing w:after="0"/>
        <w:ind w:left="720" w:firstLine="40"/>
        <w:rPr>
          <w:rFonts w:cstheme="minorHAnsi"/>
        </w:rPr>
      </w:pPr>
      <w:r w:rsidRPr="00D16EF0">
        <w:rPr>
          <w:rFonts w:cstheme="minorHAnsi"/>
        </w:rPr>
        <w:t xml:space="preserve">(2021) </w:t>
      </w:r>
      <w:r w:rsidRPr="00FB578C">
        <w:rPr>
          <w:rFonts w:cstheme="minorHAnsi"/>
        </w:rPr>
        <w:t>&lt;https://www.equalityhumanrights.com/human-rights/human-rights-act/article-6-right-fair-trial&gt;</w:t>
      </w:r>
      <w:r w:rsidRPr="00D16EF0">
        <w:rPr>
          <w:rFonts w:cstheme="minorHAnsi"/>
        </w:rPr>
        <w:t xml:space="preserve"> </w:t>
      </w:r>
      <w:r w:rsidRPr="00FB578C">
        <w:rPr>
          <w:rFonts w:cstheme="minorHAnsi"/>
        </w:rPr>
        <w:t>[accessed 26 July 2025]</w:t>
      </w:r>
    </w:p>
    <w:p w14:paraId="354CF235" w14:textId="77777777" w:rsidR="001375A7" w:rsidRDefault="001375A7" w:rsidP="001375A7">
      <w:pPr>
        <w:pStyle w:val="FootnoteText"/>
        <w:spacing w:after="0"/>
      </w:pPr>
    </w:p>
    <w:p w14:paraId="63F4A44F" w14:textId="77777777" w:rsidR="001375A7" w:rsidRDefault="001375A7" w:rsidP="001375A7">
      <w:pPr>
        <w:pStyle w:val="FootnoteText"/>
        <w:spacing w:after="0"/>
      </w:pPr>
      <w:r w:rsidRPr="00D16EF0">
        <w:t xml:space="preserve">Friends of the Aldershot Military Museum, </w:t>
      </w:r>
      <w:r w:rsidRPr="00D16EF0">
        <w:rPr>
          <w:i/>
          <w:iCs/>
        </w:rPr>
        <w:t>The IRA bomb attack on Aldershot</w:t>
      </w:r>
      <w:r w:rsidRPr="00D16EF0">
        <w:t xml:space="preserve"> </w:t>
      </w:r>
    </w:p>
    <w:p w14:paraId="3B50485C" w14:textId="77777777" w:rsidR="001375A7" w:rsidRDefault="001375A7" w:rsidP="001375A7">
      <w:pPr>
        <w:pStyle w:val="FootnoteText"/>
        <w:spacing w:after="0"/>
        <w:ind w:firstLine="720"/>
        <w:rPr>
          <w:rFonts w:cstheme="minorHAnsi"/>
        </w:rPr>
      </w:pPr>
      <w:r w:rsidRPr="00D16EF0">
        <w:t xml:space="preserve">(2022) &lt;https://www.friendsofthealdershotmilitarymuseum.org.uk/garrison.22A.html&gt; </w:t>
      </w:r>
      <w:r w:rsidRPr="00FB578C">
        <w:rPr>
          <w:rFonts w:cstheme="minorHAnsi"/>
        </w:rPr>
        <w:t>[accessed 26 July 2025]</w:t>
      </w:r>
    </w:p>
    <w:p w14:paraId="6CC3F833" w14:textId="77777777" w:rsidR="00D16EF0" w:rsidRDefault="00D16EF0" w:rsidP="00D16EF0">
      <w:pPr>
        <w:pStyle w:val="FootnoteText"/>
        <w:spacing w:after="0"/>
        <w:rPr>
          <w:rFonts w:cstheme="minorHAnsi"/>
          <w:color w:val="000000" w:themeColor="text1"/>
        </w:rPr>
      </w:pPr>
    </w:p>
    <w:p w14:paraId="0D009D6A" w14:textId="77777777" w:rsidR="006010C4" w:rsidRDefault="006010C4" w:rsidP="006010C4">
      <w:pPr>
        <w:pStyle w:val="FootnoteText"/>
        <w:spacing w:after="0"/>
        <w:rPr>
          <w:rFonts w:cstheme="minorHAnsi"/>
        </w:rPr>
      </w:pPr>
      <w:r w:rsidRPr="00D16EF0">
        <w:rPr>
          <w:rFonts w:cstheme="minorHAnsi"/>
        </w:rPr>
        <w:t xml:space="preserve">Kelsey Hanson, ‘Remembering Bloody Sunday 50 years on: A textual analysis of Bloody Sunday anniversary coverage’ </w:t>
      </w:r>
    </w:p>
    <w:p w14:paraId="6BA3941E" w14:textId="77777777" w:rsidR="006010C4" w:rsidRDefault="006010C4" w:rsidP="006010C4">
      <w:pPr>
        <w:pStyle w:val="FootnoteText"/>
        <w:spacing w:after="0"/>
        <w:ind w:left="720"/>
        <w:rPr>
          <w:rFonts w:cstheme="minorHAnsi"/>
        </w:rPr>
      </w:pPr>
      <w:r w:rsidRPr="00D16EF0">
        <w:rPr>
          <w:rFonts w:cstheme="minorHAnsi"/>
        </w:rPr>
        <w:t xml:space="preserve">(2024) &lt;https://www.cambridge.org/core/journals/memory-mind-and-media/article/remembering-bloody-sunday-50-years-on-a-textual-analysis-of-bloody-sunday-anniversary-coverage/D43EBD9D099ED10C49B028A509D84C3E&gt; </w:t>
      </w:r>
      <w:r w:rsidRPr="00FB578C">
        <w:rPr>
          <w:rFonts w:cstheme="minorHAnsi"/>
        </w:rPr>
        <w:t xml:space="preserve">[accessed </w:t>
      </w:r>
      <w:r w:rsidRPr="00D16EF0">
        <w:rPr>
          <w:rFonts w:cstheme="minorHAnsi"/>
        </w:rPr>
        <w:t>14</w:t>
      </w:r>
      <w:r w:rsidRPr="00FB578C">
        <w:rPr>
          <w:rFonts w:cstheme="minorHAnsi"/>
        </w:rPr>
        <w:t xml:space="preserve"> July 2025]</w:t>
      </w:r>
    </w:p>
    <w:p w14:paraId="1EB654CB" w14:textId="77777777" w:rsidR="006010C4" w:rsidRDefault="006010C4" w:rsidP="00D16EF0">
      <w:pPr>
        <w:pStyle w:val="FootnoteText"/>
        <w:spacing w:after="0"/>
        <w:rPr>
          <w:rFonts w:cstheme="minorHAnsi"/>
          <w:color w:val="000000" w:themeColor="text1"/>
        </w:rPr>
      </w:pPr>
    </w:p>
    <w:p w14:paraId="63E69D0B" w14:textId="77777777" w:rsidR="00D16EF0" w:rsidRDefault="00D16EF0" w:rsidP="00D16EF0">
      <w:pPr>
        <w:pStyle w:val="FootnoteText"/>
        <w:spacing w:after="0"/>
        <w:rPr>
          <w:rStyle w:val="FootnoteReference"/>
          <w:rFonts w:ascii="Calibri" w:hAnsi="Calibri" w:cs="Calibri"/>
        </w:rPr>
      </w:pPr>
    </w:p>
    <w:p w14:paraId="0B537777" w14:textId="77777777" w:rsidR="006010C4" w:rsidRDefault="006010C4" w:rsidP="006010C4">
      <w:pPr>
        <w:pStyle w:val="p1"/>
        <w:rPr>
          <w:rFonts w:ascii="Calibri" w:hAnsi="Calibri" w:cs="Calibri"/>
          <w:i/>
          <w:iCs/>
          <w:sz w:val="20"/>
          <w:szCs w:val="20"/>
        </w:rPr>
      </w:pPr>
      <w:r w:rsidRPr="00D16EF0">
        <w:rPr>
          <w:rFonts w:ascii="Calibri" w:hAnsi="Calibri" w:cs="Calibri"/>
          <w:sz w:val="20"/>
          <w:szCs w:val="20"/>
        </w:rPr>
        <w:t xml:space="preserve">Declan Moen, ‘Irish Political Prisoners and Post Hunger-Strike Resistance to Criminalisation’,  </w:t>
      </w:r>
      <w:r w:rsidRPr="00D16EF0">
        <w:rPr>
          <w:rFonts w:ascii="Calibri" w:hAnsi="Calibri" w:cs="Calibri"/>
          <w:i/>
          <w:iCs/>
          <w:sz w:val="20"/>
          <w:szCs w:val="20"/>
        </w:rPr>
        <w:t xml:space="preserve">British Society of Criminology </w:t>
      </w:r>
      <w:r>
        <w:rPr>
          <w:rFonts w:ascii="Calibri" w:hAnsi="Calibri" w:cs="Calibri"/>
          <w:i/>
          <w:iCs/>
          <w:sz w:val="20"/>
          <w:szCs w:val="20"/>
        </w:rPr>
        <w:tab/>
      </w:r>
    </w:p>
    <w:p w14:paraId="1C1AD192" w14:textId="77777777" w:rsidR="006010C4" w:rsidRPr="006010C4" w:rsidRDefault="006010C4" w:rsidP="006010C4">
      <w:pPr>
        <w:pStyle w:val="p1"/>
        <w:ind w:firstLine="720"/>
        <w:rPr>
          <w:rFonts w:ascii="Calibri" w:hAnsi="Calibri" w:cs="Calibri"/>
          <w:color w:val="auto"/>
          <w:sz w:val="20"/>
          <w:szCs w:val="20"/>
        </w:rPr>
      </w:pPr>
      <w:r w:rsidRPr="00D16EF0">
        <w:rPr>
          <w:rFonts w:ascii="Calibri" w:hAnsi="Calibri" w:cs="Calibri"/>
          <w:i/>
          <w:iCs/>
          <w:sz w:val="20"/>
          <w:szCs w:val="20"/>
        </w:rPr>
        <w:t>(</w:t>
      </w:r>
      <w:r w:rsidRPr="00D16EF0">
        <w:rPr>
          <w:rFonts w:ascii="Calibri" w:hAnsi="Calibri" w:cs="Calibri"/>
          <w:sz w:val="20"/>
          <w:szCs w:val="20"/>
        </w:rPr>
        <w:t>2000)</w:t>
      </w:r>
      <w:r w:rsidRPr="00FB578C">
        <w:rPr>
          <w:rFonts w:ascii="Calibri" w:hAnsi="Calibri" w:cs="Calibri"/>
          <w:color w:val="auto"/>
          <w:sz w:val="20"/>
          <w:szCs w:val="20"/>
        </w:rPr>
        <w:t xml:space="preserve"> p.g. 4 - &lt;https://www.britsoccrim.org/volume3/009.pdf&gt;</w:t>
      </w:r>
      <w:r w:rsidRPr="00D16EF0">
        <w:rPr>
          <w:rFonts w:ascii="Calibri" w:hAnsi="Calibri" w:cs="Calibri"/>
          <w:color w:val="auto"/>
          <w:sz w:val="20"/>
          <w:szCs w:val="20"/>
        </w:rPr>
        <w:t xml:space="preserve"> </w:t>
      </w:r>
      <w:r w:rsidRPr="00FB578C">
        <w:rPr>
          <w:rFonts w:ascii="Calibri" w:hAnsi="Calibri" w:cs="Calibri"/>
          <w:color w:val="auto"/>
          <w:sz w:val="20"/>
          <w:szCs w:val="20"/>
        </w:rPr>
        <w:t>[accessed 26 July 2025]</w:t>
      </w:r>
    </w:p>
    <w:p w14:paraId="14DC475F" w14:textId="77777777" w:rsidR="00D16EF0" w:rsidRPr="00D16EF0" w:rsidRDefault="00D16EF0" w:rsidP="00D16EF0">
      <w:pPr>
        <w:pStyle w:val="FootnoteText"/>
        <w:spacing w:after="0"/>
        <w:ind w:firstLine="720"/>
        <w:rPr>
          <w:rFonts w:ascii="Calibri" w:hAnsi="Calibri" w:cs="Calibri"/>
        </w:rPr>
      </w:pPr>
    </w:p>
    <w:p w14:paraId="08B92C53" w14:textId="77777777" w:rsidR="00D349C8" w:rsidRDefault="00D16EF0" w:rsidP="00D16EF0">
      <w:pPr>
        <w:pStyle w:val="FootnoteText"/>
        <w:spacing w:after="0"/>
      </w:pPr>
      <w:r w:rsidRPr="00D16EF0">
        <w:t xml:space="preserve">Ronnie Munck, ‘The Making of the Troubles in Northern Ireland’, </w:t>
      </w:r>
      <w:r w:rsidRPr="00D16EF0">
        <w:rPr>
          <w:i/>
          <w:iCs/>
        </w:rPr>
        <w:t xml:space="preserve">Journal of Contemporary History, </w:t>
      </w:r>
      <w:r w:rsidRPr="00D16EF0">
        <w:t xml:space="preserve">27.2 </w:t>
      </w:r>
    </w:p>
    <w:p w14:paraId="6074DB23" w14:textId="42E6288B" w:rsidR="00D16EF0" w:rsidRDefault="00D16EF0" w:rsidP="00D349C8">
      <w:pPr>
        <w:pStyle w:val="FootnoteText"/>
        <w:spacing w:after="0"/>
        <w:ind w:firstLine="720"/>
        <w:rPr>
          <w:rFonts w:cstheme="minorHAnsi"/>
        </w:rPr>
      </w:pPr>
      <w:r w:rsidRPr="00D16EF0">
        <w:t xml:space="preserve">(1992) &lt;https://journals.sagepub.com/doi/abs/10.1177/002200949202700201&gt; </w:t>
      </w:r>
      <w:r w:rsidRPr="00FB578C">
        <w:rPr>
          <w:rFonts w:cstheme="minorHAnsi"/>
        </w:rPr>
        <w:t xml:space="preserve">[accessed </w:t>
      </w:r>
      <w:r w:rsidRPr="00D16EF0">
        <w:rPr>
          <w:rFonts w:cstheme="minorHAnsi"/>
        </w:rPr>
        <w:t>14</w:t>
      </w:r>
      <w:r w:rsidRPr="00FB578C">
        <w:rPr>
          <w:rFonts w:cstheme="minorHAnsi"/>
        </w:rPr>
        <w:t xml:space="preserve"> July 2025]</w:t>
      </w:r>
    </w:p>
    <w:p w14:paraId="42B77846" w14:textId="77777777" w:rsidR="00D349C8" w:rsidRPr="00D16EF0" w:rsidRDefault="00D349C8" w:rsidP="00D349C8">
      <w:pPr>
        <w:pStyle w:val="FootnoteText"/>
        <w:spacing w:after="0"/>
        <w:ind w:firstLine="720"/>
      </w:pPr>
    </w:p>
    <w:p w14:paraId="1F49415A" w14:textId="77777777" w:rsidR="00D349C8" w:rsidRDefault="00D16EF0" w:rsidP="00D349C8">
      <w:pPr>
        <w:pStyle w:val="FootnoteText"/>
        <w:spacing w:after="0"/>
        <w:rPr>
          <w:rFonts w:cstheme="minorHAnsi"/>
        </w:rPr>
      </w:pPr>
      <w:r w:rsidRPr="00FB578C">
        <w:rPr>
          <w:rFonts w:cstheme="minorHAnsi"/>
        </w:rPr>
        <w:t>Malcolm Sutton</w:t>
      </w:r>
      <w:r w:rsidRPr="00D16EF0">
        <w:rPr>
          <w:rFonts w:cstheme="minorHAnsi"/>
        </w:rPr>
        <w:t xml:space="preserve">, </w:t>
      </w:r>
      <w:r w:rsidRPr="00FB578C">
        <w:rPr>
          <w:rFonts w:cstheme="minorHAnsi"/>
          <w:i/>
          <w:iCs/>
        </w:rPr>
        <w:t>Bear in mind these dead ... An Index of Deaths from the Conflict in Ireland 1969-1993</w:t>
      </w:r>
      <w:r w:rsidRPr="00D16EF0">
        <w:rPr>
          <w:rFonts w:cstheme="minorHAnsi"/>
          <w:i/>
          <w:iCs/>
        </w:rPr>
        <w:t>,</w:t>
      </w:r>
      <w:r w:rsidRPr="00D16EF0">
        <w:rPr>
          <w:rFonts w:cstheme="minorHAnsi"/>
        </w:rPr>
        <w:t xml:space="preserve"> </w:t>
      </w:r>
    </w:p>
    <w:p w14:paraId="2DD605A5" w14:textId="542CAD64" w:rsidR="006010C4" w:rsidRDefault="00D16EF0" w:rsidP="006010C4">
      <w:pPr>
        <w:pStyle w:val="FootnoteText"/>
        <w:spacing w:after="0"/>
        <w:ind w:firstLine="720"/>
        <w:rPr>
          <w:rFonts w:cstheme="minorHAnsi"/>
        </w:rPr>
      </w:pPr>
      <w:r w:rsidRPr="00FB578C">
        <w:rPr>
          <w:rFonts w:cstheme="minorHAnsi"/>
        </w:rPr>
        <w:t>(Belfast: Beyond the Pale Publications</w:t>
      </w:r>
      <w:r w:rsidRPr="00D16EF0">
        <w:rPr>
          <w:rFonts w:cstheme="minorHAnsi"/>
        </w:rPr>
        <w:t>, 1994</w:t>
      </w:r>
      <w:r w:rsidRPr="00FB578C">
        <w:rPr>
          <w:rFonts w:cstheme="minorHAnsi"/>
        </w:rPr>
        <w:t>) &lt;https://cain.ulster.ac.uk/sutton/book/&gt;</w:t>
      </w:r>
    </w:p>
    <w:p w14:paraId="40DD7230" w14:textId="77777777" w:rsidR="006010C4" w:rsidRDefault="006010C4" w:rsidP="00D349C8">
      <w:pPr>
        <w:pStyle w:val="FootnoteText"/>
        <w:spacing w:after="0"/>
        <w:ind w:firstLine="720"/>
        <w:rPr>
          <w:rFonts w:cstheme="minorHAnsi"/>
        </w:rPr>
      </w:pPr>
    </w:p>
    <w:p w14:paraId="2B1F3012" w14:textId="77777777" w:rsidR="006010C4" w:rsidRDefault="006010C4" w:rsidP="006010C4">
      <w:pPr>
        <w:pStyle w:val="FootnoteText"/>
        <w:spacing w:after="0"/>
        <w:rPr>
          <w:rFonts w:cstheme="minorHAnsi"/>
        </w:rPr>
      </w:pPr>
      <w:r w:rsidRPr="00FB578C">
        <w:rPr>
          <w:rFonts w:cstheme="minorHAnsi"/>
        </w:rPr>
        <w:t>Gregor McIntyre,</w:t>
      </w:r>
      <w:r w:rsidRPr="00FB578C">
        <w:rPr>
          <w:rFonts w:cstheme="minorHAnsi"/>
          <w:b/>
          <w:bCs/>
        </w:rPr>
        <w:t> </w:t>
      </w:r>
      <w:r w:rsidRPr="00FB578C">
        <w:rPr>
          <w:rFonts w:cstheme="minorHAnsi"/>
        </w:rPr>
        <w:t>'The Iron Lady and the IRA: What effect did the 1984 Brighton Bombing have on Margaret Thatcher?'</w:t>
      </w:r>
      <w:r w:rsidRPr="00D16EF0">
        <w:rPr>
          <w:rFonts w:cstheme="minorHAnsi"/>
        </w:rPr>
        <w:t xml:space="preserve"> </w:t>
      </w:r>
    </w:p>
    <w:p w14:paraId="247955DB" w14:textId="507F28AF" w:rsidR="001375A7" w:rsidRPr="006010C4" w:rsidRDefault="006010C4" w:rsidP="006010C4">
      <w:pPr>
        <w:pStyle w:val="FootnoteText"/>
        <w:spacing w:after="0"/>
        <w:ind w:left="720"/>
      </w:pPr>
      <w:r w:rsidRPr="00D16EF0">
        <w:rPr>
          <w:rFonts w:cstheme="minorHAnsi"/>
          <w:i/>
          <w:iCs/>
        </w:rPr>
        <w:t>The Handa Centre for the Study of Terrorism and Political Violence</w:t>
      </w:r>
      <w:r w:rsidRPr="00D16EF0">
        <w:rPr>
          <w:rFonts w:cstheme="minorHAnsi"/>
        </w:rPr>
        <w:t xml:space="preserve"> (</w:t>
      </w:r>
      <w:r w:rsidRPr="00FB578C">
        <w:rPr>
          <w:rFonts w:cstheme="minorHAnsi"/>
        </w:rPr>
        <w:t>2024</w:t>
      </w:r>
      <w:r w:rsidRPr="00D16EF0">
        <w:rPr>
          <w:rFonts w:cstheme="minorHAnsi"/>
        </w:rPr>
        <w:t>)</w:t>
      </w:r>
      <w:r w:rsidRPr="00FB578C">
        <w:rPr>
          <w:rFonts w:cstheme="minorHAnsi"/>
        </w:rPr>
        <w:t xml:space="preserve"> &lt;https://cstpv.wp.st-andrews.ac.uk/2024/01/11/the-iron-lady-and-the-ira-what-effect-did-the-1984-brighton-bombing-have-on-margaret-thatcher/&gt; [accessed 26 July 2025].</w:t>
      </w:r>
    </w:p>
    <w:p w14:paraId="6CE22EF5" w14:textId="77777777" w:rsidR="001375A7" w:rsidRDefault="001375A7" w:rsidP="006010C4">
      <w:pPr>
        <w:spacing w:after="0" w:line="276" w:lineRule="auto"/>
        <w:rPr>
          <w:rFonts w:cstheme="minorHAnsi"/>
          <w:sz w:val="20"/>
          <w:szCs w:val="20"/>
        </w:rPr>
      </w:pPr>
    </w:p>
    <w:p w14:paraId="2F1599E7" w14:textId="77777777" w:rsidR="006010C4" w:rsidRDefault="006010C4" w:rsidP="006010C4">
      <w:pPr>
        <w:pStyle w:val="FootnoteText"/>
        <w:spacing w:after="0"/>
        <w:rPr>
          <w:i/>
          <w:iCs/>
        </w:rPr>
      </w:pPr>
      <w:r w:rsidRPr="00D16EF0">
        <w:t>National Library of Ireland, </w:t>
      </w:r>
      <w:r w:rsidRPr="00D16EF0">
        <w:rPr>
          <w:i/>
          <w:iCs/>
        </w:rPr>
        <w:t>The 1916 Rising: Personalities and Perspectives</w:t>
      </w:r>
    </w:p>
    <w:p w14:paraId="6ABE1047" w14:textId="77777777" w:rsidR="006010C4" w:rsidRDefault="006010C4" w:rsidP="006010C4">
      <w:pPr>
        <w:pStyle w:val="FootnoteText"/>
        <w:spacing w:after="0"/>
        <w:ind w:firstLine="720"/>
      </w:pPr>
      <w:r w:rsidRPr="00D16EF0">
        <w:rPr>
          <w:i/>
          <w:iCs/>
        </w:rPr>
        <w:lastRenderedPageBreak/>
        <w:t xml:space="preserve"> (</w:t>
      </w:r>
      <w:r w:rsidRPr="00D16EF0">
        <w:t>2016)  &lt;https://www.nli.ie/1916/exhibition/en/content/outlineirishhistory/index.pdf&gt; [accessed 14 July 2025]</w:t>
      </w:r>
    </w:p>
    <w:p w14:paraId="18835A13" w14:textId="77777777" w:rsidR="006010C4" w:rsidRPr="00D16EF0" w:rsidRDefault="006010C4" w:rsidP="006010C4">
      <w:pPr>
        <w:pStyle w:val="FootnoteText"/>
        <w:spacing w:after="0"/>
      </w:pPr>
    </w:p>
    <w:p w14:paraId="02233C0F" w14:textId="77777777" w:rsidR="006010C4" w:rsidRDefault="006010C4" w:rsidP="006010C4">
      <w:pPr>
        <w:pStyle w:val="FootnoteText"/>
        <w:spacing w:after="0"/>
      </w:pPr>
      <w:r w:rsidRPr="00D16EF0">
        <w:t xml:space="preserve">Northern Ireland Office, The Belfast Agreement (10 April 1998) </w:t>
      </w:r>
    </w:p>
    <w:p w14:paraId="1CC3C4EC" w14:textId="77777777" w:rsidR="006010C4" w:rsidRDefault="006010C4" w:rsidP="006010C4">
      <w:pPr>
        <w:pStyle w:val="FootnoteText"/>
        <w:spacing w:after="0"/>
        <w:ind w:firstLine="720"/>
        <w:rPr>
          <w:rFonts w:cstheme="minorHAnsi"/>
        </w:rPr>
      </w:pPr>
      <w:r w:rsidRPr="00FB578C">
        <w:rPr>
          <w:rFonts w:cstheme="minorHAnsi"/>
        </w:rPr>
        <w:t>&lt;</w:t>
      </w:r>
      <w:r w:rsidRPr="00D16EF0">
        <w:rPr>
          <w:rFonts w:cstheme="minorHAnsi"/>
        </w:rPr>
        <w:t xml:space="preserve">https://www.gov.uk/government/publications/the-belfast-agreement&gt; </w:t>
      </w:r>
      <w:r w:rsidRPr="00FB578C">
        <w:rPr>
          <w:rFonts w:cstheme="minorHAnsi"/>
        </w:rPr>
        <w:t>[accessed 14 July 2025]</w:t>
      </w:r>
    </w:p>
    <w:p w14:paraId="1D66516E" w14:textId="77777777" w:rsidR="006010C4" w:rsidRPr="00D16EF0" w:rsidRDefault="006010C4" w:rsidP="006010C4">
      <w:pPr>
        <w:pStyle w:val="FootnoteText"/>
        <w:spacing w:after="0"/>
        <w:ind w:firstLine="720"/>
      </w:pPr>
    </w:p>
    <w:p w14:paraId="794E9C35" w14:textId="77777777" w:rsidR="006010C4" w:rsidRDefault="006010C4" w:rsidP="006010C4">
      <w:pPr>
        <w:pStyle w:val="FootnoteText"/>
        <w:spacing w:after="0"/>
        <w:rPr>
          <w:rFonts w:ascii="Calibri" w:hAnsi="Calibri" w:cs="Calibri"/>
        </w:rPr>
      </w:pPr>
      <w:r w:rsidRPr="00D16EF0">
        <w:rPr>
          <w:rFonts w:ascii="Calibri" w:hAnsi="Calibri" w:cs="Calibri"/>
        </w:rPr>
        <w:t xml:space="preserve">Northern Ireland Assembly, </w:t>
      </w:r>
    </w:p>
    <w:p w14:paraId="57CBA6BF" w14:textId="77777777" w:rsidR="006010C4" w:rsidRPr="00D16EF0" w:rsidRDefault="006010C4" w:rsidP="006010C4">
      <w:pPr>
        <w:pStyle w:val="FootnoteText"/>
        <w:spacing w:after="0"/>
        <w:ind w:firstLine="720"/>
        <w:rPr>
          <w:rFonts w:ascii="Calibri" w:hAnsi="Calibri" w:cs="Calibri"/>
        </w:rPr>
      </w:pPr>
      <w:r w:rsidRPr="00D16EF0">
        <w:rPr>
          <w:rFonts w:ascii="Calibri" w:hAnsi="Calibri" w:cs="Calibri"/>
        </w:rPr>
        <w:t xml:space="preserve">(2025) &lt;https://www.niassembly.gov.uk &gt; </w:t>
      </w:r>
      <w:r w:rsidRPr="00FB578C">
        <w:rPr>
          <w:rFonts w:ascii="Calibri" w:hAnsi="Calibri" w:cs="Calibri"/>
        </w:rPr>
        <w:t xml:space="preserve">[accessed </w:t>
      </w:r>
      <w:r w:rsidRPr="00D16EF0">
        <w:rPr>
          <w:rFonts w:ascii="Calibri" w:hAnsi="Calibri" w:cs="Calibri"/>
        </w:rPr>
        <w:t>14</w:t>
      </w:r>
      <w:r w:rsidRPr="00FB578C">
        <w:rPr>
          <w:rFonts w:ascii="Calibri" w:hAnsi="Calibri" w:cs="Calibri"/>
        </w:rPr>
        <w:t xml:space="preserve"> July 2025]</w:t>
      </w:r>
    </w:p>
    <w:p w14:paraId="25CC70F1" w14:textId="77777777" w:rsidR="006010C4" w:rsidRDefault="006010C4" w:rsidP="006010C4">
      <w:pPr>
        <w:spacing w:after="0" w:line="276" w:lineRule="auto"/>
        <w:rPr>
          <w:rFonts w:cstheme="minorHAnsi"/>
          <w:sz w:val="20"/>
          <w:szCs w:val="20"/>
        </w:rPr>
      </w:pPr>
    </w:p>
    <w:p w14:paraId="0EAFBC54" w14:textId="77777777" w:rsidR="006010C4" w:rsidRPr="00D16EF0" w:rsidRDefault="006010C4" w:rsidP="006010C4">
      <w:pPr>
        <w:pStyle w:val="FootnoteText"/>
        <w:spacing w:after="0"/>
        <w:ind w:firstLine="720"/>
        <w:rPr>
          <w:b/>
          <w:bCs/>
        </w:rPr>
      </w:pPr>
    </w:p>
    <w:p w14:paraId="06D88CB4" w14:textId="77777777" w:rsidR="006010C4" w:rsidRDefault="006010C4" w:rsidP="006010C4">
      <w:pPr>
        <w:pStyle w:val="FootnoteText"/>
        <w:spacing w:after="0"/>
        <w:rPr>
          <w:rFonts w:cstheme="minorHAnsi"/>
          <w:i/>
          <w:iCs/>
        </w:rPr>
      </w:pPr>
      <w:r w:rsidRPr="00FB578C">
        <w:rPr>
          <w:rFonts w:cstheme="minorHAnsi"/>
        </w:rPr>
        <w:t>Prime Minister's Office, 10 Downing Street, </w:t>
      </w:r>
      <w:r w:rsidRPr="00FB578C">
        <w:rPr>
          <w:rFonts w:cstheme="minorHAnsi"/>
          <w:i/>
          <w:iCs/>
        </w:rPr>
        <w:t>PM: Statement on Saville Inquiry, </w:t>
      </w:r>
    </w:p>
    <w:p w14:paraId="3EAC34AB" w14:textId="11058CDD" w:rsidR="006010C4" w:rsidRPr="006010C4" w:rsidRDefault="006010C4" w:rsidP="006010C4">
      <w:pPr>
        <w:pStyle w:val="FootnoteText"/>
        <w:spacing w:after="0"/>
        <w:ind w:firstLine="720"/>
      </w:pPr>
      <w:r w:rsidRPr="00D16EF0">
        <w:rPr>
          <w:rFonts w:cstheme="minorHAnsi"/>
        </w:rPr>
        <w:t>(</w:t>
      </w:r>
      <w:r w:rsidRPr="00FB578C">
        <w:rPr>
          <w:rFonts w:cstheme="minorHAnsi"/>
        </w:rPr>
        <w:t>2010</w:t>
      </w:r>
      <w:r w:rsidRPr="00D16EF0">
        <w:rPr>
          <w:rFonts w:cstheme="minorHAnsi"/>
        </w:rPr>
        <w:t>)</w:t>
      </w:r>
      <w:r w:rsidRPr="00FB578C">
        <w:rPr>
          <w:rFonts w:cstheme="minorHAnsi"/>
        </w:rPr>
        <w:t xml:space="preserve"> &lt;https://www.gov.uk/government/news/pm-statement-on-saville-inquiry&gt; [accessed 26 July 2025]</w:t>
      </w:r>
    </w:p>
    <w:p w14:paraId="516BA77D" w14:textId="77777777" w:rsidR="006010C4" w:rsidRDefault="006010C4" w:rsidP="006010C4">
      <w:pPr>
        <w:spacing w:after="0" w:line="276" w:lineRule="auto"/>
        <w:rPr>
          <w:rFonts w:cstheme="minorHAnsi"/>
          <w:sz w:val="20"/>
          <w:szCs w:val="20"/>
        </w:rPr>
      </w:pPr>
    </w:p>
    <w:p w14:paraId="3EA443C8" w14:textId="77777777" w:rsidR="001375A7" w:rsidRPr="00D16EF0" w:rsidRDefault="001375A7" w:rsidP="001375A7">
      <w:pPr>
        <w:pStyle w:val="FootnoteText"/>
      </w:pPr>
      <w:r w:rsidRPr="00D16EF0">
        <w:rPr>
          <w:rFonts w:cstheme="minorHAnsi"/>
          <w:b/>
          <w:bCs/>
        </w:rPr>
        <w:t>J</w:t>
      </w:r>
      <w:r w:rsidRPr="00FB578C">
        <w:rPr>
          <w:rFonts w:cstheme="minorHAnsi"/>
        </w:rPr>
        <w:t>eremy Smith,</w:t>
      </w:r>
      <w:r w:rsidRPr="00FB578C">
        <w:rPr>
          <w:rFonts w:cstheme="minorHAnsi"/>
          <w:i/>
          <w:iCs/>
        </w:rPr>
        <w:t xml:space="preserve"> Making the Peace in Ireland</w:t>
      </w:r>
      <w:r w:rsidRPr="00D16EF0">
        <w:rPr>
          <w:rFonts w:cstheme="minorHAnsi"/>
          <w:i/>
          <w:iCs/>
        </w:rPr>
        <w:t xml:space="preserve">, London: </w:t>
      </w:r>
      <w:r w:rsidRPr="00D16EF0">
        <w:rPr>
          <w:rFonts w:cstheme="minorHAnsi"/>
        </w:rPr>
        <w:t xml:space="preserve">Routledge (2014) </w:t>
      </w:r>
    </w:p>
    <w:p w14:paraId="4B75C406" w14:textId="77777777" w:rsidR="001375A7" w:rsidRDefault="001375A7" w:rsidP="001375A7">
      <w:pPr>
        <w:pStyle w:val="FootnoteText"/>
        <w:spacing w:after="0"/>
        <w:rPr>
          <w:rFonts w:cstheme="minorHAnsi"/>
        </w:rPr>
      </w:pPr>
      <w:r w:rsidRPr="00FB578C">
        <w:rPr>
          <w:rFonts w:cstheme="minorHAnsi"/>
        </w:rPr>
        <w:t>Ulster Unionist Party</w:t>
      </w:r>
      <w:r w:rsidRPr="00D16EF0">
        <w:rPr>
          <w:rFonts w:cstheme="minorHAnsi"/>
        </w:rPr>
        <w:t xml:space="preserve"> (2025) </w:t>
      </w:r>
    </w:p>
    <w:p w14:paraId="27E606EC" w14:textId="66E8134A" w:rsidR="001375A7" w:rsidRDefault="001375A7" w:rsidP="001375A7">
      <w:pPr>
        <w:pStyle w:val="FootnoteText"/>
        <w:spacing w:after="0"/>
        <w:ind w:firstLine="720"/>
        <w:rPr>
          <w:rFonts w:cstheme="minorHAnsi"/>
        </w:rPr>
      </w:pPr>
      <w:r w:rsidRPr="00D16EF0">
        <w:rPr>
          <w:rFonts w:cstheme="minorHAnsi"/>
        </w:rPr>
        <w:t>&lt;https://www.uup.org&gt; [</w:t>
      </w:r>
      <w:r w:rsidRPr="00FB578C">
        <w:rPr>
          <w:rFonts w:cstheme="minorHAnsi"/>
        </w:rPr>
        <w:t xml:space="preserve">accessed </w:t>
      </w:r>
      <w:r w:rsidRPr="00D16EF0">
        <w:rPr>
          <w:rFonts w:cstheme="minorHAnsi"/>
        </w:rPr>
        <w:t>14</w:t>
      </w:r>
      <w:r w:rsidRPr="00FB578C">
        <w:rPr>
          <w:rFonts w:cstheme="minorHAnsi"/>
        </w:rPr>
        <w:t xml:space="preserve"> July 2025]</w:t>
      </w:r>
    </w:p>
    <w:p w14:paraId="5946C3BF" w14:textId="77777777" w:rsidR="001375A7" w:rsidRPr="00D16EF0" w:rsidRDefault="001375A7" w:rsidP="001375A7">
      <w:pPr>
        <w:spacing w:after="0" w:line="276" w:lineRule="auto"/>
        <w:ind w:firstLine="720"/>
        <w:rPr>
          <w:rFonts w:cstheme="minorHAnsi"/>
          <w:sz w:val="20"/>
          <w:szCs w:val="20"/>
        </w:rPr>
      </w:pPr>
    </w:p>
    <w:p w14:paraId="09D417B9" w14:textId="77777777" w:rsidR="006010C4" w:rsidRDefault="00D16EF0" w:rsidP="00D16EF0">
      <w:pPr>
        <w:pStyle w:val="FootnoteText"/>
        <w:spacing w:after="0"/>
        <w:rPr>
          <w:rFonts w:cstheme="minorHAnsi"/>
          <w:i/>
          <w:iCs/>
        </w:rPr>
      </w:pPr>
      <w:r w:rsidRPr="00D16EF0">
        <w:t xml:space="preserve">UK Parliament, </w:t>
      </w:r>
      <w:r w:rsidRPr="00D16EF0">
        <w:rPr>
          <w:rFonts w:cstheme="minorHAnsi"/>
          <w:i/>
          <w:iCs/>
        </w:rPr>
        <w:t>T</w:t>
      </w:r>
      <w:r w:rsidRPr="00FB578C">
        <w:rPr>
          <w:rFonts w:cstheme="minorHAnsi"/>
          <w:i/>
          <w:iCs/>
        </w:rPr>
        <w:t>he Northern Ireland (Temporary Provisions) Act.</w:t>
      </w:r>
      <w:r w:rsidRPr="00D16EF0">
        <w:rPr>
          <w:rFonts w:cstheme="minorHAnsi"/>
          <w:i/>
          <w:iCs/>
        </w:rPr>
        <w:t xml:space="preserve"> 1972  </w:t>
      </w:r>
    </w:p>
    <w:p w14:paraId="2B565702" w14:textId="65C9CD41" w:rsidR="00D16EF0" w:rsidRDefault="00D16EF0" w:rsidP="006010C4">
      <w:pPr>
        <w:pStyle w:val="FootnoteText"/>
        <w:spacing w:after="0"/>
        <w:ind w:firstLine="720"/>
        <w:rPr>
          <w:rFonts w:cstheme="minorHAnsi"/>
        </w:rPr>
      </w:pPr>
      <w:r w:rsidRPr="00D16EF0">
        <w:rPr>
          <w:rFonts w:cstheme="minorHAnsi"/>
          <w:i/>
          <w:iCs/>
        </w:rPr>
        <w:t>(</w:t>
      </w:r>
      <w:r w:rsidRPr="00D16EF0">
        <w:rPr>
          <w:rFonts w:cstheme="minorHAnsi"/>
        </w:rPr>
        <w:t xml:space="preserve">1972) &lt;https://www.legislation.gov.uk/ukpga/1972/22/enacted&gt; </w:t>
      </w:r>
      <w:r w:rsidRPr="00FB578C">
        <w:rPr>
          <w:rFonts w:cstheme="minorHAnsi"/>
        </w:rPr>
        <w:t>[accessed 26 July 2025]</w:t>
      </w:r>
    </w:p>
    <w:p w14:paraId="4D051C66" w14:textId="77777777" w:rsidR="001375A7" w:rsidRPr="00D16EF0" w:rsidRDefault="001375A7" w:rsidP="00D16EF0">
      <w:pPr>
        <w:pStyle w:val="FootnoteText"/>
        <w:spacing w:after="0"/>
      </w:pPr>
    </w:p>
    <w:p w14:paraId="27DEAB8B" w14:textId="77777777" w:rsidR="001375A7" w:rsidRDefault="00D16EF0" w:rsidP="00D16EF0">
      <w:pPr>
        <w:spacing w:after="0" w:line="276" w:lineRule="auto"/>
        <w:rPr>
          <w:rFonts w:cstheme="minorHAnsi"/>
          <w:sz w:val="20"/>
          <w:szCs w:val="20"/>
        </w:rPr>
      </w:pPr>
      <w:r w:rsidRPr="00FB578C">
        <w:rPr>
          <w:rFonts w:cstheme="minorHAnsi"/>
          <w:sz w:val="20"/>
          <w:szCs w:val="20"/>
        </w:rPr>
        <w:t>UK Parliament, </w:t>
      </w:r>
      <w:r w:rsidRPr="00FB578C">
        <w:rPr>
          <w:rFonts w:cstheme="minorHAnsi"/>
          <w:i/>
          <w:iCs/>
          <w:sz w:val="20"/>
          <w:szCs w:val="20"/>
        </w:rPr>
        <w:t>Direct Rule</w:t>
      </w:r>
      <w:r w:rsidRPr="00FB578C">
        <w:rPr>
          <w:rFonts w:cstheme="minorHAnsi"/>
          <w:sz w:val="20"/>
          <w:szCs w:val="20"/>
        </w:rPr>
        <w:t> </w:t>
      </w:r>
    </w:p>
    <w:p w14:paraId="2A54B32E" w14:textId="2467BE80" w:rsidR="00D16EF0" w:rsidRPr="00D16EF0" w:rsidRDefault="00D16EF0" w:rsidP="001375A7">
      <w:pPr>
        <w:spacing w:after="0" w:line="276" w:lineRule="auto"/>
        <w:ind w:left="720"/>
        <w:rPr>
          <w:rFonts w:cstheme="minorHAnsi"/>
          <w:sz w:val="20"/>
          <w:szCs w:val="20"/>
        </w:rPr>
      </w:pPr>
      <w:r w:rsidRPr="00FB578C">
        <w:rPr>
          <w:rFonts w:cstheme="minorHAnsi"/>
          <w:sz w:val="20"/>
          <w:szCs w:val="20"/>
        </w:rPr>
        <w:t>(2025)</w:t>
      </w:r>
      <w:r w:rsidRPr="00D16EF0">
        <w:rPr>
          <w:rFonts w:cstheme="minorHAnsi"/>
          <w:sz w:val="20"/>
          <w:szCs w:val="20"/>
        </w:rPr>
        <w:t> </w:t>
      </w:r>
      <w:r w:rsidRPr="00FB578C">
        <w:rPr>
          <w:rFonts w:cstheme="minorHAnsi"/>
          <w:sz w:val="20"/>
          <w:szCs w:val="20"/>
        </w:rPr>
        <w:t>&lt;https://www.parliament.uk/about/living-heritage/evolutionofparliament/legislativescrutiny/parliamentandireland/overview/direct-rule/&gt; [accessed 26 July 2025]</w:t>
      </w:r>
    </w:p>
    <w:p w14:paraId="2EB9FE6B" w14:textId="77777777" w:rsidR="001375A7" w:rsidRPr="00D16EF0" w:rsidRDefault="001375A7" w:rsidP="00D16EF0">
      <w:pPr>
        <w:pStyle w:val="p1"/>
      </w:pPr>
    </w:p>
    <w:p w14:paraId="1B0ADAD0" w14:textId="77777777" w:rsidR="001375A7" w:rsidRDefault="00D16EF0" w:rsidP="001375A7">
      <w:pPr>
        <w:pStyle w:val="FootnoteText"/>
        <w:spacing w:after="0"/>
        <w:rPr>
          <w:rFonts w:cstheme="minorHAnsi"/>
        </w:rPr>
      </w:pPr>
      <w:r w:rsidRPr="00D16EF0">
        <w:rPr>
          <w:rFonts w:cstheme="minorHAnsi"/>
        </w:rPr>
        <w:t xml:space="preserve">UK Parliament, </w:t>
      </w:r>
      <w:r w:rsidRPr="00D16EF0">
        <w:rPr>
          <w:rFonts w:cstheme="minorHAnsi"/>
          <w:i/>
          <w:iCs/>
        </w:rPr>
        <w:t>Northern Ireland Troubles (Legacy and Reconciliation) Act 2023</w:t>
      </w:r>
      <w:r w:rsidRPr="00FB578C">
        <w:rPr>
          <w:rFonts w:cstheme="minorHAnsi"/>
        </w:rPr>
        <w:t xml:space="preserve"> </w:t>
      </w:r>
    </w:p>
    <w:p w14:paraId="25625323" w14:textId="3E987DCD" w:rsidR="001375A7" w:rsidRDefault="00D16EF0" w:rsidP="001375A7">
      <w:pPr>
        <w:pStyle w:val="FootnoteText"/>
        <w:spacing w:after="0"/>
        <w:ind w:firstLine="720"/>
        <w:rPr>
          <w:rFonts w:cstheme="minorHAnsi"/>
        </w:rPr>
      </w:pPr>
      <w:r w:rsidRPr="00FB578C">
        <w:rPr>
          <w:rFonts w:cstheme="minorHAnsi"/>
        </w:rPr>
        <w:t>&lt;https://www.legislation.gov.uk/ukpga/2023/41&gt; [accessed 26 July 2025]</w:t>
      </w:r>
    </w:p>
    <w:p w14:paraId="6E42E1BE" w14:textId="77777777" w:rsidR="001375A7" w:rsidRDefault="001375A7" w:rsidP="001375A7">
      <w:pPr>
        <w:pStyle w:val="FootnoteText"/>
        <w:spacing w:after="0"/>
        <w:ind w:firstLine="720"/>
        <w:rPr>
          <w:rFonts w:cstheme="minorHAnsi"/>
        </w:rPr>
      </w:pPr>
    </w:p>
    <w:p w14:paraId="4C702DB9" w14:textId="77777777" w:rsidR="001375A7" w:rsidRDefault="001375A7" w:rsidP="001375A7">
      <w:pPr>
        <w:pStyle w:val="FootnoteText"/>
        <w:spacing w:after="0"/>
      </w:pPr>
      <w:r w:rsidRPr="00D16EF0">
        <w:t xml:space="preserve">UK Government, </w:t>
      </w:r>
      <w:r w:rsidRPr="00D16EF0">
        <w:rPr>
          <w:i/>
          <w:iCs/>
        </w:rPr>
        <w:t>Report of the Bloody Sunday Inquiry</w:t>
      </w:r>
      <w:r w:rsidRPr="00D16EF0">
        <w:t xml:space="preserve"> </w:t>
      </w:r>
    </w:p>
    <w:p w14:paraId="0696FC9C" w14:textId="77777777" w:rsidR="001375A7" w:rsidRDefault="001375A7" w:rsidP="001375A7">
      <w:pPr>
        <w:pStyle w:val="FootnoteText"/>
        <w:spacing w:after="0"/>
        <w:ind w:firstLine="720"/>
        <w:rPr>
          <w:rFonts w:cstheme="minorHAnsi"/>
        </w:rPr>
      </w:pPr>
      <w:r w:rsidRPr="00D16EF0">
        <w:t>(2010) &lt;https://www.gov.uk/government/publications/report-of-the-bloody-sunday-inquiry&gt;</w:t>
      </w:r>
      <w:r w:rsidRPr="00D16EF0">
        <w:rPr>
          <w:b/>
          <w:bCs/>
        </w:rPr>
        <w:t xml:space="preserve"> </w:t>
      </w:r>
      <w:r w:rsidRPr="00FB578C">
        <w:rPr>
          <w:rFonts w:cstheme="minorHAnsi"/>
        </w:rPr>
        <w:t xml:space="preserve">[accessed </w:t>
      </w:r>
      <w:r w:rsidRPr="00D16EF0">
        <w:rPr>
          <w:rFonts w:cstheme="minorHAnsi"/>
        </w:rPr>
        <w:t>14</w:t>
      </w:r>
      <w:r w:rsidRPr="00FB578C">
        <w:rPr>
          <w:rFonts w:cstheme="minorHAnsi"/>
        </w:rPr>
        <w:t xml:space="preserve"> July 2025]</w:t>
      </w:r>
    </w:p>
    <w:p w14:paraId="69659D73" w14:textId="77777777" w:rsidR="001375A7" w:rsidRDefault="001375A7" w:rsidP="001375A7">
      <w:pPr>
        <w:pStyle w:val="FootnoteText"/>
        <w:spacing w:after="0"/>
        <w:ind w:firstLine="720"/>
        <w:rPr>
          <w:b/>
          <w:bCs/>
        </w:rPr>
      </w:pPr>
    </w:p>
    <w:p w14:paraId="7A562821" w14:textId="77777777" w:rsidR="001375A7" w:rsidRDefault="001375A7" w:rsidP="001375A7">
      <w:pPr>
        <w:pStyle w:val="FootnoteText"/>
        <w:spacing w:after="0"/>
        <w:rPr>
          <w:rFonts w:ascii="Calibri" w:hAnsi="Calibri" w:cs="Calibri"/>
        </w:rPr>
      </w:pPr>
      <w:r w:rsidRPr="00D16EF0">
        <w:rPr>
          <w:rFonts w:ascii="Calibri" w:hAnsi="Calibri" w:cs="Calibri"/>
        </w:rPr>
        <w:t xml:space="preserve">UK Parliament, </w:t>
      </w:r>
      <w:r w:rsidRPr="00D16EF0">
        <w:rPr>
          <w:rFonts w:ascii="Calibri" w:hAnsi="Calibri" w:cs="Calibri"/>
          <w:i/>
          <w:iCs/>
        </w:rPr>
        <w:t>T</w:t>
      </w:r>
      <w:r w:rsidRPr="00FB578C">
        <w:rPr>
          <w:rFonts w:ascii="Calibri" w:hAnsi="Calibri" w:cs="Calibri"/>
          <w:i/>
          <w:iCs/>
        </w:rPr>
        <w:t>he Government of Ireland Act</w:t>
      </w:r>
      <w:r w:rsidRPr="00D16EF0">
        <w:rPr>
          <w:rFonts w:ascii="Calibri" w:hAnsi="Calibri" w:cs="Calibri"/>
        </w:rPr>
        <w:t>, 1920</w:t>
      </w:r>
      <w:r w:rsidRPr="00FB578C">
        <w:rPr>
          <w:rFonts w:ascii="Calibri" w:hAnsi="Calibri" w:cs="Calibri"/>
        </w:rPr>
        <w:t xml:space="preserve"> </w:t>
      </w:r>
    </w:p>
    <w:p w14:paraId="564E74A5" w14:textId="77777777" w:rsidR="001375A7" w:rsidRDefault="001375A7" w:rsidP="001375A7">
      <w:pPr>
        <w:pStyle w:val="FootnoteText"/>
        <w:spacing w:after="0"/>
        <w:ind w:firstLine="720"/>
        <w:rPr>
          <w:rFonts w:ascii="Calibri" w:hAnsi="Calibri" w:cs="Calibri"/>
        </w:rPr>
      </w:pPr>
      <w:r w:rsidRPr="00D16EF0">
        <w:rPr>
          <w:rFonts w:ascii="Calibri" w:hAnsi="Calibri" w:cs="Calibri"/>
        </w:rPr>
        <w:t>(</w:t>
      </w:r>
      <w:r w:rsidRPr="00FB578C">
        <w:rPr>
          <w:rFonts w:ascii="Calibri" w:hAnsi="Calibri" w:cs="Calibri"/>
        </w:rPr>
        <w:t>1920</w:t>
      </w:r>
      <w:r w:rsidRPr="00D16EF0">
        <w:rPr>
          <w:rFonts w:ascii="Calibri" w:hAnsi="Calibri" w:cs="Calibri"/>
        </w:rPr>
        <w:t xml:space="preserve">) &lt;https://www.legislation.gov.uk/ukpga/1920/67/pdfs/ukpga_19200067_en.pdf&gt; </w:t>
      </w:r>
      <w:r w:rsidRPr="00FB578C">
        <w:rPr>
          <w:rFonts w:ascii="Calibri" w:hAnsi="Calibri" w:cs="Calibri"/>
        </w:rPr>
        <w:t xml:space="preserve">[accessed </w:t>
      </w:r>
      <w:r w:rsidRPr="00D16EF0">
        <w:rPr>
          <w:rFonts w:ascii="Calibri" w:hAnsi="Calibri" w:cs="Calibri"/>
        </w:rPr>
        <w:t>14</w:t>
      </w:r>
      <w:r w:rsidRPr="00FB578C">
        <w:rPr>
          <w:rFonts w:ascii="Calibri" w:hAnsi="Calibri" w:cs="Calibri"/>
        </w:rPr>
        <w:t xml:space="preserve"> July 2025]</w:t>
      </w:r>
    </w:p>
    <w:p w14:paraId="4B49787D" w14:textId="77777777" w:rsidR="001375A7" w:rsidRDefault="001375A7" w:rsidP="001375A7">
      <w:pPr>
        <w:pStyle w:val="FootnoteText"/>
        <w:spacing w:after="0"/>
        <w:ind w:firstLine="720"/>
        <w:rPr>
          <w:rFonts w:ascii="Calibri" w:hAnsi="Calibri" w:cs="Calibri"/>
        </w:rPr>
      </w:pPr>
    </w:p>
    <w:p w14:paraId="29DDCD13" w14:textId="77777777" w:rsidR="001375A7" w:rsidRDefault="001375A7" w:rsidP="001375A7">
      <w:pPr>
        <w:spacing w:after="0" w:line="276" w:lineRule="auto"/>
        <w:rPr>
          <w:rFonts w:cstheme="minorHAnsi"/>
          <w:sz w:val="20"/>
          <w:szCs w:val="20"/>
        </w:rPr>
      </w:pPr>
      <w:r w:rsidRPr="00FB578C">
        <w:rPr>
          <w:rFonts w:cstheme="minorHAnsi"/>
          <w:sz w:val="20"/>
          <w:szCs w:val="20"/>
        </w:rPr>
        <w:t xml:space="preserve">UK Parliament, </w:t>
      </w:r>
      <w:r w:rsidRPr="00FB578C">
        <w:rPr>
          <w:rFonts w:cstheme="minorHAnsi"/>
          <w:i/>
          <w:iCs/>
          <w:sz w:val="20"/>
          <w:szCs w:val="20"/>
        </w:rPr>
        <w:t>Grand Hotel, Brighton: Bomb Explosion, Volume 455: debated on Tuesday 16 October 1984</w:t>
      </w:r>
      <w:r w:rsidRPr="00D16EF0">
        <w:rPr>
          <w:rFonts w:cstheme="minorHAnsi"/>
          <w:sz w:val="20"/>
          <w:szCs w:val="20"/>
        </w:rPr>
        <w:t xml:space="preserve"> </w:t>
      </w:r>
    </w:p>
    <w:p w14:paraId="3D111770" w14:textId="77777777" w:rsidR="001375A7" w:rsidRDefault="001375A7" w:rsidP="001375A7">
      <w:pPr>
        <w:spacing w:after="0" w:line="276" w:lineRule="auto"/>
        <w:ind w:left="720"/>
        <w:rPr>
          <w:rFonts w:cstheme="minorHAnsi"/>
          <w:sz w:val="20"/>
          <w:szCs w:val="20"/>
        </w:rPr>
      </w:pPr>
      <w:r w:rsidRPr="00FB578C">
        <w:rPr>
          <w:rFonts w:cstheme="minorHAnsi"/>
          <w:sz w:val="20"/>
          <w:szCs w:val="20"/>
        </w:rPr>
        <w:t>&lt;https://hansard.parliament.uk/lords/1984-10-16/debates/615a5e41-444d-4767-84bc-6231674b406f/GrandHotelBrightonBombExplosion&gt; [accessed 26 July 2025]</w:t>
      </w:r>
    </w:p>
    <w:p w14:paraId="53BCECBE" w14:textId="77777777" w:rsidR="001375A7" w:rsidRPr="00D16EF0" w:rsidRDefault="001375A7" w:rsidP="001375A7">
      <w:pPr>
        <w:spacing w:after="0" w:line="276" w:lineRule="auto"/>
        <w:rPr>
          <w:rFonts w:cstheme="minorHAnsi"/>
          <w:sz w:val="20"/>
          <w:szCs w:val="20"/>
        </w:rPr>
      </w:pPr>
    </w:p>
    <w:p w14:paraId="11D312B0" w14:textId="77777777" w:rsidR="001375A7" w:rsidRDefault="001375A7" w:rsidP="001375A7">
      <w:pPr>
        <w:pStyle w:val="FootnoteText"/>
        <w:spacing w:after="0"/>
        <w:rPr>
          <w:rFonts w:cstheme="minorHAnsi"/>
        </w:rPr>
      </w:pPr>
      <w:r w:rsidRPr="00D16EF0">
        <w:t xml:space="preserve">UK Parliament, </w:t>
      </w:r>
      <w:r w:rsidRPr="00FB578C">
        <w:rPr>
          <w:rFonts w:cstheme="minorHAnsi"/>
          <w:i/>
          <w:iCs/>
        </w:rPr>
        <w:t>Northern Ireland (Emergency Provisions) Act 1973</w:t>
      </w:r>
      <w:r w:rsidRPr="00D16EF0">
        <w:rPr>
          <w:rFonts w:cstheme="minorHAnsi"/>
        </w:rPr>
        <w:t xml:space="preserve"> </w:t>
      </w:r>
    </w:p>
    <w:p w14:paraId="69809F5C" w14:textId="77777777" w:rsidR="001375A7" w:rsidRDefault="001375A7" w:rsidP="001375A7">
      <w:pPr>
        <w:pStyle w:val="FootnoteText"/>
        <w:spacing w:after="0"/>
        <w:ind w:firstLine="720"/>
        <w:rPr>
          <w:rFonts w:cstheme="minorHAnsi"/>
        </w:rPr>
      </w:pPr>
      <w:r w:rsidRPr="00FB578C">
        <w:rPr>
          <w:rFonts w:cstheme="minorHAnsi"/>
        </w:rPr>
        <w:t>&lt;https://www.legislation.gov.uk/ukpga/1973/53&gt; [accessed 26 July 2025]</w:t>
      </w:r>
    </w:p>
    <w:p w14:paraId="066E79D2" w14:textId="77777777" w:rsidR="001375A7" w:rsidRDefault="001375A7" w:rsidP="001375A7">
      <w:pPr>
        <w:pStyle w:val="FootnoteText"/>
        <w:spacing w:after="0"/>
        <w:ind w:firstLine="720"/>
        <w:rPr>
          <w:rFonts w:cstheme="minorHAnsi"/>
        </w:rPr>
      </w:pPr>
    </w:p>
    <w:p w14:paraId="57442842" w14:textId="77777777" w:rsidR="001375A7" w:rsidRDefault="001375A7" w:rsidP="001375A7">
      <w:pPr>
        <w:pStyle w:val="FootnoteText"/>
        <w:spacing w:after="0"/>
        <w:rPr>
          <w:i/>
          <w:iCs/>
        </w:rPr>
      </w:pPr>
      <w:r w:rsidRPr="00D16EF0">
        <w:t xml:space="preserve">UK Parliament, </w:t>
      </w:r>
      <w:r w:rsidRPr="00D16EF0">
        <w:rPr>
          <w:i/>
          <w:iCs/>
        </w:rPr>
        <w:t>Parliament and Ireland</w:t>
      </w:r>
    </w:p>
    <w:p w14:paraId="7D9409B4" w14:textId="289ED745" w:rsidR="001375A7" w:rsidRDefault="001375A7" w:rsidP="006010C4">
      <w:pPr>
        <w:pStyle w:val="FootnoteText"/>
        <w:spacing w:after="0"/>
        <w:ind w:left="720" w:firstLine="40"/>
        <w:rPr>
          <w:rFonts w:cstheme="minorHAnsi"/>
        </w:rPr>
      </w:pPr>
      <w:r w:rsidRPr="00D16EF0">
        <w:t xml:space="preserve">(2025) </w:t>
      </w:r>
      <w:r w:rsidRPr="00D16EF0">
        <w:rPr>
          <w:rFonts w:cstheme="minorHAnsi"/>
        </w:rPr>
        <w:t xml:space="preserve">&lt;https://www.parliament.uk/about/livingheritage/evolutionofparliament/legislativescrutiny/parliamentandireland/&gt; </w:t>
      </w:r>
      <w:r>
        <w:rPr>
          <w:rFonts w:cstheme="minorHAnsi"/>
        </w:rPr>
        <w:t xml:space="preserve"> </w:t>
      </w:r>
      <w:r w:rsidRPr="00D16EF0">
        <w:rPr>
          <w:rFonts w:cstheme="minorHAnsi"/>
        </w:rPr>
        <w:t>[accessed 14 July 2025]</w:t>
      </w:r>
    </w:p>
    <w:p w14:paraId="274EF5F6" w14:textId="77777777" w:rsidR="00395A21" w:rsidRPr="006010C4" w:rsidRDefault="00395A21" w:rsidP="006010C4">
      <w:pPr>
        <w:pStyle w:val="FootnoteText"/>
        <w:spacing w:after="0"/>
        <w:ind w:left="720" w:firstLine="40"/>
        <w:rPr>
          <w:rFonts w:cstheme="minorHAnsi"/>
        </w:rPr>
      </w:pPr>
    </w:p>
    <w:p w14:paraId="7F3B0B31" w14:textId="481C37C3" w:rsidR="001375A7" w:rsidRDefault="00D16EF0" w:rsidP="001375A7">
      <w:pPr>
        <w:pStyle w:val="FootnoteText"/>
        <w:spacing w:after="0"/>
        <w:rPr>
          <w:rFonts w:cstheme="minorHAnsi"/>
          <w:i/>
          <w:iCs/>
        </w:rPr>
      </w:pPr>
      <w:r w:rsidRPr="00D16EF0">
        <w:t xml:space="preserve">United Nations, </w:t>
      </w:r>
      <w:r w:rsidRPr="00D16EF0">
        <w:rPr>
          <w:rFonts w:cstheme="minorHAnsi"/>
          <w:i/>
          <w:iCs/>
        </w:rPr>
        <w:t>Geneva Convention relative to the Treatment of Prisoners of War</w:t>
      </w:r>
    </w:p>
    <w:p w14:paraId="60D57634" w14:textId="70B53B58" w:rsidR="00D16EF0" w:rsidRDefault="00D16EF0" w:rsidP="006010C4">
      <w:pPr>
        <w:pStyle w:val="FootnoteText"/>
        <w:spacing w:after="0"/>
        <w:ind w:left="720" w:firstLine="40"/>
        <w:rPr>
          <w:rFonts w:cstheme="minorHAnsi"/>
        </w:rPr>
      </w:pPr>
      <w:r w:rsidRPr="00D16EF0">
        <w:rPr>
          <w:rFonts w:cstheme="minorHAnsi"/>
        </w:rPr>
        <w:t xml:space="preserve">(1949) </w:t>
      </w:r>
      <w:r w:rsidRPr="00FB578C">
        <w:rPr>
          <w:rFonts w:cstheme="minorHAnsi"/>
        </w:rPr>
        <w:t>&lt;https://www.ohchr.org/en/instruments-mechanisms/instruments/geneva-convention-relative-treatment-prisoners-war [accessed 26 July 2025]</w:t>
      </w:r>
    </w:p>
    <w:p w14:paraId="1A9039B0" w14:textId="77777777" w:rsidR="001375A7" w:rsidRPr="00D16EF0" w:rsidRDefault="001375A7" w:rsidP="001375A7">
      <w:pPr>
        <w:pStyle w:val="FootnoteText"/>
        <w:spacing w:after="0"/>
        <w:ind w:firstLine="720"/>
        <w:rPr>
          <w:rFonts w:cstheme="minorHAnsi"/>
        </w:rPr>
      </w:pPr>
    </w:p>
    <w:p w14:paraId="25677F6F" w14:textId="77777777" w:rsidR="00D16EF0" w:rsidRPr="0087243E" w:rsidRDefault="00D16EF0" w:rsidP="00D16EF0">
      <w:pPr>
        <w:pStyle w:val="FootnoteText"/>
      </w:pPr>
    </w:p>
    <w:p w14:paraId="30795375" w14:textId="77777777" w:rsidR="00D16EF0" w:rsidRDefault="00D16EF0" w:rsidP="00D16EF0">
      <w:pPr>
        <w:pStyle w:val="FootnoteText"/>
        <w:spacing w:after="0"/>
        <w:rPr>
          <w:rFonts w:cstheme="minorHAnsi"/>
          <w:color w:val="000000" w:themeColor="text1"/>
        </w:rPr>
      </w:pPr>
    </w:p>
    <w:sectPr w:rsidR="00D16EF0" w:rsidSect="00DA716F">
      <w:headerReference w:type="default" r:id="rId8"/>
      <w:pgSz w:w="12240" w:h="15840"/>
      <w:pgMar w:top="720" w:right="720" w:bottom="720" w:left="720" w:header="567" w:footer="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B065D" w14:textId="77777777" w:rsidR="006D0DA0" w:rsidRDefault="006D0DA0" w:rsidP="00A06369">
      <w:r>
        <w:separator/>
      </w:r>
    </w:p>
  </w:endnote>
  <w:endnote w:type="continuationSeparator" w:id="0">
    <w:p w14:paraId="2DDF80D5" w14:textId="77777777" w:rsidR="006D0DA0" w:rsidRDefault="006D0DA0" w:rsidP="00A06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Times">
    <w:altName w:val="Times New Roman"/>
    <w:panose1 w:val="020B06040202020202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317E5" w14:textId="77777777" w:rsidR="006D0DA0" w:rsidRDefault="006D0DA0" w:rsidP="00A06369">
      <w:r>
        <w:separator/>
      </w:r>
    </w:p>
  </w:footnote>
  <w:footnote w:type="continuationSeparator" w:id="0">
    <w:p w14:paraId="5B631620" w14:textId="77777777" w:rsidR="006D0DA0" w:rsidRDefault="006D0DA0" w:rsidP="00A06369">
      <w:r>
        <w:continuationSeparator/>
      </w:r>
    </w:p>
  </w:footnote>
  <w:footnote w:id="1">
    <w:p w14:paraId="677DE34D" w14:textId="77777777" w:rsidR="00DF0DED" w:rsidRPr="001375A7" w:rsidRDefault="00323815" w:rsidP="00DF0DED">
      <w:pPr>
        <w:pStyle w:val="FootnoteText"/>
        <w:spacing w:after="0"/>
      </w:pPr>
      <w:r w:rsidRPr="001375A7">
        <w:rPr>
          <w:rStyle w:val="FootnoteReference"/>
        </w:rPr>
        <w:footnoteRef/>
      </w:r>
      <w:r w:rsidRPr="001375A7">
        <w:t xml:space="preserve"> National Library of Ireland, </w:t>
      </w:r>
      <w:r w:rsidRPr="001375A7">
        <w:rPr>
          <w:i/>
          <w:iCs/>
        </w:rPr>
        <w:t>The 1916 Rising: Personalities and Perspectives</w:t>
      </w:r>
      <w:r w:rsidR="00DF0DED" w:rsidRPr="001375A7">
        <w:rPr>
          <w:i/>
          <w:iCs/>
        </w:rPr>
        <w:t xml:space="preserve"> </w:t>
      </w:r>
      <w:r w:rsidRPr="001375A7">
        <w:rPr>
          <w:i/>
          <w:iCs/>
        </w:rPr>
        <w:t>(</w:t>
      </w:r>
      <w:r w:rsidRPr="001375A7">
        <w:t>2016)</w:t>
      </w:r>
      <w:r w:rsidR="00DF0DED" w:rsidRPr="001375A7">
        <w:t xml:space="preserve"> </w:t>
      </w:r>
      <w:r w:rsidRPr="001375A7">
        <w:t> </w:t>
      </w:r>
    </w:p>
    <w:p w14:paraId="456640CA" w14:textId="6385E693" w:rsidR="00323815" w:rsidRPr="001375A7" w:rsidRDefault="00323815" w:rsidP="00DF0DED">
      <w:pPr>
        <w:pStyle w:val="FootnoteText"/>
        <w:spacing w:after="0"/>
        <w:rPr>
          <w:rFonts w:cstheme="minorHAnsi"/>
          <w:i/>
          <w:iCs/>
        </w:rPr>
      </w:pPr>
      <w:r w:rsidRPr="001375A7">
        <w:t>&lt;</w:t>
      </w:r>
      <w:r w:rsidR="00DF0DED" w:rsidRPr="001375A7">
        <w:t>https://www.nli.ie/1916/exhibition/en/content/outlineirishhistory/index.pdf</w:t>
      </w:r>
      <w:r w:rsidRPr="001375A7">
        <w:t>&gt; [accessed 14 July 2025].</w:t>
      </w:r>
    </w:p>
  </w:footnote>
  <w:footnote w:id="2">
    <w:p w14:paraId="7ED06BF5" w14:textId="493961E5" w:rsidR="00323815" w:rsidRPr="001375A7" w:rsidRDefault="00323815" w:rsidP="009232A4">
      <w:pPr>
        <w:pStyle w:val="FootnoteText"/>
        <w:spacing w:after="0"/>
      </w:pPr>
      <w:r w:rsidRPr="001375A7">
        <w:rPr>
          <w:rStyle w:val="FootnoteReference"/>
        </w:rPr>
        <w:footnoteRef/>
      </w:r>
      <w:r w:rsidRPr="001375A7">
        <w:t xml:space="preserve"> </w:t>
      </w:r>
      <w:r w:rsidR="00DF0DED" w:rsidRPr="001375A7">
        <w:t xml:space="preserve">UK Parliament, </w:t>
      </w:r>
      <w:r w:rsidR="00DF0DED" w:rsidRPr="001375A7">
        <w:rPr>
          <w:i/>
          <w:iCs/>
        </w:rPr>
        <w:t>Parliament and Ireland</w:t>
      </w:r>
      <w:r w:rsidR="00DF0DED" w:rsidRPr="001375A7">
        <w:rPr>
          <w:i/>
          <w:iCs/>
        </w:rPr>
        <w:t xml:space="preserve"> </w:t>
      </w:r>
      <w:r w:rsidR="00DF0DED" w:rsidRPr="001375A7">
        <w:t xml:space="preserve">(2025) </w:t>
      </w:r>
      <w:r w:rsidRPr="001375A7">
        <w:rPr>
          <w:rFonts w:cstheme="minorHAnsi"/>
        </w:rPr>
        <w:t>&lt;https://www.parliament.uk/about/living-heritage/evolutionofparliament/legislativescrutiny/parliamentandireland/&gt; [accessed 14 July 2025].</w:t>
      </w:r>
    </w:p>
  </w:footnote>
  <w:footnote w:id="3">
    <w:p w14:paraId="1CCA8965" w14:textId="4D895716" w:rsidR="00323815" w:rsidRPr="001375A7" w:rsidRDefault="00323815" w:rsidP="009232A4">
      <w:pPr>
        <w:pStyle w:val="FootnoteText"/>
        <w:spacing w:after="0"/>
      </w:pPr>
      <w:r w:rsidRPr="001375A7">
        <w:rPr>
          <w:rStyle w:val="FootnoteReference"/>
        </w:rPr>
        <w:footnoteRef/>
      </w:r>
      <w:r w:rsidRPr="001375A7">
        <w:t xml:space="preserve"> </w:t>
      </w:r>
      <w:r w:rsidR="009232A4" w:rsidRPr="001375A7">
        <w:t xml:space="preserve">Northern Ireland Office, The Belfast Agreement (10 April 1998) </w:t>
      </w:r>
      <w:r w:rsidRPr="00FB578C">
        <w:rPr>
          <w:rFonts w:cstheme="minorHAnsi"/>
        </w:rPr>
        <w:t>&lt;</w:t>
      </w:r>
      <w:r w:rsidR="009232A4" w:rsidRPr="001375A7">
        <w:rPr>
          <w:rFonts w:cstheme="minorHAnsi"/>
        </w:rPr>
        <w:t>https://www.gov.uk/government/publications/the-belfast-agreement</w:t>
      </w:r>
      <w:r w:rsidR="009232A4" w:rsidRPr="001375A7">
        <w:rPr>
          <w:rFonts w:cstheme="minorHAnsi"/>
        </w:rPr>
        <w:t xml:space="preserve">&gt; </w:t>
      </w:r>
      <w:r w:rsidRPr="00FB578C">
        <w:rPr>
          <w:rFonts w:cstheme="minorHAnsi"/>
        </w:rPr>
        <w:t>[accessed 14 July 2025].</w:t>
      </w:r>
    </w:p>
  </w:footnote>
  <w:footnote w:id="4">
    <w:p w14:paraId="2105B70B" w14:textId="7182A4D9" w:rsidR="00323815" w:rsidRPr="001375A7" w:rsidRDefault="00323815" w:rsidP="009232A4">
      <w:pPr>
        <w:pStyle w:val="FootnoteText"/>
        <w:spacing w:after="0"/>
        <w:rPr>
          <w:rFonts w:ascii="Calibri" w:hAnsi="Calibri" w:cs="Calibri"/>
        </w:rPr>
      </w:pPr>
      <w:r w:rsidRPr="001375A7">
        <w:rPr>
          <w:rStyle w:val="FootnoteReference"/>
          <w:rFonts w:ascii="Calibri" w:hAnsi="Calibri" w:cs="Calibri"/>
        </w:rPr>
        <w:footnoteRef/>
      </w:r>
      <w:r w:rsidRPr="001375A7">
        <w:rPr>
          <w:rFonts w:ascii="Calibri" w:hAnsi="Calibri" w:cs="Calibri"/>
        </w:rPr>
        <w:t xml:space="preserve"> </w:t>
      </w:r>
      <w:r w:rsidR="009232A4" w:rsidRPr="001375A7">
        <w:rPr>
          <w:rFonts w:ascii="Calibri" w:hAnsi="Calibri" w:cs="Calibri"/>
        </w:rPr>
        <w:t>Northern Ireland Assembly, (2025) &lt;h</w:t>
      </w:r>
      <w:r w:rsidR="009232A4" w:rsidRPr="001375A7">
        <w:rPr>
          <w:rFonts w:ascii="Calibri" w:hAnsi="Calibri" w:cs="Calibri"/>
        </w:rPr>
        <w:t>ttps://www.niassembly.gov.uk</w:t>
      </w:r>
      <w:r w:rsidR="009232A4" w:rsidRPr="001375A7">
        <w:rPr>
          <w:rFonts w:ascii="Calibri" w:hAnsi="Calibri" w:cs="Calibri"/>
        </w:rPr>
        <w:t xml:space="preserve"> &gt; </w:t>
      </w:r>
      <w:r w:rsidRPr="00FB578C">
        <w:rPr>
          <w:rFonts w:ascii="Calibri" w:hAnsi="Calibri" w:cs="Calibri"/>
        </w:rPr>
        <w:t xml:space="preserve">[accessed </w:t>
      </w:r>
      <w:r w:rsidRPr="001375A7">
        <w:rPr>
          <w:rFonts w:ascii="Calibri" w:hAnsi="Calibri" w:cs="Calibri"/>
        </w:rPr>
        <w:t>14</w:t>
      </w:r>
      <w:r w:rsidRPr="00FB578C">
        <w:rPr>
          <w:rFonts w:ascii="Calibri" w:hAnsi="Calibri" w:cs="Calibri"/>
        </w:rPr>
        <w:t xml:space="preserve"> July 2025].</w:t>
      </w:r>
    </w:p>
  </w:footnote>
  <w:footnote w:id="5">
    <w:p w14:paraId="734BE22E" w14:textId="19639232" w:rsidR="00323815" w:rsidRPr="001375A7" w:rsidRDefault="00323815" w:rsidP="009232A4">
      <w:pPr>
        <w:pStyle w:val="FootnoteText"/>
        <w:spacing w:after="0"/>
      </w:pPr>
      <w:r w:rsidRPr="001375A7">
        <w:rPr>
          <w:rStyle w:val="FootnoteReference"/>
          <w:rFonts w:ascii="Calibri" w:hAnsi="Calibri" w:cs="Calibri"/>
        </w:rPr>
        <w:footnoteRef/>
      </w:r>
      <w:r w:rsidRPr="001375A7">
        <w:rPr>
          <w:rFonts w:ascii="Calibri" w:hAnsi="Calibri" w:cs="Calibri"/>
        </w:rPr>
        <w:t xml:space="preserve"> </w:t>
      </w:r>
      <w:r w:rsidR="009232A4" w:rsidRPr="001375A7">
        <w:rPr>
          <w:rFonts w:ascii="Calibri" w:hAnsi="Calibri" w:cs="Calibri"/>
        </w:rPr>
        <w:t xml:space="preserve">UK Parliament, </w:t>
      </w:r>
      <w:r w:rsidR="009232A4" w:rsidRPr="001375A7">
        <w:rPr>
          <w:rFonts w:ascii="Calibri" w:hAnsi="Calibri" w:cs="Calibri"/>
          <w:i/>
          <w:iCs/>
        </w:rPr>
        <w:t>T</w:t>
      </w:r>
      <w:r w:rsidR="009232A4" w:rsidRPr="00FB578C">
        <w:rPr>
          <w:rFonts w:ascii="Calibri" w:hAnsi="Calibri" w:cs="Calibri"/>
          <w:i/>
          <w:iCs/>
        </w:rPr>
        <w:t>he Government of Ireland Act</w:t>
      </w:r>
      <w:r w:rsidR="009232A4" w:rsidRPr="001375A7">
        <w:rPr>
          <w:rFonts w:ascii="Calibri" w:hAnsi="Calibri" w:cs="Calibri"/>
        </w:rPr>
        <w:t>, 1920</w:t>
      </w:r>
      <w:r w:rsidR="009232A4" w:rsidRPr="00FB578C">
        <w:rPr>
          <w:rFonts w:ascii="Calibri" w:hAnsi="Calibri" w:cs="Calibri"/>
        </w:rPr>
        <w:t xml:space="preserve"> </w:t>
      </w:r>
      <w:r w:rsidR="009232A4" w:rsidRPr="001375A7">
        <w:rPr>
          <w:rFonts w:ascii="Calibri" w:hAnsi="Calibri" w:cs="Calibri"/>
        </w:rPr>
        <w:t>(</w:t>
      </w:r>
      <w:r w:rsidR="009232A4" w:rsidRPr="00FB578C">
        <w:rPr>
          <w:rFonts w:ascii="Calibri" w:hAnsi="Calibri" w:cs="Calibri"/>
        </w:rPr>
        <w:t>1920</w:t>
      </w:r>
      <w:r w:rsidR="009232A4" w:rsidRPr="001375A7">
        <w:rPr>
          <w:rFonts w:ascii="Calibri" w:hAnsi="Calibri" w:cs="Calibri"/>
        </w:rPr>
        <w:t>) &lt;</w:t>
      </w:r>
      <w:r w:rsidR="009232A4" w:rsidRPr="001375A7">
        <w:rPr>
          <w:rFonts w:ascii="Calibri" w:hAnsi="Calibri" w:cs="Calibri"/>
        </w:rPr>
        <w:t>https://www.legislation.gov.uk/ukpga/1920/67/pdfs/ukpga_19200067_en.pdf</w:t>
      </w:r>
      <w:r w:rsidR="009232A4" w:rsidRPr="001375A7">
        <w:rPr>
          <w:rFonts w:ascii="Calibri" w:hAnsi="Calibri" w:cs="Calibri"/>
        </w:rPr>
        <w:t xml:space="preserve">&gt; </w:t>
      </w:r>
      <w:r w:rsidRPr="00FB578C">
        <w:rPr>
          <w:rFonts w:ascii="Calibri" w:hAnsi="Calibri" w:cs="Calibri"/>
        </w:rPr>
        <w:t xml:space="preserve">[accessed </w:t>
      </w:r>
      <w:r w:rsidRPr="001375A7">
        <w:rPr>
          <w:rFonts w:ascii="Calibri" w:hAnsi="Calibri" w:cs="Calibri"/>
        </w:rPr>
        <w:t>14</w:t>
      </w:r>
      <w:r w:rsidRPr="00FB578C">
        <w:rPr>
          <w:rFonts w:ascii="Calibri" w:hAnsi="Calibri" w:cs="Calibri"/>
        </w:rPr>
        <w:t xml:space="preserve"> July 2025].</w:t>
      </w:r>
    </w:p>
  </w:footnote>
  <w:footnote w:id="6">
    <w:p w14:paraId="4130FFF6" w14:textId="25AFD634" w:rsidR="00323815" w:rsidRPr="001375A7" w:rsidRDefault="00323815" w:rsidP="000B7E31">
      <w:pPr>
        <w:pStyle w:val="FootnoteText"/>
        <w:spacing w:after="0"/>
      </w:pPr>
      <w:r w:rsidRPr="001375A7">
        <w:rPr>
          <w:rStyle w:val="FootnoteReference"/>
        </w:rPr>
        <w:footnoteRef/>
      </w:r>
      <w:r w:rsidRPr="001375A7">
        <w:t xml:space="preserve"> </w:t>
      </w:r>
      <w:r w:rsidR="009232A4" w:rsidRPr="001375A7">
        <w:t xml:space="preserve">Ronnie Munck, ‘The Making of the Troubles in Northern Ireland’, </w:t>
      </w:r>
      <w:r w:rsidR="009232A4" w:rsidRPr="001375A7">
        <w:rPr>
          <w:i/>
          <w:iCs/>
        </w:rPr>
        <w:t>Jo</w:t>
      </w:r>
      <w:r w:rsidR="000B7E31" w:rsidRPr="001375A7">
        <w:rPr>
          <w:i/>
          <w:iCs/>
        </w:rPr>
        <w:t xml:space="preserve">urnal of Contemporary History, </w:t>
      </w:r>
      <w:r w:rsidR="000B7E31" w:rsidRPr="001375A7">
        <w:t xml:space="preserve">27.2 (1992) </w:t>
      </w:r>
      <w:r w:rsidR="009232A4" w:rsidRPr="001375A7">
        <w:t>&lt;</w:t>
      </w:r>
      <w:r w:rsidR="009232A4" w:rsidRPr="001375A7">
        <w:t>https://journals.sagepub.com/doi/abs/10.1177/002200949202700201</w:t>
      </w:r>
      <w:r w:rsidR="009232A4" w:rsidRPr="001375A7">
        <w:t xml:space="preserve">&gt; </w:t>
      </w:r>
      <w:r w:rsidRPr="00FB578C">
        <w:rPr>
          <w:rFonts w:cstheme="minorHAnsi"/>
        </w:rPr>
        <w:t xml:space="preserve">[accessed </w:t>
      </w:r>
      <w:r w:rsidRPr="001375A7">
        <w:rPr>
          <w:rFonts w:cstheme="minorHAnsi"/>
        </w:rPr>
        <w:t>14</w:t>
      </w:r>
      <w:r w:rsidRPr="00FB578C">
        <w:rPr>
          <w:rFonts w:cstheme="minorHAnsi"/>
        </w:rPr>
        <w:t xml:space="preserve"> July 2025].</w:t>
      </w:r>
    </w:p>
  </w:footnote>
  <w:footnote w:id="7">
    <w:p w14:paraId="0FD866F3" w14:textId="470F0EE8" w:rsidR="00323815" w:rsidRPr="001375A7" w:rsidRDefault="00323815" w:rsidP="001375A7">
      <w:pPr>
        <w:pStyle w:val="FootnoteText"/>
        <w:spacing w:after="0"/>
        <w:rPr>
          <w:rFonts w:cstheme="minorHAnsi"/>
        </w:rPr>
      </w:pPr>
      <w:r w:rsidRPr="001375A7">
        <w:rPr>
          <w:rStyle w:val="FootnoteReference"/>
        </w:rPr>
        <w:footnoteRef/>
      </w:r>
      <w:r w:rsidRPr="001375A7">
        <w:t xml:space="preserve"> </w:t>
      </w:r>
      <w:r w:rsidRPr="00FB578C">
        <w:rPr>
          <w:rFonts w:cstheme="minorHAnsi"/>
        </w:rPr>
        <w:t>Malcolm Sutton</w:t>
      </w:r>
      <w:r w:rsidR="000B7E31" w:rsidRPr="001375A7">
        <w:rPr>
          <w:rFonts w:cstheme="minorHAnsi"/>
        </w:rPr>
        <w:t xml:space="preserve">, </w:t>
      </w:r>
      <w:r w:rsidR="000B7E31" w:rsidRPr="00FB578C">
        <w:rPr>
          <w:rFonts w:cstheme="minorHAnsi"/>
          <w:i/>
          <w:iCs/>
        </w:rPr>
        <w:t>Bear in mind these dead ... An Index of Deaths from the Conflict in Ireland 1969-1993</w:t>
      </w:r>
      <w:r w:rsidR="000B7E31" w:rsidRPr="001375A7">
        <w:rPr>
          <w:rFonts w:cstheme="minorHAnsi"/>
          <w:i/>
          <w:iCs/>
        </w:rPr>
        <w:t>,</w:t>
      </w:r>
      <w:r w:rsidRPr="001375A7">
        <w:rPr>
          <w:rFonts w:cstheme="minorHAnsi"/>
        </w:rPr>
        <w:t xml:space="preserve"> </w:t>
      </w:r>
      <w:r w:rsidRPr="00FB578C">
        <w:rPr>
          <w:rFonts w:cstheme="minorHAnsi"/>
        </w:rPr>
        <w:t>(Belfast: Beyond the Pale Publications</w:t>
      </w:r>
      <w:r w:rsidR="000B7E31" w:rsidRPr="001375A7">
        <w:rPr>
          <w:rFonts w:cstheme="minorHAnsi"/>
        </w:rPr>
        <w:t>, 1994</w:t>
      </w:r>
      <w:r w:rsidRPr="00FB578C">
        <w:rPr>
          <w:rFonts w:cstheme="minorHAnsi"/>
        </w:rPr>
        <w:t xml:space="preserve">) </w:t>
      </w:r>
      <w:r w:rsidR="000B7E31" w:rsidRPr="00FB578C">
        <w:rPr>
          <w:rFonts w:cstheme="minorHAnsi"/>
        </w:rPr>
        <w:t>&lt;https://cain.ulster.ac.uk/sutton/book/&gt;</w:t>
      </w:r>
      <w:r w:rsidR="000B7E31" w:rsidRPr="001375A7">
        <w:rPr>
          <w:rFonts w:cstheme="minorHAnsi"/>
        </w:rPr>
        <w:t>.</w:t>
      </w:r>
    </w:p>
  </w:footnote>
  <w:footnote w:id="8">
    <w:p w14:paraId="048295B7" w14:textId="3CE7D5C9" w:rsidR="002B023C" w:rsidRPr="001375A7" w:rsidRDefault="002B023C" w:rsidP="001375A7">
      <w:pPr>
        <w:pStyle w:val="FootnoteText"/>
        <w:spacing w:after="0"/>
      </w:pPr>
      <w:r w:rsidRPr="001375A7">
        <w:rPr>
          <w:rStyle w:val="FootnoteReference"/>
        </w:rPr>
        <w:footnoteRef/>
      </w:r>
      <w:r w:rsidRPr="001375A7">
        <w:t xml:space="preserve"> </w:t>
      </w:r>
      <w:r w:rsidRPr="001375A7">
        <w:t xml:space="preserve">Nicolas van der Bijl, </w:t>
      </w:r>
      <w:r w:rsidRPr="001375A7">
        <w:rPr>
          <w:i/>
          <w:iCs/>
        </w:rPr>
        <w:t>Operation Banner: The British Army in Northen Ireland, 1969 – 2007</w:t>
      </w:r>
      <w:r w:rsidRPr="001375A7">
        <w:t>, (Great Britain: Pen and Sword Books Ltd.).</w:t>
      </w:r>
    </w:p>
  </w:footnote>
  <w:footnote w:id="9">
    <w:p w14:paraId="1299D2E7" w14:textId="2EAA5858" w:rsidR="00323815" w:rsidRPr="001375A7" w:rsidRDefault="00323815" w:rsidP="002B023C">
      <w:pPr>
        <w:pStyle w:val="FootnoteText"/>
        <w:spacing w:after="0"/>
      </w:pPr>
      <w:r w:rsidRPr="001375A7">
        <w:rPr>
          <w:rStyle w:val="FootnoteReference"/>
        </w:rPr>
        <w:footnoteRef/>
      </w:r>
      <w:r w:rsidRPr="001375A7">
        <w:t xml:space="preserve"> </w:t>
      </w:r>
      <w:r w:rsidR="002B023C" w:rsidRPr="001375A7">
        <w:t>CAIN Archive - Conflict and Politics in Northern Ireland</w:t>
      </w:r>
      <w:r w:rsidR="002B023C" w:rsidRPr="001375A7">
        <w:t xml:space="preserve">, </w:t>
      </w:r>
      <w:r w:rsidR="002B023C" w:rsidRPr="001375A7">
        <w:rPr>
          <w:i/>
          <w:iCs/>
        </w:rPr>
        <w:t xml:space="preserve">A Chronology of the Conflict </w:t>
      </w:r>
      <w:r w:rsidR="002B023C" w:rsidRPr="001375A7">
        <w:rPr>
          <w:i/>
          <w:iCs/>
        </w:rPr>
        <w:t>–</w:t>
      </w:r>
      <w:r w:rsidR="002B023C" w:rsidRPr="001375A7">
        <w:rPr>
          <w:i/>
          <w:iCs/>
        </w:rPr>
        <w:t> 1972</w:t>
      </w:r>
      <w:r w:rsidR="002B023C" w:rsidRPr="001375A7">
        <w:t xml:space="preserve"> (2025) </w:t>
      </w:r>
      <w:r w:rsidRPr="00FB578C">
        <w:rPr>
          <w:rFonts w:cstheme="minorHAnsi"/>
        </w:rPr>
        <w:t xml:space="preserve">&lt;https://cain.ulster.ac.uk/othelem/chron/ch72.htm&gt; [accessed </w:t>
      </w:r>
      <w:r w:rsidRPr="001375A7">
        <w:rPr>
          <w:rFonts w:cstheme="minorHAnsi"/>
        </w:rPr>
        <w:t>14</w:t>
      </w:r>
      <w:r w:rsidRPr="00FB578C">
        <w:rPr>
          <w:rFonts w:cstheme="minorHAnsi"/>
        </w:rPr>
        <w:t xml:space="preserve"> July 2025].</w:t>
      </w:r>
    </w:p>
  </w:footnote>
  <w:footnote w:id="10">
    <w:p w14:paraId="323CA92F" w14:textId="3ABF6C45" w:rsidR="00323815" w:rsidRPr="001375A7" w:rsidRDefault="00323815" w:rsidP="00C318BD">
      <w:pPr>
        <w:pStyle w:val="FootnoteText"/>
        <w:spacing w:after="0"/>
        <w:rPr>
          <w:rFonts w:cstheme="minorHAnsi"/>
        </w:rPr>
      </w:pPr>
      <w:r w:rsidRPr="001375A7">
        <w:rPr>
          <w:rStyle w:val="FootnoteReference"/>
        </w:rPr>
        <w:footnoteRef/>
      </w:r>
      <w:r w:rsidRPr="001375A7">
        <w:t xml:space="preserve"> </w:t>
      </w:r>
      <w:r w:rsidR="00C318BD" w:rsidRPr="001375A7">
        <w:rPr>
          <w:rFonts w:cstheme="minorHAnsi"/>
        </w:rPr>
        <w:t>Kelsey Hanson, ‘</w:t>
      </w:r>
      <w:r w:rsidR="00C318BD" w:rsidRPr="001375A7">
        <w:rPr>
          <w:rFonts w:cstheme="minorHAnsi"/>
        </w:rPr>
        <w:t>Remembering Bloody Sunday 50 years on: A textual analysis of Bloody Sunday anniversary coverage</w:t>
      </w:r>
      <w:r w:rsidR="00C318BD" w:rsidRPr="001375A7">
        <w:rPr>
          <w:rFonts w:cstheme="minorHAnsi"/>
        </w:rPr>
        <w:t>’ (2024) &lt;</w:t>
      </w:r>
      <w:r w:rsidR="00C318BD" w:rsidRPr="001375A7">
        <w:rPr>
          <w:rFonts w:cstheme="minorHAnsi"/>
        </w:rPr>
        <w:t>https://www.cambridge.org/core/journals/memory-mind-and-media/article/remembering-bloody-sunday-50-years-on-a-textual-analysis-of-bloody-sunday-anniversary-coverage/D43EBD9D099ED10C49B028A509D84C3E</w:t>
      </w:r>
      <w:r w:rsidR="00C318BD" w:rsidRPr="001375A7">
        <w:rPr>
          <w:rFonts w:cstheme="minorHAnsi"/>
        </w:rPr>
        <w:t xml:space="preserve">&gt; </w:t>
      </w:r>
      <w:r w:rsidRPr="00FB578C">
        <w:rPr>
          <w:rFonts w:cstheme="minorHAnsi"/>
        </w:rPr>
        <w:t xml:space="preserve">[accessed </w:t>
      </w:r>
      <w:r w:rsidRPr="001375A7">
        <w:rPr>
          <w:rFonts w:cstheme="minorHAnsi"/>
        </w:rPr>
        <w:t>14</w:t>
      </w:r>
      <w:r w:rsidRPr="00FB578C">
        <w:rPr>
          <w:rFonts w:cstheme="minorHAnsi"/>
        </w:rPr>
        <w:t xml:space="preserve"> July 2025].</w:t>
      </w:r>
    </w:p>
  </w:footnote>
  <w:footnote w:id="11">
    <w:p w14:paraId="5C332B91" w14:textId="7DA17574" w:rsidR="00323815" w:rsidRPr="001375A7" w:rsidRDefault="00323815" w:rsidP="00C318BD">
      <w:pPr>
        <w:pStyle w:val="FootnoteText"/>
        <w:spacing w:after="0"/>
      </w:pPr>
      <w:r w:rsidRPr="001375A7">
        <w:rPr>
          <w:rStyle w:val="FootnoteReference"/>
        </w:rPr>
        <w:footnoteRef/>
      </w:r>
      <w:r w:rsidRPr="001375A7">
        <w:t xml:space="preserve"> </w:t>
      </w:r>
      <w:r w:rsidR="00C318BD" w:rsidRPr="001375A7">
        <w:rPr>
          <w:rFonts w:cstheme="minorHAnsi"/>
        </w:rPr>
        <w:t>Hanson</w:t>
      </w:r>
      <w:r w:rsidR="00C318BD" w:rsidRPr="001375A7">
        <w:rPr>
          <w:rFonts w:cstheme="minorHAnsi"/>
        </w:rPr>
        <w:t>, ‘</w:t>
      </w:r>
      <w:r w:rsidR="00C318BD" w:rsidRPr="001375A7">
        <w:rPr>
          <w:rFonts w:cstheme="minorHAnsi"/>
        </w:rPr>
        <w:t>Remembering Bloody Sunday 50 years on: A textual analysis of Bloody Sunday anniversary coverage</w:t>
      </w:r>
      <w:r w:rsidR="00C318BD" w:rsidRPr="001375A7">
        <w:rPr>
          <w:rFonts w:cstheme="minorHAnsi"/>
        </w:rPr>
        <w:t>’.</w:t>
      </w:r>
    </w:p>
  </w:footnote>
  <w:footnote w:id="12">
    <w:p w14:paraId="321B3C0F" w14:textId="51162AAD" w:rsidR="00323815" w:rsidRPr="001375A7" w:rsidRDefault="00323815" w:rsidP="00C318BD">
      <w:pPr>
        <w:pStyle w:val="FootnoteText"/>
        <w:spacing w:after="0"/>
      </w:pPr>
      <w:r w:rsidRPr="001375A7">
        <w:rPr>
          <w:rStyle w:val="FootnoteReference"/>
        </w:rPr>
        <w:footnoteRef/>
      </w:r>
      <w:r w:rsidRPr="001375A7">
        <w:t xml:space="preserve"> </w:t>
      </w:r>
      <w:r w:rsidR="00C318BD" w:rsidRPr="001375A7">
        <w:rPr>
          <w:rFonts w:cstheme="minorHAnsi"/>
        </w:rPr>
        <w:t>Hanson, ‘Remembering Bloody Sunday 50 years on: A textual analysis of Bloody Sunday anniversary coverage’.</w:t>
      </w:r>
    </w:p>
  </w:footnote>
  <w:footnote w:id="13">
    <w:p w14:paraId="59DBD1E1" w14:textId="286CC042" w:rsidR="00323815" w:rsidRPr="001375A7" w:rsidRDefault="00323815" w:rsidP="00C318BD">
      <w:pPr>
        <w:pStyle w:val="FootnoteText"/>
        <w:spacing w:after="0"/>
        <w:rPr>
          <w:b/>
          <w:bCs/>
        </w:rPr>
      </w:pPr>
      <w:r w:rsidRPr="001375A7">
        <w:rPr>
          <w:rStyle w:val="FootnoteReference"/>
        </w:rPr>
        <w:footnoteRef/>
      </w:r>
      <w:r w:rsidRPr="001375A7">
        <w:t xml:space="preserve"> </w:t>
      </w:r>
      <w:r w:rsidR="00C318BD" w:rsidRPr="001375A7">
        <w:t xml:space="preserve">UK Government, </w:t>
      </w:r>
      <w:r w:rsidR="00C318BD" w:rsidRPr="001375A7">
        <w:rPr>
          <w:i/>
          <w:iCs/>
        </w:rPr>
        <w:t>Report of the Bloody Sunday Inquiry</w:t>
      </w:r>
      <w:r w:rsidR="00C318BD" w:rsidRPr="001375A7">
        <w:t xml:space="preserve"> (2010) &lt;</w:t>
      </w:r>
      <w:r w:rsidR="00C318BD" w:rsidRPr="001375A7">
        <w:t>https://www.gov.uk/government/publications/report-of-the-bloody-sunday-inquiry</w:t>
      </w:r>
      <w:r w:rsidR="00C318BD" w:rsidRPr="001375A7">
        <w:t>&gt;</w:t>
      </w:r>
      <w:r w:rsidR="00C318BD" w:rsidRPr="001375A7">
        <w:rPr>
          <w:b/>
          <w:bCs/>
        </w:rPr>
        <w:t xml:space="preserve"> </w:t>
      </w:r>
      <w:r w:rsidRPr="00FB578C">
        <w:rPr>
          <w:rFonts w:cstheme="minorHAnsi"/>
        </w:rPr>
        <w:t xml:space="preserve">[accessed </w:t>
      </w:r>
      <w:r w:rsidRPr="001375A7">
        <w:rPr>
          <w:rFonts w:cstheme="minorHAnsi"/>
        </w:rPr>
        <w:t>14</w:t>
      </w:r>
      <w:r w:rsidRPr="00FB578C">
        <w:rPr>
          <w:rFonts w:cstheme="minorHAnsi"/>
        </w:rPr>
        <w:t xml:space="preserve"> July 2025].</w:t>
      </w:r>
    </w:p>
  </w:footnote>
  <w:footnote w:id="14">
    <w:p w14:paraId="610F9B0C" w14:textId="652BDBE9" w:rsidR="00323815" w:rsidRPr="001375A7" w:rsidRDefault="00323815" w:rsidP="00C318BD">
      <w:pPr>
        <w:pStyle w:val="FootnoteText"/>
        <w:spacing w:after="0"/>
      </w:pPr>
      <w:r w:rsidRPr="001375A7">
        <w:rPr>
          <w:rStyle w:val="FootnoteReference"/>
        </w:rPr>
        <w:footnoteRef/>
      </w:r>
      <w:r w:rsidRPr="001375A7">
        <w:t xml:space="preserve"> </w:t>
      </w:r>
      <w:r w:rsidRPr="00FB578C">
        <w:rPr>
          <w:rFonts w:cstheme="minorHAnsi"/>
        </w:rPr>
        <w:t>Prime Minister's Office, 10 Downing Street, </w:t>
      </w:r>
      <w:r w:rsidRPr="00FB578C">
        <w:rPr>
          <w:rFonts w:cstheme="minorHAnsi"/>
          <w:i/>
          <w:iCs/>
        </w:rPr>
        <w:t>PM: Statement on Saville Inquiry, </w:t>
      </w:r>
      <w:r w:rsidR="00C318BD" w:rsidRPr="001375A7">
        <w:rPr>
          <w:rFonts w:cstheme="minorHAnsi"/>
        </w:rPr>
        <w:t>(</w:t>
      </w:r>
      <w:r w:rsidRPr="00FB578C">
        <w:rPr>
          <w:rFonts w:cstheme="minorHAnsi"/>
        </w:rPr>
        <w:t>2010</w:t>
      </w:r>
      <w:r w:rsidR="00C318BD" w:rsidRPr="001375A7">
        <w:rPr>
          <w:rFonts w:cstheme="minorHAnsi"/>
        </w:rPr>
        <w:t>)</w:t>
      </w:r>
      <w:r w:rsidRPr="00FB578C">
        <w:rPr>
          <w:rFonts w:cstheme="minorHAnsi"/>
        </w:rPr>
        <w:t xml:space="preserve"> &lt;https://www.gov.uk/government/news/pm-statement-on-saville-inquiry&gt; [accessed 26 July 2025].</w:t>
      </w:r>
    </w:p>
  </w:footnote>
  <w:footnote w:id="15">
    <w:p w14:paraId="2EBC144C" w14:textId="6CC7DF14" w:rsidR="00323815" w:rsidRPr="001375A7" w:rsidRDefault="00323815" w:rsidP="00323815">
      <w:pPr>
        <w:pStyle w:val="FootnoteText"/>
      </w:pPr>
      <w:r w:rsidRPr="001375A7">
        <w:rPr>
          <w:rStyle w:val="FootnoteReference"/>
        </w:rPr>
        <w:footnoteRef/>
      </w:r>
      <w:r w:rsidR="00C318BD" w:rsidRPr="001375A7">
        <w:rPr>
          <w:rFonts w:cstheme="minorHAnsi"/>
        </w:rPr>
        <w:t xml:space="preserve"> </w:t>
      </w:r>
      <w:r w:rsidR="00C318BD" w:rsidRPr="00FB578C">
        <w:rPr>
          <w:rFonts w:cstheme="minorHAnsi"/>
        </w:rPr>
        <w:t>Prime Minister's Office, 10 Downing Street, </w:t>
      </w:r>
      <w:r w:rsidR="00C318BD" w:rsidRPr="00FB578C">
        <w:rPr>
          <w:rFonts w:cstheme="minorHAnsi"/>
          <w:i/>
          <w:iCs/>
        </w:rPr>
        <w:t>PM: Statement on Saville Inquiry, </w:t>
      </w:r>
      <w:r w:rsidR="00C318BD" w:rsidRPr="001375A7">
        <w:rPr>
          <w:rFonts w:cstheme="minorHAnsi"/>
        </w:rPr>
        <w:t>(</w:t>
      </w:r>
      <w:r w:rsidR="00C318BD" w:rsidRPr="00FB578C">
        <w:rPr>
          <w:rFonts w:cstheme="minorHAnsi"/>
        </w:rPr>
        <w:t>2010</w:t>
      </w:r>
      <w:r w:rsidR="00C318BD" w:rsidRPr="001375A7">
        <w:rPr>
          <w:rFonts w:cstheme="minorHAnsi"/>
        </w:rPr>
        <w:t>)</w:t>
      </w:r>
      <w:r w:rsidR="00C318BD" w:rsidRPr="00FB578C">
        <w:rPr>
          <w:rFonts w:cstheme="minorHAnsi"/>
        </w:rPr>
        <w:t xml:space="preserve"> &lt;https://www.gov.uk/government/news/pm-statement-on-saville-inquiry&gt; [accessed 26 July 2025].</w:t>
      </w:r>
    </w:p>
  </w:footnote>
  <w:footnote w:id="16">
    <w:p w14:paraId="00636188" w14:textId="6BF7672D" w:rsidR="00323815" w:rsidRPr="001375A7" w:rsidRDefault="00323815" w:rsidP="00C318BD">
      <w:pPr>
        <w:pStyle w:val="FootnoteText"/>
        <w:spacing w:after="0"/>
      </w:pPr>
      <w:r w:rsidRPr="001375A7">
        <w:rPr>
          <w:rStyle w:val="FootnoteReference"/>
        </w:rPr>
        <w:footnoteRef/>
      </w:r>
      <w:r w:rsidRPr="001375A7">
        <w:t xml:space="preserve"> </w:t>
      </w:r>
      <w:r w:rsidR="00C318BD" w:rsidRPr="00FB578C">
        <w:rPr>
          <w:rFonts w:cstheme="minorHAnsi"/>
        </w:rPr>
        <w:t>Prime Minister's Office, 10 Downing Street, </w:t>
      </w:r>
      <w:r w:rsidR="00C318BD" w:rsidRPr="00FB578C">
        <w:rPr>
          <w:rFonts w:cstheme="minorHAnsi"/>
          <w:i/>
          <w:iCs/>
        </w:rPr>
        <w:t>PM: Statement on Saville Inquiry, </w:t>
      </w:r>
      <w:r w:rsidR="00C318BD" w:rsidRPr="001375A7">
        <w:rPr>
          <w:rFonts w:cstheme="minorHAnsi"/>
        </w:rPr>
        <w:t>(</w:t>
      </w:r>
      <w:r w:rsidR="00C318BD" w:rsidRPr="00FB578C">
        <w:rPr>
          <w:rFonts w:cstheme="minorHAnsi"/>
        </w:rPr>
        <w:t>2010</w:t>
      </w:r>
      <w:r w:rsidR="00C318BD" w:rsidRPr="001375A7">
        <w:rPr>
          <w:rFonts w:cstheme="minorHAnsi"/>
        </w:rPr>
        <w:t>)</w:t>
      </w:r>
      <w:r w:rsidR="00C318BD" w:rsidRPr="00FB578C">
        <w:rPr>
          <w:rFonts w:cstheme="minorHAnsi"/>
        </w:rPr>
        <w:t xml:space="preserve"> &lt;https://www.gov.uk/government/news/pm-statement-on-saville-inquiry&gt; [accessed 26 July 2025].</w:t>
      </w:r>
    </w:p>
  </w:footnote>
  <w:footnote w:id="17">
    <w:p w14:paraId="4D090340" w14:textId="19EA6929" w:rsidR="00323815" w:rsidRPr="001375A7" w:rsidRDefault="00323815" w:rsidP="00C318BD">
      <w:pPr>
        <w:pStyle w:val="FootnoteText"/>
        <w:spacing w:after="0"/>
      </w:pPr>
      <w:r w:rsidRPr="001375A7">
        <w:rPr>
          <w:rStyle w:val="FootnoteReference"/>
        </w:rPr>
        <w:footnoteRef/>
      </w:r>
      <w:r w:rsidRPr="001375A7">
        <w:t xml:space="preserve"> </w:t>
      </w:r>
      <w:r w:rsidR="00C318BD" w:rsidRPr="001375A7">
        <w:t xml:space="preserve">Friends of the Aldershot Military Museum, </w:t>
      </w:r>
      <w:r w:rsidR="00C318BD" w:rsidRPr="001375A7">
        <w:rPr>
          <w:i/>
          <w:iCs/>
        </w:rPr>
        <w:t>The IRA bomb attack on Aldershot</w:t>
      </w:r>
      <w:r w:rsidR="00C318BD" w:rsidRPr="001375A7">
        <w:t xml:space="preserve"> (2022) &lt;h</w:t>
      </w:r>
      <w:r w:rsidR="00C318BD" w:rsidRPr="001375A7">
        <w:t>ttps://www.friendsofthealdershotmilitarymuseum.org.uk/garrison.22A.html</w:t>
      </w:r>
      <w:r w:rsidR="00C318BD" w:rsidRPr="001375A7">
        <w:t xml:space="preserve">&gt; </w:t>
      </w:r>
      <w:r w:rsidRPr="00FB578C">
        <w:rPr>
          <w:rFonts w:cstheme="minorHAnsi"/>
        </w:rPr>
        <w:t>[accessed 26 July 2025].</w:t>
      </w:r>
    </w:p>
  </w:footnote>
  <w:footnote w:id="18">
    <w:p w14:paraId="3FB72BEC" w14:textId="0BE3B0B7" w:rsidR="00B552F5" w:rsidRPr="001375A7" w:rsidRDefault="00B552F5" w:rsidP="00C318BD">
      <w:pPr>
        <w:pStyle w:val="FootnoteText"/>
        <w:spacing w:after="0"/>
      </w:pPr>
      <w:r w:rsidRPr="001375A7">
        <w:rPr>
          <w:rStyle w:val="FootnoteReference"/>
        </w:rPr>
        <w:footnoteRef/>
      </w:r>
      <w:r w:rsidRPr="001375A7">
        <w:t xml:space="preserve"> </w:t>
      </w:r>
      <w:r w:rsidRPr="00FB578C">
        <w:rPr>
          <w:rFonts w:cstheme="minorHAnsi"/>
        </w:rPr>
        <w:t>Gregor McIntyre,</w:t>
      </w:r>
      <w:r w:rsidRPr="00FB578C">
        <w:rPr>
          <w:rFonts w:cstheme="minorHAnsi"/>
          <w:b/>
          <w:bCs/>
        </w:rPr>
        <w:t> </w:t>
      </w:r>
      <w:r w:rsidRPr="00FB578C">
        <w:rPr>
          <w:rFonts w:cstheme="minorHAnsi"/>
        </w:rPr>
        <w:t>'The Iron Lady and the IRA: What effect did the 1984 Brighton Bombing have on Margaret Thatcher?'</w:t>
      </w:r>
      <w:r w:rsidR="00C318BD" w:rsidRPr="001375A7">
        <w:rPr>
          <w:rFonts w:cstheme="minorHAnsi"/>
        </w:rPr>
        <w:t xml:space="preserve"> </w:t>
      </w:r>
      <w:r w:rsidR="00C318BD" w:rsidRPr="001375A7">
        <w:rPr>
          <w:rFonts w:cstheme="minorHAnsi"/>
          <w:i/>
          <w:iCs/>
        </w:rPr>
        <w:t>T</w:t>
      </w:r>
      <w:r w:rsidR="00C318BD" w:rsidRPr="001375A7">
        <w:rPr>
          <w:rFonts w:cstheme="minorHAnsi"/>
          <w:i/>
          <w:iCs/>
        </w:rPr>
        <w:t>he Handa Centre for the Study of Terrorism and Political Violence</w:t>
      </w:r>
      <w:r w:rsidR="00C318BD" w:rsidRPr="001375A7">
        <w:rPr>
          <w:rFonts w:cstheme="minorHAnsi"/>
        </w:rPr>
        <w:t xml:space="preserve"> (</w:t>
      </w:r>
      <w:r w:rsidRPr="00FB578C">
        <w:rPr>
          <w:rFonts w:cstheme="minorHAnsi"/>
        </w:rPr>
        <w:t>2024</w:t>
      </w:r>
      <w:r w:rsidR="00C318BD" w:rsidRPr="001375A7">
        <w:rPr>
          <w:rFonts w:cstheme="minorHAnsi"/>
        </w:rPr>
        <w:t>)</w:t>
      </w:r>
      <w:r w:rsidRPr="00FB578C">
        <w:rPr>
          <w:rFonts w:cstheme="minorHAnsi"/>
        </w:rPr>
        <w:t xml:space="preserve"> &lt;https://cstpv.wp.st-andrews.ac.uk/2024/01/11/the-iron-lady-and-the-ira-what-effect-did-the-1984-brighton-bombing-have-on-margaret-thatcher/&gt; [accessed 26 July 2025].</w:t>
      </w:r>
    </w:p>
  </w:footnote>
  <w:footnote w:id="19">
    <w:p w14:paraId="2D287114" w14:textId="7DAED55D" w:rsidR="00B552F5" w:rsidRPr="001375A7" w:rsidRDefault="00B552F5" w:rsidP="00C318BD">
      <w:pPr>
        <w:pStyle w:val="FootnoteText"/>
        <w:spacing w:after="0"/>
      </w:pPr>
      <w:r w:rsidRPr="001375A7">
        <w:rPr>
          <w:rStyle w:val="FootnoteReference"/>
        </w:rPr>
        <w:footnoteRef/>
      </w:r>
      <w:r w:rsidRPr="001375A7">
        <w:t xml:space="preserve"> </w:t>
      </w:r>
      <w:r w:rsidRPr="00FB578C">
        <w:rPr>
          <w:rFonts w:cstheme="minorHAnsi"/>
        </w:rPr>
        <w:t>[accessed 26 July 2025].</w:t>
      </w:r>
    </w:p>
  </w:footnote>
  <w:footnote w:id="20">
    <w:p w14:paraId="5D3EEB0E" w14:textId="0E5CFD3D" w:rsidR="00323815" w:rsidRPr="001375A7" w:rsidRDefault="00323815" w:rsidP="0087243E">
      <w:pPr>
        <w:spacing w:after="0" w:line="276" w:lineRule="auto"/>
        <w:rPr>
          <w:rFonts w:cstheme="minorHAnsi"/>
          <w:sz w:val="20"/>
          <w:szCs w:val="20"/>
        </w:rPr>
      </w:pPr>
      <w:r w:rsidRPr="001375A7">
        <w:rPr>
          <w:rStyle w:val="FootnoteReference"/>
          <w:sz w:val="20"/>
          <w:szCs w:val="20"/>
        </w:rPr>
        <w:footnoteRef/>
      </w:r>
      <w:r w:rsidRPr="001375A7">
        <w:rPr>
          <w:sz w:val="20"/>
          <w:szCs w:val="20"/>
        </w:rPr>
        <w:t xml:space="preserve"> </w:t>
      </w:r>
      <w:r w:rsidRPr="00FB578C">
        <w:rPr>
          <w:rFonts w:cstheme="minorHAnsi"/>
          <w:sz w:val="20"/>
          <w:szCs w:val="20"/>
        </w:rPr>
        <w:t xml:space="preserve">UK Parliament, </w:t>
      </w:r>
      <w:r w:rsidRPr="00FB578C">
        <w:rPr>
          <w:rFonts w:cstheme="minorHAnsi"/>
          <w:i/>
          <w:iCs/>
          <w:sz w:val="20"/>
          <w:szCs w:val="20"/>
        </w:rPr>
        <w:t>Grand Hotel, Brighton: Bomb Explosion, Volume 455: debated on Tuesday 16 October 1984</w:t>
      </w:r>
      <w:r w:rsidR="0087243E" w:rsidRPr="001375A7">
        <w:rPr>
          <w:rFonts w:cstheme="minorHAnsi"/>
          <w:sz w:val="20"/>
          <w:szCs w:val="20"/>
        </w:rPr>
        <w:t xml:space="preserve"> </w:t>
      </w:r>
      <w:r w:rsidRPr="00FB578C">
        <w:rPr>
          <w:rFonts w:cstheme="minorHAnsi"/>
          <w:sz w:val="20"/>
          <w:szCs w:val="20"/>
        </w:rPr>
        <w:t>&lt;https://hansard.parliament.uk/lords/1984-10-16/debates/615a5e41-444d-4767-84bc-6231674b406f/GrandHotelBrightonBombExplosion&gt; [accessed 26 July 2025].</w:t>
      </w:r>
    </w:p>
  </w:footnote>
  <w:footnote w:id="21">
    <w:p w14:paraId="6D27E1BE" w14:textId="4527867E" w:rsidR="00323815" w:rsidRPr="001375A7" w:rsidRDefault="00323815" w:rsidP="0087243E">
      <w:pPr>
        <w:pStyle w:val="FootnoteText"/>
        <w:spacing w:after="0"/>
        <w:rPr>
          <w:rFonts w:cstheme="minorHAnsi"/>
        </w:rPr>
      </w:pPr>
      <w:r w:rsidRPr="001375A7">
        <w:rPr>
          <w:rStyle w:val="FootnoteReference"/>
        </w:rPr>
        <w:footnoteRef/>
      </w:r>
      <w:r w:rsidRPr="001375A7">
        <w:t xml:space="preserve"> </w:t>
      </w:r>
      <w:r w:rsidR="0087243E" w:rsidRPr="001375A7">
        <w:t xml:space="preserve">UK Parliament, </w:t>
      </w:r>
      <w:r w:rsidRPr="00FB578C">
        <w:rPr>
          <w:rFonts w:cstheme="minorHAnsi"/>
          <w:i/>
          <w:iCs/>
        </w:rPr>
        <w:t>Northern Ireland (Emergency Provisions) Act 1973</w:t>
      </w:r>
      <w:r w:rsidRPr="001375A7">
        <w:rPr>
          <w:rFonts w:cstheme="minorHAnsi"/>
        </w:rPr>
        <w:t xml:space="preserve"> </w:t>
      </w:r>
      <w:r w:rsidRPr="00FB578C">
        <w:rPr>
          <w:rFonts w:cstheme="minorHAnsi"/>
        </w:rPr>
        <w:t>&lt;https://www.legislation.gov.uk/ukpga/1973/53&gt; [accessed 26 July 2025]</w:t>
      </w:r>
      <w:r w:rsidRPr="001375A7">
        <w:rPr>
          <w:rFonts w:cstheme="minorHAnsi"/>
        </w:rPr>
        <w:t>.</w:t>
      </w:r>
    </w:p>
  </w:footnote>
  <w:footnote w:id="22">
    <w:p w14:paraId="2E0C32C8" w14:textId="1D0CAA67" w:rsidR="00323815" w:rsidRPr="001375A7" w:rsidRDefault="00323815" w:rsidP="00323815">
      <w:pPr>
        <w:pStyle w:val="FootnoteText"/>
        <w:rPr>
          <w:b/>
          <w:bCs/>
        </w:rPr>
      </w:pPr>
      <w:r w:rsidRPr="001375A7">
        <w:rPr>
          <w:rStyle w:val="FootnoteReference"/>
        </w:rPr>
        <w:footnoteRef/>
      </w:r>
      <w:r w:rsidR="0087243E" w:rsidRPr="001375A7">
        <w:t xml:space="preserve"> </w:t>
      </w:r>
      <w:r w:rsidR="0087243E" w:rsidRPr="001375A7">
        <w:t>CAIN Archive - Conflict and Politics in Northern Ireland</w:t>
      </w:r>
      <w:r w:rsidR="0087243E" w:rsidRPr="001375A7">
        <w:t>,</w:t>
      </w:r>
      <w:r w:rsidRPr="001375A7">
        <w:t xml:space="preserve"> </w:t>
      </w:r>
      <w:r w:rsidR="0087243E" w:rsidRPr="001375A7">
        <w:rPr>
          <w:i/>
          <w:iCs/>
        </w:rPr>
        <w:t>Violence - Significant Violent Incidents During the Conflict</w:t>
      </w:r>
      <w:r w:rsidR="0087243E" w:rsidRPr="001375A7">
        <w:t xml:space="preserve"> (2025) </w:t>
      </w:r>
      <w:r w:rsidRPr="00FB578C">
        <w:rPr>
          <w:rFonts w:cstheme="minorHAnsi"/>
        </w:rPr>
        <w:t>&lt;https://cain.ulster.ac.uk/issues/violence/majinc.htm#:~:text=In%201972%2C%20472%20people%20died,people%20(321)%20were%20civilians.&amp;text=Andrew%20Maguire%2C%20aged%206%20weeks,killed%20on%2010%20August%201976&gt; [accessed 14 July 2025].</w:t>
      </w:r>
    </w:p>
  </w:footnote>
  <w:footnote w:id="23">
    <w:p w14:paraId="4815CB50" w14:textId="34FCE990" w:rsidR="00323815" w:rsidRPr="001375A7" w:rsidRDefault="00323815" w:rsidP="0087243E">
      <w:pPr>
        <w:pStyle w:val="FootnoteText"/>
        <w:spacing w:after="0"/>
        <w:rPr>
          <w:rFonts w:cstheme="minorHAnsi"/>
        </w:rPr>
      </w:pPr>
      <w:r w:rsidRPr="001375A7">
        <w:rPr>
          <w:rStyle w:val="FootnoteReference"/>
        </w:rPr>
        <w:footnoteRef/>
      </w:r>
      <w:r w:rsidRPr="001375A7">
        <w:t xml:space="preserve"> </w:t>
      </w:r>
      <w:r w:rsidR="0087243E" w:rsidRPr="001375A7">
        <w:rPr>
          <w:rFonts w:cstheme="minorHAnsi"/>
        </w:rPr>
        <w:t xml:space="preserve">Equality and Human Rights Commission, </w:t>
      </w:r>
      <w:r w:rsidR="0087243E" w:rsidRPr="001375A7">
        <w:rPr>
          <w:rFonts w:cstheme="minorHAnsi"/>
          <w:i/>
          <w:iCs/>
        </w:rPr>
        <w:t>Article 6: Right to a fair trial</w:t>
      </w:r>
      <w:r w:rsidR="0087243E" w:rsidRPr="001375A7">
        <w:rPr>
          <w:rFonts w:cstheme="minorHAnsi"/>
          <w:i/>
          <w:iCs/>
        </w:rPr>
        <w:t xml:space="preserve"> </w:t>
      </w:r>
      <w:r w:rsidR="0087243E" w:rsidRPr="001375A7">
        <w:rPr>
          <w:rFonts w:cstheme="minorHAnsi"/>
        </w:rPr>
        <w:t xml:space="preserve">(2021) </w:t>
      </w:r>
      <w:r w:rsidRPr="00FB578C">
        <w:rPr>
          <w:rFonts w:cstheme="minorHAnsi"/>
        </w:rPr>
        <w:t>&lt;https://www.equalityhumanrights.com/human-rights/human-rights-act/article-6-right-fair-trial&gt;</w:t>
      </w:r>
      <w:r w:rsidR="0087243E" w:rsidRPr="001375A7">
        <w:rPr>
          <w:rFonts w:cstheme="minorHAnsi"/>
        </w:rPr>
        <w:t xml:space="preserve"> </w:t>
      </w:r>
      <w:r w:rsidRPr="00FB578C">
        <w:rPr>
          <w:rFonts w:cstheme="minorHAnsi"/>
        </w:rPr>
        <w:t>[accessed 26 July 2025].</w:t>
      </w:r>
    </w:p>
  </w:footnote>
  <w:footnote w:id="24">
    <w:p w14:paraId="07259B4D" w14:textId="00E9CFA0" w:rsidR="00323815" w:rsidRPr="001375A7" w:rsidRDefault="00323815" w:rsidP="0087243E">
      <w:pPr>
        <w:pStyle w:val="FootnoteText"/>
        <w:spacing w:after="0"/>
      </w:pPr>
      <w:r w:rsidRPr="001375A7">
        <w:rPr>
          <w:rStyle w:val="FootnoteReference"/>
        </w:rPr>
        <w:footnoteRef/>
      </w:r>
      <w:r w:rsidRPr="001375A7">
        <w:t xml:space="preserve"> </w:t>
      </w:r>
      <w:r w:rsidRPr="00FB578C">
        <w:rPr>
          <w:rFonts w:cstheme="minorHAnsi"/>
        </w:rPr>
        <w:t>Ulster Unionist Party</w:t>
      </w:r>
      <w:r w:rsidR="0087243E" w:rsidRPr="001375A7">
        <w:rPr>
          <w:rFonts w:cstheme="minorHAnsi"/>
        </w:rPr>
        <w:t xml:space="preserve"> (2025) &lt;</w:t>
      </w:r>
      <w:r w:rsidR="0087243E" w:rsidRPr="001375A7">
        <w:rPr>
          <w:rFonts w:cstheme="minorHAnsi"/>
        </w:rPr>
        <w:t>https://www.uup.org</w:t>
      </w:r>
      <w:r w:rsidR="0087243E" w:rsidRPr="001375A7">
        <w:rPr>
          <w:rFonts w:cstheme="minorHAnsi"/>
        </w:rPr>
        <w:t>&gt; [</w:t>
      </w:r>
      <w:r w:rsidR="0087243E" w:rsidRPr="00FB578C">
        <w:rPr>
          <w:rFonts w:cstheme="minorHAnsi"/>
        </w:rPr>
        <w:t xml:space="preserve">accessed </w:t>
      </w:r>
      <w:r w:rsidR="0087243E" w:rsidRPr="001375A7">
        <w:rPr>
          <w:rFonts w:cstheme="minorHAnsi"/>
        </w:rPr>
        <w:t>14</w:t>
      </w:r>
      <w:r w:rsidR="0087243E" w:rsidRPr="00FB578C">
        <w:rPr>
          <w:rFonts w:cstheme="minorHAnsi"/>
        </w:rPr>
        <w:t xml:space="preserve"> July 2025].</w:t>
      </w:r>
    </w:p>
  </w:footnote>
  <w:footnote w:id="25">
    <w:p w14:paraId="48C38747" w14:textId="62F57907" w:rsidR="00323815" w:rsidRPr="001375A7" w:rsidRDefault="00323815" w:rsidP="001375A7">
      <w:pPr>
        <w:spacing w:after="0" w:line="276" w:lineRule="auto"/>
        <w:rPr>
          <w:rFonts w:cstheme="minorHAnsi"/>
          <w:sz w:val="20"/>
          <w:szCs w:val="20"/>
        </w:rPr>
      </w:pPr>
      <w:r w:rsidRPr="001375A7">
        <w:rPr>
          <w:rStyle w:val="FootnoteReference"/>
          <w:sz w:val="20"/>
          <w:szCs w:val="20"/>
        </w:rPr>
        <w:footnoteRef/>
      </w:r>
      <w:r w:rsidRPr="001375A7">
        <w:rPr>
          <w:sz w:val="20"/>
          <w:szCs w:val="20"/>
        </w:rPr>
        <w:t xml:space="preserve"> </w:t>
      </w:r>
      <w:r w:rsidR="0087243E" w:rsidRPr="001375A7">
        <w:rPr>
          <w:sz w:val="20"/>
          <w:szCs w:val="20"/>
        </w:rPr>
        <w:t>CAIN Archive - Conflict and Politics in Northern Ireland,</w:t>
      </w:r>
      <w:r w:rsidR="0087243E" w:rsidRPr="001375A7">
        <w:rPr>
          <w:sz w:val="20"/>
          <w:szCs w:val="20"/>
        </w:rPr>
        <w:t xml:space="preserve"> 2025.</w:t>
      </w:r>
    </w:p>
  </w:footnote>
  <w:footnote w:id="26">
    <w:p w14:paraId="10299260" w14:textId="510B3252" w:rsidR="00323815" w:rsidRPr="001375A7" w:rsidRDefault="00323815" w:rsidP="001375A7">
      <w:pPr>
        <w:spacing w:after="0" w:line="276" w:lineRule="auto"/>
        <w:rPr>
          <w:rFonts w:cstheme="minorHAnsi"/>
          <w:sz w:val="20"/>
          <w:szCs w:val="20"/>
        </w:rPr>
      </w:pPr>
      <w:r w:rsidRPr="001375A7">
        <w:rPr>
          <w:rStyle w:val="FootnoteReference"/>
          <w:sz w:val="20"/>
          <w:szCs w:val="20"/>
        </w:rPr>
        <w:footnoteRef/>
      </w:r>
      <w:r w:rsidRPr="001375A7">
        <w:rPr>
          <w:sz w:val="20"/>
          <w:szCs w:val="20"/>
        </w:rPr>
        <w:t xml:space="preserve"> </w:t>
      </w:r>
      <w:r w:rsidR="0087243E" w:rsidRPr="001375A7">
        <w:rPr>
          <w:sz w:val="20"/>
          <w:szCs w:val="20"/>
        </w:rPr>
        <w:t xml:space="preserve">CAIN Archive - Conflict and Politics in Northern Ireland, </w:t>
      </w:r>
      <w:r w:rsidRPr="00FB578C">
        <w:rPr>
          <w:rFonts w:cstheme="minorHAnsi"/>
          <w:i/>
          <w:iCs/>
          <w:sz w:val="20"/>
          <w:szCs w:val="20"/>
        </w:rPr>
        <w:t>CAB/4/1647</w:t>
      </w:r>
      <w:r w:rsidRPr="001375A7">
        <w:rPr>
          <w:rFonts w:cstheme="minorHAnsi"/>
          <w:sz w:val="20"/>
          <w:szCs w:val="20"/>
        </w:rPr>
        <w:t xml:space="preserve"> </w:t>
      </w:r>
      <w:r w:rsidRPr="00FB578C">
        <w:rPr>
          <w:rFonts w:cstheme="minorHAnsi"/>
          <w:sz w:val="20"/>
          <w:szCs w:val="20"/>
        </w:rPr>
        <w:t>&lt;https://cain.ulster.ac.uk/proni/1972/proni_CAB-4-1647_1972-03-22_a.pdf&gt; [accessed 26 July 2025].</w:t>
      </w:r>
    </w:p>
  </w:footnote>
  <w:footnote w:id="27">
    <w:p w14:paraId="25E12FB7" w14:textId="058CDAC7" w:rsidR="00323815" w:rsidRPr="001375A7" w:rsidRDefault="00323815" w:rsidP="0087243E">
      <w:pPr>
        <w:pStyle w:val="FootnoteText"/>
        <w:spacing w:after="0"/>
      </w:pPr>
      <w:r w:rsidRPr="001375A7">
        <w:rPr>
          <w:rStyle w:val="FootnoteReference"/>
        </w:rPr>
        <w:footnoteRef/>
      </w:r>
      <w:r w:rsidRPr="001375A7">
        <w:t xml:space="preserve"> </w:t>
      </w:r>
      <w:r w:rsidR="0087243E" w:rsidRPr="001375A7">
        <w:t xml:space="preserve">UK Parliament, </w:t>
      </w:r>
      <w:r w:rsidR="0087243E" w:rsidRPr="001375A7">
        <w:rPr>
          <w:rFonts w:cstheme="minorHAnsi"/>
          <w:i/>
          <w:iCs/>
        </w:rPr>
        <w:t>T</w:t>
      </w:r>
      <w:r w:rsidRPr="00FB578C">
        <w:rPr>
          <w:rFonts w:cstheme="minorHAnsi"/>
          <w:i/>
          <w:iCs/>
        </w:rPr>
        <w:t>he Northern Ireland (Temporary Provisions) Act.</w:t>
      </w:r>
      <w:r w:rsidR="0087243E" w:rsidRPr="001375A7">
        <w:rPr>
          <w:rFonts w:cstheme="minorHAnsi"/>
          <w:i/>
          <w:iCs/>
        </w:rPr>
        <w:t xml:space="preserve"> 1972  (</w:t>
      </w:r>
      <w:r w:rsidR="0087243E" w:rsidRPr="001375A7">
        <w:rPr>
          <w:rFonts w:cstheme="minorHAnsi"/>
        </w:rPr>
        <w:t>1972) &lt;</w:t>
      </w:r>
      <w:r w:rsidR="0087243E" w:rsidRPr="001375A7">
        <w:rPr>
          <w:rFonts w:cstheme="minorHAnsi"/>
        </w:rPr>
        <w:t>https://www.legislation.gov.uk/ukpga/1972/22/enacted</w:t>
      </w:r>
      <w:r w:rsidR="0087243E" w:rsidRPr="001375A7">
        <w:rPr>
          <w:rFonts w:cstheme="minorHAnsi"/>
        </w:rPr>
        <w:t xml:space="preserve">&gt; </w:t>
      </w:r>
      <w:r w:rsidR="0087243E" w:rsidRPr="00FB578C">
        <w:rPr>
          <w:rFonts w:cstheme="minorHAnsi"/>
        </w:rPr>
        <w:t>[accessed 26 July 2025].</w:t>
      </w:r>
    </w:p>
  </w:footnote>
  <w:footnote w:id="28">
    <w:p w14:paraId="4AF033DB" w14:textId="77777777" w:rsidR="00323815" w:rsidRPr="001375A7" w:rsidRDefault="00323815" w:rsidP="0087243E">
      <w:pPr>
        <w:spacing w:after="0" w:line="276" w:lineRule="auto"/>
        <w:rPr>
          <w:rFonts w:cstheme="minorHAnsi"/>
          <w:sz w:val="20"/>
          <w:szCs w:val="20"/>
        </w:rPr>
      </w:pPr>
      <w:r w:rsidRPr="001375A7">
        <w:rPr>
          <w:rStyle w:val="FootnoteReference"/>
          <w:sz w:val="20"/>
          <w:szCs w:val="20"/>
        </w:rPr>
        <w:footnoteRef/>
      </w:r>
      <w:r w:rsidRPr="001375A7">
        <w:rPr>
          <w:sz w:val="20"/>
          <w:szCs w:val="20"/>
        </w:rPr>
        <w:t xml:space="preserve"> </w:t>
      </w:r>
      <w:r w:rsidRPr="00FB578C">
        <w:rPr>
          <w:rFonts w:cstheme="minorHAnsi"/>
          <w:sz w:val="20"/>
          <w:szCs w:val="20"/>
        </w:rPr>
        <w:t>UK Parliament, </w:t>
      </w:r>
      <w:r w:rsidRPr="00FB578C">
        <w:rPr>
          <w:rFonts w:cstheme="minorHAnsi"/>
          <w:i/>
          <w:iCs/>
          <w:sz w:val="20"/>
          <w:szCs w:val="20"/>
        </w:rPr>
        <w:t>Direct Rule</w:t>
      </w:r>
      <w:r w:rsidRPr="00FB578C">
        <w:rPr>
          <w:rFonts w:cstheme="minorHAnsi"/>
          <w:sz w:val="20"/>
          <w:szCs w:val="20"/>
        </w:rPr>
        <w:t> (2025)</w:t>
      </w:r>
      <w:r w:rsidRPr="001375A7">
        <w:rPr>
          <w:rFonts w:cstheme="minorHAnsi"/>
          <w:sz w:val="20"/>
          <w:szCs w:val="20"/>
        </w:rPr>
        <w:t> </w:t>
      </w:r>
      <w:r w:rsidRPr="00FB578C">
        <w:rPr>
          <w:rFonts w:cstheme="minorHAnsi"/>
          <w:sz w:val="20"/>
          <w:szCs w:val="20"/>
        </w:rPr>
        <w:t>&lt;https://www.parliament.uk/about/living-heritage/evolutionofparliament/legislativescrutiny/parliamentandireland/overview/direct-rule/&gt; [accessed 26 July 2025].</w:t>
      </w:r>
    </w:p>
  </w:footnote>
  <w:footnote w:id="29">
    <w:p w14:paraId="7C02311F" w14:textId="5829E7CB" w:rsidR="00323815" w:rsidRPr="001375A7" w:rsidRDefault="00323815" w:rsidP="00323815">
      <w:pPr>
        <w:pStyle w:val="FootnoteText"/>
        <w:spacing w:after="0"/>
      </w:pPr>
      <w:r w:rsidRPr="001375A7">
        <w:rPr>
          <w:rStyle w:val="FootnoteReference"/>
        </w:rPr>
        <w:footnoteRef/>
      </w:r>
      <w:r w:rsidRPr="001375A7">
        <w:t xml:space="preserve"> </w:t>
      </w:r>
      <w:r w:rsidR="0087243E" w:rsidRPr="001375A7">
        <w:t xml:space="preserve">CAIN Archive - Conflict and Politics in Northern Ireland, </w:t>
      </w:r>
      <w:r w:rsidRPr="00FB578C">
        <w:rPr>
          <w:rFonts w:cstheme="minorHAnsi"/>
        </w:rPr>
        <w:t>HA/32/2/51 &lt;https://cain.ulster.ac.uk/proni/1972/proni_HA-32-2-51_1972-03-24.pdf&gt; [accessed 26 July 2025].</w:t>
      </w:r>
    </w:p>
  </w:footnote>
  <w:footnote w:id="30">
    <w:p w14:paraId="7B2366EC" w14:textId="1F1D1B4A" w:rsidR="00323815" w:rsidRPr="001375A7" w:rsidRDefault="00323815" w:rsidP="001375A7">
      <w:pPr>
        <w:spacing w:after="0" w:line="276" w:lineRule="auto"/>
        <w:rPr>
          <w:rFonts w:cstheme="minorHAnsi"/>
          <w:sz w:val="20"/>
          <w:szCs w:val="20"/>
        </w:rPr>
      </w:pPr>
      <w:r w:rsidRPr="001375A7">
        <w:rPr>
          <w:rStyle w:val="FootnoteReference"/>
          <w:sz w:val="20"/>
          <w:szCs w:val="20"/>
        </w:rPr>
        <w:footnoteRef/>
      </w:r>
      <w:r w:rsidRPr="001375A7">
        <w:rPr>
          <w:sz w:val="20"/>
          <w:szCs w:val="20"/>
        </w:rPr>
        <w:t xml:space="preserve"> </w:t>
      </w:r>
      <w:r w:rsidR="0087243E" w:rsidRPr="001375A7">
        <w:rPr>
          <w:sz w:val="20"/>
          <w:szCs w:val="20"/>
        </w:rPr>
        <w:t xml:space="preserve">CAIN Archive - Conflict and Politics in Northern Ireland, </w:t>
      </w:r>
      <w:r w:rsidR="0087243E" w:rsidRPr="001375A7">
        <w:rPr>
          <w:sz w:val="20"/>
          <w:szCs w:val="20"/>
        </w:rPr>
        <w:t xml:space="preserve"> </w:t>
      </w:r>
      <w:r w:rsidR="0087243E" w:rsidRPr="001375A7">
        <w:rPr>
          <w:i/>
          <w:iCs/>
          <w:sz w:val="20"/>
          <w:szCs w:val="20"/>
        </w:rPr>
        <w:t xml:space="preserve">PCC/1/5/7 </w:t>
      </w:r>
      <w:r w:rsidRPr="00FB578C">
        <w:rPr>
          <w:rFonts w:cstheme="minorHAnsi"/>
          <w:sz w:val="20"/>
          <w:szCs w:val="20"/>
        </w:rPr>
        <w:t>&lt;https://cain.ulster.ac.uk/proni/1976/proni_PCC-1-5-7_1976-03-10.pdf&gt; [accessed 26 July 2025]</w:t>
      </w:r>
      <w:r w:rsidRPr="001375A7">
        <w:rPr>
          <w:rFonts w:cstheme="minorHAnsi"/>
          <w:sz w:val="20"/>
          <w:szCs w:val="20"/>
        </w:rPr>
        <w:t>.</w:t>
      </w:r>
    </w:p>
  </w:footnote>
  <w:footnote w:id="31">
    <w:p w14:paraId="183064E5" w14:textId="16022F67" w:rsidR="00323815" w:rsidRPr="001375A7" w:rsidRDefault="00323815" w:rsidP="001375A7">
      <w:pPr>
        <w:pStyle w:val="p1"/>
        <w:rPr>
          <w:color w:val="auto"/>
          <w:sz w:val="20"/>
          <w:szCs w:val="20"/>
        </w:rPr>
      </w:pPr>
      <w:r w:rsidRPr="001375A7">
        <w:rPr>
          <w:rStyle w:val="FootnoteReference"/>
          <w:color w:val="auto"/>
          <w:sz w:val="20"/>
          <w:szCs w:val="20"/>
        </w:rPr>
        <w:footnoteRef/>
      </w:r>
      <w:r w:rsidRPr="001375A7">
        <w:rPr>
          <w:color w:val="auto"/>
          <w:sz w:val="20"/>
          <w:szCs w:val="20"/>
        </w:rPr>
        <w:t xml:space="preserve"> </w:t>
      </w:r>
      <w:r w:rsidR="0087243E" w:rsidRPr="001375A7">
        <w:rPr>
          <w:rFonts w:ascii="Calibri" w:hAnsi="Calibri" w:cs="Calibri"/>
          <w:color w:val="auto"/>
          <w:sz w:val="20"/>
          <w:szCs w:val="20"/>
        </w:rPr>
        <w:t>Declan Moen</w:t>
      </w:r>
      <w:r w:rsidR="0087243E" w:rsidRPr="001375A7">
        <w:rPr>
          <w:rFonts w:ascii="Calibri" w:hAnsi="Calibri" w:cs="Calibri"/>
          <w:color w:val="auto"/>
          <w:sz w:val="20"/>
          <w:szCs w:val="20"/>
        </w:rPr>
        <w:t>, ‘</w:t>
      </w:r>
      <w:r w:rsidR="0087243E" w:rsidRPr="001375A7">
        <w:rPr>
          <w:rFonts w:ascii="Calibri" w:hAnsi="Calibri" w:cs="Calibri"/>
          <w:color w:val="auto"/>
          <w:sz w:val="20"/>
          <w:szCs w:val="20"/>
        </w:rPr>
        <w:t>Irish Political Prisoners and Post Hunger-Strike Resistance to Criminalisation</w:t>
      </w:r>
      <w:r w:rsidR="0087243E" w:rsidRPr="001375A7">
        <w:rPr>
          <w:rFonts w:ascii="Calibri" w:hAnsi="Calibri" w:cs="Calibri"/>
          <w:color w:val="auto"/>
          <w:sz w:val="20"/>
          <w:szCs w:val="20"/>
        </w:rPr>
        <w:t xml:space="preserve">’,  </w:t>
      </w:r>
      <w:r w:rsidR="0087243E" w:rsidRPr="001375A7">
        <w:rPr>
          <w:rFonts w:ascii="Calibri" w:hAnsi="Calibri" w:cs="Calibri"/>
          <w:i/>
          <w:iCs/>
          <w:color w:val="auto"/>
          <w:sz w:val="20"/>
          <w:szCs w:val="20"/>
        </w:rPr>
        <w:t>British Society of Criminology (</w:t>
      </w:r>
      <w:r w:rsidR="0087243E" w:rsidRPr="001375A7">
        <w:rPr>
          <w:rFonts w:ascii="Calibri" w:hAnsi="Calibri" w:cs="Calibri"/>
          <w:color w:val="auto"/>
          <w:sz w:val="20"/>
          <w:szCs w:val="20"/>
        </w:rPr>
        <w:t>2000)</w:t>
      </w:r>
      <w:r w:rsidRPr="00FB578C">
        <w:rPr>
          <w:rFonts w:ascii="Calibri" w:hAnsi="Calibri" w:cs="Calibri"/>
          <w:color w:val="auto"/>
          <w:sz w:val="20"/>
          <w:szCs w:val="20"/>
        </w:rPr>
        <w:t xml:space="preserve"> p.g. 4 - &lt;https://www.britsoccrim.org/volume3/009.pdf&gt;</w:t>
      </w:r>
      <w:r w:rsidRPr="001375A7">
        <w:rPr>
          <w:rFonts w:ascii="Calibri" w:hAnsi="Calibri" w:cs="Calibri"/>
          <w:color w:val="auto"/>
          <w:sz w:val="20"/>
          <w:szCs w:val="20"/>
        </w:rPr>
        <w:t xml:space="preserve"> </w:t>
      </w:r>
      <w:r w:rsidRPr="00FB578C">
        <w:rPr>
          <w:rFonts w:ascii="Calibri" w:hAnsi="Calibri" w:cs="Calibri"/>
          <w:color w:val="auto"/>
          <w:sz w:val="20"/>
          <w:szCs w:val="20"/>
        </w:rPr>
        <w:t>[accessed 26 July 2025].</w:t>
      </w:r>
    </w:p>
  </w:footnote>
  <w:footnote w:id="32">
    <w:p w14:paraId="139B7418" w14:textId="4AE5CB48" w:rsidR="00323815" w:rsidRPr="001375A7" w:rsidRDefault="00323815" w:rsidP="001375A7">
      <w:pPr>
        <w:pStyle w:val="FootnoteText"/>
        <w:spacing w:after="0"/>
        <w:rPr>
          <w:rFonts w:cstheme="minorHAnsi"/>
          <w:b/>
          <w:bCs/>
        </w:rPr>
      </w:pPr>
      <w:r w:rsidRPr="001375A7">
        <w:rPr>
          <w:rStyle w:val="FootnoteReference"/>
        </w:rPr>
        <w:footnoteRef/>
      </w:r>
      <w:r w:rsidRPr="001375A7">
        <w:t xml:space="preserve"> </w:t>
      </w:r>
      <w:r w:rsidR="0087243E" w:rsidRPr="001375A7">
        <w:rPr>
          <w:rFonts w:cstheme="minorHAnsi"/>
        </w:rPr>
        <w:t xml:space="preserve">UK Parliament, </w:t>
      </w:r>
      <w:r w:rsidR="0087243E" w:rsidRPr="001375A7">
        <w:rPr>
          <w:rFonts w:cstheme="minorHAnsi"/>
          <w:i/>
          <w:iCs/>
        </w:rPr>
        <w:t>Northern Ireland Troubles (Legacy and Reconciliation) Act 2023</w:t>
      </w:r>
      <w:r w:rsidRPr="00FB578C">
        <w:rPr>
          <w:rFonts w:cstheme="minorHAnsi"/>
        </w:rPr>
        <w:t xml:space="preserve"> &lt;https://www.legislation.gov.uk/ukpga/2023/41&gt; [accessed 26 July 2025].</w:t>
      </w:r>
    </w:p>
  </w:footnote>
  <w:footnote w:id="33">
    <w:p w14:paraId="4DC17A76" w14:textId="5533E5CB" w:rsidR="00323815" w:rsidRPr="001375A7" w:rsidRDefault="00323815" w:rsidP="001375A7">
      <w:pPr>
        <w:pStyle w:val="FootnoteText"/>
        <w:spacing w:after="0"/>
        <w:rPr>
          <w:rFonts w:cstheme="minorHAnsi"/>
        </w:rPr>
      </w:pPr>
      <w:r w:rsidRPr="001375A7">
        <w:rPr>
          <w:rStyle w:val="FootnoteReference"/>
        </w:rPr>
        <w:footnoteRef/>
      </w:r>
      <w:r w:rsidRPr="001375A7">
        <w:t xml:space="preserve"> </w:t>
      </w:r>
      <w:r w:rsidR="0087243E" w:rsidRPr="001375A7">
        <w:t xml:space="preserve">United </w:t>
      </w:r>
      <w:r w:rsidR="00D16EF0" w:rsidRPr="001375A7">
        <w:t>Nations,</w:t>
      </w:r>
      <w:r w:rsidR="0087243E" w:rsidRPr="001375A7">
        <w:t xml:space="preserve"> </w:t>
      </w:r>
      <w:r w:rsidR="0087243E" w:rsidRPr="001375A7">
        <w:rPr>
          <w:rFonts w:cstheme="minorHAnsi"/>
          <w:i/>
          <w:iCs/>
        </w:rPr>
        <w:t>Geneva Convention relative to the Treatment of Prisoners of War</w:t>
      </w:r>
      <w:r w:rsidR="00D16EF0" w:rsidRPr="001375A7">
        <w:rPr>
          <w:rFonts w:cstheme="minorHAnsi"/>
        </w:rPr>
        <w:t xml:space="preserve"> (1949) </w:t>
      </w:r>
      <w:r w:rsidRPr="00FB578C">
        <w:rPr>
          <w:rFonts w:cstheme="minorHAnsi"/>
        </w:rPr>
        <w:t>&lt;https://www.ohchr.org/en/instruments-mechanisms/instruments/geneva-convention-relative-treatment-prisoners-war [accessed 26 July 2025].)</w:t>
      </w:r>
    </w:p>
  </w:footnote>
  <w:footnote w:id="34">
    <w:p w14:paraId="1283CE1F" w14:textId="4E53327A" w:rsidR="00323815" w:rsidRPr="001375A7" w:rsidRDefault="00323815" w:rsidP="00323815">
      <w:pPr>
        <w:pStyle w:val="FootnoteText"/>
      </w:pPr>
      <w:r w:rsidRPr="001375A7">
        <w:rPr>
          <w:rStyle w:val="FootnoteReference"/>
        </w:rPr>
        <w:footnoteRef/>
      </w:r>
      <w:r w:rsidRPr="001375A7">
        <w:t xml:space="preserve"> </w:t>
      </w:r>
      <w:r w:rsidRPr="001375A7">
        <w:rPr>
          <w:rFonts w:cstheme="minorHAnsi"/>
          <w:b/>
          <w:bCs/>
        </w:rPr>
        <w:t>J</w:t>
      </w:r>
      <w:r w:rsidRPr="00FB578C">
        <w:rPr>
          <w:rFonts w:cstheme="minorHAnsi"/>
        </w:rPr>
        <w:t>eremy Smith,</w:t>
      </w:r>
      <w:r w:rsidRPr="00FB578C">
        <w:rPr>
          <w:rFonts w:cstheme="minorHAnsi"/>
          <w:i/>
          <w:iCs/>
        </w:rPr>
        <w:t xml:space="preserve"> Making the Peace in Ireland</w:t>
      </w:r>
      <w:r w:rsidR="00D16EF0" w:rsidRPr="001375A7">
        <w:rPr>
          <w:rFonts w:cstheme="minorHAnsi"/>
          <w:i/>
          <w:iCs/>
        </w:rPr>
        <w:t xml:space="preserve">, London: </w:t>
      </w:r>
      <w:r w:rsidR="00D16EF0" w:rsidRPr="001375A7">
        <w:rPr>
          <w:rFonts w:cstheme="minorHAnsi"/>
        </w:rPr>
        <w:t xml:space="preserve">Routledge (2014) </w:t>
      </w:r>
      <w:r w:rsidRPr="00FB578C">
        <w:rPr>
          <w:rFonts w:cstheme="minorHAnsi"/>
        </w:rPr>
        <w:t>p. 118</w:t>
      </w:r>
      <w:r w:rsidR="00D16EF0" w:rsidRPr="001375A7">
        <w:rPr>
          <w:rFonts w:cstheme="minorHAnsi"/>
        </w:rPr>
        <w:t>.</w:t>
      </w:r>
    </w:p>
  </w:footnote>
  <w:footnote w:id="35">
    <w:p w14:paraId="65873927" w14:textId="6ACDCE1F" w:rsidR="00323815" w:rsidRPr="001375A7" w:rsidRDefault="00323815" w:rsidP="00323815">
      <w:pPr>
        <w:pStyle w:val="FootnoteText"/>
      </w:pPr>
      <w:r w:rsidRPr="001375A7">
        <w:rPr>
          <w:rStyle w:val="FootnoteReference"/>
        </w:rPr>
        <w:footnoteRef/>
      </w:r>
      <w:r w:rsidRPr="001375A7">
        <w:t xml:space="preserve"> </w:t>
      </w:r>
      <w:r w:rsidRPr="00FB578C">
        <w:rPr>
          <w:rFonts w:cstheme="minorHAnsi"/>
        </w:rPr>
        <w:t xml:space="preserve">Smith, </w:t>
      </w:r>
      <w:r w:rsidR="001375A7">
        <w:rPr>
          <w:rFonts w:cstheme="minorHAnsi"/>
        </w:rPr>
        <w:t>‘</w:t>
      </w:r>
      <w:r w:rsidRPr="00FB578C">
        <w:rPr>
          <w:rFonts w:cstheme="minorHAnsi"/>
        </w:rPr>
        <w:t xml:space="preserve">Making the Peace in Ireland, </w:t>
      </w:r>
      <w:r w:rsidR="00D16EF0" w:rsidRPr="00FB578C">
        <w:rPr>
          <w:rFonts w:cstheme="minorHAnsi"/>
          <w:i/>
          <w:iCs/>
        </w:rPr>
        <w:t>Making the Peace in Ireland</w:t>
      </w:r>
      <w:r w:rsidR="001375A7">
        <w:rPr>
          <w:rFonts w:cstheme="minorHAnsi"/>
          <w:i/>
          <w:iCs/>
        </w:rPr>
        <w:t xml:space="preserve">’, </w:t>
      </w:r>
      <w:r w:rsidR="00D16EF0" w:rsidRPr="001375A7">
        <w:rPr>
          <w:rFonts w:cstheme="minorHAnsi"/>
        </w:rPr>
        <w:t xml:space="preserve"> </w:t>
      </w:r>
      <w:r w:rsidRPr="00FB578C">
        <w:rPr>
          <w:rFonts w:cstheme="minorHAnsi"/>
        </w:rPr>
        <w:t>p. 117</w:t>
      </w:r>
      <w:r w:rsidR="00D16EF0" w:rsidRPr="001375A7">
        <w:rPr>
          <w:rFonts w:cstheme="minorHAnsi"/>
        </w:rPr>
        <w:t>.</w:t>
      </w:r>
    </w:p>
  </w:footnote>
  <w:footnote w:id="36">
    <w:p w14:paraId="0FA8685C" w14:textId="52FEDBB7" w:rsidR="00323815" w:rsidRPr="001375A7" w:rsidRDefault="00323815" w:rsidP="00323815">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0225624"/>
      <w:docPartObj>
        <w:docPartGallery w:val="Page Numbers (Top of Page)"/>
        <w:docPartUnique/>
      </w:docPartObj>
    </w:sdtPr>
    <w:sdtEndPr>
      <w:rPr>
        <w:noProof/>
      </w:rPr>
    </w:sdtEndPr>
    <w:sdtContent>
      <w:p w14:paraId="3E676FB9" w14:textId="294628DF" w:rsidR="00625291" w:rsidRDefault="0062529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709147" w14:textId="77777777" w:rsidR="00625291" w:rsidRDefault="006252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647F4"/>
    <w:multiLevelType w:val="multilevel"/>
    <w:tmpl w:val="40C0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557F74"/>
    <w:multiLevelType w:val="multilevel"/>
    <w:tmpl w:val="9F9C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2641D"/>
    <w:multiLevelType w:val="multilevel"/>
    <w:tmpl w:val="F3C2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D3BD9"/>
    <w:multiLevelType w:val="multilevel"/>
    <w:tmpl w:val="6DA2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02477D"/>
    <w:multiLevelType w:val="multilevel"/>
    <w:tmpl w:val="8752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223FBE"/>
    <w:multiLevelType w:val="multilevel"/>
    <w:tmpl w:val="2F10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337F44"/>
    <w:multiLevelType w:val="hybridMultilevel"/>
    <w:tmpl w:val="3E326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81746F"/>
    <w:multiLevelType w:val="hybridMultilevel"/>
    <w:tmpl w:val="12D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8755247">
    <w:abstractNumId w:val="7"/>
  </w:num>
  <w:num w:numId="2" w16cid:durableId="1305429172">
    <w:abstractNumId w:val="6"/>
  </w:num>
  <w:num w:numId="3" w16cid:durableId="1391031915">
    <w:abstractNumId w:val="5"/>
  </w:num>
  <w:num w:numId="4" w16cid:durableId="1183589917">
    <w:abstractNumId w:val="1"/>
  </w:num>
  <w:num w:numId="5" w16cid:durableId="2010719388">
    <w:abstractNumId w:val="2"/>
  </w:num>
  <w:num w:numId="6" w16cid:durableId="267006981">
    <w:abstractNumId w:val="8"/>
  </w:num>
  <w:num w:numId="7" w16cid:durableId="702290374">
    <w:abstractNumId w:val="8"/>
  </w:num>
  <w:num w:numId="8" w16cid:durableId="45875918">
    <w:abstractNumId w:val="8"/>
  </w:num>
  <w:num w:numId="9" w16cid:durableId="595212476">
    <w:abstractNumId w:val="0"/>
  </w:num>
  <w:num w:numId="10" w16cid:durableId="244923646">
    <w:abstractNumId w:val="4"/>
  </w:num>
  <w:num w:numId="11" w16cid:durableId="6538728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23E"/>
    <w:rsid w:val="0000254E"/>
    <w:rsid w:val="0000321F"/>
    <w:rsid w:val="000100CD"/>
    <w:rsid w:val="000124B9"/>
    <w:rsid w:val="00016168"/>
    <w:rsid w:val="00025B76"/>
    <w:rsid w:val="000340C6"/>
    <w:rsid w:val="000348D5"/>
    <w:rsid w:val="000355AD"/>
    <w:rsid w:val="00047EC1"/>
    <w:rsid w:val="00053509"/>
    <w:rsid w:val="00060B44"/>
    <w:rsid w:val="000632C1"/>
    <w:rsid w:val="00063334"/>
    <w:rsid w:val="00067567"/>
    <w:rsid w:val="00070412"/>
    <w:rsid w:val="0007133D"/>
    <w:rsid w:val="00073C10"/>
    <w:rsid w:val="00082307"/>
    <w:rsid w:val="00095410"/>
    <w:rsid w:val="00096F73"/>
    <w:rsid w:val="000A7858"/>
    <w:rsid w:val="000B1AF7"/>
    <w:rsid w:val="000B2078"/>
    <w:rsid w:val="000B30F0"/>
    <w:rsid w:val="000B623D"/>
    <w:rsid w:val="000B7E31"/>
    <w:rsid w:val="000D0A2D"/>
    <w:rsid w:val="000E4B80"/>
    <w:rsid w:val="000F1B51"/>
    <w:rsid w:val="000F4483"/>
    <w:rsid w:val="001006E8"/>
    <w:rsid w:val="00113262"/>
    <w:rsid w:val="001145D0"/>
    <w:rsid w:val="0012391C"/>
    <w:rsid w:val="00127A9A"/>
    <w:rsid w:val="001375A7"/>
    <w:rsid w:val="00161EBF"/>
    <w:rsid w:val="001816D7"/>
    <w:rsid w:val="0018426F"/>
    <w:rsid w:val="00184B8E"/>
    <w:rsid w:val="001A655F"/>
    <w:rsid w:val="001B0094"/>
    <w:rsid w:val="001B019D"/>
    <w:rsid w:val="001B2060"/>
    <w:rsid w:val="001B50F4"/>
    <w:rsid w:val="001B737D"/>
    <w:rsid w:val="001B7486"/>
    <w:rsid w:val="001B7A45"/>
    <w:rsid w:val="001C20A4"/>
    <w:rsid w:val="001C4D30"/>
    <w:rsid w:val="001E27FA"/>
    <w:rsid w:val="001E6550"/>
    <w:rsid w:val="001F5727"/>
    <w:rsid w:val="00200317"/>
    <w:rsid w:val="00202FB8"/>
    <w:rsid w:val="002067F1"/>
    <w:rsid w:val="002072DB"/>
    <w:rsid w:val="00212505"/>
    <w:rsid w:val="00212A12"/>
    <w:rsid w:val="00231262"/>
    <w:rsid w:val="00234827"/>
    <w:rsid w:val="0024423E"/>
    <w:rsid w:val="00247C26"/>
    <w:rsid w:val="002504D1"/>
    <w:rsid w:val="002565F8"/>
    <w:rsid w:val="00256B31"/>
    <w:rsid w:val="002607BB"/>
    <w:rsid w:val="00265B4A"/>
    <w:rsid w:val="00266922"/>
    <w:rsid w:val="002745E1"/>
    <w:rsid w:val="002772B7"/>
    <w:rsid w:val="00290602"/>
    <w:rsid w:val="0029271C"/>
    <w:rsid w:val="002A2819"/>
    <w:rsid w:val="002A39C9"/>
    <w:rsid w:val="002B023C"/>
    <w:rsid w:val="002B5E13"/>
    <w:rsid w:val="002B7CC2"/>
    <w:rsid w:val="002D000C"/>
    <w:rsid w:val="002E4955"/>
    <w:rsid w:val="002E7C73"/>
    <w:rsid w:val="002F3E91"/>
    <w:rsid w:val="002F58CF"/>
    <w:rsid w:val="002F7751"/>
    <w:rsid w:val="00302469"/>
    <w:rsid w:val="0030599D"/>
    <w:rsid w:val="00314246"/>
    <w:rsid w:val="00323815"/>
    <w:rsid w:val="00332421"/>
    <w:rsid w:val="0033536B"/>
    <w:rsid w:val="0034020D"/>
    <w:rsid w:val="0034229A"/>
    <w:rsid w:val="00342575"/>
    <w:rsid w:val="00342C55"/>
    <w:rsid w:val="00343D94"/>
    <w:rsid w:val="00345656"/>
    <w:rsid w:val="00345FC7"/>
    <w:rsid w:val="003530B1"/>
    <w:rsid w:val="00367546"/>
    <w:rsid w:val="0036775C"/>
    <w:rsid w:val="003707FD"/>
    <w:rsid w:val="0037214B"/>
    <w:rsid w:val="003811FD"/>
    <w:rsid w:val="00383724"/>
    <w:rsid w:val="00383DC5"/>
    <w:rsid w:val="00391070"/>
    <w:rsid w:val="00395A21"/>
    <w:rsid w:val="003A0B65"/>
    <w:rsid w:val="003B1D1C"/>
    <w:rsid w:val="003C1ADD"/>
    <w:rsid w:val="003C51CF"/>
    <w:rsid w:val="003F1F80"/>
    <w:rsid w:val="003F52C0"/>
    <w:rsid w:val="003F6609"/>
    <w:rsid w:val="00404C10"/>
    <w:rsid w:val="00427DC7"/>
    <w:rsid w:val="00431CB6"/>
    <w:rsid w:val="00455CCE"/>
    <w:rsid w:val="00463A8C"/>
    <w:rsid w:val="00464788"/>
    <w:rsid w:val="00472EB6"/>
    <w:rsid w:val="00484EEB"/>
    <w:rsid w:val="004863A9"/>
    <w:rsid w:val="00497E9E"/>
    <w:rsid w:val="004A3C03"/>
    <w:rsid w:val="004B2AF0"/>
    <w:rsid w:val="004B4907"/>
    <w:rsid w:val="004C2D1A"/>
    <w:rsid w:val="004E4DB7"/>
    <w:rsid w:val="004E7B73"/>
    <w:rsid w:val="004E7D6F"/>
    <w:rsid w:val="004F51D4"/>
    <w:rsid w:val="00501CCA"/>
    <w:rsid w:val="005027B3"/>
    <w:rsid w:val="00502B1E"/>
    <w:rsid w:val="00503B8A"/>
    <w:rsid w:val="005045E5"/>
    <w:rsid w:val="005049DA"/>
    <w:rsid w:val="005200CD"/>
    <w:rsid w:val="005271D5"/>
    <w:rsid w:val="005316C4"/>
    <w:rsid w:val="00535D71"/>
    <w:rsid w:val="00550267"/>
    <w:rsid w:val="005529ED"/>
    <w:rsid w:val="00563035"/>
    <w:rsid w:val="00576778"/>
    <w:rsid w:val="00576C76"/>
    <w:rsid w:val="0058626C"/>
    <w:rsid w:val="005A40A8"/>
    <w:rsid w:val="005A634F"/>
    <w:rsid w:val="005B055C"/>
    <w:rsid w:val="005C1115"/>
    <w:rsid w:val="005C7921"/>
    <w:rsid w:val="005C7ACA"/>
    <w:rsid w:val="005D296D"/>
    <w:rsid w:val="005E1AFE"/>
    <w:rsid w:val="005E1E80"/>
    <w:rsid w:val="005F09D4"/>
    <w:rsid w:val="005F5D3B"/>
    <w:rsid w:val="006010C4"/>
    <w:rsid w:val="006014D8"/>
    <w:rsid w:val="00606A7D"/>
    <w:rsid w:val="0061026F"/>
    <w:rsid w:val="00611DEE"/>
    <w:rsid w:val="00615E2B"/>
    <w:rsid w:val="00617A74"/>
    <w:rsid w:val="006233FD"/>
    <w:rsid w:val="00625291"/>
    <w:rsid w:val="006318A4"/>
    <w:rsid w:val="00636668"/>
    <w:rsid w:val="00641133"/>
    <w:rsid w:val="0064748E"/>
    <w:rsid w:val="006508AC"/>
    <w:rsid w:val="00656CC4"/>
    <w:rsid w:val="00677152"/>
    <w:rsid w:val="006901AB"/>
    <w:rsid w:val="006A1A02"/>
    <w:rsid w:val="006A4EC7"/>
    <w:rsid w:val="006B2911"/>
    <w:rsid w:val="006B4260"/>
    <w:rsid w:val="006B569C"/>
    <w:rsid w:val="006B5D0A"/>
    <w:rsid w:val="006B6448"/>
    <w:rsid w:val="006B6B79"/>
    <w:rsid w:val="006C2493"/>
    <w:rsid w:val="006C65CB"/>
    <w:rsid w:val="006C6C8B"/>
    <w:rsid w:val="006D0DA0"/>
    <w:rsid w:val="006D6A31"/>
    <w:rsid w:val="006D7443"/>
    <w:rsid w:val="006E5A90"/>
    <w:rsid w:val="006E6A8C"/>
    <w:rsid w:val="006F5D84"/>
    <w:rsid w:val="0071588A"/>
    <w:rsid w:val="00731194"/>
    <w:rsid w:val="00733724"/>
    <w:rsid w:val="0073636D"/>
    <w:rsid w:val="00774306"/>
    <w:rsid w:val="0077660F"/>
    <w:rsid w:val="007813DB"/>
    <w:rsid w:val="007863F8"/>
    <w:rsid w:val="00792457"/>
    <w:rsid w:val="007B4E6E"/>
    <w:rsid w:val="007C2478"/>
    <w:rsid w:val="007C36A5"/>
    <w:rsid w:val="007C5DBF"/>
    <w:rsid w:val="007C7C5E"/>
    <w:rsid w:val="007E090B"/>
    <w:rsid w:val="007E34A9"/>
    <w:rsid w:val="007F0A1B"/>
    <w:rsid w:val="007F130B"/>
    <w:rsid w:val="007F3979"/>
    <w:rsid w:val="007F7E11"/>
    <w:rsid w:val="00801F26"/>
    <w:rsid w:val="00804094"/>
    <w:rsid w:val="008070A1"/>
    <w:rsid w:val="00812C55"/>
    <w:rsid w:val="00817374"/>
    <w:rsid w:val="00821404"/>
    <w:rsid w:val="00823716"/>
    <w:rsid w:val="00823CAF"/>
    <w:rsid w:val="00826CAA"/>
    <w:rsid w:val="00827216"/>
    <w:rsid w:val="00844FF0"/>
    <w:rsid w:val="00846A87"/>
    <w:rsid w:val="008508BD"/>
    <w:rsid w:val="008543B7"/>
    <w:rsid w:val="008604CC"/>
    <w:rsid w:val="0087243E"/>
    <w:rsid w:val="00875059"/>
    <w:rsid w:val="0087662C"/>
    <w:rsid w:val="00876DF5"/>
    <w:rsid w:val="00887A5A"/>
    <w:rsid w:val="00894290"/>
    <w:rsid w:val="008A0908"/>
    <w:rsid w:val="008B11CB"/>
    <w:rsid w:val="008B500D"/>
    <w:rsid w:val="008C1AC7"/>
    <w:rsid w:val="008C22F6"/>
    <w:rsid w:val="008C5E28"/>
    <w:rsid w:val="008D4B5A"/>
    <w:rsid w:val="008D6460"/>
    <w:rsid w:val="008E4CCD"/>
    <w:rsid w:val="008E74DA"/>
    <w:rsid w:val="008F3EF2"/>
    <w:rsid w:val="008F7BBB"/>
    <w:rsid w:val="00905499"/>
    <w:rsid w:val="00905FCF"/>
    <w:rsid w:val="009150D3"/>
    <w:rsid w:val="0092059D"/>
    <w:rsid w:val="00922485"/>
    <w:rsid w:val="009232A4"/>
    <w:rsid w:val="00924658"/>
    <w:rsid w:val="00930303"/>
    <w:rsid w:val="0094243D"/>
    <w:rsid w:val="00942751"/>
    <w:rsid w:val="009437A3"/>
    <w:rsid w:val="0094676F"/>
    <w:rsid w:val="0095017C"/>
    <w:rsid w:val="00951628"/>
    <w:rsid w:val="009621E4"/>
    <w:rsid w:val="00964165"/>
    <w:rsid w:val="0097455D"/>
    <w:rsid w:val="00977459"/>
    <w:rsid w:val="009815F2"/>
    <w:rsid w:val="009857CC"/>
    <w:rsid w:val="009949E6"/>
    <w:rsid w:val="00996564"/>
    <w:rsid w:val="009A0788"/>
    <w:rsid w:val="009A3DE6"/>
    <w:rsid w:val="009B493E"/>
    <w:rsid w:val="009B7387"/>
    <w:rsid w:val="009C15F3"/>
    <w:rsid w:val="009C2976"/>
    <w:rsid w:val="009C2BB7"/>
    <w:rsid w:val="009C4311"/>
    <w:rsid w:val="009C505D"/>
    <w:rsid w:val="009E15B9"/>
    <w:rsid w:val="009F79F4"/>
    <w:rsid w:val="00A04A71"/>
    <w:rsid w:val="00A059CA"/>
    <w:rsid w:val="00A06369"/>
    <w:rsid w:val="00A06459"/>
    <w:rsid w:val="00A2013F"/>
    <w:rsid w:val="00A41B9C"/>
    <w:rsid w:val="00A41D4A"/>
    <w:rsid w:val="00A50318"/>
    <w:rsid w:val="00A56629"/>
    <w:rsid w:val="00A62AAC"/>
    <w:rsid w:val="00A640ED"/>
    <w:rsid w:val="00A66227"/>
    <w:rsid w:val="00A67424"/>
    <w:rsid w:val="00A70A65"/>
    <w:rsid w:val="00A75E16"/>
    <w:rsid w:val="00A806E2"/>
    <w:rsid w:val="00A83E00"/>
    <w:rsid w:val="00A83EDF"/>
    <w:rsid w:val="00A85670"/>
    <w:rsid w:val="00A86D74"/>
    <w:rsid w:val="00A92220"/>
    <w:rsid w:val="00A922BE"/>
    <w:rsid w:val="00A96C34"/>
    <w:rsid w:val="00AA1D20"/>
    <w:rsid w:val="00AA4E59"/>
    <w:rsid w:val="00AA6CE4"/>
    <w:rsid w:val="00AC3822"/>
    <w:rsid w:val="00AD04FD"/>
    <w:rsid w:val="00AF50A7"/>
    <w:rsid w:val="00B06A31"/>
    <w:rsid w:val="00B103DC"/>
    <w:rsid w:val="00B21084"/>
    <w:rsid w:val="00B26789"/>
    <w:rsid w:val="00B349E9"/>
    <w:rsid w:val="00B46B3A"/>
    <w:rsid w:val="00B477B2"/>
    <w:rsid w:val="00B51A25"/>
    <w:rsid w:val="00B54CA1"/>
    <w:rsid w:val="00B552F5"/>
    <w:rsid w:val="00B7049F"/>
    <w:rsid w:val="00B83ABC"/>
    <w:rsid w:val="00B84F3A"/>
    <w:rsid w:val="00B8758A"/>
    <w:rsid w:val="00BA381D"/>
    <w:rsid w:val="00BA5D8B"/>
    <w:rsid w:val="00BB11CF"/>
    <w:rsid w:val="00BB7E20"/>
    <w:rsid w:val="00BC5DA7"/>
    <w:rsid w:val="00BC620A"/>
    <w:rsid w:val="00BE3268"/>
    <w:rsid w:val="00BE3F11"/>
    <w:rsid w:val="00BF1CF3"/>
    <w:rsid w:val="00BF7DB2"/>
    <w:rsid w:val="00C043B1"/>
    <w:rsid w:val="00C12784"/>
    <w:rsid w:val="00C22631"/>
    <w:rsid w:val="00C254EA"/>
    <w:rsid w:val="00C318BD"/>
    <w:rsid w:val="00C357AB"/>
    <w:rsid w:val="00C5794C"/>
    <w:rsid w:val="00C65FCC"/>
    <w:rsid w:val="00C71F96"/>
    <w:rsid w:val="00C7467D"/>
    <w:rsid w:val="00C86D2C"/>
    <w:rsid w:val="00C9415B"/>
    <w:rsid w:val="00CA0310"/>
    <w:rsid w:val="00CA5BDD"/>
    <w:rsid w:val="00CA5D51"/>
    <w:rsid w:val="00CC3222"/>
    <w:rsid w:val="00CC33AF"/>
    <w:rsid w:val="00CC5F1E"/>
    <w:rsid w:val="00CD675B"/>
    <w:rsid w:val="00CE127C"/>
    <w:rsid w:val="00CE49C8"/>
    <w:rsid w:val="00CE50BD"/>
    <w:rsid w:val="00D013F0"/>
    <w:rsid w:val="00D07098"/>
    <w:rsid w:val="00D11C40"/>
    <w:rsid w:val="00D146B3"/>
    <w:rsid w:val="00D16EF0"/>
    <w:rsid w:val="00D179EB"/>
    <w:rsid w:val="00D2053D"/>
    <w:rsid w:val="00D3166A"/>
    <w:rsid w:val="00D349C8"/>
    <w:rsid w:val="00D35E7B"/>
    <w:rsid w:val="00D36B18"/>
    <w:rsid w:val="00D37AD4"/>
    <w:rsid w:val="00D4032E"/>
    <w:rsid w:val="00D41912"/>
    <w:rsid w:val="00D43640"/>
    <w:rsid w:val="00D5678F"/>
    <w:rsid w:val="00D578F1"/>
    <w:rsid w:val="00D61A89"/>
    <w:rsid w:val="00D643EC"/>
    <w:rsid w:val="00D659EF"/>
    <w:rsid w:val="00D66DA0"/>
    <w:rsid w:val="00D727E0"/>
    <w:rsid w:val="00D77F94"/>
    <w:rsid w:val="00D80B7D"/>
    <w:rsid w:val="00D97E21"/>
    <w:rsid w:val="00DA668D"/>
    <w:rsid w:val="00DA716F"/>
    <w:rsid w:val="00DB637D"/>
    <w:rsid w:val="00DC24E2"/>
    <w:rsid w:val="00DC377A"/>
    <w:rsid w:val="00DC4C53"/>
    <w:rsid w:val="00DC60A8"/>
    <w:rsid w:val="00DD066E"/>
    <w:rsid w:val="00DD5E09"/>
    <w:rsid w:val="00DF0DED"/>
    <w:rsid w:val="00E03E8E"/>
    <w:rsid w:val="00E04CEB"/>
    <w:rsid w:val="00E10B26"/>
    <w:rsid w:val="00E1484F"/>
    <w:rsid w:val="00E1533D"/>
    <w:rsid w:val="00E16986"/>
    <w:rsid w:val="00E16B47"/>
    <w:rsid w:val="00E172BF"/>
    <w:rsid w:val="00E2269D"/>
    <w:rsid w:val="00E274C7"/>
    <w:rsid w:val="00E30F18"/>
    <w:rsid w:val="00E558F5"/>
    <w:rsid w:val="00E5650C"/>
    <w:rsid w:val="00E56B39"/>
    <w:rsid w:val="00E6002E"/>
    <w:rsid w:val="00E73200"/>
    <w:rsid w:val="00E81BBF"/>
    <w:rsid w:val="00E84B56"/>
    <w:rsid w:val="00E87A30"/>
    <w:rsid w:val="00EA2D0A"/>
    <w:rsid w:val="00EA2D26"/>
    <w:rsid w:val="00EA709A"/>
    <w:rsid w:val="00EC32A9"/>
    <w:rsid w:val="00EC420B"/>
    <w:rsid w:val="00EE5241"/>
    <w:rsid w:val="00EF1606"/>
    <w:rsid w:val="00EF291B"/>
    <w:rsid w:val="00EF7514"/>
    <w:rsid w:val="00F06247"/>
    <w:rsid w:val="00F06823"/>
    <w:rsid w:val="00F12712"/>
    <w:rsid w:val="00F173B5"/>
    <w:rsid w:val="00F4052B"/>
    <w:rsid w:val="00F47F68"/>
    <w:rsid w:val="00F60CA0"/>
    <w:rsid w:val="00F65181"/>
    <w:rsid w:val="00F67F8C"/>
    <w:rsid w:val="00F7105E"/>
    <w:rsid w:val="00F71B23"/>
    <w:rsid w:val="00F77215"/>
    <w:rsid w:val="00F8158F"/>
    <w:rsid w:val="00F863ED"/>
    <w:rsid w:val="00F87E4C"/>
    <w:rsid w:val="00FA141A"/>
    <w:rsid w:val="00FA1B35"/>
    <w:rsid w:val="00FA5416"/>
    <w:rsid w:val="00FA5AED"/>
    <w:rsid w:val="00FA7856"/>
    <w:rsid w:val="00FB27C2"/>
    <w:rsid w:val="00FB578C"/>
    <w:rsid w:val="00FC239B"/>
    <w:rsid w:val="00FC4D21"/>
    <w:rsid w:val="00FD16A6"/>
    <w:rsid w:val="00FD5208"/>
    <w:rsid w:val="00FE22A5"/>
    <w:rsid w:val="00FE7B36"/>
    <w:rsid w:val="00FF6E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9C0E99"/>
  <w15:chartTrackingRefBased/>
  <w15:docId w15:val="{65B7BFFC-4465-A541-81BC-99DFBB446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ADD"/>
    <w:pPr>
      <w:spacing w:after="180" w:line="274" w:lineRule="auto"/>
    </w:pPr>
    <w:rPr>
      <w:sz w:val="21"/>
    </w:rPr>
  </w:style>
  <w:style w:type="paragraph" w:styleId="Heading1">
    <w:name w:val="heading 1"/>
    <w:basedOn w:val="Normal"/>
    <w:next w:val="Normal"/>
    <w:link w:val="Heading1Char"/>
    <w:uiPriority w:val="9"/>
    <w:qFormat/>
    <w:rsid w:val="003C1ADD"/>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3C1ADD"/>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unhideWhenUsed/>
    <w:qFormat/>
    <w:rsid w:val="003C1ADD"/>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C1ADD"/>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unhideWhenUsed/>
    <w:qFormat/>
    <w:rsid w:val="003C1ADD"/>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unhideWhenUsed/>
    <w:qFormat/>
    <w:rsid w:val="003C1ADD"/>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C1ADD"/>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C1ADD"/>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C1ADD"/>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ADD"/>
    <w:pPr>
      <w:spacing w:line="240" w:lineRule="auto"/>
      <w:ind w:left="720" w:hanging="288"/>
      <w:contextualSpacing/>
    </w:pPr>
    <w:rPr>
      <w:color w:val="44546A" w:themeColor="text2"/>
    </w:rPr>
  </w:style>
  <w:style w:type="character" w:styleId="Hyperlink">
    <w:name w:val="Hyperlink"/>
    <w:basedOn w:val="DefaultParagraphFont"/>
    <w:uiPriority w:val="99"/>
    <w:unhideWhenUsed/>
    <w:rsid w:val="004E7B73"/>
    <w:rPr>
      <w:color w:val="0563C1" w:themeColor="hyperlink"/>
      <w:u w:val="single"/>
    </w:rPr>
  </w:style>
  <w:style w:type="character" w:styleId="UnresolvedMention">
    <w:name w:val="Unresolved Mention"/>
    <w:basedOn w:val="DefaultParagraphFont"/>
    <w:uiPriority w:val="99"/>
    <w:semiHidden/>
    <w:unhideWhenUsed/>
    <w:rsid w:val="004E7B73"/>
    <w:rPr>
      <w:color w:val="605E5C"/>
      <w:shd w:val="clear" w:color="auto" w:fill="E1DFDD"/>
    </w:rPr>
  </w:style>
  <w:style w:type="paragraph" w:styleId="NoSpacing">
    <w:name w:val="No Spacing"/>
    <w:link w:val="NoSpacingChar"/>
    <w:uiPriority w:val="1"/>
    <w:qFormat/>
    <w:rsid w:val="003C1ADD"/>
    <w:pPr>
      <w:spacing w:after="0" w:line="240" w:lineRule="auto"/>
    </w:pPr>
  </w:style>
  <w:style w:type="character" w:customStyle="1" w:styleId="NoSpacingChar">
    <w:name w:val="No Spacing Char"/>
    <w:basedOn w:val="DefaultParagraphFont"/>
    <w:link w:val="NoSpacing"/>
    <w:uiPriority w:val="1"/>
    <w:rsid w:val="003C1ADD"/>
  </w:style>
  <w:style w:type="paragraph" w:styleId="NormalWeb">
    <w:name w:val="Normal (Web)"/>
    <w:basedOn w:val="Normal"/>
    <w:uiPriority w:val="99"/>
    <w:unhideWhenUsed/>
    <w:rsid w:val="006508AC"/>
    <w:rPr>
      <w:rFonts w:ascii="Times New Roman" w:hAnsi="Times New Roman" w:cs="Times New Roman"/>
    </w:rPr>
  </w:style>
  <w:style w:type="paragraph" w:styleId="FootnoteText">
    <w:name w:val="footnote text"/>
    <w:basedOn w:val="Normal"/>
    <w:link w:val="FootnoteTextChar"/>
    <w:uiPriority w:val="99"/>
    <w:unhideWhenUsed/>
    <w:rsid w:val="00A06369"/>
    <w:rPr>
      <w:sz w:val="20"/>
      <w:szCs w:val="20"/>
    </w:rPr>
  </w:style>
  <w:style w:type="character" w:customStyle="1" w:styleId="FootnoteTextChar">
    <w:name w:val="Footnote Text Char"/>
    <w:basedOn w:val="DefaultParagraphFont"/>
    <w:link w:val="FootnoteText"/>
    <w:uiPriority w:val="99"/>
    <w:rsid w:val="00A06369"/>
    <w:rPr>
      <w:sz w:val="20"/>
      <w:szCs w:val="20"/>
    </w:rPr>
  </w:style>
  <w:style w:type="character" w:styleId="FootnoteReference">
    <w:name w:val="footnote reference"/>
    <w:basedOn w:val="DefaultParagraphFont"/>
    <w:uiPriority w:val="99"/>
    <w:semiHidden/>
    <w:unhideWhenUsed/>
    <w:rsid w:val="00A06369"/>
    <w:rPr>
      <w:vertAlign w:val="superscript"/>
    </w:rPr>
  </w:style>
  <w:style w:type="character" w:customStyle="1" w:styleId="Heading5Char">
    <w:name w:val="Heading 5 Char"/>
    <w:basedOn w:val="DefaultParagraphFont"/>
    <w:link w:val="Heading5"/>
    <w:uiPriority w:val="9"/>
    <w:rsid w:val="003C1ADD"/>
    <w:rPr>
      <w:rFonts w:asciiTheme="majorHAnsi" w:eastAsiaTheme="majorEastAsia" w:hAnsiTheme="majorHAnsi" w:cstheme="majorBidi"/>
      <w:color w:val="000000"/>
    </w:rPr>
  </w:style>
  <w:style w:type="character" w:styleId="FollowedHyperlink">
    <w:name w:val="FollowedHyperlink"/>
    <w:basedOn w:val="DefaultParagraphFont"/>
    <w:uiPriority w:val="99"/>
    <w:semiHidden/>
    <w:unhideWhenUsed/>
    <w:rsid w:val="000B30F0"/>
    <w:rPr>
      <w:color w:val="954F72" w:themeColor="followedHyperlink"/>
      <w:u w:val="single"/>
    </w:rPr>
  </w:style>
  <w:style w:type="character" w:customStyle="1" w:styleId="Heading1Char">
    <w:name w:val="Heading 1 Char"/>
    <w:basedOn w:val="DefaultParagraphFont"/>
    <w:link w:val="Heading1"/>
    <w:uiPriority w:val="9"/>
    <w:rsid w:val="003C1ADD"/>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3C1ADD"/>
    <w:rPr>
      <w:rFonts w:eastAsiaTheme="majorEastAsia" w:cstheme="majorBidi"/>
      <w:b/>
      <w:bCs/>
      <w:color w:val="4472C4" w:themeColor="accent1"/>
      <w:sz w:val="28"/>
      <w:szCs w:val="26"/>
    </w:rPr>
  </w:style>
  <w:style w:type="paragraph" w:styleId="Header">
    <w:name w:val="header"/>
    <w:basedOn w:val="Normal"/>
    <w:link w:val="HeaderChar"/>
    <w:uiPriority w:val="99"/>
    <w:unhideWhenUsed/>
    <w:rsid w:val="000F1B51"/>
    <w:pPr>
      <w:tabs>
        <w:tab w:val="center" w:pos="4680"/>
        <w:tab w:val="right" w:pos="9360"/>
      </w:tabs>
    </w:pPr>
  </w:style>
  <w:style w:type="character" w:customStyle="1" w:styleId="HeaderChar">
    <w:name w:val="Header Char"/>
    <w:basedOn w:val="DefaultParagraphFont"/>
    <w:link w:val="Header"/>
    <w:uiPriority w:val="99"/>
    <w:rsid w:val="000F1B51"/>
  </w:style>
  <w:style w:type="paragraph" w:styleId="Footer">
    <w:name w:val="footer"/>
    <w:basedOn w:val="Normal"/>
    <w:link w:val="FooterChar"/>
    <w:uiPriority w:val="99"/>
    <w:unhideWhenUsed/>
    <w:rsid w:val="000F1B51"/>
    <w:pPr>
      <w:tabs>
        <w:tab w:val="center" w:pos="4680"/>
        <w:tab w:val="right" w:pos="9360"/>
      </w:tabs>
    </w:pPr>
  </w:style>
  <w:style w:type="character" w:customStyle="1" w:styleId="FooterChar">
    <w:name w:val="Footer Char"/>
    <w:basedOn w:val="DefaultParagraphFont"/>
    <w:link w:val="Footer"/>
    <w:uiPriority w:val="99"/>
    <w:rsid w:val="000F1B51"/>
  </w:style>
  <w:style w:type="character" w:customStyle="1" w:styleId="Heading3Char">
    <w:name w:val="Heading 3 Char"/>
    <w:basedOn w:val="DefaultParagraphFont"/>
    <w:link w:val="Heading3"/>
    <w:uiPriority w:val="9"/>
    <w:rsid w:val="003C1ADD"/>
    <w:rPr>
      <w:rFonts w:asciiTheme="majorHAnsi" w:eastAsiaTheme="majorEastAsia" w:hAnsiTheme="majorHAnsi" w:cstheme="majorBidi"/>
      <w:bCs/>
      <w:color w:val="44546A" w:themeColor="text2"/>
      <w:spacing w:val="14"/>
      <w:sz w:val="24"/>
    </w:rPr>
  </w:style>
  <w:style w:type="character" w:styleId="CommentReference">
    <w:name w:val="annotation reference"/>
    <w:basedOn w:val="DefaultParagraphFont"/>
    <w:uiPriority w:val="99"/>
    <w:semiHidden/>
    <w:unhideWhenUsed/>
    <w:rsid w:val="0007133D"/>
    <w:rPr>
      <w:sz w:val="16"/>
      <w:szCs w:val="16"/>
    </w:rPr>
  </w:style>
  <w:style w:type="paragraph" w:styleId="CommentText">
    <w:name w:val="annotation text"/>
    <w:basedOn w:val="Normal"/>
    <w:link w:val="CommentTextChar"/>
    <w:uiPriority w:val="99"/>
    <w:unhideWhenUsed/>
    <w:rsid w:val="0007133D"/>
    <w:rPr>
      <w:sz w:val="20"/>
      <w:szCs w:val="20"/>
    </w:rPr>
  </w:style>
  <w:style w:type="character" w:customStyle="1" w:styleId="CommentTextChar">
    <w:name w:val="Comment Text Char"/>
    <w:basedOn w:val="DefaultParagraphFont"/>
    <w:link w:val="CommentText"/>
    <w:uiPriority w:val="99"/>
    <w:rsid w:val="0007133D"/>
    <w:rPr>
      <w:sz w:val="20"/>
      <w:szCs w:val="20"/>
    </w:rPr>
  </w:style>
  <w:style w:type="paragraph" w:styleId="CommentSubject">
    <w:name w:val="annotation subject"/>
    <w:basedOn w:val="CommentText"/>
    <w:next w:val="CommentText"/>
    <w:link w:val="CommentSubjectChar"/>
    <w:uiPriority w:val="99"/>
    <w:semiHidden/>
    <w:unhideWhenUsed/>
    <w:rsid w:val="0007133D"/>
    <w:rPr>
      <w:b/>
      <w:bCs/>
    </w:rPr>
  </w:style>
  <w:style w:type="character" w:customStyle="1" w:styleId="CommentSubjectChar">
    <w:name w:val="Comment Subject Char"/>
    <w:basedOn w:val="CommentTextChar"/>
    <w:link w:val="CommentSubject"/>
    <w:uiPriority w:val="99"/>
    <w:semiHidden/>
    <w:rsid w:val="0007133D"/>
    <w:rPr>
      <w:b/>
      <w:bCs/>
      <w:sz w:val="20"/>
      <w:szCs w:val="20"/>
    </w:rPr>
  </w:style>
  <w:style w:type="character" w:styleId="Strong">
    <w:name w:val="Strong"/>
    <w:basedOn w:val="DefaultParagraphFont"/>
    <w:uiPriority w:val="22"/>
    <w:qFormat/>
    <w:rsid w:val="003C1ADD"/>
    <w:rPr>
      <w:b w:val="0"/>
      <w:bCs/>
      <w:i/>
      <w:color w:val="44546A" w:themeColor="text2"/>
    </w:rPr>
  </w:style>
  <w:style w:type="paragraph" w:customStyle="1" w:styleId="PersonalName">
    <w:name w:val="Personal Name"/>
    <w:basedOn w:val="Title"/>
    <w:qFormat/>
    <w:rsid w:val="003C1ADD"/>
    <w:rPr>
      <w:b/>
      <w:caps/>
      <w:color w:val="000000"/>
      <w:sz w:val="28"/>
      <w:szCs w:val="28"/>
    </w:rPr>
  </w:style>
  <w:style w:type="paragraph" w:styleId="Title">
    <w:name w:val="Title"/>
    <w:basedOn w:val="Normal"/>
    <w:next w:val="Normal"/>
    <w:link w:val="TitleChar"/>
    <w:uiPriority w:val="10"/>
    <w:qFormat/>
    <w:rsid w:val="003C1ADD"/>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C1ADD"/>
    <w:rPr>
      <w:rFonts w:asciiTheme="majorHAnsi" w:eastAsiaTheme="majorEastAsia" w:hAnsiTheme="majorHAnsi" w:cstheme="majorBidi"/>
      <w:color w:val="44546A" w:themeColor="text2"/>
      <w:spacing w:val="30"/>
      <w:kern w:val="28"/>
      <w:sz w:val="96"/>
      <w:szCs w:val="52"/>
    </w:rPr>
  </w:style>
  <w:style w:type="character" w:customStyle="1" w:styleId="Heading4Char">
    <w:name w:val="Heading 4 Char"/>
    <w:basedOn w:val="DefaultParagraphFont"/>
    <w:link w:val="Heading4"/>
    <w:uiPriority w:val="9"/>
    <w:semiHidden/>
    <w:rsid w:val="003C1ADD"/>
    <w:rPr>
      <w:rFonts w:eastAsiaTheme="majorEastAsia" w:cstheme="majorBidi"/>
      <w:b/>
      <w:bCs/>
      <w:i/>
      <w:iCs/>
      <w:color w:val="000000"/>
      <w:sz w:val="24"/>
    </w:rPr>
  </w:style>
  <w:style w:type="character" w:customStyle="1" w:styleId="Heading6Char">
    <w:name w:val="Heading 6 Char"/>
    <w:basedOn w:val="DefaultParagraphFont"/>
    <w:link w:val="Heading6"/>
    <w:uiPriority w:val="9"/>
    <w:rsid w:val="003C1ADD"/>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C1ADD"/>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C1ADD"/>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C1ADD"/>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C1ADD"/>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3C1ADD"/>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C1ADD"/>
    <w:rPr>
      <w:rFonts w:eastAsiaTheme="majorEastAsia" w:cstheme="majorBidi"/>
      <w:iCs/>
      <w:color w:val="44546A" w:themeColor="text2"/>
      <w:sz w:val="40"/>
      <w:szCs w:val="24"/>
    </w:rPr>
  </w:style>
  <w:style w:type="character" w:styleId="Emphasis">
    <w:name w:val="Emphasis"/>
    <w:basedOn w:val="DefaultParagraphFont"/>
    <w:uiPriority w:val="20"/>
    <w:qFormat/>
    <w:rsid w:val="003C1ADD"/>
    <w:rPr>
      <w:b/>
      <w:i/>
      <w:iCs/>
    </w:rPr>
  </w:style>
  <w:style w:type="paragraph" w:styleId="Quote">
    <w:name w:val="Quote"/>
    <w:basedOn w:val="Normal"/>
    <w:next w:val="Normal"/>
    <w:link w:val="QuoteChar"/>
    <w:uiPriority w:val="29"/>
    <w:qFormat/>
    <w:rsid w:val="003C1ADD"/>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C1ADD"/>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C1ADD"/>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C1ADD"/>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C1ADD"/>
    <w:rPr>
      <w:i/>
      <w:iCs/>
      <w:color w:val="000000"/>
    </w:rPr>
  </w:style>
  <w:style w:type="character" w:styleId="IntenseEmphasis">
    <w:name w:val="Intense Emphasis"/>
    <w:basedOn w:val="DefaultParagraphFont"/>
    <w:uiPriority w:val="21"/>
    <w:qFormat/>
    <w:rsid w:val="003C1ADD"/>
    <w:rPr>
      <w:b/>
      <w:bCs/>
      <w:i/>
      <w:iCs/>
      <w:color w:val="4472C4" w:themeColor="accent1"/>
    </w:rPr>
  </w:style>
  <w:style w:type="character" w:styleId="SubtleReference">
    <w:name w:val="Subtle Reference"/>
    <w:basedOn w:val="DefaultParagraphFont"/>
    <w:uiPriority w:val="31"/>
    <w:qFormat/>
    <w:rsid w:val="003C1ADD"/>
    <w:rPr>
      <w:smallCaps/>
      <w:color w:val="000000"/>
      <w:u w:val="single"/>
    </w:rPr>
  </w:style>
  <w:style w:type="character" w:styleId="IntenseReference">
    <w:name w:val="Intense Reference"/>
    <w:basedOn w:val="DefaultParagraphFont"/>
    <w:uiPriority w:val="32"/>
    <w:qFormat/>
    <w:rsid w:val="003C1ADD"/>
    <w:rPr>
      <w:b w:val="0"/>
      <w:bCs/>
      <w:smallCaps/>
      <w:color w:val="4472C4" w:themeColor="accent1"/>
      <w:spacing w:val="5"/>
      <w:u w:val="single"/>
    </w:rPr>
  </w:style>
  <w:style w:type="character" w:styleId="BookTitle">
    <w:name w:val="Book Title"/>
    <w:basedOn w:val="DefaultParagraphFont"/>
    <w:uiPriority w:val="33"/>
    <w:qFormat/>
    <w:rsid w:val="003C1ADD"/>
    <w:rPr>
      <w:b/>
      <w:bCs/>
      <w:caps/>
      <w:smallCaps w:val="0"/>
      <w:color w:val="44546A" w:themeColor="text2"/>
      <w:spacing w:val="10"/>
    </w:rPr>
  </w:style>
  <w:style w:type="paragraph" w:styleId="TOCHeading">
    <w:name w:val="TOC Heading"/>
    <w:basedOn w:val="Heading1"/>
    <w:next w:val="Normal"/>
    <w:uiPriority w:val="39"/>
    <w:semiHidden/>
    <w:unhideWhenUsed/>
    <w:qFormat/>
    <w:rsid w:val="003C1ADD"/>
    <w:pPr>
      <w:spacing w:before="480" w:line="264" w:lineRule="auto"/>
      <w:outlineLvl w:val="9"/>
    </w:pPr>
    <w:rPr>
      <w:b/>
    </w:rPr>
  </w:style>
  <w:style w:type="paragraph" w:customStyle="1" w:styleId="Caption1">
    <w:name w:val="Caption1"/>
    <w:basedOn w:val="Normal"/>
    <w:rsid w:val="00A922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92220"/>
  </w:style>
  <w:style w:type="character" w:styleId="HTMLCite">
    <w:name w:val="HTML Cite"/>
    <w:basedOn w:val="DefaultParagraphFont"/>
    <w:uiPriority w:val="99"/>
    <w:semiHidden/>
    <w:unhideWhenUsed/>
    <w:rsid w:val="009F79F4"/>
    <w:rPr>
      <w:i/>
      <w:iCs/>
    </w:rPr>
  </w:style>
  <w:style w:type="character" w:customStyle="1" w:styleId="src">
    <w:name w:val="src"/>
    <w:basedOn w:val="DefaultParagraphFont"/>
    <w:rsid w:val="009F79F4"/>
  </w:style>
  <w:style w:type="paragraph" w:customStyle="1" w:styleId="p1">
    <w:name w:val="p1"/>
    <w:basedOn w:val="Normal"/>
    <w:rsid w:val="0087243E"/>
    <w:pPr>
      <w:spacing w:after="0" w:line="240" w:lineRule="auto"/>
    </w:pPr>
    <w:rPr>
      <w:rFonts w:ascii="Helvetica" w:eastAsia="Times New Roman" w:hAnsi="Helvetica" w:cs="Times New Roman"/>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2711">
      <w:bodyDiv w:val="1"/>
      <w:marLeft w:val="0"/>
      <w:marRight w:val="0"/>
      <w:marTop w:val="0"/>
      <w:marBottom w:val="0"/>
      <w:divBdr>
        <w:top w:val="none" w:sz="0" w:space="0" w:color="auto"/>
        <w:left w:val="none" w:sz="0" w:space="0" w:color="auto"/>
        <w:bottom w:val="none" w:sz="0" w:space="0" w:color="auto"/>
        <w:right w:val="none" w:sz="0" w:space="0" w:color="auto"/>
      </w:divBdr>
    </w:div>
    <w:div w:id="12149910">
      <w:bodyDiv w:val="1"/>
      <w:marLeft w:val="0"/>
      <w:marRight w:val="0"/>
      <w:marTop w:val="0"/>
      <w:marBottom w:val="0"/>
      <w:divBdr>
        <w:top w:val="none" w:sz="0" w:space="0" w:color="auto"/>
        <w:left w:val="none" w:sz="0" w:space="0" w:color="auto"/>
        <w:bottom w:val="none" w:sz="0" w:space="0" w:color="auto"/>
        <w:right w:val="none" w:sz="0" w:space="0" w:color="auto"/>
      </w:divBdr>
      <w:divsChild>
        <w:div w:id="1004550822">
          <w:marLeft w:val="0"/>
          <w:marRight w:val="0"/>
          <w:marTop w:val="0"/>
          <w:marBottom w:val="0"/>
          <w:divBdr>
            <w:top w:val="none" w:sz="0" w:space="0" w:color="auto"/>
            <w:left w:val="none" w:sz="0" w:space="0" w:color="auto"/>
            <w:bottom w:val="none" w:sz="0" w:space="0" w:color="auto"/>
            <w:right w:val="none" w:sz="0" w:space="0" w:color="auto"/>
          </w:divBdr>
          <w:divsChild>
            <w:div w:id="1863396877">
              <w:marLeft w:val="0"/>
              <w:marRight w:val="0"/>
              <w:marTop w:val="0"/>
              <w:marBottom w:val="0"/>
              <w:divBdr>
                <w:top w:val="none" w:sz="0" w:space="0" w:color="auto"/>
                <w:left w:val="none" w:sz="0" w:space="0" w:color="auto"/>
                <w:bottom w:val="none" w:sz="0" w:space="0" w:color="auto"/>
                <w:right w:val="none" w:sz="0" w:space="0" w:color="auto"/>
              </w:divBdr>
              <w:divsChild>
                <w:div w:id="205785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6748">
      <w:bodyDiv w:val="1"/>
      <w:marLeft w:val="0"/>
      <w:marRight w:val="0"/>
      <w:marTop w:val="0"/>
      <w:marBottom w:val="0"/>
      <w:divBdr>
        <w:top w:val="none" w:sz="0" w:space="0" w:color="auto"/>
        <w:left w:val="none" w:sz="0" w:space="0" w:color="auto"/>
        <w:bottom w:val="none" w:sz="0" w:space="0" w:color="auto"/>
        <w:right w:val="none" w:sz="0" w:space="0" w:color="auto"/>
      </w:divBdr>
    </w:div>
    <w:div w:id="35785665">
      <w:bodyDiv w:val="1"/>
      <w:marLeft w:val="0"/>
      <w:marRight w:val="0"/>
      <w:marTop w:val="0"/>
      <w:marBottom w:val="0"/>
      <w:divBdr>
        <w:top w:val="none" w:sz="0" w:space="0" w:color="auto"/>
        <w:left w:val="none" w:sz="0" w:space="0" w:color="auto"/>
        <w:bottom w:val="none" w:sz="0" w:space="0" w:color="auto"/>
        <w:right w:val="none" w:sz="0" w:space="0" w:color="auto"/>
      </w:divBdr>
    </w:div>
    <w:div w:id="43144259">
      <w:bodyDiv w:val="1"/>
      <w:marLeft w:val="0"/>
      <w:marRight w:val="0"/>
      <w:marTop w:val="0"/>
      <w:marBottom w:val="0"/>
      <w:divBdr>
        <w:top w:val="none" w:sz="0" w:space="0" w:color="auto"/>
        <w:left w:val="none" w:sz="0" w:space="0" w:color="auto"/>
        <w:bottom w:val="none" w:sz="0" w:space="0" w:color="auto"/>
        <w:right w:val="none" w:sz="0" w:space="0" w:color="auto"/>
      </w:divBdr>
    </w:div>
    <w:div w:id="94449767">
      <w:bodyDiv w:val="1"/>
      <w:marLeft w:val="0"/>
      <w:marRight w:val="0"/>
      <w:marTop w:val="0"/>
      <w:marBottom w:val="0"/>
      <w:divBdr>
        <w:top w:val="none" w:sz="0" w:space="0" w:color="auto"/>
        <w:left w:val="none" w:sz="0" w:space="0" w:color="auto"/>
        <w:bottom w:val="none" w:sz="0" w:space="0" w:color="auto"/>
        <w:right w:val="none" w:sz="0" w:space="0" w:color="auto"/>
      </w:divBdr>
    </w:div>
    <w:div w:id="95447880">
      <w:bodyDiv w:val="1"/>
      <w:marLeft w:val="0"/>
      <w:marRight w:val="0"/>
      <w:marTop w:val="0"/>
      <w:marBottom w:val="0"/>
      <w:divBdr>
        <w:top w:val="none" w:sz="0" w:space="0" w:color="auto"/>
        <w:left w:val="none" w:sz="0" w:space="0" w:color="auto"/>
        <w:bottom w:val="none" w:sz="0" w:space="0" w:color="auto"/>
        <w:right w:val="none" w:sz="0" w:space="0" w:color="auto"/>
      </w:divBdr>
      <w:divsChild>
        <w:div w:id="1704018331">
          <w:marLeft w:val="0"/>
          <w:marRight w:val="0"/>
          <w:marTop w:val="0"/>
          <w:marBottom w:val="0"/>
          <w:divBdr>
            <w:top w:val="none" w:sz="0" w:space="0" w:color="auto"/>
            <w:left w:val="none" w:sz="0" w:space="0" w:color="auto"/>
            <w:bottom w:val="none" w:sz="0" w:space="0" w:color="auto"/>
            <w:right w:val="none" w:sz="0" w:space="0" w:color="auto"/>
          </w:divBdr>
          <w:divsChild>
            <w:div w:id="1744525454">
              <w:marLeft w:val="0"/>
              <w:marRight w:val="0"/>
              <w:marTop w:val="0"/>
              <w:marBottom w:val="0"/>
              <w:divBdr>
                <w:top w:val="none" w:sz="0" w:space="0" w:color="auto"/>
                <w:left w:val="none" w:sz="0" w:space="0" w:color="auto"/>
                <w:bottom w:val="none" w:sz="0" w:space="0" w:color="auto"/>
                <w:right w:val="none" w:sz="0" w:space="0" w:color="auto"/>
              </w:divBdr>
              <w:divsChild>
                <w:div w:id="1426998399">
                  <w:marLeft w:val="0"/>
                  <w:marRight w:val="0"/>
                  <w:marTop w:val="0"/>
                  <w:marBottom w:val="0"/>
                  <w:divBdr>
                    <w:top w:val="none" w:sz="0" w:space="0" w:color="auto"/>
                    <w:left w:val="none" w:sz="0" w:space="0" w:color="auto"/>
                    <w:bottom w:val="none" w:sz="0" w:space="0" w:color="auto"/>
                    <w:right w:val="none" w:sz="0" w:space="0" w:color="auto"/>
                  </w:divBdr>
                  <w:divsChild>
                    <w:div w:id="59227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36180">
      <w:bodyDiv w:val="1"/>
      <w:marLeft w:val="0"/>
      <w:marRight w:val="0"/>
      <w:marTop w:val="0"/>
      <w:marBottom w:val="0"/>
      <w:divBdr>
        <w:top w:val="none" w:sz="0" w:space="0" w:color="auto"/>
        <w:left w:val="none" w:sz="0" w:space="0" w:color="auto"/>
        <w:bottom w:val="none" w:sz="0" w:space="0" w:color="auto"/>
        <w:right w:val="none" w:sz="0" w:space="0" w:color="auto"/>
      </w:divBdr>
    </w:div>
    <w:div w:id="108818445">
      <w:bodyDiv w:val="1"/>
      <w:marLeft w:val="0"/>
      <w:marRight w:val="0"/>
      <w:marTop w:val="0"/>
      <w:marBottom w:val="0"/>
      <w:divBdr>
        <w:top w:val="none" w:sz="0" w:space="0" w:color="auto"/>
        <w:left w:val="none" w:sz="0" w:space="0" w:color="auto"/>
        <w:bottom w:val="none" w:sz="0" w:space="0" w:color="auto"/>
        <w:right w:val="none" w:sz="0" w:space="0" w:color="auto"/>
      </w:divBdr>
      <w:divsChild>
        <w:div w:id="720055402">
          <w:marLeft w:val="0"/>
          <w:marRight w:val="0"/>
          <w:marTop w:val="0"/>
          <w:marBottom w:val="0"/>
          <w:divBdr>
            <w:top w:val="none" w:sz="0" w:space="0" w:color="auto"/>
            <w:left w:val="none" w:sz="0" w:space="0" w:color="auto"/>
            <w:bottom w:val="none" w:sz="0" w:space="0" w:color="auto"/>
            <w:right w:val="none" w:sz="0" w:space="0" w:color="auto"/>
          </w:divBdr>
          <w:divsChild>
            <w:div w:id="357897285">
              <w:marLeft w:val="0"/>
              <w:marRight w:val="0"/>
              <w:marTop w:val="0"/>
              <w:marBottom w:val="0"/>
              <w:divBdr>
                <w:top w:val="none" w:sz="0" w:space="0" w:color="auto"/>
                <w:left w:val="none" w:sz="0" w:space="0" w:color="auto"/>
                <w:bottom w:val="none" w:sz="0" w:space="0" w:color="auto"/>
                <w:right w:val="none" w:sz="0" w:space="0" w:color="auto"/>
              </w:divBdr>
              <w:divsChild>
                <w:div w:id="95514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54494">
      <w:bodyDiv w:val="1"/>
      <w:marLeft w:val="0"/>
      <w:marRight w:val="0"/>
      <w:marTop w:val="0"/>
      <w:marBottom w:val="0"/>
      <w:divBdr>
        <w:top w:val="none" w:sz="0" w:space="0" w:color="auto"/>
        <w:left w:val="none" w:sz="0" w:space="0" w:color="auto"/>
        <w:bottom w:val="none" w:sz="0" w:space="0" w:color="auto"/>
        <w:right w:val="none" w:sz="0" w:space="0" w:color="auto"/>
      </w:divBdr>
      <w:divsChild>
        <w:div w:id="1012075044">
          <w:marLeft w:val="0"/>
          <w:marRight w:val="0"/>
          <w:marTop w:val="0"/>
          <w:marBottom w:val="0"/>
          <w:divBdr>
            <w:top w:val="none" w:sz="0" w:space="0" w:color="auto"/>
            <w:left w:val="none" w:sz="0" w:space="0" w:color="auto"/>
            <w:bottom w:val="none" w:sz="0" w:space="0" w:color="auto"/>
            <w:right w:val="none" w:sz="0" w:space="0" w:color="auto"/>
          </w:divBdr>
          <w:divsChild>
            <w:div w:id="2043746934">
              <w:marLeft w:val="0"/>
              <w:marRight w:val="0"/>
              <w:marTop w:val="0"/>
              <w:marBottom w:val="0"/>
              <w:divBdr>
                <w:top w:val="none" w:sz="0" w:space="0" w:color="auto"/>
                <w:left w:val="none" w:sz="0" w:space="0" w:color="auto"/>
                <w:bottom w:val="none" w:sz="0" w:space="0" w:color="auto"/>
                <w:right w:val="none" w:sz="0" w:space="0" w:color="auto"/>
              </w:divBdr>
              <w:divsChild>
                <w:div w:id="100192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1455">
      <w:bodyDiv w:val="1"/>
      <w:marLeft w:val="0"/>
      <w:marRight w:val="0"/>
      <w:marTop w:val="0"/>
      <w:marBottom w:val="0"/>
      <w:divBdr>
        <w:top w:val="none" w:sz="0" w:space="0" w:color="auto"/>
        <w:left w:val="none" w:sz="0" w:space="0" w:color="auto"/>
        <w:bottom w:val="none" w:sz="0" w:space="0" w:color="auto"/>
        <w:right w:val="none" w:sz="0" w:space="0" w:color="auto"/>
      </w:divBdr>
      <w:divsChild>
        <w:div w:id="1075931597">
          <w:marLeft w:val="0"/>
          <w:marRight w:val="0"/>
          <w:marTop w:val="0"/>
          <w:marBottom w:val="0"/>
          <w:divBdr>
            <w:top w:val="none" w:sz="0" w:space="0" w:color="auto"/>
            <w:left w:val="none" w:sz="0" w:space="0" w:color="auto"/>
            <w:bottom w:val="none" w:sz="0" w:space="0" w:color="auto"/>
            <w:right w:val="none" w:sz="0" w:space="0" w:color="auto"/>
          </w:divBdr>
          <w:divsChild>
            <w:div w:id="1295678644">
              <w:marLeft w:val="0"/>
              <w:marRight w:val="0"/>
              <w:marTop w:val="0"/>
              <w:marBottom w:val="0"/>
              <w:divBdr>
                <w:top w:val="none" w:sz="0" w:space="0" w:color="auto"/>
                <w:left w:val="none" w:sz="0" w:space="0" w:color="auto"/>
                <w:bottom w:val="none" w:sz="0" w:space="0" w:color="auto"/>
                <w:right w:val="none" w:sz="0" w:space="0" w:color="auto"/>
              </w:divBdr>
              <w:divsChild>
                <w:div w:id="875695917">
                  <w:marLeft w:val="0"/>
                  <w:marRight w:val="0"/>
                  <w:marTop w:val="0"/>
                  <w:marBottom w:val="0"/>
                  <w:divBdr>
                    <w:top w:val="none" w:sz="0" w:space="0" w:color="auto"/>
                    <w:left w:val="none" w:sz="0" w:space="0" w:color="auto"/>
                    <w:bottom w:val="none" w:sz="0" w:space="0" w:color="auto"/>
                    <w:right w:val="none" w:sz="0" w:space="0" w:color="auto"/>
                  </w:divBdr>
                  <w:divsChild>
                    <w:div w:id="26092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71791">
      <w:bodyDiv w:val="1"/>
      <w:marLeft w:val="0"/>
      <w:marRight w:val="0"/>
      <w:marTop w:val="0"/>
      <w:marBottom w:val="0"/>
      <w:divBdr>
        <w:top w:val="none" w:sz="0" w:space="0" w:color="auto"/>
        <w:left w:val="none" w:sz="0" w:space="0" w:color="auto"/>
        <w:bottom w:val="none" w:sz="0" w:space="0" w:color="auto"/>
        <w:right w:val="none" w:sz="0" w:space="0" w:color="auto"/>
      </w:divBdr>
    </w:div>
    <w:div w:id="153029525">
      <w:bodyDiv w:val="1"/>
      <w:marLeft w:val="0"/>
      <w:marRight w:val="0"/>
      <w:marTop w:val="0"/>
      <w:marBottom w:val="0"/>
      <w:divBdr>
        <w:top w:val="none" w:sz="0" w:space="0" w:color="auto"/>
        <w:left w:val="none" w:sz="0" w:space="0" w:color="auto"/>
        <w:bottom w:val="none" w:sz="0" w:space="0" w:color="auto"/>
        <w:right w:val="none" w:sz="0" w:space="0" w:color="auto"/>
      </w:divBdr>
    </w:div>
    <w:div w:id="155851965">
      <w:bodyDiv w:val="1"/>
      <w:marLeft w:val="0"/>
      <w:marRight w:val="0"/>
      <w:marTop w:val="0"/>
      <w:marBottom w:val="0"/>
      <w:divBdr>
        <w:top w:val="none" w:sz="0" w:space="0" w:color="auto"/>
        <w:left w:val="none" w:sz="0" w:space="0" w:color="auto"/>
        <w:bottom w:val="none" w:sz="0" w:space="0" w:color="auto"/>
        <w:right w:val="none" w:sz="0" w:space="0" w:color="auto"/>
      </w:divBdr>
    </w:div>
    <w:div w:id="157964693">
      <w:bodyDiv w:val="1"/>
      <w:marLeft w:val="0"/>
      <w:marRight w:val="0"/>
      <w:marTop w:val="0"/>
      <w:marBottom w:val="0"/>
      <w:divBdr>
        <w:top w:val="none" w:sz="0" w:space="0" w:color="auto"/>
        <w:left w:val="none" w:sz="0" w:space="0" w:color="auto"/>
        <w:bottom w:val="none" w:sz="0" w:space="0" w:color="auto"/>
        <w:right w:val="none" w:sz="0" w:space="0" w:color="auto"/>
      </w:divBdr>
    </w:div>
    <w:div w:id="161892202">
      <w:bodyDiv w:val="1"/>
      <w:marLeft w:val="0"/>
      <w:marRight w:val="0"/>
      <w:marTop w:val="0"/>
      <w:marBottom w:val="0"/>
      <w:divBdr>
        <w:top w:val="none" w:sz="0" w:space="0" w:color="auto"/>
        <w:left w:val="none" w:sz="0" w:space="0" w:color="auto"/>
        <w:bottom w:val="none" w:sz="0" w:space="0" w:color="auto"/>
        <w:right w:val="none" w:sz="0" w:space="0" w:color="auto"/>
      </w:divBdr>
      <w:divsChild>
        <w:div w:id="16928917">
          <w:marLeft w:val="0"/>
          <w:marRight w:val="0"/>
          <w:marTop w:val="0"/>
          <w:marBottom w:val="0"/>
          <w:divBdr>
            <w:top w:val="none" w:sz="0" w:space="0" w:color="auto"/>
            <w:left w:val="none" w:sz="0" w:space="0" w:color="auto"/>
            <w:bottom w:val="none" w:sz="0" w:space="0" w:color="auto"/>
            <w:right w:val="none" w:sz="0" w:space="0" w:color="auto"/>
          </w:divBdr>
          <w:divsChild>
            <w:div w:id="1034499523">
              <w:marLeft w:val="0"/>
              <w:marRight w:val="0"/>
              <w:marTop w:val="0"/>
              <w:marBottom w:val="0"/>
              <w:divBdr>
                <w:top w:val="none" w:sz="0" w:space="0" w:color="auto"/>
                <w:left w:val="none" w:sz="0" w:space="0" w:color="auto"/>
                <w:bottom w:val="none" w:sz="0" w:space="0" w:color="auto"/>
                <w:right w:val="none" w:sz="0" w:space="0" w:color="auto"/>
              </w:divBdr>
              <w:divsChild>
                <w:div w:id="842474880">
                  <w:marLeft w:val="0"/>
                  <w:marRight w:val="0"/>
                  <w:marTop w:val="0"/>
                  <w:marBottom w:val="0"/>
                  <w:divBdr>
                    <w:top w:val="none" w:sz="0" w:space="0" w:color="auto"/>
                    <w:left w:val="none" w:sz="0" w:space="0" w:color="auto"/>
                    <w:bottom w:val="none" w:sz="0" w:space="0" w:color="auto"/>
                    <w:right w:val="none" w:sz="0" w:space="0" w:color="auto"/>
                  </w:divBdr>
                  <w:divsChild>
                    <w:div w:id="141212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63234">
      <w:bodyDiv w:val="1"/>
      <w:marLeft w:val="0"/>
      <w:marRight w:val="0"/>
      <w:marTop w:val="0"/>
      <w:marBottom w:val="0"/>
      <w:divBdr>
        <w:top w:val="none" w:sz="0" w:space="0" w:color="auto"/>
        <w:left w:val="none" w:sz="0" w:space="0" w:color="auto"/>
        <w:bottom w:val="none" w:sz="0" w:space="0" w:color="auto"/>
        <w:right w:val="none" w:sz="0" w:space="0" w:color="auto"/>
      </w:divBdr>
      <w:divsChild>
        <w:div w:id="769621725">
          <w:marLeft w:val="0"/>
          <w:marRight w:val="0"/>
          <w:marTop w:val="0"/>
          <w:marBottom w:val="0"/>
          <w:divBdr>
            <w:top w:val="none" w:sz="0" w:space="0" w:color="auto"/>
            <w:left w:val="none" w:sz="0" w:space="0" w:color="auto"/>
            <w:bottom w:val="none" w:sz="0" w:space="0" w:color="auto"/>
            <w:right w:val="none" w:sz="0" w:space="0" w:color="auto"/>
          </w:divBdr>
          <w:divsChild>
            <w:div w:id="1884319349">
              <w:marLeft w:val="0"/>
              <w:marRight w:val="0"/>
              <w:marTop w:val="0"/>
              <w:marBottom w:val="0"/>
              <w:divBdr>
                <w:top w:val="none" w:sz="0" w:space="0" w:color="auto"/>
                <w:left w:val="none" w:sz="0" w:space="0" w:color="auto"/>
                <w:bottom w:val="none" w:sz="0" w:space="0" w:color="auto"/>
                <w:right w:val="none" w:sz="0" w:space="0" w:color="auto"/>
              </w:divBdr>
              <w:divsChild>
                <w:div w:id="11903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93751">
      <w:bodyDiv w:val="1"/>
      <w:marLeft w:val="0"/>
      <w:marRight w:val="0"/>
      <w:marTop w:val="0"/>
      <w:marBottom w:val="0"/>
      <w:divBdr>
        <w:top w:val="none" w:sz="0" w:space="0" w:color="auto"/>
        <w:left w:val="none" w:sz="0" w:space="0" w:color="auto"/>
        <w:bottom w:val="none" w:sz="0" w:space="0" w:color="auto"/>
        <w:right w:val="none" w:sz="0" w:space="0" w:color="auto"/>
      </w:divBdr>
    </w:div>
    <w:div w:id="178204137">
      <w:bodyDiv w:val="1"/>
      <w:marLeft w:val="0"/>
      <w:marRight w:val="0"/>
      <w:marTop w:val="0"/>
      <w:marBottom w:val="0"/>
      <w:divBdr>
        <w:top w:val="none" w:sz="0" w:space="0" w:color="auto"/>
        <w:left w:val="none" w:sz="0" w:space="0" w:color="auto"/>
        <w:bottom w:val="none" w:sz="0" w:space="0" w:color="auto"/>
        <w:right w:val="none" w:sz="0" w:space="0" w:color="auto"/>
      </w:divBdr>
      <w:divsChild>
        <w:div w:id="996375401">
          <w:marLeft w:val="0"/>
          <w:marRight w:val="0"/>
          <w:marTop w:val="0"/>
          <w:marBottom w:val="0"/>
          <w:divBdr>
            <w:top w:val="none" w:sz="0" w:space="0" w:color="auto"/>
            <w:left w:val="none" w:sz="0" w:space="0" w:color="auto"/>
            <w:bottom w:val="none" w:sz="0" w:space="0" w:color="auto"/>
            <w:right w:val="none" w:sz="0" w:space="0" w:color="auto"/>
          </w:divBdr>
          <w:divsChild>
            <w:div w:id="598025170">
              <w:marLeft w:val="0"/>
              <w:marRight w:val="0"/>
              <w:marTop w:val="0"/>
              <w:marBottom w:val="0"/>
              <w:divBdr>
                <w:top w:val="none" w:sz="0" w:space="0" w:color="auto"/>
                <w:left w:val="none" w:sz="0" w:space="0" w:color="auto"/>
                <w:bottom w:val="none" w:sz="0" w:space="0" w:color="auto"/>
                <w:right w:val="none" w:sz="0" w:space="0" w:color="auto"/>
              </w:divBdr>
              <w:divsChild>
                <w:div w:id="61324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3362">
      <w:bodyDiv w:val="1"/>
      <w:marLeft w:val="0"/>
      <w:marRight w:val="0"/>
      <w:marTop w:val="0"/>
      <w:marBottom w:val="0"/>
      <w:divBdr>
        <w:top w:val="none" w:sz="0" w:space="0" w:color="auto"/>
        <w:left w:val="none" w:sz="0" w:space="0" w:color="auto"/>
        <w:bottom w:val="none" w:sz="0" w:space="0" w:color="auto"/>
        <w:right w:val="none" w:sz="0" w:space="0" w:color="auto"/>
      </w:divBdr>
    </w:div>
    <w:div w:id="187721883">
      <w:bodyDiv w:val="1"/>
      <w:marLeft w:val="0"/>
      <w:marRight w:val="0"/>
      <w:marTop w:val="0"/>
      <w:marBottom w:val="0"/>
      <w:divBdr>
        <w:top w:val="none" w:sz="0" w:space="0" w:color="auto"/>
        <w:left w:val="none" w:sz="0" w:space="0" w:color="auto"/>
        <w:bottom w:val="none" w:sz="0" w:space="0" w:color="auto"/>
        <w:right w:val="none" w:sz="0" w:space="0" w:color="auto"/>
      </w:divBdr>
    </w:div>
    <w:div w:id="190609766">
      <w:bodyDiv w:val="1"/>
      <w:marLeft w:val="0"/>
      <w:marRight w:val="0"/>
      <w:marTop w:val="0"/>
      <w:marBottom w:val="0"/>
      <w:divBdr>
        <w:top w:val="none" w:sz="0" w:space="0" w:color="auto"/>
        <w:left w:val="none" w:sz="0" w:space="0" w:color="auto"/>
        <w:bottom w:val="none" w:sz="0" w:space="0" w:color="auto"/>
        <w:right w:val="none" w:sz="0" w:space="0" w:color="auto"/>
      </w:divBdr>
    </w:div>
    <w:div w:id="208763966">
      <w:bodyDiv w:val="1"/>
      <w:marLeft w:val="0"/>
      <w:marRight w:val="0"/>
      <w:marTop w:val="0"/>
      <w:marBottom w:val="0"/>
      <w:divBdr>
        <w:top w:val="none" w:sz="0" w:space="0" w:color="auto"/>
        <w:left w:val="none" w:sz="0" w:space="0" w:color="auto"/>
        <w:bottom w:val="none" w:sz="0" w:space="0" w:color="auto"/>
        <w:right w:val="none" w:sz="0" w:space="0" w:color="auto"/>
      </w:divBdr>
      <w:divsChild>
        <w:div w:id="239217486">
          <w:marLeft w:val="0"/>
          <w:marRight w:val="0"/>
          <w:marTop w:val="0"/>
          <w:marBottom w:val="0"/>
          <w:divBdr>
            <w:top w:val="none" w:sz="0" w:space="0" w:color="auto"/>
            <w:left w:val="none" w:sz="0" w:space="0" w:color="auto"/>
            <w:bottom w:val="none" w:sz="0" w:space="0" w:color="auto"/>
            <w:right w:val="none" w:sz="0" w:space="0" w:color="auto"/>
          </w:divBdr>
          <w:divsChild>
            <w:div w:id="1353065832">
              <w:marLeft w:val="0"/>
              <w:marRight w:val="0"/>
              <w:marTop w:val="0"/>
              <w:marBottom w:val="0"/>
              <w:divBdr>
                <w:top w:val="none" w:sz="0" w:space="0" w:color="auto"/>
                <w:left w:val="none" w:sz="0" w:space="0" w:color="auto"/>
                <w:bottom w:val="none" w:sz="0" w:space="0" w:color="auto"/>
                <w:right w:val="none" w:sz="0" w:space="0" w:color="auto"/>
              </w:divBdr>
              <w:divsChild>
                <w:div w:id="42828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93590">
          <w:marLeft w:val="0"/>
          <w:marRight w:val="0"/>
          <w:marTop w:val="0"/>
          <w:marBottom w:val="0"/>
          <w:divBdr>
            <w:top w:val="none" w:sz="0" w:space="0" w:color="auto"/>
            <w:left w:val="none" w:sz="0" w:space="0" w:color="auto"/>
            <w:bottom w:val="none" w:sz="0" w:space="0" w:color="auto"/>
            <w:right w:val="none" w:sz="0" w:space="0" w:color="auto"/>
          </w:divBdr>
          <w:divsChild>
            <w:div w:id="175145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43151">
      <w:bodyDiv w:val="1"/>
      <w:marLeft w:val="0"/>
      <w:marRight w:val="0"/>
      <w:marTop w:val="0"/>
      <w:marBottom w:val="0"/>
      <w:divBdr>
        <w:top w:val="none" w:sz="0" w:space="0" w:color="auto"/>
        <w:left w:val="none" w:sz="0" w:space="0" w:color="auto"/>
        <w:bottom w:val="none" w:sz="0" w:space="0" w:color="auto"/>
        <w:right w:val="none" w:sz="0" w:space="0" w:color="auto"/>
      </w:divBdr>
    </w:div>
    <w:div w:id="230239120">
      <w:bodyDiv w:val="1"/>
      <w:marLeft w:val="0"/>
      <w:marRight w:val="0"/>
      <w:marTop w:val="0"/>
      <w:marBottom w:val="0"/>
      <w:divBdr>
        <w:top w:val="none" w:sz="0" w:space="0" w:color="auto"/>
        <w:left w:val="none" w:sz="0" w:space="0" w:color="auto"/>
        <w:bottom w:val="none" w:sz="0" w:space="0" w:color="auto"/>
        <w:right w:val="none" w:sz="0" w:space="0" w:color="auto"/>
      </w:divBdr>
    </w:div>
    <w:div w:id="287711908">
      <w:bodyDiv w:val="1"/>
      <w:marLeft w:val="0"/>
      <w:marRight w:val="0"/>
      <w:marTop w:val="0"/>
      <w:marBottom w:val="0"/>
      <w:divBdr>
        <w:top w:val="none" w:sz="0" w:space="0" w:color="auto"/>
        <w:left w:val="none" w:sz="0" w:space="0" w:color="auto"/>
        <w:bottom w:val="none" w:sz="0" w:space="0" w:color="auto"/>
        <w:right w:val="none" w:sz="0" w:space="0" w:color="auto"/>
      </w:divBdr>
    </w:div>
    <w:div w:id="289745035">
      <w:bodyDiv w:val="1"/>
      <w:marLeft w:val="0"/>
      <w:marRight w:val="0"/>
      <w:marTop w:val="0"/>
      <w:marBottom w:val="0"/>
      <w:divBdr>
        <w:top w:val="none" w:sz="0" w:space="0" w:color="auto"/>
        <w:left w:val="none" w:sz="0" w:space="0" w:color="auto"/>
        <w:bottom w:val="none" w:sz="0" w:space="0" w:color="auto"/>
        <w:right w:val="none" w:sz="0" w:space="0" w:color="auto"/>
      </w:divBdr>
    </w:div>
    <w:div w:id="298078314">
      <w:bodyDiv w:val="1"/>
      <w:marLeft w:val="0"/>
      <w:marRight w:val="0"/>
      <w:marTop w:val="0"/>
      <w:marBottom w:val="0"/>
      <w:divBdr>
        <w:top w:val="none" w:sz="0" w:space="0" w:color="auto"/>
        <w:left w:val="none" w:sz="0" w:space="0" w:color="auto"/>
        <w:bottom w:val="none" w:sz="0" w:space="0" w:color="auto"/>
        <w:right w:val="none" w:sz="0" w:space="0" w:color="auto"/>
      </w:divBdr>
      <w:divsChild>
        <w:div w:id="1821775190">
          <w:marLeft w:val="0"/>
          <w:marRight w:val="0"/>
          <w:marTop w:val="0"/>
          <w:marBottom w:val="0"/>
          <w:divBdr>
            <w:top w:val="none" w:sz="0" w:space="0" w:color="auto"/>
            <w:left w:val="none" w:sz="0" w:space="0" w:color="auto"/>
            <w:bottom w:val="none" w:sz="0" w:space="0" w:color="auto"/>
            <w:right w:val="none" w:sz="0" w:space="0" w:color="auto"/>
          </w:divBdr>
          <w:divsChild>
            <w:div w:id="1665234521">
              <w:marLeft w:val="0"/>
              <w:marRight w:val="0"/>
              <w:marTop w:val="0"/>
              <w:marBottom w:val="0"/>
              <w:divBdr>
                <w:top w:val="none" w:sz="0" w:space="0" w:color="auto"/>
                <w:left w:val="none" w:sz="0" w:space="0" w:color="auto"/>
                <w:bottom w:val="none" w:sz="0" w:space="0" w:color="auto"/>
                <w:right w:val="none" w:sz="0" w:space="0" w:color="auto"/>
              </w:divBdr>
              <w:divsChild>
                <w:div w:id="577711076">
                  <w:marLeft w:val="0"/>
                  <w:marRight w:val="0"/>
                  <w:marTop w:val="0"/>
                  <w:marBottom w:val="0"/>
                  <w:divBdr>
                    <w:top w:val="none" w:sz="0" w:space="0" w:color="auto"/>
                    <w:left w:val="none" w:sz="0" w:space="0" w:color="auto"/>
                    <w:bottom w:val="none" w:sz="0" w:space="0" w:color="auto"/>
                    <w:right w:val="none" w:sz="0" w:space="0" w:color="auto"/>
                  </w:divBdr>
                  <w:divsChild>
                    <w:div w:id="17461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928980">
      <w:bodyDiv w:val="1"/>
      <w:marLeft w:val="0"/>
      <w:marRight w:val="0"/>
      <w:marTop w:val="0"/>
      <w:marBottom w:val="0"/>
      <w:divBdr>
        <w:top w:val="none" w:sz="0" w:space="0" w:color="auto"/>
        <w:left w:val="none" w:sz="0" w:space="0" w:color="auto"/>
        <w:bottom w:val="none" w:sz="0" w:space="0" w:color="auto"/>
        <w:right w:val="none" w:sz="0" w:space="0" w:color="auto"/>
      </w:divBdr>
      <w:divsChild>
        <w:div w:id="1084379359">
          <w:marLeft w:val="0"/>
          <w:marRight w:val="0"/>
          <w:marTop w:val="0"/>
          <w:marBottom w:val="0"/>
          <w:divBdr>
            <w:top w:val="none" w:sz="0" w:space="0" w:color="auto"/>
            <w:left w:val="none" w:sz="0" w:space="0" w:color="auto"/>
            <w:bottom w:val="none" w:sz="0" w:space="0" w:color="auto"/>
            <w:right w:val="none" w:sz="0" w:space="0" w:color="auto"/>
          </w:divBdr>
          <w:divsChild>
            <w:div w:id="331179784">
              <w:marLeft w:val="0"/>
              <w:marRight w:val="0"/>
              <w:marTop w:val="0"/>
              <w:marBottom w:val="0"/>
              <w:divBdr>
                <w:top w:val="none" w:sz="0" w:space="0" w:color="auto"/>
                <w:left w:val="none" w:sz="0" w:space="0" w:color="auto"/>
                <w:bottom w:val="none" w:sz="0" w:space="0" w:color="auto"/>
                <w:right w:val="none" w:sz="0" w:space="0" w:color="auto"/>
              </w:divBdr>
              <w:divsChild>
                <w:div w:id="202887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87221">
      <w:bodyDiv w:val="1"/>
      <w:marLeft w:val="0"/>
      <w:marRight w:val="0"/>
      <w:marTop w:val="0"/>
      <w:marBottom w:val="0"/>
      <w:divBdr>
        <w:top w:val="none" w:sz="0" w:space="0" w:color="auto"/>
        <w:left w:val="none" w:sz="0" w:space="0" w:color="auto"/>
        <w:bottom w:val="none" w:sz="0" w:space="0" w:color="auto"/>
        <w:right w:val="none" w:sz="0" w:space="0" w:color="auto"/>
      </w:divBdr>
    </w:div>
    <w:div w:id="324554097">
      <w:bodyDiv w:val="1"/>
      <w:marLeft w:val="0"/>
      <w:marRight w:val="0"/>
      <w:marTop w:val="0"/>
      <w:marBottom w:val="0"/>
      <w:divBdr>
        <w:top w:val="none" w:sz="0" w:space="0" w:color="auto"/>
        <w:left w:val="none" w:sz="0" w:space="0" w:color="auto"/>
        <w:bottom w:val="none" w:sz="0" w:space="0" w:color="auto"/>
        <w:right w:val="none" w:sz="0" w:space="0" w:color="auto"/>
      </w:divBdr>
    </w:div>
    <w:div w:id="331378704">
      <w:bodyDiv w:val="1"/>
      <w:marLeft w:val="0"/>
      <w:marRight w:val="0"/>
      <w:marTop w:val="0"/>
      <w:marBottom w:val="0"/>
      <w:divBdr>
        <w:top w:val="none" w:sz="0" w:space="0" w:color="auto"/>
        <w:left w:val="none" w:sz="0" w:space="0" w:color="auto"/>
        <w:bottom w:val="none" w:sz="0" w:space="0" w:color="auto"/>
        <w:right w:val="none" w:sz="0" w:space="0" w:color="auto"/>
      </w:divBdr>
      <w:divsChild>
        <w:div w:id="2041200842">
          <w:marLeft w:val="0"/>
          <w:marRight w:val="0"/>
          <w:marTop w:val="0"/>
          <w:marBottom w:val="0"/>
          <w:divBdr>
            <w:top w:val="none" w:sz="0" w:space="0" w:color="auto"/>
            <w:left w:val="none" w:sz="0" w:space="0" w:color="auto"/>
            <w:bottom w:val="none" w:sz="0" w:space="0" w:color="auto"/>
            <w:right w:val="none" w:sz="0" w:space="0" w:color="auto"/>
          </w:divBdr>
          <w:divsChild>
            <w:div w:id="304894308">
              <w:marLeft w:val="0"/>
              <w:marRight w:val="0"/>
              <w:marTop w:val="0"/>
              <w:marBottom w:val="0"/>
              <w:divBdr>
                <w:top w:val="none" w:sz="0" w:space="0" w:color="auto"/>
                <w:left w:val="none" w:sz="0" w:space="0" w:color="auto"/>
                <w:bottom w:val="none" w:sz="0" w:space="0" w:color="auto"/>
                <w:right w:val="none" w:sz="0" w:space="0" w:color="auto"/>
              </w:divBdr>
              <w:divsChild>
                <w:div w:id="158231430">
                  <w:marLeft w:val="0"/>
                  <w:marRight w:val="0"/>
                  <w:marTop w:val="0"/>
                  <w:marBottom w:val="0"/>
                  <w:divBdr>
                    <w:top w:val="none" w:sz="0" w:space="0" w:color="auto"/>
                    <w:left w:val="none" w:sz="0" w:space="0" w:color="auto"/>
                    <w:bottom w:val="none" w:sz="0" w:space="0" w:color="auto"/>
                    <w:right w:val="none" w:sz="0" w:space="0" w:color="auto"/>
                  </w:divBdr>
                  <w:divsChild>
                    <w:div w:id="17966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561914">
      <w:bodyDiv w:val="1"/>
      <w:marLeft w:val="0"/>
      <w:marRight w:val="0"/>
      <w:marTop w:val="0"/>
      <w:marBottom w:val="0"/>
      <w:divBdr>
        <w:top w:val="none" w:sz="0" w:space="0" w:color="auto"/>
        <w:left w:val="none" w:sz="0" w:space="0" w:color="auto"/>
        <w:bottom w:val="none" w:sz="0" w:space="0" w:color="auto"/>
        <w:right w:val="none" w:sz="0" w:space="0" w:color="auto"/>
      </w:divBdr>
    </w:div>
    <w:div w:id="348988296">
      <w:bodyDiv w:val="1"/>
      <w:marLeft w:val="0"/>
      <w:marRight w:val="0"/>
      <w:marTop w:val="0"/>
      <w:marBottom w:val="0"/>
      <w:divBdr>
        <w:top w:val="none" w:sz="0" w:space="0" w:color="auto"/>
        <w:left w:val="none" w:sz="0" w:space="0" w:color="auto"/>
        <w:bottom w:val="none" w:sz="0" w:space="0" w:color="auto"/>
        <w:right w:val="none" w:sz="0" w:space="0" w:color="auto"/>
      </w:divBdr>
      <w:divsChild>
        <w:div w:id="1194343799">
          <w:marLeft w:val="0"/>
          <w:marRight w:val="0"/>
          <w:marTop w:val="0"/>
          <w:marBottom w:val="0"/>
          <w:divBdr>
            <w:top w:val="none" w:sz="0" w:space="0" w:color="auto"/>
            <w:left w:val="none" w:sz="0" w:space="0" w:color="auto"/>
            <w:bottom w:val="none" w:sz="0" w:space="0" w:color="auto"/>
            <w:right w:val="none" w:sz="0" w:space="0" w:color="auto"/>
          </w:divBdr>
          <w:divsChild>
            <w:div w:id="1557085497">
              <w:marLeft w:val="0"/>
              <w:marRight w:val="0"/>
              <w:marTop w:val="0"/>
              <w:marBottom w:val="0"/>
              <w:divBdr>
                <w:top w:val="none" w:sz="0" w:space="0" w:color="auto"/>
                <w:left w:val="none" w:sz="0" w:space="0" w:color="auto"/>
                <w:bottom w:val="none" w:sz="0" w:space="0" w:color="auto"/>
                <w:right w:val="none" w:sz="0" w:space="0" w:color="auto"/>
              </w:divBdr>
              <w:divsChild>
                <w:div w:id="63864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782423">
      <w:bodyDiv w:val="1"/>
      <w:marLeft w:val="0"/>
      <w:marRight w:val="0"/>
      <w:marTop w:val="0"/>
      <w:marBottom w:val="0"/>
      <w:divBdr>
        <w:top w:val="none" w:sz="0" w:space="0" w:color="auto"/>
        <w:left w:val="none" w:sz="0" w:space="0" w:color="auto"/>
        <w:bottom w:val="none" w:sz="0" w:space="0" w:color="auto"/>
        <w:right w:val="none" w:sz="0" w:space="0" w:color="auto"/>
      </w:divBdr>
    </w:div>
    <w:div w:id="359548026">
      <w:bodyDiv w:val="1"/>
      <w:marLeft w:val="0"/>
      <w:marRight w:val="0"/>
      <w:marTop w:val="0"/>
      <w:marBottom w:val="0"/>
      <w:divBdr>
        <w:top w:val="none" w:sz="0" w:space="0" w:color="auto"/>
        <w:left w:val="none" w:sz="0" w:space="0" w:color="auto"/>
        <w:bottom w:val="none" w:sz="0" w:space="0" w:color="auto"/>
        <w:right w:val="none" w:sz="0" w:space="0" w:color="auto"/>
      </w:divBdr>
    </w:div>
    <w:div w:id="370351810">
      <w:bodyDiv w:val="1"/>
      <w:marLeft w:val="0"/>
      <w:marRight w:val="0"/>
      <w:marTop w:val="0"/>
      <w:marBottom w:val="0"/>
      <w:divBdr>
        <w:top w:val="none" w:sz="0" w:space="0" w:color="auto"/>
        <w:left w:val="none" w:sz="0" w:space="0" w:color="auto"/>
        <w:bottom w:val="none" w:sz="0" w:space="0" w:color="auto"/>
        <w:right w:val="none" w:sz="0" w:space="0" w:color="auto"/>
      </w:divBdr>
    </w:div>
    <w:div w:id="371422982">
      <w:bodyDiv w:val="1"/>
      <w:marLeft w:val="0"/>
      <w:marRight w:val="0"/>
      <w:marTop w:val="0"/>
      <w:marBottom w:val="0"/>
      <w:divBdr>
        <w:top w:val="none" w:sz="0" w:space="0" w:color="auto"/>
        <w:left w:val="none" w:sz="0" w:space="0" w:color="auto"/>
        <w:bottom w:val="none" w:sz="0" w:space="0" w:color="auto"/>
        <w:right w:val="none" w:sz="0" w:space="0" w:color="auto"/>
      </w:divBdr>
    </w:div>
    <w:div w:id="373821082">
      <w:bodyDiv w:val="1"/>
      <w:marLeft w:val="0"/>
      <w:marRight w:val="0"/>
      <w:marTop w:val="0"/>
      <w:marBottom w:val="0"/>
      <w:divBdr>
        <w:top w:val="none" w:sz="0" w:space="0" w:color="auto"/>
        <w:left w:val="none" w:sz="0" w:space="0" w:color="auto"/>
        <w:bottom w:val="none" w:sz="0" w:space="0" w:color="auto"/>
        <w:right w:val="none" w:sz="0" w:space="0" w:color="auto"/>
      </w:divBdr>
      <w:divsChild>
        <w:div w:id="1591694449">
          <w:marLeft w:val="0"/>
          <w:marRight w:val="450"/>
          <w:marTop w:val="0"/>
          <w:marBottom w:val="0"/>
          <w:divBdr>
            <w:top w:val="none" w:sz="0" w:space="0" w:color="auto"/>
            <w:left w:val="none" w:sz="0" w:space="0" w:color="auto"/>
            <w:bottom w:val="none" w:sz="0" w:space="0" w:color="auto"/>
            <w:right w:val="none" w:sz="0" w:space="0" w:color="auto"/>
          </w:divBdr>
        </w:div>
      </w:divsChild>
    </w:div>
    <w:div w:id="390932581">
      <w:bodyDiv w:val="1"/>
      <w:marLeft w:val="0"/>
      <w:marRight w:val="0"/>
      <w:marTop w:val="0"/>
      <w:marBottom w:val="0"/>
      <w:divBdr>
        <w:top w:val="none" w:sz="0" w:space="0" w:color="auto"/>
        <w:left w:val="none" w:sz="0" w:space="0" w:color="auto"/>
        <w:bottom w:val="none" w:sz="0" w:space="0" w:color="auto"/>
        <w:right w:val="none" w:sz="0" w:space="0" w:color="auto"/>
      </w:divBdr>
    </w:div>
    <w:div w:id="416748627">
      <w:bodyDiv w:val="1"/>
      <w:marLeft w:val="0"/>
      <w:marRight w:val="0"/>
      <w:marTop w:val="0"/>
      <w:marBottom w:val="0"/>
      <w:divBdr>
        <w:top w:val="none" w:sz="0" w:space="0" w:color="auto"/>
        <w:left w:val="none" w:sz="0" w:space="0" w:color="auto"/>
        <w:bottom w:val="none" w:sz="0" w:space="0" w:color="auto"/>
        <w:right w:val="none" w:sz="0" w:space="0" w:color="auto"/>
      </w:divBdr>
    </w:div>
    <w:div w:id="424881535">
      <w:bodyDiv w:val="1"/>
      <w:marLeft w:val="0"/>
      <w:marRight w:val="0"/>
      <w:marTop w:val="0"/>
      <w:marBottom w:val="0"/>
      <w:divBdr>
        <w:top w:val="none" w:sz="0" w:space="0" w:color="auto"/>
        <w:left w:val="none" w:sz="0" w:space="0" w:color="auto"/>
        <w:bottom w:val="none" w:sz="0" w:space="0" w:color="auto"/>
        <w:right w:val="none" w:sz="0" w:space="0" w:color="auto"/>
      </w:divBdr>
    </w:div>
    <w:div w:id="469982235">
      <w:bodyDiv w:val="1"/>
      <w:marLeft w:val="0"/>
      <w:marRight w:val="0"/>
      <w:marTop w:val="0"/>
      <w:marBottom w:val="0"/>
      <w:divBdr>
        <w:top w:val="none" w:sz="0" w:space="0" w:color="auto"/>
        <w:left w:val="none" w:sz="0" w:space="0" w:color="auto"/>
        <w:bottom w:val="none" w:sz="0" w:space="0" w:color="auto"/>
        <w:right w:val="none" w:sz="0" w:space="0" w:color="auto"/>
      </w:divBdr>
      <w:divsChild>
        <w:div w:id="727799845">
          <w:marLeft w:val="0"/>
          <w:marRight w:val="0"/>
          <w:marTop w:val="0"/>
          <w:marBottom w:val="0"/>
          <w:divBdr>
            <w:top w:val="none" w:sz="0" w:space="0" w:color="auto"/>
            <w:left w:val="none" w:sz="0" w:space="0" w:color="auto"/>
            <w:bottom w:val="none" w:sz="0" w:space="0" w:color="auto"/>
            <w:right w:val="none" w:sz="0" w:space="0" w:color="auto"/>
          </w:divBdr>
          <w:divsChild>
            <w:div w:id="1594894530">
              <w:marLeft w:val="0"/>
              <w:marRight w:val="0"/>
              <w:marTop w:val="0"/>
              <w:marBottom w:val="0"/>
              <w:divBdr>
                <w:top w:val="none" w:sz="0" w:space="0" w:color="auto"/>
                <w:left w:val="none" w:sz="0" w:space="0" w:color="auto"/>
                <w:bottom w:val="none" w:sz="0" w:space="0" w:color="auto"/>
                <w:right w:val="none" w:sz="0" w:space="0" w:color="auto"/>
              </w:divBdr>
              <w:divsChild>
                <w:div w:id="113934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7898">
      <w:bodyDiv w:val="1"/>
      <w:marLeft w:val="0"/>
      <w:marRight w:val="0"/>
      <w:marTop w:val="0"/>
      <w:marBottom w:val="0"/>
      <w:divBdr>
        <w:top w:val="none" w:sz="0" w:space="0" w:color="auto"/>
        <w:left w:val="none" w:sz="0" w:space="0" w:color="auto"/>
        <w:bottom w:val="none" w:sz="0" w:space="0" w:color="auto"/>
        <w:right w:val="none" w:sz="0" w:space="0" w:color="auto"/>
      </w:divBdr>
    </w:div>
    <w:div w:id="512259982">
      <w:bodyDiv w:val="1"/>
      <w:marLeft w:val="0"/>
      <w:marRight w:val="0"/>
      <w:marTop w:val="0"/>
      <w:marBottom w:val="0"/>
      <w:divBdr>
        <w:top w:val="none" w:sz="0" w:space="0" w:color="auto"/>
        <w:left w:val="none" w:sz="0" w:space="0" w:color="auto"/>
        <w:bottom w:val="none" w:sz="0" w:space="0" w:color="auto"/>
        <w:right w:val="none" w:sz="0" w:space="0" w:color="auto"/>
      </w:divBdr>
    </w:div>
    <w:div w:id="525413905">
      <w:bodyDiv w:val="1"/>
      <w:marLeft w:val="0"/>
      <w:marRight w:val="0"/>
      <w:marTop w:val="0"/>
      <w:marBottom w:val="0"/>
      <w:divBdr>
        <w:top w:val="none" w:sz="0" w:space="0" w:color="auto"/>
        <w:left w:val="none" w:sz="0" w:space="0" w:color="auto"/>
        <w:bottom w:val="none" w:sz="0" w:space="0" w:color="auto"/>
        <w:right w:val="none" w:sz="0" w:space="0" w:color="auto"/>
      </w:divBdr>
    </w:div>
    <w:div w:id="527371343">
      <w:bodyDiv w:val="1"/>
      <w:marLeft w:val="0"/>
      <w:marRight w:val="0"/>
      <w:marTop w:val="0"/>
      <w:marBottom w:val="0"/>
      <w:divBdr>
        <w:top w:val="none" w:sz="0" w:space="0" w:color="auto"/>
        <w:left w:val="none" w:sz="0" w:space="0" w:color="auto"/>
        <w:bottom w:val="none" w:sz="0" w:space="0" w:color="auto"/>
        <w:right w:val="none" w:sz="0" w:space="0" w:color="auto"/>
      </w:divBdr>
    </w:div>
    <w:div w:id="541017230">
      <w:bodyDiv w:val="1"/>
      <w:marLeft w:val="0"/>
      <w:marRight w:val="0"/>
      <w:marTop w:val="0"/>
      <w:marBottom w:val="0"/>
      <w:divBdr>
        <w:top w:val="none" w:sz="0" w:space="0" w:color="auto"/>
        <w:left w:val="none" w:sz="0" w:space="0" w:color="auto"/>
        <w:bottom w:val="none" w:sz="0" w:space="0" w:color="auto"/>
        <w:right w:val="none" w:sz="0" w:space="0" w:color="auto"/>
      </w:divBdr>
    </w:div>
    <w:div w:id="546333994">
      <w:bodyDiv w:val="1"/>
      <w:marLeft w:val="0"/>
      <w:marRight w:val="0"/>
      <w:marTop w:val="0"/>
      <w:marBottom w:val="0"/>
      <w:divBdr>
        <w:top w:val="none" w:sz="0" w:space="0" w:color="auto"/>
        <w:left w:val="none" w:sz="0" w:space="0" w:color="auto"/>
        <w:bottom w:val="none" w:sz="0" w:space="0" w:color="auto"/>
        <w:right w:val="none" w:sz="0" w:space="0" w:color="auto"/>
      </w:divBdr>
    </w:div>
    <w:div w:id="548690825">
      <w:bodyDiv w:val="1"/>
      <w:marLeft w:val="0"/>
      <w:marRight w:val="0"/>
      <w:marTop w:val="0"/>
      <w:marBottom w:val="0"/>
      <w:divBdr>
        <w:top w:val="none" w:sz="0" w:space="0" w:color="auto"/>
        <w:left w:val="none" w:sz="0" w:space="0" w:color="auto"/>
        <w:bottom w:val="none" w:sz="0" w:space="0" w:color="auto"/>
        <w:right w:val="none" w:sz="0" w:space="0" w:color="auto"/>
      </w:divBdr>
    </w:div>
    <w:div w:id="556744133">
      <w:bodyDiv w:val="1"/>
      <w:marLeft w:val="0"/>
      <w:marRight w:val="0"/>
      <w:marTop w:val="0"/>
      <w:marBottom w:val="0"/>
      <w:divBdr>
        <w:top w:val="none" w:sz="0" w:space="0" w:color="auto"/>
        <w:left w:val="none" w:sz="0" w:space="0" w:color="auto"/>
        <w:bottom w:val="none" w:sz="0" w:space="0" w:color="auto"/>
        <w:right w:val="none" w:sz="0" w:space="0" w:color="auto"/>
      </w:divBdr>
    </w:div>
    <w:div w:id="560991756">
      <w:bodyDiv w:val="1"/>
      <w:marLeft w:val="0"/>
      <w:marRight w:val="0"/>
      <w:marTop w:val="0"/>
      <w:marBottom w:val="0"/>
      <w:divBdr>
        <w:top w:val="none" w:sz="0" w:space="0" w:color="auto"/>
        <w:left w:val="none" w:sz="0" w:space="0" w:color="auto"/>
        <w:bottom w:val="none" w:sz="0" w:space="0" w:color="auto"/>
        <w:right w:val="none" w:sz="0" w:space="0" w:color="auto"/>
      </w:divBdr>
    </w:div>
    <w:div w:id="577977227">
      <w:bodyDiv w:val="1"/>
      <w:marLeft w:val="0"/>
      <w:marRight w:val="0"/>
      <w:marTop w:val="0"/>
      <w:marBottom w:val="0"/>
      <w:divBdr>
        <w:top w:val="none" w:sz="0" w:space="0" w:color="auto"/>
        <w:left w:val="none" w:sz="0" w:space="0" w:color="auto"/>
        <w:bottom w:val="none" w:sz="0" w:space="0" w:color="auto"/>
        <w:right w:val="none" w:sz="0" w:space="0" w:color="auto"/>
      </w:divBdr>
    </w:div>
    <w:div w:id="590748007">
      <w:bodyDiv w:val="1"/>
      <w:marLeft w:val="0"/>
      <w:marRight w:val="0"/>
      <w:marTop w:val="0"/>
      <w:marBottom w:val="0"/>
      <w:divBdr>
        <w:top w:val="none" w:sz="0" w:space="0" w:color="auto"/>
        <w:left w:val="none" w:sz="0" w:space="0" w:color="auto"/>
        <w:bottom w:val="none" w:sz="0" w:space="0" w:color="auto"/>
        <w:right w:val="none" w:sz="0" w:space="0" w:color="auto"/>
      </w:divBdr>
    </w:div>
    <w:div w:id="599144970">
      <w:bodyDiv w:val="1"/>
      <w:marLeft w:val="0"/>
      <w:marRight w:val="0"/>
      <w:marTop w:val="0"/>
      <w:marBottom w:val="0"/>
      <w:divBdr>
        <w:top w:val="none" w:sz="0" w:space="0" w:color="auto"/>
        <w:left w:val="none" w:sz="0" w:space="0" w:color="auto"/>
        <w:bottom w:val="none" w:sz="0" w:space="0" w:color="auto"/>
        <w:right w:val="none" w:sz="0" w:space="0" w:color="auto"/>
      </w:divBdr>
    </w:div>
    <w:div w:id="601768379">
      <w:bodyDiv w:val="1"/>
      <w:marLeft w:val="0"/>
      <w:marRight w:val="0"/>
      <w:marTop w:val="0"/>
      <w:marBottom w:val="0"/>
      <w:divBdr>
        <w:top w:val="none" w:sz="0" w:space="0" w:color="auto"/>
        <w:left w:val="none" w:sz="0" w:space="0" w:color="auto"/>
        <w:bottom w:val="none" w:sz="0" w:space="0" w:color="auto"/>
        <w:right w:val="none" w:sz="0" w:space="0" w:color="auto"/>
      </w:divBdr>
      <w:divsChild>
        <w:div w:id="2131821459">
          <w:marLeft w:val="0"/>
          <w:marRight w:val="0"/>
          <w:marTop w:val="0"/>
          <w:marBottom w:val="0"/>
          <w:divBdr>
            <w:top w:val="none" w:sz="0" w:space="0" w:color="auto"/>
            <w:left w:val="none" w:sz="0" w:space="0" w:color="auto"/>
            <w:bottom w:val="none" w:sz="0" w:space="0" w:color="auto"/>
            <w:right w:val="none" w:sz="0" w:space="0" w:color="auto"/>
          </w:divBdr>
          <w:divsChild>
            <w:div w:id="1247229926">
              <w:marLeft w:val="0"/>
              <w:marRight w:val="0"/>
              <w:marTop w:val="0"/>
              <w:marBottom w:val="0"/>
              <w:divBdr>
                <w:top w:val="none" w:sz="0" w:space="0" w:color="auto"/>
                <w:left w:val="none" w:sz="0" w:space="0" w:color="auto"/>
                <w:bottom w:val="none" w:sz="0" w:space="0" w:color="auto"/>
                <w:right w:val="none" w:sz="0" w:space="0" w:color="auto"/>
              </w:divBdr>
              <w:divsChild>
                <w:div w:id="1847473761">
                  <w:marLeft w:val="0"/>
                  <w:marRight w:val="0"/>
                  <w:marTop w:val="0"/>
                  <w:marBottom w:val="0"/>
                  <w:divBdr>
                    <w:top w:val="none" w:sz="0" w:space="0" w:color="auto"/>
                    <w:left w:val="none" w:sz="0" w:space="0" w:color="auto"/>
                    <w:bottom w:val="none" w:sz="0" w:space="0" w:color="auto"/>
                    <w:right w:val="none" w:sz="0" w:space="0" w:color="auto"/>
                  </w:divBdr>
                  <w:divsChild>
                    <w:div w:id="112014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76416">
      <w:bodyDiv w:val="1"/>
      <w:marLeft w:val="0"/>
      <w:marRight w:val="0"/>
      <w:marTop w:val="0"/>
      <w:marBottom w:val="0"/>
      <w:divBdr>
        <w:top w:val="none" w:sz="0" w:space="0" w:color="auto"/>
        <w:left w:val="none" w:sz="0" w:space="0" w:color="auto"/>
        <w:bottom w:val="none" w:sz="0" w:space="0" w:color="auto"/>
        <w:right w:val="none" w:sz="0" w:space="0" w:color="auto"/>
      </w:divBdr>
    </w:div>
    <w:div w:id="638926014">
      <w:bodyDiv w:val="1"/>
      <w:marLeft w:val="0"/>
      <w:marRight w:val="0"/>
      <w:marTop w:val="0"/>
      <w:marBottom w:val="0"/>
      <w:divBdr>
        <w:top w:val="none" w:sz="0" w:space="0" w:color="auto"/>
        <w:left w:val="none" w:sz="0" w:space="0" w:color="auto"/>
        <w:bottom w:val="none" w:sz="0" w:space="0" w:color="auto"/>
        <w:right w:val="none" w:sz="0" w:space="0" w:color="auto"/>
      </w:divBdr>
    </w:div>
    <w:div w:id="641271153">
      <w:bodyDiv w:val="1"/>
      <w:marLeft w:val="0"/>
      <w:marRight w:val="0"/>
      <w:marTop w:val="0"/>
      <w:marBottom w:val="0"/>
      <w:divBdr>
        <w:top w:val="none" w:sz="0" w:space="0" w:color="auto"/>
        <w:left w:val="none" w:sz="0" w:space="0" w:color="auto"/>
        <w:bottom w:val="none" w:sz="0" w:space="0" w:color="auto"/>
        <w:right w:val="none" w:sz="0" w:space="0" w:color="auto"/>
      </w:divBdr>
    </w:div>
    <w:div w:id="658116858">
      <w:bodyDiv w:val="1"/>
      <w:marLeft w:val="0"/>
      <w:marRight w:val="0"/>
      <w:marTop w:val="0"/>
      <w:marBottom w:val="0"/>
      <w:divBdr>
        <w:top w:val="none" w:sz="0" w:space="0" w:color="auto"/>
        <w:left w:val="none" w:sz="0" w:space="0" w:color="auto"/>
        <w:bottom w:val="none" w:sz="0" w:space="0" w:color="auto"/>
        <w:right w:val="none" w:sz="0" w:space="0" w:color="auto"/>
      </w:divBdr>
    </w:div>
    <w:div w:id="672223047">
      <w:bodyDiv w:val="1"/>
      <w:marLeft w:val="0"/>
      <w:marRight w:val="0"/>
      <w:marTop w:val="0"/>
      <w:marBottom w:val="0"/>
      <w:divBdr>
        <w:top w:val="none" w:sz="0" w:space="0" w:color="auto"/>
        <w:left w:val="none" w:sz="0" w:space="0" w:color="auto"/>
        <w:bottom w:val="none" w:sz="0" w:space="0" w:color="auto"/>
        <w:right w:val="none" w:sz="0" w:space="0" w:color="auto"/>
      </w:divBdr>
    </w:div>
    <w:div w:id="674844248">
      <w:bodyDiv w:val="1"/>
      <w:marLeft w:val="0"/>
      <w:marRight w:val="0"/>
      <w:marTop w:val="0"/>
      <w:marBottom w:val="0"/>
      <w:divBdr>
        <w:top w:val="none" w:sz="0" w:space="0" w:color="auto"/>
        <w:left w:val="none" w:sz="0" w:space="0" w:color="auto"/>
        <w:bottom w:val="none" w:sz="0" w:space="0" w:color="auto"/>
        <w:right w:val="none" w:sz="0" w:space="0" w:color="auto"/>
      </w:divBdr>
    </w:div>
    <w:div w:id="680206906">
      <w:bodyDiv w:val="1"/>
      <w:marLeft w:val="0"/>
      <w:marRight w:val="0"/>
      <w:marTop w:val="0"/>
      <w:marBottom w:val="0"/>
      <w:divBdr>
        <w:top w:val="none" w:sz="0" w:space="0" w:color="auto"/>
        <w:left w:val="none" w:sz="0" w:space="0" w:color="auto"/>
        <w:bottom w:val="none" w:sz="0" w:space="0" w:color="auto"/>
        <w:right w:val="none" w:sz="0" w:space="0" w:color="auto"/>
      </w:divBdr>
    </w:div>
    <w:div w:id="693196067">
      <w:bodyDiv w:val="1"/>
      <w:marLeft w:val="0"/>
      <w:marRight w:val="0"/>
      <w:marTop w:val="0"/>
      <w:marBottom w:val="0"/>
      <w:divBdr>
        <w:top w:val="none" w:sz="0" w:space="0" w:color="auto"/>
        <w:left w:val="none" w:sz="0" w:space="0" w:color="auto"/>
        <w:bottom w:val="none" w:sz="0" w:space="0" w:color="auto"/>
        <w:right w:val="none" w:sz="0" w:space="0" w:color="auto"/>
      </w:divBdr>
    </w:div>
    <w:div w:id="694039428">
      <w:bodyDiv w:val="1"/>
      <w:marLeft w:val="0"/>
      <w:marRight w:val="0"/>
      <w:marTop w:val="0"/>
      <w:marBottom w:val="0"/>
      <w:divBdr>
        <w:top w:val="none" w:sz="0" w:space="0" w:color="auto"/>
        <w:left w:val="none" w:sz="0" w:space="0" w:color="auto"/>
        <w:bottom w:val="none" w:sz="0" w:space="0" w:color="auto"/>
        <w:right w:val="none" w:sz="0" w:space="0" w:color="auto"/>
      </w:divBdr>
    </w:div>
    <w:div w:id="734938503">
      <w:bodyDiv w:val="1"/>
      <w:marLeft w:val="0"/>
      <w:marRight w:val="0"/>
      <w:marTop w:val="0"/>
      <w:marBottom w:val="0"/>
      <w:divBdr>
        <w:top w:val="none" w:sz="0" w:space="0" w:color="auto"/>
        <w:left w:val="none" w:sz="0" w:space="0" w:color="auto"/>
        <w:bottom w:val="none" w:sz="0" w:space="0" w:color="auto"/>
        <w:right w:val="none" w:sz="0" w:space="0" w:color="auto"/>
      </w:divBdr>
    </w:div>
    <w:div w:id="737360079">
      <w:bodyDiv w:val="1"/>
      <w:marLeft w:val="0"/>
      <w:marRight w:val="0"/>
      <w:marTop w:val="0"/>
      <w:marBottom w:val="0"/>
      <w:divBdr>
        <w:top w:val="none" w:sz="0" w:space="0" w:color="auto"/>
        <w:left w:val="none" w:sz="0" w:space="0" w:color="auto"/>
        <w:bottom w:val="none" w:sz="0" w:space="0" w:color="auto"/>
        <w:right w:val="none" w:sz="0" w:space="0" w:color="auto"/>
      </w:divBdr>
    </w:div>
    <w:div w:id="739525723">
      <w:bodyDiv w:val="1"/>
      <w:marLeft w:val="0"/>
      <w:marRight w:val="0"/>
      <w:marTop w:val="0"/>
      <w:marBottom w:val="0"/>
      <w:divBdr>
        <w:top w:val="none" w:sz="0" w:space="0" w:color="auto"/>
        <w:left w:val="none" w:sz="0" w:space="0" w:color="auto"/>
        <w:bottom w:val="none" w:sz="0" w:space="0" w:color="auto"/>
        <w:right w:val="none" w:sz="0" w:space="0" w:color="auto"/>
      </w:divBdr>
    </w:div>
    <w:div w:id="748305046">
      <w:bodyDiv w:val="1"/>
      <w:marLeft w:val="0"/>
      <w:marRight w:val="0"/>
      <w:marTop w:val="0"/>
      <w:marBottom w:val="0"/>
      <w:divBdr>
        <w:top w:val="none" w:sz="0" w:space="0" w:color="auto"/>
        <w:left w:val="none" w:sz="0" w:space="0" w:color="auto"/>
        <w:bottom w:val="none" w:sz="0" w:space="0" w:color="auto"/>
        <w:right w:val="none" w:sz="0" w:space="0" w:color="auto"/>
      </w:divBdr>
      <w:divsChild>
        <w:div w:id="1686979253">
          <w:marLeft w:val="0"/>
          <w:marRight w:val="0"/>
          <w:marTop w:val="0"/>
          <w:marBottom w:val="0"/>
          <w:divBdr>
            <w:top w:val="none" w:sz="0" w:space="0" w:color="auto"/>
            <w:left w:val="none" w:sz="0" w:space="0" w:color="auto"/>
            <w:bottom w:val="none" w:sz="0" w:space="0" w:color="auto"/>
            <w:right w:val="none" w:sz="0" w:space="0" w:color="auto"/>
          </w:divBdr>
          <w:divsChild>
            <w:div w:id="798643035">
              <w:marLeft w:val="0"/>
              <w:marRight w:val="0"/>
              <w:marTop w:val="0"/>
              <w:marBottom w:val="0"/>
              <w:divBdr>
                <w:top w:val="none" w:sz="0" w:space="0" w:color="auto"/>
                <w:left w:val="none" w:sz="0" w:space="0" w:color="auto"/>
                <w:bottom w:val="none" w:sz="0" w:space="0" w:color="auto"/>
                <w:right w:val="none" w:sz="0" w:space="0" w:color="auto"/>
              </w:divBdr>
              <w:divsChild>
                <w:div w:id="20296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203265">
      <w:bodyDiv w:val="1"/>
      <w:marLeft w:val="0"/>
      <w:marRight w:val="0"/>
      <w:marTop w:val="0"/>
      <w:marBottom w:val="0"/>
      <w:divBdr>
        <w:top w:val="none" w:sz="0" w:space="0" w:color="auto"/>
        <w:left w:val="none" w:sz="0" w:space="0" w:color="auto"/>
        <w:bottom w:val="none" w:sz="0" w:space="0" w:color="auto"/>
        <w:right w:val="none" w:sz="0" w:space="0" w:color="auto"/>
      </w:divBdr>
    </w:div>
    <w:div w:id="764153596">
      <w:bodyDiv w:val="1"/>
      <w:marLeft w:val="0"/>
      <w:marRight w:val="0"/>
      <w:marTop w:val="0"/>
      <w:marBottom w:val="0"/>
      <w:divBdr>
        <w:top w:val="none" w:sz="0" w:space="0" w:color="auto"/>
        <w:left w:val="none" w:sz="0" w:space="0" w:color="auto"/>
        <w:bottom w:val="none" w:sz="0" w:space="0" w:color="auto"/>
        <w:right w:val="none" w:sz="0" w:space="0" w:color="auto"/>
      </w:divBdr>
    </w:div>
    <w:div w:id="775054643">
      <w:bodyDiv w:val="1"/>
      <w:marLeft w:val="0"/>
      <w:marRight w:val="0"/>
      <w:marTop w:val="0"/>
      <w:marBottom w:val="0"/>
      <w:divBdr>
        <w:top w:val="none" w:sz="0" w:space="0" w:color="auto"/>
        <w:left w:val="none" w:sz="0" w:space="0" w:color="auto"/>
        <w:bottom w:val="none" w:sz="0" w:space="0" w:color="auto"/>
        <w:right w:val="none" w:sz="0" w:space="0" w:color="auto"/>
      </w:divBdr>
    </w:div>
    <w:div w:id="779450062">
      <w:bodyDiv w:val="1"/>
      <w:marLeft w:val="0"/>
      <w:marRight w:val="0"/>
      <w:marTop w:val="0"/>
      <w:marBottom w:val="0"/>
      <w:divBdr>
        <w:top w:val="none" w:sz="0" w:space="0" w:color="auto"/>
        <w:left w:val="none" w:sz="0" w:space="0" w:color="auto"/>
        <w:bottom w:val="none" w:sz="0" w:space="0" w:color="auto"/>
        <w:right w:val="none" w:sz="0" w:space="0" w:color="auto"/>
      </w:divBdr>
    </w:div>
    <w:div w:id="779567948">
      <w:bodyDiv w:val="1"/>
      <w:marLeft w:val="0"/>
      <w:marRight w:val="0"/>
      <w:marTop w:val="0"/>
      <w:marBottom w:val="0"/>
      <w:divBdr>
        <w:top w:val="none" w:sz="0" w:space="0" w:color="auto"/>
        <w:left w:val="none" w:sz="0" w:space="0" w:color="auto"/>
        <w:bottom w:val="none" w:sz="0" w:space="0" w:color="auto"/>
        <w:right w:val="none" w:sz="0" w:space="0" w:color="auto"/>
      </w:divBdr>
    </w:div>
    <w:div w:id="791285514">
      <w:bodyDiv w:val="1"/>
      <w:marLeft w:val="0"/>
      <w:marRight w:val="0"/>
      <w:marTop w:val="0"/>
      <w:marBottom w:val="0"/>
      <w:divBdr>
        <w:top w:val="none" w:sz="0" w:space="0" w:color="auto"/>
        <w:left w:val="none" w:sz="0" w:space="0" w:color="auto"/>
        <w:bottom w:val="none" w:sz="0" w:space="0" w:color="auto"/>
        <w:right w:val="none" w:sz="0" w:space="0" w:color="auto"/>
      </w:divBdr>
    </w:div>
    <w:div w:id="798961098">
      <w:bodyDiv w:val="1"/>
      <w:marLeft w:val="0"/>
      <w:marRight w:val="0"/>
      <w:marTop w:val="0"/>
      <w:marBottom w:val="0"/>
      <w:divBdr>
        <w:top w:val="none" w:sz="0" w:space="0" w:color="auto"/>
        <w:left w:val="none" w:sz="0" w:space="0" w:color="auto"/>
        <w:bottom w:val="none" w:sz="0" w:space="0" w:color="auto"/>
        <w:right w:val="none" w:sz="0" w:space="0" w:color="auto"/>
      </w:divBdr>
    </w:div>
    <w:div w:id="810093393">
      <w:bodyDiv w:val="1"/>
      <w:marLeft w:val="0"/>
      <w:marRight w:val="0"/>
      <w:marTop w:val="0"/>
      <w:marBottom w:val="0"/>
      <w:divBdr>
        <w:top w:val="none" w:sz="0" w:space="0" w:color="auto"/>
        <w:left w:val="none" w:sz="0" w:space="0" w:color="auto"/>
        <w:bottom w:val="none" w:sz="0" w:space="0" w:color="auto"/>
        <w:right w:val="none" w:sz="0" w:space="0" w:color="auto"/>
      </w:divBdr>
    </w:div>
    <w:div w:id="815028500">
      <w:bodyDiv w:val="1"/>
      <w:marLeft w:val="0"/>
      <w:marRight w:val="0"/>
      <w:marTop w:val="0"/>
      <w:marBottom w:val="0"/>
      <w:divBdr>
        <w:top w:val="none" w:sz="0" w:space="0" w:color="auto"/>
        <w:left w:val="none" w:sz="0" w:space="0" w:color="auto"/>
        <w:bottom w:val="none" w:sz="0" w:space="0" w:color="auto"/>
        <w:right w:val="none" w:sz="0" w:space="0" w:color="auto"/>
      </w:divBdr>
    </w:div>
    <w:div w:id="818768138">
      <w:bodyDiv w:val="1"/>
      <w:marLeft w:val="0"/>
      <w:marRight w:val="0"/>
      <w:marTop w:val="0"/>
      <w:marBottom w:val="0"/>
      <w:divBdr>
        <w:top w:val="none" w:sz="0" w:space="0" w:color="auto"/>
        <w:left w:val="none" w:sz="0" w:space="0" w:color="auto"/>
        <w:bottom w:val="none" w:sz="0" w:space="0" w:color="auto"/>
        <w:right w:val="none" w:sz="0" w:space="0" w:color="auto"/>
      </w:divBdr>
    </w:div>
    <w:div w:id="850489483">
      <w:bodyDiv w:val="1"/>
      <w:marLeft w:val="0"/>
      <w:marRight w:val="0"/>
      <w:marTop w:val="0"/>
      <w:marBottom w:val="0"/>
      <w:divBdr>
        <w:top w:val="none" w:sz="0" w:space="0" w:color="auto"/>
        <w:left w:val="none" w:sz="0" w:space="0" w:color="auto"/>
        <w:bottom w:val="none" w:sz="0" w:space="0" w:color="auto"/>
        <w:right w:val="none" w:sz="0" w:space="0" w:color="auto"/>
      </w:divBdr>
    </w:div>
    <w:div w:id="880361070">
      <w:bodyDiv w:val="1"/>
      <w:marLeft w:val="0"/>
      <w:marRight w:val="0"/>
      <w:marTop w:val="0"/>
      <w:marBottom w:val="0"/>
      <w:divBdr>
        <w:top w:val="none" w:sz="0" w:space="0" w:color="auto"/>
        <w:left w:val="none" w:sz="0" w:space="0" w:color="auto"/>
        <w:bottom w:val="none" w:sz="0" w:space="0" w:color="auto"/>
        <w:right w:val="none" w:sz="0" w:space="0" w:color="auto"/>
      </w:divBdr>
    </w:div>
    <w:div w:id="907040089">
      <w:bodyDiv w:val="1"/>
      <w:marLeft w:val="0"/>
      <w:marRight w:val="0"/>
      <w:marTop w:val="0"/>
      <w:marBottom w:val="0"/>
      <w:divBdr>
        <w:top w:val="none" w:sz="0" w:space="0" w:color="auto"/>
        <w:left w:val="none" w:sz="0" w:space="0" w:color="auto"/>
        <w:bottom w:val="none" w:sz="0" w:space="0" w:color="auto"/>
        <w:right w:val="none" w:sz="0" w:space="0" w:color="auto"/>
      </w:divBdr>
    </w:div>
    <w:div w:id="914969657">
      <w:bodyDiv w:val="1"/>
      <w:marLeft w:val="0"/>
      <w:marRight w:val="0"/>
      <w:marTop w:val="0"/>
      <w:marBottom w:val="0"/>
      <w:divBdr>
        <w:top w:val="none" w:sz="0" w:space="0" w:color="auto"/>
        <w:left w:val="none" w:sz="0" w:space="0" w:color="auto"/>
        <w:bottom w:val="none" w:sz="0" w:space="0" w:color="auto"/>
        <w:right w:val="none" w:sz="0" w:space="0" w:color="auto"/>
      </w:divBdr>
    </w:div>
    <w:div w:id="924994763">
      <w:bodyDiv w:val="1"/>
      <w:marLeft w:val="0"/>
      <w:marRight w:val="0"/>
      <w:marTop w:val="0"/>
      <w:marBottom w:val="0"/>
      <w:divBdr>
        <w:top w:val="none" w:sz="0" w:space="0" w:color="auto"/>
        <w:left w:val="none" w:sz="0" w:space="0" w:color="auto"/>
        <w:bottom w:val="none" w:sz="0" w:space="0" w:color="auto"/>
        <w:right w:val="none" w:sz="0" w:space="0" w:color="auto"/>
      </w:divBdr>
    </w:div>
    <w:div w:id="937366596">
      <w:bodyDiv w:val="1"/>
      <w:marLeft w:val="0"/>
      <w:marRight w:val="0"/>
      <w:marTop w:val="0"/>
      <w:marBottom w:val="0"/>
      <w:divBdr>
        <w:top w:val="none" w:sz="0" w:space="0" w:color="auto"/>
        <w:left w:val="none" w:sz="0" w:space="0" w:color="auto"/>
        <w:bottom w:val="none" w:sz="0" w:space="0" w:color="auto"/>
        <w:right w:val="none" w:sz="0" w:space="0" w:color="auto"/>
      </w:divBdr>
    </w:div>
    <w:div w:id="963655565">
      <w:bodyDiv w:val="1"/>
      <w:marLeft w:val="0"/>
      <w:marRight w:val="0"/>
      <w:marTop w:val="0"/>
      <w:marBottom w:val="0"/>
      <w:divBdr>
        <w:top w:val="none" w:sz="0" w:space="0" w:color="auto"/>
        <w:left w:val="none" w:sz="0" w:space="0" w:color="auto"/>
        <w:bottom w:val="none" w:sz="0" w:space="0" w:color="auto"/>
        <w:right w:val="none" w:sz="0" w:space="0" w:color="auto"/>
      </w:divBdr>
    </w:div>
    <w:div w:id="965698574">
      <w:bodyDiv w:val="1"/>
      <w:marLeft w:val="0"/>
      <w:marRight w:val="0"/>
      <w:marTop w:val="0"/>
      <w:marBottom w:val="0"/>
      <w:divBdr>
        <w:top w:val="none" w:sz="0" w:space="0" w:color="auto"/>
        <w:left w:val="none" w:sz="0" w:space="0" w:color="auto"/>
        <w:bottom w:val="none" w:sz="0" w:space="0" w:color="auto"/>
        <w:right w:val="none" w:sz="0" w:space="0" w:color="auto"/>
      </w:divBdr>
      <w:divsChild>
        <w:div w:id="1418209841">
          <w:marLeft w:val="0"/>
          <w:marRight w:val="0"/>
          <w:marTop w:val="0"/>
          <w:marBottom w:val="0"/>
          <w:divBdr>
            <w:top w:val="none" w:sz="0" w:space="0" w:color="auto"/>
            <w:left w:val="none" w:sz="0" w:space="0" w:color="auto"/>
            <w:bottom w:val="none" w:sz="0" w:space="0" w:color="auto"/>
            <w:right w:val="none" w:sz="0" w:space="0" w:color="auto"/>
          </w:divBdr>
          <w:divsChild>
            <w:div w:id="1526750347">
              <w:marLeft w:val="0"/>
              <w:marRight w:val="0"/>
              <w:marTop w:val="0"/>
              <w:marBottom w:val="0"/>
              <w:divBdr>
                <w:top w:val="none" w:sz="0" w:space="0" w:color="auto"/>
                <w:left w:val="none" w:sz="0" w:space="0" w:color="auto"/>
                <w:bottom w:val="none" w:sz="0" w:space="0" w:color="auto"/>
                <w:right w:val="none" w:sz="0" w:space="0" w:color="auto"/>
              </w:divBdr>
              <w:divsChild>
                <w:div w:id="98566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556888">
      <w:bodyDiv w:val="1"/>
      <w:marLeft w:val="0"/>
      <w:marRight w:val="0"/>
      <w:marTop w:val="0"/>
      <w:marBottom w:val="0"/>
      <w:divBdr>
        <w:top w:val="none" w:sz="0" w:space="0" w:color="auto"/>
        <w:left w:val="none" w:sz="0" w:space="0" w:color="auto"/>
        <w:bottom w:val="none" w:sz="0" w:space="0" w:color="auto"/>
        <w:right w:val="none" w:sz="0" w:space="0" w:color="auto"/>
      </w:divBdr>
    </w:div>
    <w:div w:id="998653283">
      <w:bodyDiv w:val="1"/>
      <w:marLeft w:val="0"/>
      <w:marRight w:val="0"/>
      <w:marTop w:val="0"/>
      <w:marBottom w:val="0"/>
      <w:divBdr>
        <w:top w:val="none" w:sz="0" w:space="0" w:color="auto"/>
        <w:left w:val="none" w:sz="0" w:space="0" w:color="auto"/>
        <w:bottom w:val="none" w:sz="0" w:space="0" w:color="auto"/>
        <w:right w:val="none" w:sz="0" w:space="0" w:color="auto"/>
      </w:divBdr>
      <w:divsChild>
        <w:div w:id="1953123488">
          <w:marLeft w:val="0"/>
          <w:marRight w:val="0"/>
          <w:marTop w:val="0"/>
          <w:marBottom w:val="0"/>
          <w:divBdr>
            <w:top w:val="none" w:sz="0" w:space="0" w:color="auto"/>
            <w:left w:val="none" w:sz="0" w:space="0" w:color="auto"/>
            <w:bottom w:val="none" w:sz="0" w:space="0" w:color="auto"/>
            <w:right w:val="none" w:sz="0" w:space="0" w:color="auto"/>
          </w:divBdr>
          <w:divsChild>
            <w:div w:id="1506555917">
              <w:marLeft w:val="0"/>
              <w:marRight w:val="0"/>
              <w:marTop w:val="0"/>
              <w:marBottom w:val="0"/>
              <w:divBdr>
                <w:top w:val="none" w:sz="0" w:space="0" w:color="auto"/>
                <w:left w:val="none" w:sz="0" w:space="0" w:color="auto"/>
                <w:bottom w:val="none" w:sz="0" w:space="0" w:color="auto"/>
                <w:right w:val="none" w:sz="0" w:space="0" w:color="auto"/>
              </w:divBdr>
              <w:divsChild>
                <w:div w:id="163086307">
                  <w:marLeft w:val="0"/>
                  <w:marRight w:val="0"/>
                  <w:marTop w:val="0"/>
                  <w:marBottom w:val="0"/>
                  <w:divBdr>
                    <w:top w:val="none" w:sz="0" w:space="0" w:color="auto"/>
                    <w:left w:val="none" w:sz="0" w:space="0" w:color="auto"/>
                    <w:bottom w:val="none" w:sz="0" w:space="0" w:color="auto"/>
                    <w:right w:val="none" w:sz="0" w:space="0" w:color="auto"/>
                  </w:divBdr>
                  <w:divsChild>
                    <w:div w:id="11008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116516">
      <w:bodyDiv w:val="1"/>
      <w:marLeft w:val="0"/>
      <w:marRight w:val="0"/>
      <w:marTop w:val="0"/>
      <w:marBottom w:val="0"/>
      <w:divBdr>
        <w:top w:val="none" w:sz="0" w:space="0" w:color="auto"/>
        <w:left w:val="none" w:sz="0" w:space="0" w:color="auto"/>
        <w:bottom w:val="none" w:sz="0" w:space="0" w:color="auto"/>
        <w:right w:val="none" w:sz="0" w:space="0" w:color="auto"/>
      </w:divBdr>
    </w:div>
    <w:div w:id="1008992527">
      <w:bodyDiv w:val="1"/>
      <w:marLeft w:val="0"/>
      <w:marRight w:val="0"/>
      <w:marTop w:val="0"/>
      <w:marBottom w:val="0"/>
      <w:divBdr>
        <w:top w:val="none" w:sz="0" w:space="0" w:color="auto"/>
        <w:left w:val="none" w:sz="0" w:space="0" w:color="auto"/>
        <w:bottom w:val="none" w:sz="0" w:space="0" w:color="auto"/>
        <w:right w:val="none" w:sz="0" w:space="0" w:color="auto"/>
      </w:divBdr>
      <w:divsChild>
        <w:div w:id="811337516">
          <w:marLeft w:val="0"/>
          <w:marRight w:val="0"/>
          <w:marTop w:val="0"/>
          <w:marBottom w:val="0"/>
          <w:divBdr>
            <w:top w:val="none" w:sz="0" w:space="0" w:color="auto"/>
            <w:left w:val="none" w:sz="0" w:space="0" w:color="auto"/>
            <w:bottom w:val="none" w:sz="0" w:space="0" w:color="auto"/>
            <w:right w:val="none" w:sz="0" w:space="0" w:color="auto"/>
          </w:divBdr>
          <w:divsChild>
            <w:div w:id="645279642">
              <w:marLeft w:val="0"/>
              <w:marRight w:val="0"/>
              <w:marTop w:val="0"/>
              <w:marBottom w:val="0"/>
              <w:divBdr>
                <w:top w:val="none" w:sz="0" w:space="0" w:color="auto"/>
                <w:left w:val="none" w:sz="0" w:space="0" w:color="auto"/>
                <w:bottom w:val="none" w:sz="0" w:space="0" w:color="auto"/>
                <w:right w:val="none" w:sz="0" w:space="0" w:color="auto"/>
              </w:divBdr>
              <w:divsChild>
                <w:div w:id="211532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534530">
      <w:bodyDiv w:val="1"/>
      <w:marLeft w:val="0"/>
      <w:marRight w:val="0"/>
      <w:marTop w:val="0"/>
      <w:marBottom w:val="0"/>
      <w:divBdr>
        <w:top w:val="none" w:sz="0" w:space="0" w:color="auto"/>
        <w:left w:val="none" w:sz="0" w:space="0" w:color="auto"/>
        <w:bottom w:val="none" w:sz="0" w:space="0" w:color="auto"/>
        <w:right w:val="none" w:sz="0" w:space="0" w:color="auto"/>
      </w:divBdr>
      <w:divsChild>
        <w:div w:id="845559173">
          <w:marLeft w:val="0"/>
          <w:marRight w:val="0"/>
          <w:marTop w:val="0"/>
          <w:marBottom w:val="0"/>
          <w:divBdr>
            <w:top w:val="none" w:sz="0" w:space="0" w:color="auto"/>
            <w:left w:val="none" w:sz="0" w:space="0" w:color="auto"/>
            <w:bottom w:val="none" w:sz="0" w:space="0" w:color="auto"/>
            <w:right w:val="none" w:sz="0" w:space="0" w:color="auto"/>
          </w:divBdr>
          <w:divsChild>
            <w:div w:id="1029911300">
              <w:marLeft w:val="0"/>
              <w:marRight w:val="0"/>
              <w:marTop w:val="0"/>
              <w:marBottom w:val="0"/>
              <w:divBdr>
                <w:top w:val="none" w:sz="0" w:space="0" w:color="auto"/>
                <w:left w:val="none" w:sz="0" w:space="0" w:color="auto"/>
                <w:bottom w:val="none" w:sz="0" w:space="0" w:color="auto"/>
                <w:right w:val="none" w:sz="0" w:space="0" w:color="auto"/>
              </w:divBdr>
              <w:divsChild>
                <w:div w:id="29853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784557">
      <w:bodyDiv w:val="1"/>
      <w:marLeft w:val="0"/>
      <w:marRight w:val="0"/>
      <w:marTop w:val="0"/>
      <w:marBottom w:val="0"/>
      <w:divBdr>
        <w:top w:val="none" w:sz="0" w:space="0" w:color="auto"/>
        <w:left w:val="none" w:sz="0" w:space="0" w:color="auto"/>
        <w:bottom w:val="none" w:sz="0" w:space="0" w:color="auto"/>
        <w:right w:val="none" w:sz="0" w:space="0" w:color="auto"/>
      </w:divBdr>
    </w:div>
    <w:div w:id="1043209320">
      <w:bodyDiv w:val="1"/>
      <w:marLeft w:val="0"/>
      <w:marRight w:val="0"/>
      <w:marTop w:val="0"/>
      <w:marBottom w:val="0"/>
      <w:divBdr>
        <w:top w:val="none" w:sz="0" w:space="0" w:color="auto"/>
        <w:left w:val="none" w:sz="0" w:space="0" w:color="auto"/>
        <w:bottom w:val="none" w:sz="0" w:space="0" w:color="auto"/>
        <w:right w:val="none" w:sz="0" w:space="0" w:color="auto"/>
      </w:divBdr>
    </w:div>
    <w:div w:id="1055083166">
      <w:bodyDiv w:val="1"/>
      <w:marLeft w:val="0"/>
      <w:marRight w:val="0"/>
      <w:marTop w:val="0"/>
      <w:marBottom w:val="0"/>
      <w:divBdr>
        <w:top w:val="none" w:sz="0" w:space="0" w:color="auto"/>
        <w:left w:val="none" w:sz="0" w:space="0" w:color="auto"/>
        <w:bottom w:val="none" w:sz="0" w:space="0" w:color="auto"/>
        <w:right w:val="none" w:sz="0" w:space="0" w:color="auto"/>
      </w:divBdr>
    </w:div>
    <w:div w:id="1055615880">
      <w:bodyDiv w:val="1"/>
      <w:marLeft w:val="0"/>
      <w:marRight w:val="0"/>
      <w:marTop w:val="0"/>
      <w:marBottom w:val="0"/>
      <w:divBdr>
        <w:top w:val="none" w:sz="0" w:space="0" w:color="auto"/>
        <w:left w:val="none" w:sz="0" w:space="0" w:color="auto"/>
        <w:bottom w:val="none" w:sz="0" w:space="0" w:color="auto"/>
        <w:right w:val="none" w:sz="0" w:space="0" w:color="auto"/>
      </w:divBdr>
    </w:div>
    <w:div w:id="1068067119">
      <w:bodyDiv w:val="1"/>
      <w:marLeft w:val="0"/>
      <w:marRight w:val="0"/>
      <w:marTop w:val="0"/>
      <w:marBottom w:val="0"/>
      <w:divBdr>
        <w:top w:val="none" w:sz="0" w:space="0" w:color="auto"/>
        <w:left w:val="none" w:sz="0" w:space="0" w:color="auto"/>
        <w:bottom w:val="none" w:sz="0" w:space="0" w:color="auto"/>
        <w:right w:val="none" w:sz="0" w:space="0" w:color="auto"/>
      </w:divBdr>
    </w:div>
    <w:div w:id="1077937589">
      <w:bodyDiv w:val="1"/>
      <w:marLeft w:val="0"/>
      <w:marRight w:val="0"/>
      <w:marTop w:val="0"/>
      <w:marBottom w:val="0"/>
      <w:divBdr>
        <w:top w:val="none" w:sz="0" w:space="0" w:color="auto"/>
        <w:left w:val="none" w:sz="0" w:space="0" w:color="auto"/>
        <w:bottom w:val="none" w:sz="0" w:space="0" w:color="auto"/>
        <w:right w:val="none" w:sz="0" w:space="0" w:color="auto"/>
      </w:divBdr>
    </w:div>
    <w:div w:id="1084718572">
      <w:bodyDiv w:val="1"/>
      <w:marLeft w:val="0"/>
      <w:marRight w:val="0"/>
      <w:marTop w:val="0"/>
      <w:marBottom w:val="0"/>
      <w:divBdr>
        <w:top w:val="none" w:sz="0" w:space="0" w:color="auto"/>
        <w:left w:val="none" w:sz="0" w:space="0" w:color="auto"/>
        <w:bottom w:val="none" w:sz="0" w:space="0" w:color="auto"/>
        <w:right w:val="none" w:sz="0" w:space="0" w:color="auto"/>
      </w:divBdr>
      <w:divsChild>
        <w:div w:id="254753241">
          <w:marLeft w:val="0"/>
          <w:marRight w:val="0"/>
          <w:marTop w:val="0"/>
          <w:marBottom w:val="0"/>
          <w:divBdr>
            <w:top w:val="none" w:sz="0" w:space="0" w:color="auto"/>
            <w:left w:val="none" w:sz="0" w:space="0" w:color="auto"/>
            <w:bottom w:val="none" w:sz="0" w:space="0" w:color="auto"/>
            <w:right w:val="none" w:sz="0" w:space="0" w:color="auto"/>
          </w:divBdr>
          <w:divsChild>
            <w:div w:id="129979141">
              <w:marLeft w:val="0"/>
              <w:marRight w:val="0"/>
              <w:marTop w:val="0"/>
              <w:marBottom w:val="0"/>
              <w:divBdr>
                <w:top w:val="none" w:sz="0" w:space="0" w:color="auto"/>
                <w:left w:val="none" w:sz="0" w:space="0" w:color="auto"/>
                <w:bottom w:val="none" w:sz="0" w:space="0" w:color="auto"/>
                <w:right w:val="none" w:sz="0" w:space="0" w:color="auto"/>
              </w:divBdr>
              <w:divsChild>
                <w:div w:id="639573688">
                  <w:marLeft w:val="0"/>
                  <w:marRight w:val="0"/>
                  <w:marTop w:val="0"/>
                  <w:marBottom w:val="0"/>
                  <w:divBdr>
                    <w:top w:val="none" w:sz="0" w:space="0" w:color="auto"/>
                    <w:left w:val="none" w:sz="0" w:space="0" w:color="auto"/>
                    <w:bottom w:val="none" w:sz="0" w:space="0" w:color="auto"/>
                    <w:right w:val="none" w:sz="0" w:space="0" w:color="auto"/>
                  </w:divBdr>
                  <w:divsChild>
                    <w:div w:id="10229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26076">
      <w:bodyDiv w:val="1"/>
      <w:marLeft w:val="0"/>
      <w:marRight w:val="0"/>
      <w:marTop w:val="0"/>
      <w:marBottom w:val="0"/>
      <w:divBdr>
        <w:top w:val="none" w:sz="0" w:space="0" w:color="auto"/>
        <w:left w:val="none" w:sz="0" w:space="0" w:color="auto"/>
        <w:bottom w:val="none" w:sz="0" w:space="0" w:color="auto"/>
        <w:right w:val="none" w:sz="0" w:space="0" w:color="auto"/>
      </w:divBdr>
    </w:div>
    <w:div w:id="1092163583">
      <w:bodyDiv w:val="1"/>
      <w:marLeft w:val="0"/>
      <w:marRight w:val="0"/>
      <w:marTop w:val="0"/>
      <w:marBottom w:val="0"/>
      <w:divBdr>
        <w:top w:val="none" w:sz="0" w:space="0" w:color="auto"/>
        <w:left w:val="none" w:sz="0" w:space="0" w:color="auto"/>
        <w:bottom w:val="none" w:sz="0" w:space="0" w:color="auto"/>
        <w:right w:val="none" w:sz="0" w:space="0" w:color="auto"/>
      </w:divBdr>
    </w:div>
    <w:div w:id="1135483628">
      <w:bodyDiv w:val="1"/>
      <w:marLeft w:val="0"/>
      <w:marRight w:val="0"/>
      <w:marTop w:val="0"/>
      <w:marBottom w:val="0"/>
      <w:divBdr>
        <w:top w:val="none" w:sz="0" w:space="0" w:color="auto"/>
        <w:left w:val="none" w:sz="0" w:space="0" w:color="auto"/>
        <w:bottom w:val="none" w:sz="0" w:space="0" w:color="auto"/>
        <w:right w:val="none" w:sz="0" w:space="0" w:color="auto"/>
      </w:divBdr>
    </w:div>
    <w:div w:id="1144276362">
      <w:bodyDiv w:val="1"/>
      <w:marLeft w:val="0"/>
      <w:marRight w:val="0"/>
      <w:marTop w:val="0"/>
      <w:marBottom w:val="0"/>
      <w:divBdr>
        <w:top w:val="none" w:sz="0" w:space="0" w:color="auto"/>
        <w:left w:val="none" w:sz="0" w:space="0" w:color="auto"/>
        <w:bottom w:val="none" w:sz="0" w:space="0" w:color="auto"/>
        <w:right w:val="none" w:sz="0" w:space="0" w:color="auto"/>
      </w:divBdr>
    </w:div>
    <w:div w:id="1150974421">
      <w:bodyDiv w:val="1"/>
      <w:marLeft w:val="0"/>
      <w:marRight w:val="0"/>
      <w:marTop w:val="0"/>
      <w:marBottom w:val="0"/>
      <w:divBdr>
        <w:top w:val="none" w:sz="0" w:space="0" w:color="auto"/>
        <w:left w:val="none" w:sz="0" w:space="0" w:color="auto"/>
        <w:bottom w:val="none" w:sz="0" w:space="0" w:color="auto"/>
        <w:right w:val="none" w:sz="0" w:space="0" w:color="auto"/>
      </w:divBdr>
    </w:div>
    <w:div w:id="1155604244">
      <w:bodyDiv w:val="1"/>
      <w:marLeft w:val="0"/>
      <w:marRight w:val="0"/>
      <w:marTop w:val="0"/>
      <w:marBottom w:val="0"/>
      <w:divBdr>
        <w:top w:val="none" w:sz="0" w:space="0" w:color="auto"/>
        <w:left w:val="none" w:sz="0" w:space="0" w:color="auto"/>
        <w:bottom w:val="none" w:sz="0" w:space="0" w:color="auto"/>
        <w:right w:val="none" w:sz="0" w:space="0" w:color="auto"/>
      </w:divBdr>
    </w:div>
    <w:div w:id="1162618589">
      <w:bodyDiv w:val="1"/>
      <w:marLeft w:val="0"/>
      <w:marRight w:val="0"/>
      <w:marTop w:val="0"/>
      <w:marBottom w:val="0"/>
      <w:divBdr>
        <w:top w:val="none" w:sz="0" w:space="0" w:color="auto"/>
        <w:left w:val="none" w:sz="0" w:space="0" w:color="auto"/>
        <w:bottom w:val="none" w:sz="0" w:space="0" w:color="auto"/>
        <w:right w:val="none" w:sz="0" w:space="0" w:color="auto"/>
      </w:divBdr>
    </w:div>
    <w:div w:id="1184442020">
      <w:bodyDiv w:val="1"/>
      <w:marLeft w:val="0"/>
      <w:marRight w:val="0"/>
      <w:marTop w:val="0"/>
      <w:marBottom w:val="0"/>
      <w:divBdr>
        <w:top w:val="none" w:sz="0" w:space="0" w:color="auto"/>
        <w:left w:val="none" w:sz="0" w:space="0" w:color="auto"/>
        <w:bottom w:val="none" w:sz="0" w:space="0" w:color="auto"/>
        <w:right w:val="none" w:sz="0" w:space="0" w:color="auto"/>
      </w:divBdr>
      <w:divsChild>
        <w:div w:id="2100172643">
          <w:marLeft w:val="0"/>
          <w:marRight w:val="0"/>
          <w:marTop w:val="0"/>
          <w:marBottom w:val="0"/>
          <w:divBdr>
            <w:top w:val="none" w:sz="0" w:space="0" w:color="auto"/>
            <w:left w:val="none" w:sz="0" w:space="0" w:color="auto"/>
            <w:bottom w:val="none" w:sz="0" w:space="0" w:color="auto"/>
            <w:right w:val="none" w:sz="0" w:space="0" w:color="auto"/>
          </w:divBdr>
          <w:divsChild>
            <w:div w:id="167060315">
              <w:marLeft w:val="0"/>
              <w:marRight w:val="0"/>
              <w:marTop w:val="0"/>
              <w:marBottom w:val="0"/>
              <w:divBdr>
                <w:top w:val="none" w:sz="0" w:space="0" w:color="auto"/>
                <w:left w:val="none" w:sz="0" w:space="0" w:color="auto"/>
                <w:bottom w:val="none" w:sz="0" w:space="0" w:color="auto"/>
                <w:right w:val="none" w:sz="0" w:space="0" w:color="auto"/>
              </w:divBdr>
              <w:divsChild>
                <w:div w:id="84976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226914">
      <w:bodyDiv w:val="1"/>
      <w:marLeft w:val="0"/>
      <w:marRight w:val="0"/>
      <w:marTop w:val="0"/>
      <w:marBottom w:val="0"/>
      <w:divBdr>
        <w:top w:val="none" w:sz="0" w:space="0" w:color="auto"/>
        <w:left w:val="none" w:sz="0" w:space="0" w:color="auto"/>
        <w:bottom w:val="none" w:sz="0" w:space="0" w:color="auto"/>
        <w:right w:val="none" w:sz="0" w:space="0" w:color="auto"/>
      </w:divBdr>
    </w:div>
    <w:div w:id="1204707211">
      <w:bodyDiv w:val="1"/>
      <w:marLeft w:val="0"/>
      <w:marRight w:val="0"/>
      <w:marTop w:val="0"/>
      <w:marBottom w:val="0"/>
      <w:divBdr>
        <w:top w:val="none" w:sz="0" w:space="0" w:color="auto"/>
        <w:left w:val="none" w:sz="0" w:space="0" w:color="auto"/>
        <w:bottom w:val="none" w:sz="0" w:space="0" w:color="auto"/>
        <w:right w:val="none" w:sz="0" w:space="0" w:color="auto"/>
      </w:divBdr>
    </w:div>
    <w:div w:id="1224752574">
      <w:bodyDiv w:val="1"/>
      <w:marLeft w:val="0"/>
      <w:marRight w:val="0"/>
      <w:marTop w:val="0"/>
      <w:marBottom w:val="0"/>
      <w:divBdr>
        <w:top w:val="none" w:sz="0" w:space="0" w:color="auto"/>
        <w:left w:val="none" w:sz="0" w:space="0" w:color="auto"/>
        <w:bottom w:val="none" w:sz="0" w:space="0" w:color="auto"/>
        <w:right w:val="none" w:sz="0" w:space="0" w:color="auto"/>
      </w:divBdr>
    </w:div>
    <w:div w:id="1226066293">
      <w:bodyDiv w:val="1"/>
      <w:marLeft w:val="0"/>
      <w:marRight w:val="0"/>
      <w:marTop w:val="0"/>
      <w:marBottom w:val="0"/>
      <w:divBdr>
        <w:top w:val="none" w:sz="0" w:space="0" w:color="auto"/>
        <w:left w:val="none" w:sz="0" w:space="0" w:color="auto"/>
        <w:bottom w:val="none" w:sz="0" w:space="0" w:color="auto"/>
        <w:right w:val="none" w:sz="0" w:space="0" w:color="auto"/>
      </w:divBdr>
    </w:div>
    <w:div w:id="1228416869">
      <w:bodyDiv w:val="1"/>
      <w:marLeft w:val="0"/>
      <w:marRight w:val="0"/>
      <w:marTop w:val="0"/>
      <w:marBottom w:val="0"/>
      <w:divBdr>
        <w:top w:val="none" w:sz="0" w:space="0" w:color="auto"/>
        <w:left w:val="none" w:sz="0" w:space="0" w:color="auto"/>
        <w:bottom w:val="none" w:sz="0" w:space="0" w:color="auto"/>
        <w:right w:val="none" w:sz="0" w:space="0" w:color="auto"/>
      </w:divBdr>
      <w:divsChild>
        <w:div w:id="1711224481">
          <w:marLeft w:val="0"/>
          <w:marRight w:val="0"/>
          <w:marTop w:val="0"/>
          <w:marBottom w:val="0"/>
          <w:divBdr>
            <w:top w:val="none" w:sz="0" w:space="0" w:color="auto"/>
            <w:left w:val="none" w:sz="0" w:space="0" w:color="auto"/>
            <w:bottom w:val="none" w:sz="0" w:space="0" w:color="auto"/>
            <w:right w:val="none" w:sz="0" w:space="0" w:color="auto"/>
          </w:divBdr>
          <w:divsChild>
            <w:div w:id="734861249">
              <w:marLeft w:val="0"/>
              <w:marRight w:val="0"/>
              <w:marTop w:val="0"/>
              <w:marBottom w:val="0"/>
              <w:divBdr>
                <w:top w:val="none" w:sz="0" w:space="0" w:color="auto"/>
                <w:left w:val="none" w:sz="0" w:space="0" w:color="auto"/>
                <w:bottom w:val="none" w:sz="0" w:space="0" w:color="auto"/>
                <w:right w:val="none" w:sz="0" w:space="0" w:color="auto"/>
              </w:divBdr>
              <w:divsChild>
                <w:div w:id="196739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933956">
      <w:bodyDiv w:val="1"/>
      <w:marLeft w:val="0"/>
      <w:marRight w:val="0"/>
      <w:marTop w:val="0"/>
      <w:marBottom w:val="0"/>
      <w:divBdr>
        <w:top w:val="none" w:sz="0" w:space="0" w:color="auto"/>
        <w:left w:val="none" w:sz="0" w:space="0" w:color="auto"/>
        <w:bottom w:val="none" w:sz="0" w:space="0" w:color="auto"/>
        <w:right w:val="none" w:sz="0" w:space="0" w:color="auto"/>
      </w:divBdr>
    </w:div>
    <w:div w:id="1289166936">
      <w:bodyDiv w:val="1"/>
      <w:marLeft w:val="0"/>
      <w:marRight w:val="0"/>
      <w:marTop w:val="0"/>
      <w:marBottom w:val="0"/>
      <w:divBdr>
        <w:top w:val="none" w:sz="0" w:space="0" w:color="auto"/>
        <w:left w:val="none" w:sz="0" w:space="0" w:color="auto"/>
        <w:bottom w:val="none" w:sz="0" w:space="0" w:color="auto"/>
        <w:right w:val="none" w:sz="0" w:space="0" w:color="auto"/>
      </w:divBdr>
    </w:div>
    <w:div w:id="1301880300">
      <w:bodyDiv w:val="1"/>
      <w:marLeft w:val="0"/>
      <w:marRight w:val="0"/>
      <w:marTop w:val="0"/>
      <w:marBottom w:val="0"/>
      <w:divBdr>
        <w:top w:val="none" w:sz="0" w:space="0" w:color="auto"/>
        <w:left w:val="none" w:sz="0" w:space="0" w:color="auto"/>
        <w:bottom w:val="none" w:sz="0" w:space="0" w:color="auto"/>
        <w:right w:val="none" w:sz="0" w:space="0" w:color="auto"/>
      </w:divBdr>
    </w:div>
    <w:div w:id="1314142172">
      <w:bodyDiv w:val="1"/>
      <w:marLeft w:val="0"/>
      <w:marRight w:val="0"/>
      <w:marTop w:val="0"/>
      <w:marBottom w:val="0"/>
      <w:divBdr>
        <w:top w:val="none" w:sz="0" w:space="0" w:color="auto"/>
        <w:left w:val="none" w:sz="0" w:space="0" w:color="auto"/>
        <w:bottom w:val="none" w:sz="0" w:space="0" w:color="auto"/>
        <w:right w:val="none" w:sz="0" w:space="0" w:color="auto"/>
      </w:divBdr>
    </w:div>
    <w:div w:id="1320772832">
      <w:bodyDiv w:val="1"/>
      <w:marLeft w:val="0"/>
      <w:marRight w:val="0"/>
      <w:marTop w:val="0"/>
      <w:marBottom w:val="0"/>
      <w:divBdr>
        <w:top w:val="none" w:sz="0" w:space="0" w:color="auto"/>
        <w:left w:val="none" w:sz="0" w:space="0" w:color="auto"/>
        <w:bottom w:val="none" w:sz="0" w:space="0" w:color="auto"/>
        <w:right w:val="none" w:sz="0" w:space="0" w:color="auto"/>
      </w:divBdr>
    </w:div>
    <w:div w:id="1321697089">
      <w:bodyDiv w:val="1"/>
      <w:marLeft w:val="0"/>
      <w:marRight w:val="0"/>
      <w:marTop w:val="0"/>
      <w:marBottom w:val="0"/>
      <w:divBdr>
        <w:top w:val="none" w:sz="0" w:space="0" w:color="auto"/>
        <w:left w:val="none" w:sz="0" w:space="0" w:color="auto"/>
        <w:bottom w:val="none" w:sz="0" w:space="0" w:color="auto"/>
        <w:right w:val="none" w:sz="0" w:space="0" w:color="auto"/>
      </w:divBdr>
    </w:div>
    <w:div w:id="1330134786">
      <w:bodyDiv w:val="1"/>
      <w:marLeft w:val="0"/>
      <w:marRight w:val="0"/>
      <w:marTop w:val="0"/>
      <w:marBottom w:val="0"/>
      <w:divBdr>
        <w:top w:val="none" w:sz="0" w:space="0" w:color="auto"/>
        <w:left w:val="none" w:sz="0" w:space="0" w:color="auto"/>
        <w:bottom w:val="none" w:sz="0" w:space="0" w:color="auto"/>
        <w:right w:val="none" w:sz="0" w:space="0" w:color="auto"/>
      </w:divBdr>
    </w:div>
    <w:div w:id="1338196706">
      <w:bodyDiv w:val="1"/>
      <w:marLeft w:val="0"/>
      <w:marRight w:val="0"/>
      <w:marTop w:val="0"/>
      <w:marBottom w:val="0"/>
      <w:divBdr>
        <w:top w:val="none" w:sz="0" w:space="0" w:color="auto"/>
        <w:left w:val="none" w:sz="0" w:space="0" w:color="auto"/>
        <w:bottom w:val="none" w:sz="0" w:space="0" w:color="auto"/>
        <w:right w:val="none" w:sz="0" w:space="0" w:color="auto"/>
      </w:divBdr>
    </w:div>
    <w:div w:id="1369179988">
      <w:bodyDiv w:val="1"/>
      <w:marLeft w:val="0"/>
      <w:marRight w:val="0"/>
      <w:marTop w:val="0"/>
      <w:marBottom w:val="0"/>
      <w:divBdr>
        <w:top w:val="none" w:sz="0" w:space="0" w:color="auto"/>
        <w:left w:val="none" w:sz="0" w:space="0" w:color="auto"/>
        <w:bottom w:val="none" w:sz="0" w:space="0" w:color="auto"/>
        <w:right w:val="none" w:sz="0" w:space="0" w:color="auto"/>
      </w:divBdr>
    </w:div>
    <w:div w:id="1374230749">
      <w:bodyDiv w:val="1"/>
      <w:marLeft w:val="0"/>
      <w:marRight w:val="0"/>
      <w:marTop w:val="0"/>
      <w:marBottom w:val="0"/>
      <w:divBdr>
        <w:top w:val="none" w:sz="0" w:space="0" w:color="auto"/>
        <w:left w:val="none" w:sz="0" w:space="0" w:color="auto"/>
        <w:bottom w:val="none" w:sz="0" w:space="0" w:color="auto"/>
        <w:right w:val="none" w:sz="0" w:space="0" w:color="auto"/>
      </w:divBdr>
    </w:div>
    <w:div w:id="1380396861">
      <w:bodyDiv w:val="1"/>
      <w:marLeft w:val="0"/>
      <w:marRight w:val="0"/>
      <w:marTop w:val="0"/>
      <w:marBottom w:val="0"/>
      <w:divBdr>
        <w:top w:val="none" w:sz="0" w:space="0" w:color="auto"/>
        <w:left w:val="none" w:sz="0" w:space="0" w:color="auto"/>
        <w:bottom w:val="none" w:sz="0" w:space="0" w:color="auto"/>
        <w:right w:val="none" w:sz="0" w:space="0" w:color="auto"/>
      </w:divBdr>
      <w:divsChild>
        <w:div w:id="1668631643">
          <w:marLeft w:val="0"/>
          <w:marRight w:val="0"/>
          <w:marTop w:val="0"/>
          <w:marBottom w:val="0"/>
          <w:divBdr>
            <w:top w:val="none" w:sz="0" w:space="0" w:color="auto"/>
            <w:left w:val="none" w:sz="0" w:space="0" w:color="auto"/>
            <w:bottom w:val="none" w:sz="0" w:space="0" w:color="auto"/>
            <w:right w:val="none" w:sz="0" w:space="0" w:color="auto"/>
          </w:divBdr>
          <w:divsChild>
            <w:div w:id="1355418944">
              <w:marLeft w:val="0"/>
              <w:marRight w:val="0"/>
              <w:marTop w:val="0"/>
              <w:marBottom w:val="0"/>
              <w:divBdr>
                <w:top w:val="none" w:sz="0" w:space="0" w:color="auto"/>
                <w:left w:val="none" w:sz="0" w:space="0" w:color="auto"/>
                <w:bottom w:val="none" w:sz="0" w:space="0" w:color="auto"/>
                <w:right w:val="none" w:sz="0" w:space="0" w:color="auto"/>
              </w:divBdr>
              <w:divsChild>
                <w:div w:id="74511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702075">
      <w:bodyDiv w:val="1"/>
      <w:marLeft w:val="0"/>
      <w:marRight w:val="0"/>
      <w:marTop w:val="0"/>
      <w:marBottom w:val="0"/>
      <w:divBdr>
        <w:top w:val="none" w:sz="0" w:space="0" w:color="auto"/>
        <w:left w:val="none" w:sz="0" w:space="0" w:color="auto"/>
        <w:bottom w:val="none" w:sz="0" w:space="0" w:color="auto"/>
        <w:right w:val="none" w:sz="0" w:space="0" w:color="auto"/>
      </w:divBdr>
    </w:div>
    <w:div w:id="1416896054">
      <w:bodyDiv w:val="1"/>
      <w:marLeft w:val="0"/>
      <w:marRight w:val="0"/>
      <w:marTop w:val="0"/>
      <w:marBottom w:val="0"/>
      <w:divBdr>
        <w:top w:val="none" w:sz="0" w:space="0" w:color="auto"/>
        <w:left w:val="none" w:sz="0" w:space="0" w:color="auto"/>
        <w:bottom w:val="none" w:sz="0" w:space="0" w:color="auto"/>
        <w:right w:val="none" w:sz="0" w:space="0" w:color="auto"/>
      </w:divBdr>
    </w:div>
    <w:div w:id="1424184638">
      <w:bodyDiv w:val="1"/>
      <w:marLeft w:val="0"/>
      <w:marRight w:val="0"/>
      <w:marTop w:val="0"/>
      <w:marBottom w:val="0"/>
      <w:divBdr>
        <w:top w:val="none" w:sz="0" w:space="0" w:color="auto"/>
        <w:left w:val="none" w:sz="0" w:space="0" w:color="auto"/>
        <w:bottom w:val="none" w:sz="0" w:space="0" w:color="auto"/>
        <w:right w:val="none" w:sz="0" w:space="0" w:color="auto"/>
      </w:divBdr>
    </w:div>
    <w:div w:id="1425495575">
      <w:bodyDiv w:val="1"/>
      <w:marLeft w:val="0"/>
      <w:marRight w:val="0"/>
      <w:marTop w:val="0"/>
      <w:marBottom w:val="0"/>
      <w:divBdr>
        <w:top w:val="none" w:sz="0" w:space="0" w:color="auto"/>
        <w:left w:val="none" w:sz="0" w:space="0" w:color="auto"/>
        <w:bottom w:val="none" w:sz="0" w:space="0" w:color="auto"/>
        <w:right w:val="none" w:sz="0" w:space="0" w:color="auto"/>
      </w:divBdr>
    </w:div>
    <w:div w:id="1444181514">
      <w:bodyDiv w:val="1"/>
      <w:marLeft w:val="0"/>
      <w:marRight w:val="0"/>
      <w:marTop w:val="0"/>
      <w:marBottom w:val="0"/>
      <w:divBdr>
        <w:top w:val="none" w:sz="0" w:space="0" w:color="auto"/>
        <w:left w:val="none" w:sz="0" w:space="0" w:color="auto"/>
        <w:bottom w:val="none" w:sz="0" w:space="0" w:color="auto"/>
        <w:right w:val="none" w:sz="0" w:space="0" w:color="auto"/>
      </w:divBdr>
    </w:div>
    <w:div w:id="1447313213">
      <w:bodyDiv w:val="1"/>
      <w:marLeft w:val="0"/>
      <w:marRight w:val="0"/>
      <w:marTop w:val="0"/>
      <w:marBottom w:val="0"/>
      <w:divBdr>
        <w:top w:val="none" w:sz="0" w:space="0" w:color="auto"/>
        <w:left w:val="none" w:sz="0" w:space="0" w:color="auto"/>
        <w:bottom w:val="none" w:sz="0" w:space="0" w:color="auto"/>
        <w:right w:val="none" w:sz="0" w:space="0" w:color="auto"/>
      </w:divBdr>
      <w:divsChild>
        <w:div w:id="231433899">
          <w:marLeft w:val="0"/>
          <w:marRight w:val="0"/>
          <w:marTop w:val="0"/>
          <w:marBottom w:val="0"/>
          <w:divBdr>
            <w:top w:val="none" w:sz="0" w:space="0" w:color="auto"/>
            <w:left w:val="none" w:sz="0" w:space="0" w:color="auto"/>
            <w:bottom w:val="none" w:sz="0" w:space="0" w:color="auto"/>
            <w:right w:val="none" w:sz="0" w:space="0" w:color="auto"/>
          </w:divBdr>
          <w:divsChild>
            <w:div w:id="374625002">
              <w:marLeft w:val="0"/>
              <w:marRight w:val="0"/>
              <w:marTop w:val="0"/>
              <w:marBottom w:val="0"/>
              <w:divBdr>
                <w:top w:val="none" w:sz="0" w:space="0" w:color="auto"/>
                <w:left w:val="none" w:sz="0" w:space="0" w:color="auto"/>
                <w:bottom w:val="none" w:sz="0" w:space="0" w:color="auto"/>
                <w:right w:val="none" w:sz="0" w:space="0" w:color="auto"/>
              </w:divBdr>
              <w:divsChild>
                <w:div w:id="1619489097">
                  <w:marLeft w:val="0"/>
                  <w:marRight w:val="0"/>
                  <w:marTop w:val="0"/>
                  <w:marBottom w:val="0"/>
                  <w:divBdr>
                    <w:top w:val="none" w:sz="0" w:space="0" w:color="auto"/>
                    <w:left w:val="none" w:sz="0" w:space="0" w:color="auto"/>
                    <w:bottom w:val="none" w:sz="0" w:space="0" w:color="auto"/>
                    <w:right w:val="none" w:sz="0" w:space="0" w:color="auto"/>
                  </w:divBdr>
                  <w:divsChild>
                    <w:div w:id="211845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7597">
      <w:bodyDiv w:val="1"/>
      <w:marLeft w:val="0"/>
      <w:marRight w:val="0"/>
      <w:marTop w:val="0"/>
      <w:marBottom w:val="0"/>
      <w:divBdr>
        <w:top w:val="none" w:sz="0" w:space="0" w:color="auto"/>
        <w:left w:val="none" w:sz="0" w:space="0" w:color="auto"/>
        <w:bottom w:val="none" w:sz="0" w:space="0" w:color="auto"/>
        <w:right w:val="none" w:sz="0" w:space="0" w:color="auto"/>
      </w:divBdr>
    </w:div>
    <w:div w:id="1485514344">
      <w:bodyDiv w:val="1"/>
      <w:marLeft w:val="0"/>
      <w:marRight w:val="0"/>
      <w:marTop w:val="0"/>
      <w:marBottom w:val="0"/>
      <w:divBdr>
        <w:top w:val="none" w:sz="0" w:space="0" w:color="auto"/>
        <w:left w:val="none" w:sz="0" w:space="0" w:color="auto"/>
        <w:bottom w:val="none" w:sz="0" w:space="0" w:color="auto"/>
        <w:right w:val="none" w:sz="0" w:space="0" w:color="auto"/>
      </w:divBdr>
    </w:div>
    <w:div w:id="1529028137">
      <w:bodyDiv w:val="1"/>
      <w:marLeft w:val="0"/>
      <w:marRight w:val="0"/>
      <w:marTop w:val="0"/>
      <w:marBottom w:val="0"/>
      <w:divBdr>
        <w:top w:val="none" w:sz="0" w:space="0" w:color="auto"/>
        <w:left w:val="none" w:sz="0" w:space="0" w:color="auto"/>
        <w:bottom w:val="none" w:sz="0" w:space="0" w:color="auto"/>
        <w:right w:val="none" w:sz="0" w:space="0" w:color="auto"/>
      </w:divBdr>
    </w:div>
    <w:div w:id="1535802197">
      <w:bodyDiv w:val="1"/>
      <w:marLeft w:val="0"/>
      <w:marRight w:val="0"/>
      <w:marTop w:val="0"/>
      <w:marBottom w:val="0"/>
      <w:divBdr>
        <w:top w:val="none" w:sz="0" w:space="0" w:color="auto"/>
        <w:left w:val="none" w:sz="0" w:space="0" w:color="auto"/>
        <w:bottom w:val="none" w:sz="0" w:space="0" w:color="auto"/>
        <w:right w:val="none" w:sz="0" w:space="0" w:color="auto"/>
      </w:divBdr>
    </w:div>
    <w:div w:id="1552576365">
      <w:bodyDiv w:val="1"/>
      <w:marLeft w:val="0"/>
      <w:marRight w:val="0"/>
      <w:marTop w:val="0"/>
      <w:marBottom w:val="0"/>
      <w:divBdr>
        <w:top w:val="none" w:sz="0" w:space="0" w:color="auto"/>
        <w:left w:val="none" w:sz="0" w:space="0" w:color="auto"/>
        <w:bottom w:val="none" w:sz="0" w:space="0" w:color="auto"/>
        <w:right w:val="none" w:sz="0" w:space="0" w:color="auto"/>
      </w:divBdr>
      <w:divsChild>
        <w:div w:id="1650865138">
          <w:marLeft w:val="0"/>
          <w:marRight w:val="0"/>
          <w:marTop w:val="0"/>
          <w:marBottom w:val="0"/>
          <w:divBdr>
            <w:top w:val="none" w:sz="0" w:space="0" w:color="auto"/>
            <w:left w:val="none" w:sz="0" w:space="0" w:color="auto"/>
            <w:bottom w:val="none" w:sz="0" w:space="0" w:color="auto"/>
            <w:right w:val="none" w:sz="0" w:space="0" w:color="auto"/>
          </w:divBdr>
          <w:divsChild>
            <w:div w:id="562834104">
              <w:marLeft w:val="0"/>
              <w:marRight w:val="0"/>
              <w:marTop w:val="0"/>
              <w:marBottom w:val="0"/>
              <w:divBdr>
                <w:top w:val="none" w:sz="0" w:space="0" w:color="auto"/>
                <w:left w:val="none" w:sz="0" w:space="0" w:color="auto"/>
                <w:bottom w:val="none" w:sz="0" w:space="0" w:color="auto"/>
                <w:right w:val="none" w:sz="0" w:space="0" w:color="auto"/>
              </w:divBdr>
              <w:divsChild>
                <w:div w:id="2001884317">
                  <w:marLeft w:val="0"/>
                  <w:marRight w:val="0"/>
                  <w:marTop w:val="0"/>
                  <w:marBottom w:val="0"/>
                  <w:divBdr>
                    <w:top w:val="none" w:sz="0" w:space="0" w:color="auto"/>
                    <w:left w:val="none" w:sz="0" w:space="0" w:color="auto"/>
                    <w:bottom w:val="none" w:sz="0" w:space="0" w:color="auto"/>
                    <w:right w:val="none" w:sz="0" w:space="0" w:color="auto"/>
                  </w:divBdr>
                  <w:divsChild>
                    <w:div w:id="13364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4746">
      <w:bodyDiv w:val="1"/>
      <w:marLeft w:val="0"/>
      <w:marRight w:val="0"/>
      <w:marTop w:val="0"/>
      <w:marBottom w:val="0"/>
      <w:divBdr>
        <w:top w:val="none" w:sz="0" w:space="0" w:color="auto"/>
        <w:left w:val="none" w:sz="0" w:space="0" w:color="auto"/>
        <w:bottom w:val="none" w:sz="0" w:space="0" w:color="auto"/>
        <w:right w:val="none" w:sz="0" w:space="0" w:color="auto"/>
      </w:divBdr>
      <w:divsChild>
        <w:div w:id="255404241">
          <w:marLeft w:val="0"/>
          <w:marRight w:val="0"/>
          <w:marTop w:val="0"/>
          <w:marBottom w:val="0"/>
          <w:divBdr>
            <w:top w:val="none" w:sz="0" w:space="0" w:color="auto"/>
            <w:left w:val="none" w:sz="0" w:space="0" w:color="auto"/>
            <w:bottom w:val="none" w:sz="0" w:space="0" w:color="auto"/>
            <w:right w:val="none" w:sz="0" w:space="0" w:color="auto"/>
          </w:divBdr>
          <w:divsChild>
            <w:div w:id="1164517412">
              <w:marLeft w:val="0"/>
              <w:marRight w:val="0"/>
              <w:marTop w:val="0"/>
              <w:marBottom w:val="0"/>
              <w:divBdr>
                <w:top w:val="none" w:sz="0" w:space="0" w:color="auto"/>
                <w:left w:val="none" w:sz="0" w:space="0" w:color="auto"/>
                <w:bottom w:val="none" w:sz="0" w:space="0" w:color="auto"/>
                <w:right w:val="none" w:sz="0" w:space="0" w:color="auto"/>
              </w:divBdr>
              <w:divsChild>
                <w:div w:id="78473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053">
      <w:bodyDiv w:val="1"/>
      <w:marLeft w:val="0"/>
      <w:marRight w:val="0"/>
      <w:marTop w:val="0"/>
      <w:marBottom w:val="0"/>
      <w:divBdr>
        <w:top w:val="none" w:sz="0" w:space="0" w:color="auto"/>
        <w:left w:val="none" w:sz="0" w:space="0" w:color="auto"/>
        <w:bottom w:val="none" w:sz="0" w:space="0" w:color="auto"/>
        <w:right w:val="none" w:sz="0" w:space="0" w:color="auto"/>
      </w:divBdr>
    </w:div>
    <w:div w:id="1579946254">
      <w:bodyDiv w:val="1"/>
      <w:marLeft w:val="0"/>
      <w:marRight w:val="0"/>
      <w:marTop w:val="0"/>
      <w:marBottom w:val="0"/>
      <w:divBdr>
        <w:top w:val="none" w:sz="0" w:space="0" w:color="auto"/>
        <w:left w:val="none" w:sz="0" w:space="0" w:color="auto"/>
        <w:bottom w:val="none" w:sz="0" w:space="0" w:color="auto"/>
        <w:right w:val="none" w:sz="0" w:space="0" w:color="auto"/>
      </w:divBdr>
    </w:div>
    <w:div w:id="1609072538">
      <w:bodyDiv w:val="1"/>
      <w:marLeft w:val="0"/>
      <w:marRight w:val="0"/>
      <w:marTop w:val="0"/>
      <w:marBottom w:val="0"/>
      <w:divBdr>
        <w:top w:val="none" w:sz="0" w:space="0" w:color="auto"/>
        <w:left w:val="none" w:sz="0" w:space="0" w:color="auto"/>
        <w:bottom w:val="none" w:sz="0" w:space="0" w:color="auto"/>
        <w:right w:val="none" w:sz="0" w:space="0" w:color="auto"/>
      </w:divBdr>
      <w:divsChild>
        <w:div w:id="1077633126">
          <w:marLeft w:val="0"/>
          <w:marRight w:val="0"/>
          <w:marTop w:val="0"/>
          <w:marBottom w:val="0"/>
          <w:divBdr>
            <w:top w:val="none" w:sz="0" w:space="0" w:color="auto"/>
            <w:left w:val="none" w:sz="0" w:space="0" w:color="auto"/>
            <w:bottom w:val="none" w:sz="0" w:space="0" w:color="auto"/>
            <w:right w:val="none" w:sz="0" w:space="0" w:color="auto"/>
          </w:divBdr>
          <w:divsChild>
            <w:div w:id="961957084">
              <w:marLeft w:val="0"/>
              <w:marRight w:val="0"/>
              <w:marTop w:val="0"/>
              <w:marBottom w:val="0"/>
              <w:divBdr>
                <w:top w:val="none" w:sz="0" w:space="0" w:color="auto"/>
                <w:left w:val="none" w:sz="0" w:space="0" w:color="auto"/>
                <w:bottom w:val="none" w:sz="0" w:space="0" w:color="auto"/>
                <w:right w:val="none" w:sz="0" w:space="0" w:color="auto"/>
              </w:divBdr>
              <w:divsChild>
                <w:div w:id="136328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470756">
      <w:bodyDiv w:val="1"/>
      <w:marLeft w:val="0"/>
      <w:marRight w:val="0"/>
      <w:marTop w:val="0"/>
      <w:marBottom w:val="0"/>
      <w:divBdr>
        <w:top w:val="none" w:sz="0" w:space="0" w:color="auto"/>
        <w:left w:val="none" w:sz="0" w:space="0" w:color="auto"/>
        <w:bottom w:val="none" w:sz="0" w:space="0" w:color="auto"/>
        <w:right w:val="none" w:sz="0" w:space="0" w:color="auto"/>
      </w:divBdr>
    </w:div>
    <w:div w:id="1613584562">
      <w:bodyDiv w:val="1"/>
      <w:marLeft w:val="0"/>
      <w:marRight w:val="0"/>
      <w:marTop w:val="0"/>
      <w:marBottom w:val="0"/>
      <w:divBdr>
        <w:top w:val="none" w:sz="0" w:space="0" w:color="auto"/>
        <w:left w:val="none" w:sz="0" w:space="0" w:color="auto"/>
        <w:bottom w:val="none" w:sz="0" w:space="0" w:color="auto"/>
        <w:right w:val="none" w:sz="0" w:space="0" w:color="auto"/>
      </w:divBdr>
      <w:divsChild>
        <w:div w:id="1962346015">
          <w:marLeft w:val="0"/>
          <w:marRight w:val="0"/>
          <w:marTop w:val="0"/>
          <w:marBottom w:val="0"/>
          <w:divBdr>
            <w:top w:val="none" w:sz="0" w:space="0" w:color="auto"/>
            <w:left w:val="none" w:sz="0" w:space="0" w:color="auto"/>
            <w:bottom w:val="none" w:sz="0" w:space="0" w:color="auto"/>
            <w:right w:val="none" w:sz="0" w:space="0" w:color="auto"/>
          </w:divBdr>
          <w:divsChild>
            <w:div w:id="99448887">
              <w:marLeft w:val="0"/>
              <w:marRight w:val="0"/>
              <w:marTop w:val="0"/>
              <w:marBottom w:val="0"/>
              <w:divBdr>
                <w:top w:val="none" w:sz="0" w:space="0" w:color="auto"/>
                <w:left w:val="none" w:sz="0" w:space="0" w:color="auto"/>
                <w:bottom w:val="none" w:sz="0" w:space="0" w:color="auto"/>
                <w:right w:val="none" w:sz="0" w:space="0" w:color="auto"/>
              </w:divBdr>
              <w:divsChild>
                <w:div w:id="160703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55489">
      <w:bodyDiv w:val="1"/>
      <w:marLeft w:val="0"/>
      <w:marRight w:val="0"/>
      <w:marTop w:val="0"/>
      <w:marBottom w:val="0"/>
      <w:divBdr>
        <w:top w:val="none" w:sz="0" w:space="0" w:color="auto"/>
        <w:left w:val="none" w:sz="0" w:space="0" w:color="auto"/>
        <w:bottom w:val="none" w:sz="0" w:space="0" w:color="auto"/>
        <w:right w:val="none" w:sz="0" w:space="0" w:color="auto"/>
      </w:divBdr>
    </w:div>
    <w:div w:id="1637373201">
      <w:bodyDiv w:val="1"/>
      <w:marLeft w:val="0"/>
      <w:marRight w:val="0"/>
      <w:marTop w:val="0"/>
      <w:marBottom w:val="0"/>
      <w:divBdr>
        <w:top w:val="none" w:sz="0" w:space="0" w:color="auto"/>
        <w:left w:val="none" w:sz="0" w:space="0" w:color="auto"/>
        <w:bottom w:val="none" w:sz="0" w:space="0" w:color="auto"/>
        <w:right w:val="none" w:sz="0" w:space="0" w:color="auto"/>
      </w:divBdr>
    </w:div>
    <w:div w:id="1650554661">
      <w:bodyDiv w:val="1"/>
      <w:marLeft w:val="0"/>
      <w:marRight w:val="0"/>
      <w:marTop w:val="0"/>
      <w:marBottom w:val="0"/>
      <w:divBdr>
        <w:top w:val="none" w:sz="0" w:space="0" w:color="auto"/>
        <w:left w:val="none" w:sz="0" w:space="0" w:color="auto"/>
        <w:bottom w:val="none" w:sz="0" w:space="0" w:color="auto"/>
        <w:right w:val="none" w:sz="0" w:space="0" w:color="auto"/>
      </w:divBdr>
    </w:div>
    <w:div w:id="1667980038">
      <w:bodyDiv w:val="1"/>
      <w:marLeft w:val="0"/>
      <w:marRight w:val="0"/>
      <w:marTop w:val="0"/>
      <w:marBottom w:val="0"/>
      <w:divBdr>
        <w:top w:val="none" w:sz="0" w:space="0" w:color="auto"/>
        <w:left w:val="none" w:sz="0" w:space="0" w:color="auto"/>
        <w:bottom w:val="none" w:sz="0" w:space="0" w:color="auto"/>
        <w:right w:val="none" w:sz="0" w:space="0" w:color="auto"/>
      </w:divBdr>
      <w:divsChild>
        <w:div w:id="790125523">
          <w:marLeft w:val="0"/>
          <w:marRight w:val="0"/>
          <w:marTop w:val="0"/>
          <w:marBottom w:val="0"/>
          <w:divBdr>
            <w:top w:val="none" w:sz="0" w:space="0" w:color="auto"/>
            <w:left w:val="none" w:sz="0" w:space="0" w:color="auto"/>
            <w:bottom w:val="none" w:sz="0" w:space="0" w:color="auto"/>
            <w:right w:val="none" w:sz="0" w:space="0" w:color="auto"/>
          </w:divBdr>
          <w:divsChild>
            <w:div w:id="10884749">
              <w:marLeft w:val="0"/>
              <w:marRight w:val="0"/>
              <w:marTop w:val="0"/>
              <w:marBottom w:val="0"/>
              <w:divBdr>
                <w:top w:val="none" w:sz="0" w:space="0" w:color="auto"/>
                <w:left w:val="none" w:sz="0" w:space="0" w:color="auto"/>
                <w:bottom w:val="none" w:sz="0" w:space="0" w:color="auto"/>
                <w:right w:val="none" w:sz="0" w:space="0" w:color="auto"/>
              </w:divBdr>
              <w:divsChild>
                <w:div w:id="36268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6342">
      <w:bodyDiv w:val="1"/>
      <w:marLeft w:val="0"/>
      <w:marRight w:val="0"/>
      <w:marTop w:val="0"/>
      <w:marBottom w:val="0"/>
      <w:divBdr>
        <w:top w:val="none" w:sz="0" w:space="0" w:color="auto"/>
        <w:left w:val="none" w:sz="0" w:space="0" w:color="auto"/>
        <w:bottom w:val="none" w:sz="0" w:space="0" w:color="auto"/>
        <w:right w:val="none" w:sz="0" w:space="0" w:color="auto"/>
      </w:divBdr>
    </w:div>
    <w:div w:id="1710182817">
      <w:bodyDiv w:val="1"/>
      <w:marLeft w:val="0"/>
      <w:marRight w:val="0"/>
      <w:marTop w:val="0"/>
      <w:marBottom w:val="0"/>
      <w:divBdr>
        <w:top w:val="none" w:sz="0" w:space="0" w:color="auto"/>
        <w:left w:val="none" w:sz="0" w:space="0" w:color="auto"/>
        <w:bottom w:val="none" w:sz="0" w:space="0" w:color="auto"/>
        <w:right w:val="none" w:sz="0" w:space="0" w:color="auto"/>
      </w:divBdr>
    </w:div>
    <w:div w:id="1730301461">
      <w:bodyDiv w:val="1"/>
      <w:marLeft w:val="0"/>
      <w:marRight w:val="0"/>
      <w:marTop w:val="0"/>
      <w:marBottom w:val="0"/>
      <w:divBdr>
        <w:top w:val="none" w:sz="0" w:space="0" w:color="auto"/>
        <w:left w:val="none" w:sz="0" w:space="0" w:color="auto"/>
        <w:bottom w:val="none" w:sz="0" w:space="0" w:color="auto"/>
        <w:right w:val="none" w:sz="0" w:space="0" w:color="auto"/>
      </w:divBdr>
      <w:divsChild>
        <w:div w:id="1255549387">
          <w:marLeft w:val="0"/>
          <w:marRight w:val="0"/>
          <w:marTop w:val="0"/>
          <w:marBottom w:val="0"/>
          <w:divBdr>
            <w:top w:val="none" w:sz="0" w:space="0" w:color="auto"/>
            <w:left w:val="none" w:sz="0" w:space="0" w:color="auto"/>
            <w:bottom w:val="none" w:sz="0" w:space="0" w:color="auto"/>
            <w:right w:val="none" w:sz="0" w:space="0" w:color="auto"/>
          </w:divBdr>
          <w:divsChild>
            <w:div w:id="151222309">
              <w:marLeft w:val="0"/>
              <w:marRight w:val="0"/>
              <w:marTop w:val="0"/>
              <w:marBottom w:val="0"/>
              <w:divBdr>
                <w:top w:val="none" w:sz="0" w:space="0" w:color="auto"/>
                <w:left w:val="none" w:sz="0" w:space="0" w:color="auto"/>
                <w:bottom w:val="none" w:sz="0" w:space="0" w:color="auto"/>
                <w:right w:val="none" w:sz="0" w:space="0" w:color="auto"/>
              </w:divBdr>
              <w:divsChild>
                <w:div w:id="1487015367">
                  <w:marLeft w:val="0"/>
                  <w:marRight w:val="0"/>
                  <w:marTop w:val="0"/>
                  <w:marBottom w:val="0"/>
                  <w:divBdr>
                    <w:top w:val="none" w:sz="0" w:space="0" w:color="auto"/>
                    <w:left w:val="none" w:sz="0" w:space="0" w:color="auto"/>
                    <w:bottom w:val="none" w:sz="0" w:space="0" w:color="auto"/>
                    <w:right w:val="none" w:sz="0" w:space="0" w:color="auto"/>
                  </w:divBdr>
                  <w:divsChild>
                    <w:div w:id="123084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928935">
      <w:bodyDiv w:val="1"/>
      <w:marLeft w:val="0"/>
      <w:marRight w:val="0"/>
      <w:marTop w:val="0"/>
      <w:marBottom w:val="0"/>
      <w:divBdr>
        <w:top w:val="none" w:sz="0" w:space="0" w:color="auto"/>
        <w:left w:val="none" w:sz="0" w:space="0" w:color="auto"/>
        <w:bottom w:val="none" w:sz="0" w:space="0" w:color="auto"/>
        <w:right w:val="none" w:sz="0" w:space="0" w:color="auto"/>
      </w:divBdr>
    </w:div>
    <w:div w:id="1743868551">
      <w:bodyDiv w:val="1"/>
      <w:marLeft w:val="0"/>
      <w:marRight w:val="0"/>
      <w:marTop w:val="0"/>
      <w:marBottom w:val="0"/>
      <w:divBdr>
        <w:top w:val="none" w:sz="0" w:space="0" w:color="auto"/>
        <w:left w:val="none" w:sz="0" w:space="0" w:color="auto"/>
        <w:bottom w:val="none" w:sz="0" w:space="0" w:color="auto"/>
        <w:right w:val="none" w:sz="0" w:space="0" w:color="auto"/>
      </w:divBdr>
      <w:divsChild>
        <w:div w:id="1787890518">
          <w:marLeft w:val="0"/>
          <w:marRight w:val="0"/>
          <w:marTop w:val="0"/>
          <w:marBottom w:val="0"/>
          <w:divBdr>
            <w:top w:val="none" w:sz="0" w:space="0" w:color="auto"/>
            <w:left w:val="none" w:sz="0" w:space="0" w:color="auto"/>
            <w:bottom w:val="none" w:sz="0" w:space="0" w:color="auto"/>
            <w:right w:val="none" w:sz="0" w:space="0" w:color="auto"/>
          </w:divBdr>
          <w:divsChild>
            <w:div w:id="274365515">
              <w:marLeft w:val="0"/>
              <w:marRight w:val="0"/>
              <w:marTop w:val="0"/>
              <w:marBottom w:val="0"/>
              <w:divBdr>
                <w:top w:val="none" w:sz="0" w:space="0" w:color="auto"/>
                <w:left w:val="none" w:sz="0" w:space="0" w:color="auto"/>
                <w:bottom w:val="none" w:sz="0" w:space="0" w:color="auto"/>
                <w:right w:val="none" w:sz="0" w:space="0" w:color="auto"/>
              </w:divBdr>
              <w:divsChild>
                <w:div w:id="829366134">
                  <w:marLeft w:val="0"/>
                  <w:marRight w:val="0"/>
                  <w:marTop w:val="0"/>
                  <w:marBottom w:val="0"/>
                  <w:divBdr>
                    <w:top w:val="none" w:sz="0" w:space="0" w:color="auto"/>
                    <w:left w:val="none" w:sz="0" w:space="0" w:color="auto"/>
                    <w:bottom w:val="none" w:sz="0" w:space="0" w:color="auto"/>
                    <w:right w:val="none" w:sz="0" w:space="0" w:color="auto"/>
                  </w:divBdr>
                  <w:divsChild>
                    <w:div w:id="210930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985729">
      <w:bodyDiv w:val="1"/>
      <w:marLeft w:val="0"/>
      <w:marRight w:val="0"/>
      <w:marTop w:val="0"/>
      <w:marBottom w:val="0"/>
      <w:divBdr>
        <w:top w:val="none" w:sz="0" w:space="0" w:color="auto"/>
        <w:left w:val="none" w:sz="0" w:space="0" w:color="auto"/>
        <w:bottom w:val="none" w:sz="0" w:space="0" w:color="auto"/>
        <w:right w:val="none" w:sz="0" w:space="0" w:color="auto"/>
      </w:divBdr>
    </w:div>
    <w:div w:id="1748532792">
      <w:bodyDiv w:val="1"/>
      <w:marLeft w:val="0"/>
      <w:marRight w:val="0"/>
      <w:marTop w:val="0"/>
      <w:marBottom w:val="0"/>
      <w:divBdr>
        <w:top w:val="none" w:sz="0" w:space="0" w:color="auto"/>
        <w:left w:val="none" w:sz="0" w:space="0" w:color="auto"/>
        <w:bottom w:val="none" w:sz="0" w:space="0" w:color="auto"/>
        <w:right w:val="none" w:sz="0" w:space="0" w:color="auto"/>
      </w:divBdr>
      <w:divsChild>
        <w:div w:id="1012336817">
          <w:marLeft w:val="0"/>
          <w:marRight w:val="0"/>
          <w:marTop w:val="0"/>
          <w:marBottom w:val="0"/>
          <w:divBdr>
            <w:top w:val="none" w:sz="0" w:space="0" w:color="auto"/>
            <w:left w:val="none" w:sz="0" w:space="0" w:color="auto"/>
            <w:bottom w:val="none" w:sz="0" w:space="0" w:color="auto"/>
            <w:right w:val="none" w:sz="0" w:space="0" w:color="auto"/>
          </w:divBdr>
          <w:divsChild>
            <w:div w:id="1916167400">
              <w:marLeft w:val="0"/>
              <w:marRight w:val="0"/>
              <w:marTop w:val="0"/>
              <w:marBottom w:val="0"/>
              <w:divBdr>
                <w:top w:val="none" w:sz="0" w:space="0" w:color="auto"/>
                <w:left w:val="none" w:sz="0" w:space="0" w:color="auto"/>
                <w:bottom w:val="none" w:sz="0" w:space="0" w:color="auto"/>
                <w:right w:val="none" w:sz="0" w:space="0" w:color="auto"/>
              </w:divBdr>
              <w:divsChild>
                <w:div w:id="194383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86171">
      <w:bodyDiv w:val="1"/>
      <w:marLeft w:val="0"/>
      <w:marRight w:val="0"/>
      <w:marTop w:val="0"/>
      <w:marBottom w:val="0"/>
      <w:divBdr>
        <w:top w:val="none" w:sz="0" w:space="0" w:color="auto"/>
        <w:left w:val="none" w:sz="0" w:space="0" w:color="auto"/>
        <w:bottom w:val="none" w:sz="0" w:space="0" w:color="auto"/>
        <w:right w:val="none" w:sz="0" w:space="0" w:color="auto"/>
      </w:divBdr>
      <w:divsChild>
        <w:div w:id="305162100">
          <w:marLeft w:val="0"/>
          <w:marRight w:val="0"/>
          <w:marTop w:val="0"/>
          <w:marBottom w:val="0"/>
          <w:divBdr>
            <w:top w:val="none" w:sz="0" w:space="0" w:color="auto"/>
            <w:left w:val="none" w:sz="0" w:space="0" w:color="auto"/>
            <w:bottom w:val="none" w:sz="0" w:space="0" w:color="auto"/>
            <w:right w:val="none" w:sz="0" w:space="0" w:color="auto"/>
          </w:divBdr>
          <w:divsChild>
            <w:div w:id="2084914308">
              <w:marLeft w:val="0"/>
              <w:marRight w:val="0"/>
              <w:marTop w:val="0"/>
              <w:marBottom w:val="0"/>
              <w:divBdr>
                <w:top w:val="none" w:sz="0" w:space="0" w:color="auto"/>
                <w:left w:val="none" w:sz="0" w:space="0" w:color="auto"/>
                <w:bottom w:val="none" w:sz="0" w:space="0" w:color="auto"/>
                <w:right w:val="none" w:sz="0" w:space="0" w:color="auto"/>
              </w:divBdr>
              <w:divsChild>
                <w:div w:id="95756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910181">
      <w:bodyDiv w:val="1"/>
      <w:marLeft w:val="0"/>
      <w:marRight w:val="0"/>
      <w:marTop w:val="0"/>
      <w:marBottom w:val="0"/>
      <w:divBdr>
        <w:top w:val="none" w:sz="0" w:space="0" w:color="auto"/>
        <w:left w:val="none" w:sz="0" w:space="0" w:color="auto"/>
        <w:bottom w:val="none" w:sz="0" w:space="0" w:color="auto"/>
        <w:right w:val="none" w:sz="0" w:space="0" w:color="auto"/>
      </w:divBdr>
    </w:div>
    <w:div w:id="1781871127">
      <w:bodyDiv w:val="1"/>
      <w:marLeft w:val="0"/>
      <w:marRight w:val="0"/>
      <w:marTop w:val="0"/>
      <w:marBottom w:val="0"/>
      <w:divBdr>
        <w:top w:val="none" w:sz="0" w:space="0" w:color="auto"/>
        <w:left w:val="none" w:sz="0" w:space="0" w:color="auto"/>
        <w:bottom w:val="none" w:sz="0" w:space="0" w:color="auto"/>
        <w:right w:val="none" w:sz="0" w:space="0" w:color="auto"/>
      </w:divBdr>
    </w:div>
    <w:div w:id="1794320792">
      <w:bodyDiv w:val="1"/>
      <w:marLeft w:val="0"/>
      <w:marRight w:val="0"/>
      <w:marTop w:val="0"/>
      <w:marBottom w:val="0"/>
      <w:divBdr>
        <w:top w:val="none" w:sz="0" w:space="0" w:color="auto"/>
        <w:left w:val="none" w:sz="0" w:space="0" w:color="auto"/>
        <w:bottom w:val="none" w:sz="0" w:space="0" w:color="auto"/>
        <w:right w:val="none" w:sz="0" w:space="0" w:color="auto"/>
      </w:divBdr>
    </w:div>
    <w:div w:id="1836341753">
      <w:bodyDiv w:val="1"/>
      <w:marLeft w:val="0"/>
      <w:marRight w:val="0"/>
      <w:marTop w:val="0"/>
      <w:marBottom w:val="0"/>
      <w:divBdr>
        <w:top w:val="none" w:sz="0" w:space="0" w:color="auto"/>
        <w:left w:val="none" w:sz="0" w:space="0" w:color="auto"/>
        <w:bottom w:val="none" w:sz="0" w:space="0" w:color="auto"/>
        <w:right w:val="none" w:sz="0" w:space="0" w:color="auto"/>
      </w:divBdr>
    </w:div>
    <w:div w:id="1841970611">
      <w:bodyDiv w:val="1"/>
      <w:marLeft w:val="0"/>
      <w:marRight w:val="0"/>
      <w:marTop w:val="0"/>
      <w:marBottom w:val="0"/>
      <w:divBdr>
        <w:top w:val="none" w:sz="0" w:space="0" w:color="auto"/>
        <w:left w:val="none" w:sz="0" w:space="0" w:color="auto"/>
        <w:bottom w:val="none" w:sz="0" w:space="0" w:color="auto"/>
        <w:right w:val="none" w:sz="0" w:space="0" w:color="auto"/>
      </w:divBdr>
    </w:div>
    <w:div w:id="1849176514">
      <w:bodyDiv w:val="1"/>
      <w:marLeft w:val="0"/>
      <w:marRight w:val="0"/>
      <w:marTop w:val="0"/>
      <w:marBottom w:val="0"/>
      <w:divBdr>
        <w:top w:val="none" w:sz="0" w:space="0" w:color="auto"/>
        <w:left w:val="none" w:sz="0" w:space="0" w:color="auto"/>
        <w:bottom w:val="none" w:sz="0" w:space="0" w:color="auto"/>
        <w:right w:val="none" w:sz="0" w:space="0" w:color="auto"/>
      </w:divBdr>
    </w:div>
    <w:div w:id="1879320924">
      <w:bodyDiv w:val="1"/>
      <w:marLeft w:val="0"/>
      <w:marRight w:val="0"/>
      <w:marTop w:val="0"/>
      <w:marBottom w:val="0"/>
      <w:divBdr>
        <w:top w:val="none" w:sz="0" w:space="0" w:color="auto"/>
        <w:left w:val="none" w:sz="0" w:space="0" w:color="auto"/>
        <w:bottom w:val="none" w:sz="0" w:space="0" w:color="auto"/>
        <w:right w:val="none" w:sz="0" w:space="0" w:color="auto"/>
      </w:divBdr>
    </w:div>
    <w:div w:id="1880822764">
      <w:bodyDiv w:val="1"/>
      <w:marLeft w:val="0"/>
      <w:marRight w:val="0"/>
      <w:marTop w:val="0"/>
      <w:marBottom w:val="0"/>
      <w:divBdr>
        <w:top w:val="none" w:sz="0" w:space="0" w:color="auto"/>
        <w:left w:val="none" w:sz="0" w:space="0" w:color="auto"/>
        <w:bottom w:val="none" w:sz="0" w:space="0" w:color="auto"/>
        <w:right w:val="none" w:sz="0" w:space="0" w:color="auto"/>
      </w:divBdr>
    </w:div>
    <w:div w:id="1894194432">
      <w:bodyDiv w:val="1"/>
      <w:marLeft w:val="0"/>
      <w:marRight w:val="0"/>
      <w:marTop w:val="0"/>
      <w:marBottom w:val="0"/>
      <w:divBdr>
        <w:top w:val="none" w:sz="0" w:space="0" w:color="auto"/>
        <w:left w:val="none" w:sz="0" w:space="0" w:color="auto"/>
        <w:bottom w:val="none" w:sz="0" w:space="0" w:color="auto"/>
        <w:right w:val="none" w:sz="0" w:space="0" w:color="auto"/>
      </w:divBdr>
    </w:div>
    <w:div w:id="1924754013">
      <w:bodyDiv w:val="1"/>
      <w:marLeft w:val="0"/>
      <w:marRight w:val="0"/>
      <w:marTop w:val="0"/>
      <w:marBottom w:val="0"/>
      <w:divBdr>
        <w:top w:val="none" w:sz="0" w:space="0" w:color="auto"/>
        <w:left w:val="none" w:sz="0" w:space="0" w:color="auto"/>
        <w:bottom w:val="none" w:sz="0" w:space="0" w:color="auto"/>
        <w:right w:val="none" w:sz="0" w:space="0" w:color="auto"/>
      </w:divBdr>
    </w:div>
    <w:div w:id="1935821965">
      <w:bodyDiv w:val="1"/>
      <w:marLeft w:val="0"/>
      <w:marRight w:val="0"/>
      <w:marTop w:val="0"/>
      <w:marBottom w:val="0"/>
      <w:divBdr>
        <w:top w:val="none" w:sz="0" w:space="0" w:color="auto"/>
        <w:left w:val="none" w:sz="0" w:space="0" w:color="auto"/>
        <w:bottom w:val="none" w:sz="0" w:space="0" w:color="auto"/>
        <w:right w:val="none" w:sz="0" w:space="0" w:color="auto"/>
      </w:divBdr>
    </w:div>
    <w:div w:id="1948193680">
      <w:bodyDiv w:val="1"/>
      <w:marLeft w:val="0"/>
      <w:marRight w:val="0"/>
      <w:marTop w:val="0"/>
      <w:marBottom w:val="0"/>
      <w:divBdr>
        <w:top w:val="none" w:sz="0" w:space="0" w:color="auto"/>
        <w:left w:val="none" w:sz="0" w:space="0" w:color="auto"/>
        <w:bottom w:val="none" w:sz="0" w:space="0" w:color="auto"/>
        <w:right w:val="none" w:sz="0" w:space="0" w:color="auto"/>
      </w:divBdr>
    </w:div>
    <w:div w:id="1950889830">
      <w:bodyDiv w:val="1"/>
      <w:marLeft w:val="0"/>
      <w:marRight w:val="0"/>
      <w:marTop w:val="0"/>
      <w:marBottom w:val="0"/>
      <w:divBdr>
        <w:top w:val="none" w:sz="0" w:space="0" w:color="auto"/>
        <w:left w:val="none" w:sz="0" w:space="0" w:color="auto"/>
        <w:bottom w:val="none" w:sz="0" w:space="0" w:color="auto"/>
        <w:right w:val="none" w:sz="0" w:space="0" w:color="auto"/>
      </w:divBdr>
    </w:div>
    <w:div w:id="1957640967">
      <w:bodyDiv w:val="1"/>
      <w:marLeft w:val="0"/>
      <w:marRight w:val="0"/>
      <w:marTop w:val="0"/>
      <w:marBottom w:val="0"/>
      <w:divBdr>
        <w:top w:val="none" w:sz="0" w:space="0" w:color="auto"/>
        <w:left w:val="none" w:sz="0" w:space="0" w:color="auto"/>
        <w:bottom w:val="none" w:sz="0" w:space="0" w:color="auto"/>
        <w:right w:val="none" w:sz="0" w:space="0" w:color="auto"/>
      </w:divBdr>
    </w:div>
    <w:div w:id="1964340158">
      <w:bodyDiv w:val="1"/>
      <w:marLeft w:val="0"/>
      <w:marRight w:val="0"/>
      <w:marTop w:val="0"/>
      <w:marBottom w:val="0"/>
      <w:divBdr>
        <w:top w:val="none" w:sz="0" w:space="0" w:color="auto"/>
        <w:left w:val="none" w:sz="0" w:space="0" w:color="auto"/>
        <w:bottom w:val="none" w:sz="0" w:space="0" w:color="auto"/>
        <w:right w:val="none" w:sz="0" w:space="0" w:color="auto"/>
      </w:divBdr>
      <w:divsChild>
        <w:div w:id="340622304">
          <w:marLeft w:val="0"/>
          <w:marRight w:val="0"/>
          <w:marTop w:val="0"/>
          <w:marBottom w:val="0"/>
          <w:divBdr>
            <w:top w:val="none" w:sz="0" w:space="0" w:color="auto"/>
            <w:left w:val="none" w:sz="0" w:space="0" w:color="auto"/>
            <w:bottom w:val="none" w:sz="0" w:space="0" w:color="auto"/>
            <w:right w:val="none" w:sz="0" w:space="0" w:color="auto"/>
          </w:divBdr>
          <w:divsChild>
            <w:div w:id="766653224">
              <w:marLeft w:val="0"/>
              <w:marRight w:val="0"/>
              <w:marTop w:val="0"/>
              <w:marBottom w:val="0"/>
              <w:divBdr>
                <w:top w:val="none" w:sz="0" w:space="0" w:color="auto"/>
                <w:left w:val="none" w:sz="0" w:space="0" w:color="auto"/>
                <w:bottom w:val="none" w:sz="0" w:space="0" w:color="auto"/>
                <w:right w:val="none" w:sz="0" w:space="0" w:color="auto"/>
              </w:divBdr>
              <w:divsChild>
                <w:div w:id="116451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963640">
      <w:bodyDiv w:val="1"/>
      <w:marLeft w:val="0"/>
      <w:marRight w:val="0"/>
      <w:marTop w:val="0"/>
      <w:marBottom w:val="0"/>
      <w:divBdr>
        <w:top w:val="none" w:sz="0" w:space="0" w:color="auto"/>
        <w:left w:val="none" w:sz="0" w:space="0" w:color="auto"/>
        <w:bottom w:val="none" w:sz="0" w:space="0" w:color="auto"/>
        <w:right w:val="none" w:sz="0" w:space="0" w:color="auto"/>
      </w:divBdr>
    </w:div>
    <w:div w:id="1970864194">
      <w:bodyDiv w:val="1"/>
      <w:marLeft w:val="0"/>
      <w:marRight w:val="0"/>
      <w:marTop w:val="0"/>
      <w:marBottom w:val="0"/>
      <w:divBdr>
        <w:top w:val="none" w:sz="0" w:space="0" w:color="auto"/>
        <w:left w:val="none" w:sz="0" w:space="0" w:color="auto"/>
        <w:bottom w:val="none" w:sz="0" w:space="0" w:color="auto"/>
        <w:right w:val="none" w:sz="0" w:space="0" w:color="auto"/>
      </w:divBdr>
      <w:divsChild>
        <w:div w:id="1248811551">
          <w:marLeft w:val="0"/>
          <w:marRight w:val="0"/>
          <w:marTop w:val="0"/>
          <w:marBottom w:val="0"/>
          <w:divBdr>
            <w:top w:val="none" w:sz="0" w:space="0" w:color="auto"/>
            <w:left w:val="none" w:sz="0" w:space="0" w:color="auto"/>
            <w:bottom w:val="none" w:sz="0" w:space="0" w:color="auto"/>
            <w:right w:val="none" w:sz="0" w:space="0" w:color="auto"/>
          </w:divBdr>
          <w:divsChild>
            <w:div w:id="929240998">
              <w:marLeft w:val="0"/>
              <w:marRight w:val="0"/>
              <w:marTop w:val="0"/>
              <w:marBottom w:val="0"/>
              <w:divBdr>
                <w:top w:val="none" w:sz="0" w:space="0" w:color="auto"/>
                <w:left w:val="none" w:sz="0" w:space="0" w:color="auto"/>
                <w:bottom w:val="none" w:sz="0" w:space="0" w:color="auto"/>
                <w:right w:val="none" w:sz="0" w:space="0" w:color="auto"/>
              </w:divBdr>
              <w:divsChild>
                <w:div w:id="383867978">
                  <w:marLeft w:val="0"/>
                  <w:marRight w:val="0"/>
                  <w:marTop w:val="0"/>
                  <w:marBottom w:val="0"/>
                  <w:divBdr>
                    <w:top w:val="none" w:sz="0" w:space="0" w:color="auto"/>
                    <w:left w:val="none" w:sz="0" w:space="0" w:color="auto"/>
                    <w:bottom w:val="none" w:sz="0" w:space="0" w:color="auto"/>
                    <w:right w:val="none" w:sz="0" w:space="0" w:color="auto"/>
                  </w:divBdr>
                  <w:divsChild>
                    <w:div w:id="49264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439642">
      <w:bodyDiv w:val="1"/>
      <w:marLeft w:val="0"/>
      <w:marRight w:val="0"/>
      <w:marTop w:val="0"/>
      <w:marBottom w:val="0"/>
      <w:divBdr>
        <w:top w:val="none" w:sz="0" w:space="0" w:color="auto"/>
        <w:left w:val="none" w:sz="0" w:space="0" w:color="auto"/>
        <w:bottom w:val="none" w:sz="0" w:space="0" w:color="auto"/>
        <w:right w:val="none" w:sz="0" w:space="0" w:color="auto"/>
      </w:divBdr>
    </w:div>
    <w:div w:id="1986277859">
      <w:bodyDiv w:val="1"/>
      <w:marLeft w:val="0"/>
      <w:marRight w:val="0"/>
      <w:marTop w:val="0"/>
      <w:marBottom w:val="0"/>
      <w:divBdr>
        <w:top w:val="none" w:sz="0" w:space="0" w:color="auto"/>
        <w:left w:val="none" w:sz="0" w:space="0" w:color="auto"/>
        <w:bottom w:val="none" w:sz="0" w:space="0" w:color="auto"/>
        <w:right w:val="none" w:sz="0" w:space="0" w:color="auto"/>
      </w:divBdr>
    </w:div>
    <w:div w:id="1999461354">
      <w:bodyDiv w:val="1"/>
      <w:marLeft w:val="0"/>
      <w:marRight w:val="0"/>
      <w:marTop w:val="0"/>
      <w:marBottom w:val="0"/>
      <w:divBdr>
        <w:top w:val="none" w:sz="0" w:space="0" w:color="auto"/>
        <w:left w:val="none" w:sz="0" w:space="0" w:color="auto"/>
        <w:bottom w:val="none" w:sz="0" w:space="0" w:color="auto"/>
        <w:right w:val="none" w:sz="0" w:space="0" w:color="auto"/>
      </w:divBdr>
      <w:divsChild>
        <w:div w:id="1335836953">
          <w:marLeft w:val="0"/>
          <w:marRight w:val="0"/>
          <w:marTop w:val="0"/>
          <w:marBottom w:val="0"/>
          <w:divBdr>
            <w:top w:val="none" w:sz="0" w:space="0" w:color="auto"/>
            <w:left w:val="none" w:sz="0" w:space="0" w:color="auto"/>
            <w:bottom w:val="none" w:sz="0" w:space="0" w:color="auto"/>
            <w:right w:val="none" w:sz="0" w:space="0" w:color="auto"/>
          </w:divBdr>
          <w:divsChild>
            <w:div w:id="672490722">
              <w:marLeft w:val="0"/>
              <w:marRight w:val="0"/>
              <w:marTop w:val="0"/>
              <w:marBottom w:val="0"/>
              <w:divBdr>
                <w:top w:val="none" w:sz="0" w:space="0" w:color="auto"/>
                <w:left w:val="none" w:sz="0" w:space="0" w:color="auto"/>
                <w:bottom w:val="none" w:sz="0" w:space="0" w:color="auto"/>
                <w:right w:val="none" w:sz="0" w:space="0" w:color="auto"/>
              </w:divBdr>
              <w:divsChild>
                <w:div w:id="1008825850">
                  <w:marLeft w:val="0"/>
                  <w:marRight w:val="0"/>
                  <w:marTop w:val="0"/>
                  <w:marBottom w:val="0"/>
                  <w:divBdr>
                    <w:top w:val="none" w:sz="0" w:space="0" w:color="auto"/>
                    <w:left w:val="none" w:sz="0" w:space="0" w:color="auto"/>
                    <w:bottom w:val="none" w:sz="0" w:space="0" w:color="auto"/>
                    <w:right w:val="none" w:sz="0" w:space="0" w:color="auto"/>
                  </w:divBdr>
                  <w:divsChild>
                    <w:div w:id="38398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492735">
      <w:bodyDiv w:val="1"/>
      <w:marLeft w:val="0"/>
      <w:marRight w:val="0"/>
      <w:marTop w:val="0"/>
      <w:marBottom w:val="0"/>
      <w:divBdr>
        <w:top w:val="none" w:sz="0" w:space="0" w:color="auto"/>
        <w:left w:val="none" w:sz="0" w:space="0" w:color="auto"/>
        <w:bottom w:val="none" w:sz="0" w:space="0" w:color="auto"/>
        <w:right w:val="none" w:sz="0" w:space="0" w:color="auto"/>
      </w:divBdr>
    </w:div>
    <w:div w:id="2026441248">
      <w:bodyDiv w:val="1"/>
      <w:marLeft w:val="0"/>
      <w:marRight w:val="0"/>
      <w:marTop w:val="0"/>
      <w:marBottom w:val="0"/>
      <w:divBdr>
        <w:top w:val="none" w:sz="0" w:space="0" w:color="auto"/>
        <w:left w:val="none" w:sz="0" w:space="0" w:color="auto"/>
        <w:bottom w:val="none" w:sz="0" w:space="0" w:color="auto"/>
        <w:right w:val="none" w:sz="0" w:space="0" w:color="auto"/>
      </w:divBdr>
      <w:divsChild>
        <w:div w:id="2083867743">
          <w:marLeft w:val="0"/>
          <w:marRight w:val="0"/>
          <w:marTop w:val="0"/>
          <w:marBottom w:val="0"/>
          <w:divBdr>
            <w:top w:val="none" w:sz="0" w:space="0" w:color="auto"/>
            <w:left w:val="none" w:sz="0" w:space="0" w:color="auto"/>
            <w:bottom w:val="none" w:sz="0" w:space="0" w:color="auto"/>
            <w:right w:val="none" w:sz="0" w:space="0" w:color="auto"/>
          </w:divBdr>
          <w:divsChild>
            <w:div w:id="2126651344">
              <w:marLeft w:val="0"/>
              <w:marRight w:val="0"/>
              <w:marTop w:val="0"/>
              <w:marBottom w:val="0"/>
              <w:divBdr>
                <w:top w:val="none" w:sz="0" w:space="0" w:color="auto"/>
                <w:left w:val="none" w:sz="0" w:space="0" w:color="auto"/>
                <w:bottom w:val="none" w:sz="0" w:space="0" w:color="auto"/>
                <w:right w:val="none" w:sz="0" w:space="0" w:color="auto"/>
              </w:divBdr>
              <w:divsChild>
                <w:div w:id="36159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530153">
      <w:bodyDiv w:val="1"/>
      <w:marLeft w:val="0"/>
      <w:marRight w:val="0"/>
      <w:marTop w:val="0"/>
      <w:marBottom w:val="0"/>
      <w:divBdr>
        <w:top w:val="none" w:sz="0" w:space="0" w:color="auto"/>
        <w:left w:val="none" w:sz="0" w:space="0" w:color="auto"/>
        <w:bottom w:val="none" w:sz="0" w:space="0" w:color="auto"/>
        <w:right w:val="none" w:sz="0" w:space="0" w:color="auto"/>
      </w:divBdr>
    </w:div>
    <w:div w:id="2041389475">
      <w:bodyDiv w:val="1"/>
      <w:marLeft w:val="0"/>
      <w:marRight w:val="0"/>
      <w:marTop w:val="0"/>
      <w:marBottom w:val="0"/>
      <w:divBdr>
        <w:top w:val="none" w:sz="0" w:space="0" w:color="auto"/>
        <w:left w:val="none" w:sz="0" w:space="0" w:color="auto"/>
        <w:bottom w:val="none" w:sz="0" w:space="0" w:color="auto"/>
        <w:right w:val="none" w:sz="0" w:space="0" w:color="auto"/>
      </w:divBdr>
    </w:div>
    <w:div w:id="2044358960">
      <w:bodyDiv w:val="1"/>
      <w:marLeft w:val="0"/>
      <w:marRight w:val="0"/>
      <w:marTop w:val="0"/>
      <w:marBottom w:val="0"/>
      <w:divBdr>
        <w:top w:val="none" w:sz="0" w:space="0" w:color="auto"/>
        <w:left w:val="none" w:sz="0" w:space="0" w:color="auto"/>
        <w:bottom w:val="none" w:sz="0" w:space="0" w:color="auto"/>
        <w:right w:val="none" w:sz="0" w:space="0" w:color="auto"/>
      </w:divBdr>
    </w:div>
    <w:div w:id="2052611421">
      <w:bodyDiv w:val="1"/>
      <w:marLeft w:val="0"/>
      <w:marRight w:val="0"/>
      <w:marTop w:val="0"/>
      <w:marBottom w:val="0"/>
      <w:divBdr>
        <w:top w:val="none" w:sz="0" w:space="0" w:color="auto"/>
        <w:left w:val="none" w:sz="0" w:space="0" w:color="auto"/>
        <w:bottom w:val="none" w:sz="0" w:space="0" w:color="auto"/>
        <w:right w:val="none" w:sz="0" w:space="0" w:color="auto"/>
      </w:divBdr>
    </w:div>
    <w:div w:id="2063861966">
      <w:bodyDiv w:val="1"/>
      <w:marLeft w:val="0"/>
      <w:marRight w:val="0"/>
      <w:marTop w:val="0"/>
      <w:marBottom w:val="0"/>
      <w:divBdr>
        <w:top w:val="none" w:sz="0" w:space="0" w:color="auto"/>
        <w:left w:val="none" w:sz="0" w:space="0" w:color="auto"/>
        <w:bottom w:val="none" w:sz="0" w:space="0" w:color="auto"/>
        <w:right w:val="none" w:sz="0" w:space="0" w:color="auto"/>
      </w:divBdr>
    </w:div>
    <w:div w:id="2102287327">
      <w:bodyDiv w:val="1"/>
      <w:marLeft w:val="0"/>
      <w:marRight w:val="0"/>
      <w:marTop w:val="0"/>
      <w:marBottom w:val="0"/>
      <w:divBdr>
        <w:top w:val="none" w:sz="0" w:space="0" w:color="auto"/>
        <w:left w:val="none" w:sz="0" w:space="0" w:color="auto"/>
        <w:bottom w:val="none" w:sz="0" w:space="0" w:color="auto"/>
        <w:right w:val="none" w:sz="0" w:space="0" w:color="auto"/>
      </w:divBdr>
    </w:div>
    <w:div w:id="2137407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06537C-0AE6-4E45-8D05-C6653A9CD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10</Pages>
  <Words>3477</Words>
  <Characters>19820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HPHI4903 –                     'Pathways To Evil': Genocide - History, Theory And Denial</vt:lpstr>
    </vt:vector>
  </TitlesOfParts>
  <Company/>
  <LinksUpToDate>false</LinksUpToDate>
  <CharactersWithSpaces>23251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HPHI4903 –                     'Pathways To Evil': Genocide - History, Theory And Denial</dc:title>
  <dc:subject>Assignment 1:                                                                       1000-word long literature review.</dc:subject>
  <dc:creator>Katie L Pullen-O’Brien</dc:creator>
  <cp:keywords/>
  <dc:description/>
  <cp:lastModifiedBy>Katie Pullen-O'Brien (2219958)</cp:lastModifiedBy>
  <cp:revision>17</cp:revision>
  <dcterms:created xsi:type="dcterms:W3CDTF">2025-07-28T11:43:00Z</dcterms:created>
  <dcterms:modified xsi:type="dcterms:W3CDTF">2025-07-30T22:56:00Z</dcterms:modified>
</cp:coreProperties>
</file>