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CAA266" w14:textId="48932133" w:rsidR="00F51ABE" w:rsidRPr="00095E5F" w:rsidRDefault="00F51ABE" w:rsidP="00095E5F">
      <w:r w:rsidRPr="00D61EE9">
        <w:rPr>
          <w:b/>
          <w:bCs/>
        </w:rPr>
        <w:t>Question: How rigid are the boundaries between Religious Studies and Theology</w:t>
      </w:r>
      <w:r w:rsidRPr="004554C0">
        <w:t xml:space="preserve">?   </w:t>
      </w:r>
      <w:r w:rsidRPr="00EE2209">
        <w:rPr>
          <w:b/>
          <w:bCs/>
        </w:rPr>
        <w:t xml:space="preserve">Should these boundaries be strengthened or relaxed?   </w:t>
      </w:r>
      <w:r w:rsidRPr="00EE2209">
        <w:t>Your</w:t>
      </w:r>
      <w:r w:rsidRPr="00EE2209">
        <w:rPr>
          <w:b/>
          <w:bCs/>
        </w:rPr>
        <w:t xml:space="preserve"> </w:t>
      </w:r>
      <w:r w:rsidRPr="004554C0">
        <w:t xml:space="preserve">answer should </w:t>
      </w:r>
      <w:r>
        <w:t>d</w:t>
      </w:r>
      <w:r w:rsidRPr="004554C0">
        <w:t>emonstrate understanding of arguments on both sides of the issue.</w:t>
      </w:r>
    </w:p>
    <w:p w14:paraId="75783DB4" w14:textId="5AF10AD3" w:rsidR="00FF6DCB" w:rsidRPr="00FF6DCB" w:rsidRDefault="00FF6DCB" w:rsidP="00510795">
      <w:pPr>
        <w:rPr>
          <w:b/>
          <w:bCs/>
          <w:u w:val="single"/>
        </w:rPr>
      </w:pPr>
    </w:p>
    <w:p w14:paraId="45358F24" w14:textId="3BAD3FEF" w:rsidR="00B22B4D" w:rsidRDefault="00066990" w:rsidP="00510795">
      <w:r>
        <w:t xml:space="preserve">When we </w:t>
      </w:r>
      <w:r w:rsidR="00A92EDC">
        <w:t xml:space="preserve">discuss ‘Theology’ and ‘Religious Studies’ as </w:t>
      </w:r>
      <w:r w:rsidR="000C469E">
        <w:t>academic disciplines</w:t>
      </w:r>
      <w:r w:rsidR="00A92EDC">
        <w:t>, we are referring to the</w:t>
      </w:r>
      <w:r w:rsidR="000C469E">
        <w:t xml:space="preserve"> “</w:t>
      </w:r>
      <w:r w:rsidR="000C469E" w:rsidRPr="000C469E">
        <w:rPr>
          <w:i/>
          <w:iCs/>
        </w:rPr>
        <w:t>organisation of learning and the systematic production of new knowledge</w:t>
      </w:r>
      <w:r w:rsidR="000C469E">
        <w:t>” of the respective subjects, which ha</w:t>
      </w:r>
      <w:r w:rsidR="00C72D11">
        <w:t>ve</w:t>
      </w:r>
      <w:r w:rsidR="000C469E">
        <w:t xml:space="preserve"> “</w:t>
      </w:r>
      <w:r w:rsidR="000C469E" w:rsidRPr="000C469E">
        <w:rPr>
          <w:i/>
          <w:iCs/>
        </w:rPr>
        <w:t>some institutional manifestation in the form of subjects taught at universities or colleges, respective academic departments and professional associations connected to it</w:t>
      </w:r>
      <w:r w:rsidR="000C469E">
        <w:t xml:space="preserve">” </w:t>
      </w:r>
      <w:sdt>
        <w:sdtPr>
          <w:rPr>
            <w:b/>
            <w:bCs/>
          </w:rPr>
          <w:id w:val="781450706"/>
          <w:citation/>
        </w:sdtPr>
        <w:sdtContent>
          <w:r w:rsidR="000C469E" w:rsidRPr="00A47A82">
            <w:rPr>
              <w:b/>
              <w:bCs/>
            </w:rPr>
            <w:fldChar w:fldCharType="begin"/>
          </w:r>
          <w:r w:rsidR="000C469E" w:rsidRPr="00A47A82">
            <w:rPr>
              <w:b/>
              <w:bCs/>
            </w:rPr>
            <w:instrText xml:space="preserve"> CITATION Kri09 \l 2057 </w:instrText>
          </w:r>
          <w:r w:rsidR="000C469E" w:rsidRPr="00A47A82">
            <w:rPr>
              <w:b/>
              <w:bCs/>
            </w:rPr>
            <w:fldChar w:fldCharType="separate"/>
          </w:r>
          <w:r w:rsidR="000C469E" w:rsidRPr="00A47A82">
            <w:rPr>
              <w:b/>
              <w:bCs/>
              <w:noProof/>
            </w:rPr>
            <w:t>(Krishnan, 2009)</w:t>
          </w:r>
          <w:r w:rsidR="000C469E" w:rsidRPr="00A47A82">
            <w:rPr>
              <w:b/>
              <w:bCs/>
            </w:rPr>
            <w:fldChar w:fldCharType="end"/>
          </w:r>
        </w:sdtContent>
      </w:sdt>
      <w:r w:rsidR="000C469E">
        <w:t xml:space="preserve">. </w:t>
      </w:r>
      <w:r w:rsidR="00A92EDC">
        <w:t xml:space="preserve"> </w:t>
      </w:r>
      <w:r w:rsidR="00B22B4D">
        <w:t xml:space="preserve">This paper will show that there is a distinct divide between these two as academic fields, although the degree to which they are separate can vary between institutions. Furthermore, I posit that it is both justifiable and valuable to uphold boundaries between these two fields.  </w:t>
      </w:r>
    </w:p>
    <w:p w14:paraId="123B7563" w14:textId="7FDC65AD" w:rsidR="007C4D43" w:rsidRDefault="00A47A82" w:rsidP="00510795">
      <w:r>
        <w:t xml:space="preserve">These disciplines, as </w:t>
      </w:r>
      <w:r w:rsidR="007C4D43">
        <w:t>are all modern academic fields</w:t>
      </w:r>
      <w:r>
        <w:t xml:space="preserve">, are </w:t>
      </w:r>
      <w:r w:rsidR="005749BC" w:rsidRPr="005749BC">
        <w:t>the product of European colonial history</w:t>
      </w:r>
      <w:r>
        <w:t xml:space="preserve"> and as such have developed from notions of </w:t>
      </w:r>
      <w:r w:rsidR="00C72D11">
        <w:t>e</w:t>
      </w:r>
      <w:r>
        <w:t xml:space="preserve">uro-centricity, western hegemony, and the supremacy of the Christian faith </w:t>
      </w:r>
      <w:sdt>
        <w:sdtPr>
          <w:rPr>
            <w:b/>
            <w:bCs/>
          </w:rPr>
          <w:id w:val="795347336"/>
          <w:citation/>
        </w:sdtPr>
        <w:sdtContent>
          <w:r w:rsidR="00C72D11" w:rsidRPr="00C72D11">
            <w:rPr>
              <w:b/>
              <w:bCs/>
            </w:rPr>
            <w:fldChar w:fldCharType="begin"/>
          </w:r>
          <w:r w:rsidR="00C72D11" w:rsidRPr="00C72D11">
            <w:rPr>
              <w:b/>
              <w:bCs/>
            </w:rPr>
            <w:instrText xml:space="preserve"> CITATION Nye19 \l 2057 </w:instrText>
          </w:r>
          <w:r w:rsidR="00C72D11" w:rsidRPr="00C72D11">
            <w:rPr>
              <w:b/>
              <w:bCs/>
            </w:rPr>
            <w:fldChar w:fldCharType="separate"/>
          </w:r>
          <w:r w:rsidR="00C72D11" w:rsidRPr="00C72D11">
            <w:rPr>
              <w:b/>
              <w:bCs/>
              <w:noProof/>
            </w:rPr>
            <w:t>(Nye, 2019)</w:t>
          </w:r>
          <w:r w:rsidR="00C72D11" w:rsidRPr="00C72D11">
            <w:rPr>
              <w:b/>
              <w:bCs/>
            </w:rPr>
            <w:fldChar w:fldCharType="end"/>
          </w:r>
        </w:sdtContent>
      </w:sdt>
      <w:r>
        <w:t>.</w:t>
      </w:r>
      <w:r w:rsidR="00FF6DCB">
        <w:t xml:space="preserve"> </w:t>
      </w:r>
      <w:r>
        <w:t xml:space="preserve">To determine how rigid the boundaries currently are between theology and religious studies, we must explore how these fields have developed from these origins. </w:t>
      </w:r>
      <w:r w:rsidR="007C4D43">
        <w:t>However, it would be beyond the scope of this paper to assess the validity of the current academic system as a whole based on this fact</w:t>
      </w:r>
      <w:r w:rsidR="006A18CC">
        <w:t xml:space="preserve"> (although I do believe this to be a valuable endeavour, I believe there are others with lived experiences better placed to provide a perspective on this matter). I will, instead, highlight key areas within the current frameworks of theology and religious studies that I believe can be changed to begin to decolonise their discourse, without overriding the essence of each field.</w:t>
      </w:r>
    </w:p>
    <w:p w14:paraId="524EF617" w14:textId="77777777" w:rsidR="00121BF0" w:rsidRDefault="00121BF0" w:rsidP="00510795"/>
    <w:p w14:paraId="7C5B6BE8" w14:textId="436D73C3" w:rsidR="00FF6DCB" w:rsidRPr="00AA33AA" w:rsidRDefault="00FF6DCB" w:rsidP="00510795">
      <w:pPr>
        <w:rPr>
          <w:b/>
          <w:bCs/>
          <w:u w:val="single"/>
        </w:rPr>
      </w:pPr>
      <w:r>
        <w:rPr>
          <w:b/>
          <w:bCs/>
          <w:u w:val="single"/>
        </w:rPr>
        <w:t>The History of Studying Religion</w:t>
      </w:r>
    </w:p>
    <w:p w14:paraId="6198FE82" w14:textId="01380748" w:rsidR="00CD36A1" w:rsidRDefault="004B0386" w:rsidP="00510795">
      <w:r>
        <w:t xml:space="preserve">The word </w:t>
      </w:r>
      <w:r w:rsidR="004E3374">
        <w:t xml:space="preserve">‘Theology’ finds its etymological roots in the Greek word </w:t>
      </w:r>
      <w:r w:rsidR="00BF5E75">
        <w:t>‘</w:t>
      </w:r>
      <w:r w:rsidR="004E3374" w:rsidRPr="004E3374">
        <w:rPr>
          <w:i/>
          <w:iCs/>
        </w:rPr>
        <w:t>theologia</w:t>
      </w:r>
      <w:r w:rsidR="00BF5E75">
        <w:rPr>
          <w:i/>
          <w:iCs/>
        </w:rPr>
        <w:t>’</w:t>
      </w:r>
      <w:r w:rsidR="004E3374">
        <w:rPr>
          <w:i/>
          <w:iCs/>
        </w:rPr>
        <w:t xml:space="preserve">, </w:t>
      </w:r>
      <w:r w:rsidR="00BF5E75">
        <w:t xml:space="preserve">which comes </w:t>
      </w:r>
      <w:r w:rsidR="004E3374">
        <w:t>from the combination of ‘</w:t>
      </w:r>
      <w:r w:rsidR="004E3374" w:rsidRPr="004E3374">
        <w:rPr>
          <w:i/>
          <w:iCs/>
        </w:rPr>
        <w:t>theos</w:t>
      </w:r>
      <w:r w:rsidR="004E3374">
        <w:rPr>
          <w:i/>
          <w:iCs/>
        </w:rPr>
        <w:t xml:space="preserve">’ </w:t>
      </w:r>
      <w:r w:rsidR="004E3374">
        <w:t xml:space="preserve">meaning ‘god’, and ‘logos’ meaning </w:t>
      </w:r>
      <w:r w:rsidR="004E3374" w:rsidRPr="004E3374">
        <w:rPr>
          <w:i/>
          <w:iCs/>
        </w:rPr>
        <w:t>‘discourse or reasoning’</w:t>
      </w:r>
      <w:r w:rsidR="004E3374">
        <w:rPr>
          <w:i/>
          <w:iCs/>
        </w:rPr>
        <w:t xml:space="preserve"> </w:t>
      </w:r>
      <w:sdt>
        <w:sdtPr>
          <w:rPr>
            <w:b/>
            <w:bCs/>
            <w:i/>
            <w:iCs/>
          </w:rPr>
          <w:id w:val="1425230344"/>
          <w:citation/>
        </w:sdtPr>
        <w:sdtContent>
          <w:r w:rsidR="00BF5E75" w:rsidRPr="00BF5E75">
            <w:rPr>
              <w:b/>
              <w:bCs/>
              <w:i/>
              <w:iCs/>
            </w:rPr>
            <w:fldChar w:fldCharType="begin"/>
          </w:r>
          <w:r w:rsidR="00BF5E75" w:rsidRPr="00BF5E75">
            <w:rPr>
              <w:b/>
              <w:bCs/>
            </w:rPr>
            <w:instrText xml:space="preserve"> CITATION Mar12 \l 2057 </w:instrText>
          </w:r>
          <w:r w:rsidR="00BF5E75" w:rsidRPr="00BF5E75">
            <w:rPr>
              <w:b/>
              <w:bCs/>
              <w:i/>
              <w:iCs/>
            </w:rPr>
            <w:fldChar w:fldCharType="separate"/>
          </w:r>
          <w:r w:rsidR="00BF5E75" w:rsidRPr="00BF5E75">
            <w:rPr>
              <w:b/>
              <w:bCs/>
              <w:noProof/>
            </w:rPr>
            <w:t>(Marbaniang, 2012)</w:t>
          </w:r>
          <w:r w:rsidR="00BF5E75" w:rsidRPr="00BF5E75">
            <w:rPr>
              <w:b/>
              <w:bCs/>
              <w:i/>
              <w:iCs/>
            </w:rPr>
            <w:fldChar w:fldCharType="end"/>
          </w:r>
        </w:sdtContent>
      </w:sdt>
      <w:r w:rsidR="00AD4A9F">
        <w:rPr>
          <w:b/>
          <w:bCs/>
        </w:rPr>
        <w:t xml:space="preserve">. </w:t>
      </w:r>
      <w:r w:rsidR="00AD4A9F" w:rsidRPr="00AD4A9F">
        <w:t>This</w:t>
      </w:r>
      <w:r w:rsidR="00AD4A9F">
        <w:t xml:space="preserve"> meaning was used by Plato </w:t>
      </w:r>
      <w:r>
        <w:t xml:space="preserve">in his republic </w:t>
      </w:r>
      <w:sdt>
        <w:sdtPr>
          <w:rPr>
            <w:b/>
            <w:bCs/>
          </w:rPr>
          <w:id w:val="98994271"/>
          <w:citation/>
        </w:sdtPr>
        <w:sdtContent>
          <w:r w:rsidR="00066990" w:rsidRPr="00066990">
            <w:rPr>
              <w:b/>
              <w:bCs/>
            </w:rPr>
            <w:fldChar w:fldCharType="begin"/>
          </w:r>
          <w:r w:rsidR="00066990" w:rsidRPr="00066990">
            <w:rPr>
              <w:b/>
              <w:bCs/>
            </w:rPr>
            <w:instrText xml:space="preserve"> CITATION Nad96 \l 2057 </w:instrText>
          </w:r>
          <w:r w:rsidR="00066990" w:rsidRPr="00066990">
            <w:rPr>
              <w:b/>
              <w:bCs/>
            </w:rPr>
            <w:fldChar w:fldCharType="separate"/>
          </w:r>
          <w:r w:rsidR="00066990" w:rsidRPr="00066990">
            <w:rPr>
              <w:b/>
              <w:bCs/>
              <w:noProof/>
            </w:rPr>
            <w:t>(Naddaf, 1996)</w:t>
          </w:r>
          <w:r w:rsidR="00066990" w:rsidRPr="00066990">
            <w:rPr>
              <w:b/>
              <w:bCs/>
            </w:rPr>
            <w:fldChar w:fldCharType="end"/>
          </w:r>
        </w:sdtContent>
      </w:sdt>
      <w:r w:rsidR="00066990">
        <w:t xml:space="preserve"> </w:t>
      </w:r>
      <w:r w:rsidR="00AD4A9F">
        <w:t>and then built upon by his student Aristotle, who divided</w:t>
      </w:r>
      <w:r w:rsidR="00CD36A1">
        <w:t xml:space="preserve"> </w:t>
      </w:r>
      <w:r w:rsidR="00981971">
        <w:t xml:space="preserve">organised learning </w:t>
      </w:r>
      <w:r>
        <w:t xml:space="preserve">into three </w:t>
      </w:r>
      <w:r w:rsidR="00981971" w:rsidRPr="00981971">
        <w:rPr>
          <w:i/>
          <w:iCs/>
        </w:rPr>
        <w:t>epistêmai</w:t>
      </w:r>
      <w:r w:rsidR="00981971">
        <w:rPr>
          <w:i/>
          <w:iCs/>
        </w:rPr>
        <w:t xml:space="preserve">, </w:t>
      </w:r>
      <w:r w:rsidR="00981971">
        <w:t>or</w:t>
      </w:r>
      <w:r w:rsidR="00981971">
        <w:rPr>
          <w:i/>
          <w:iCs/>
        </w:rPr>
        <w:t xml:space="preserve"> </w:t>
      </w:r>
      <w:r w:rsidR="00981971" w:rsidRPr="00981971">
        <w:t>‘sciences’</w:t>
      </w:r>
      <w:r w:rsidR="00CD36A1">
        <w:t>:</w:t>
      </w:r>
      <w:r>
        <w:t xml:space="preserve"> </w:t>
      </w:r>
    </w:p>
    <w:p w14:paraId="5A33C002" w14:textId="145C686F" w:rsidR="00981971" w:rsidRDefault="00CD36A1" w:rsidP="00510795">
      <w:pPr>
        <w:pStyle w:val="ListParagraph"/>
        <w:numPr>
          <w:ilvl w:val="0"/>
          <w:numId w:val="10"/>
        </w:numPr>
      </w:pPr>
      <w:r w:rsidRPr="00981971">
        <w:rPr>
          <w:i/>
          <w:iCs/>
        </w:rPr>
        <w:t>P</w:t>
      </w:r>
      <w:r w:rsidR="004B0386" w:rsidRPr="00981971">
        <w:rPr>
          <w:i/>
          <w:iCs/>
        </w:rPr>
        <w:t>hysike</w:t>
      </w:r>
      <w:r w:rsidR="004B0386" w:rsidRPr="00981971">
        <w:rPr>
          <w:i/>
          <w:iCs/>
        </w:rPr>
        <w:t xml:space="preserve">, </w:t>
      </w:r>
      <w:r w:rsidR="004B0386">
        <w:t>which concerns things that are substances or beings and that change or are impermanent</w:t>
      </w:r>
      <w:r>
        <w:t xml:space="preserve">. </w:t>
      </w:r>
      <w:r w:rsidR="00981971">
        <w:t>This would include discourse on the natural world.</w:t>
      </w:r>
      <w:r w:rsidR="00066990">
        <w:t xml:space="preserve"> </w:t>
      </w:r>
      <w:sdt>
        <w:sdtPr>
          <w:rPr>
            <w:b/>
            <w:bCs/>
          </w:rPr>
          <w:id w:val="1430235903"/>
          <w:citation/>
        </w:sdtPr>
        <w:sdtContent>
          <w:r w:rsidR="00066990" w:rsidRPr="00066990">
            <w:rPr>
              <w:b/>
              <w:bCs/>
            </w:rPr>
            <w:fldChar w:fldCharType="begin"/>
          </w:r>
          <w:r w:rsidR="00066990" w:rsidRPr="00066990">
            <w:rPr>
              <w:b/>
              <w:bCs/>
            </w:rPr>
            <w:instrText xml:space="preserve"> CITATION Shi23 \l 2057 </w:instrText>
          </w:r>
          <w:r w:rsidR="00066990" w:rsidRPr="00066990">
            <w:rPr>
              <w:b/>
              <w:bCs/>
            </w:rPr>
            <w:fldChar w:fldCharType="separate"/>
          </w:r>
          <w:r w:rsidR="00066990" w:rsidRPr="00066990">
            <w:rPr>
              <w:b/>
              <w:bCs/>
              <w:noProof/>
            </w:rPr>
            <w:t>(Shields, 2023)</w:t>
          </w:r>
          <w:r w:rsidR="00066990" w:rsidRPr="00066990">
            <w:rPr>
              <w:b/>
              <w:bCs/>
            </w:rPr>
            <w:fldChar w:fldCharType="end"/>
          </w:r>
        </w:sdtContent>
      </w:sdt>
    </w:p>
    <w:p w14:paraId="727204A4" w14:textId="0D9C476E" w:rsidR="00981971" w:rsidRDefault="00981971" w:rsidP="00510795">
      <w:pPr>
        <w:pStyle w:val="ListParagraph"/>
        <w:numPr>
          <w:ilvl w:val="0"/>
          <w:numId w:val="10"/>
        </w:numPr>
      </w:pPr>
      <w:r w:rsidRPr="00981971">
        <w:rPr>
          <w:i/>
          <w:iCs/>
        </w:rPr>
        <w:t>M</w:t>
      </w:r>
      <w:r w:rsidR="004B0386" w:rsidRPr="00981971">
        <w:rPr>
          <w:i/>
          <w:iCs/>
        </w:rPr>
        <w:t>athematike</w:t>
      </w:r>
      <w:r w:rsidR="004B0386">
        <w:t>, which concerns things that are not substances or beings and that are eternal</w:t>
      </w:r>
      <w:r>
        <w:t xml:space="preserve">. This would include discourse on </w:t>
      </w:r>
      <w:r w:rsidRPr="00981971">
        <w:t>geometry and arithmetic, optics, mathematical astronomy, harmonics, etc.</w:t>
      </w:r>
      <w:r w:rsidR="00066990">
        <w:t xml:space="preserve"> </w:t>
      </w:r>
      <w:sdt>
        <w:sdtPr>
          <w:rPr>
            <w:b/>
            <w:bCs/>
          </w:rPr>
          <w:id w:val="-1375542572"/>
          <w:citation/>
        </w:sdtPr>
        <w:sdtContent>
          <w:r w:rsidR="00066990" w:rsidRPr="00066990">
            <w:rPr>
              <w:b/>
              <w:bCs/>
            </w:rPr>
            <w:fldChar w:fldCharType="begin"/>
          </w:r>
          <w:r w:rsidR="00066990" w:rsidRPr="00066990">
            <w:rPr>
              <w:b/>
              <w:bCs/>
            </w:rPr>
            <w:instrText xml:space="preserve"> CITATION Men19 \l 2057 </w:instrText>
          </w:r>
          <w:r w:rsidR="00066990" w:rsidRPr="00066990">
            <w:rPr>
              <w:b/>
              <w:bCs/>
            </w:rPr>
            <w:fldChar w:fldCharType="separate"/>
          </w:r>
          <w:r w:rsidR="00066990" w:rsidRPr="00066990">
            <w:rPr>
              <w:b/>
              <w:bCs/>
              <w:noProof/>
            </w:rPr>
            <w:t>(Mendell, 2019)</w:t>
          </w:r>
          <w:r w:rsidR="00066990" w:rsidRPr="00066990">
            <w:rPr>
              <w:b/>
              <w:bCs/>
            </w:rPr>
            <w:fldChar w:fldCharType="end"/>
          </w:r>
        </w:sdtContent>
      </w:sdt>
    </w:p>
    <w:p w14:paraId="5302614E" w14:textId="5C809C8D" w:rsidR="004E3374" w:rsidRPr="00CD36A1" w:rsidRDefault="00981971" w:rsidP="00510795">
      <w:pPr>
        <w:pStyle w:val="ListParagraph"/>
        <w:numPr>
          <w:ilvl w:val="0"/>
          <w:numId w:val="10"/>
        </w:numPr>
      </w:pPr>
      <w:r w:rsidRPr="00981971">
        <w:rPr>
          <w:i/>
          <w:iCs/>
        </w:rPr>
        <w:t>T</w:t>
      </w:r>
      <w:r w:rsidR="00CD36A1" w:rsidRPr="00981971">
        <w:rPr>
          <w:i/>
          <w:iCs/>
        </w:rPr>
        <w:t>heologike</w:t>
      </w:r>
      <w:r w:rsidR="00CD36A1">
        <w:t xml:space="preserve">, which concerns things that are substances or beings and that are also eternal. </w:t>
      </w:r>
      <w:r>
        <w:t xml:space="preserve">This would include </w:t>
      </w:r>
      <w:r w:rsidR="00066990">
        <w:t xml:space="preserve">discourse on </w:t>
      </w:r>
      <w:r>
        <w:t>the</w:t>
      </w:r>
      <w:r w:rsidR="00B74232">
        <w:t xml:space="preserve"> study of gods and the</w:t>
      </w:r>
      <w:r>
        <w:t xml:space="preserve"> nature of the divine</w:t>
      </w:r>
      <w:r w:rsidR="00B74232">
        <w:t xml:space="preserve"> </w:t>
      </w:r>
      <w:sdt>
        <w:sdtPr>
          <w:rPr>
            <w:b/>
            <w:bCs/>
          </w:rPr>
          <w:id w:val="-1445222221"/>
          <w:citation/>
        </w:sdtPr>
        <w:sdtContent>
          <w:r w:rsidR="00B74232" w:rsidRPr="00B74232">
            <w:rPr>
              <w:b/>
              <w:bCs/>
            </w:rPr>
            <w:fldChar w:fldCharType="begin"/>
          </w:r>
          <w:r w:rsidR="00B74232" w:rsidRPr="00B74232">
            <w:rPr>
              <w:b/>
              <w:bCs/>
            </w:rPr>
            <w:instrText xml:space="preserve"> CITATION Men12 \l 2057 </w:instrText>
          </w:r>
          <w:r w:rsidR="00B74232" w:rsidRPr="00B74232">
            <w:rPr>
              <w:b/>
              <w:bCs/>
            </w:rPr>
            <w:fldChar w:fldCharType="separate"/>
          </w:r>
          <w:r w:rsidR="00B74232" w:rsidRPr="00B74232">
            <w:rPr>
              <w:b/>
              <w:bCs/>
              <w:noProof/>
            </w:rPr>
            <w:t>(Menn, 2012)</w:t>
          </w:r>
          <w:r w:rsidR="00B74232" w:rsidRPr="00B74232">
            <w:rPr>
              <w:b/>
              <w:bCs/>
            </w:rPr>
            <w:fldChar w:fldCharType="end"/>
          </w:r>
        </w:sdtContent>
      </w:sdt>
    </w:p>
    <w:p w14:paraId="53F41DFE" w14:textId="1263572D" w:rsidR="0065034C" w:rsidRPr="00F73DB3" w:rsidRDefault="00977F99" w:rsidP="00977F99">
      <w:r w:rsidRPr="00F73DB3">
        <w:t xml:space="preserve">Aristotle’s approach to studying the divine was instrumental in the development of </w:t>
      </w:r>
      <w:r w:rsidR="00F73DB3" w:rsidRPr="00F73DB3">
        <w:t>modern-day</w:t>
      </w:r>
      <w:r w:rsidRPr="00F73DB3">
        <w:t xml:space="preserve"> academia</w:t>
      </w:r>
      <w:r w:rsidR="0065034C" w:rsidRPr="00F73DB3">
        <w:t xml:space="preserve"> through its influence on Scholasticism.</w:t>
      </w:r>
      <w:r w:rsidRPr="00F73DB3">
        <w:t xml:space="preserve">  </w:t>
      </w:r>
      <w:r w:rsidRPr="00F73DB3">
        <w:t xml:space="preserve">During the medieval period, particularly from the 12th to the 17th centuries, the </w:t>
      </w:r>
      <w:r w:rsidR="00302CAF">
        <w:t xml:space="preserve">‘rediscovery’ </w:t>
      </w:r>
      <w:r w:rsidRPr="00F73DB3">
        <w:t>of Aristotle's texts</w:t>
      </w:r>
      <w:r w:rsidR="00EE39CD">
        <w:t xml:space="preserve"> </w:t>
      </w:r>
      <w:r w:rsidRPr="00F73DB3">
        <w:t>sparked a critical re-evaluation of Christian theology</w:t>
      </w:r>
      <w:r w:rsidR="00EE39CD">
        <w:t xml:space="preserve"> </w:t>
      </w:r>
      <w:sdt>
        <w:sdtPr>
          <w:rPr>
            <w:b/>
            <w:bCs/>
          </w:rPr>
          <w:id w:val="-197777836"/>
          <w:citation/>
        </w:sdtPr>
        <w:sdtContent>
          <w:r w:rsidR="00302CAF" w:rsidRPr="00302CAF">
            <w:rPr>
              <w:b/>
              <w:bCs/>
            </w:rPr>
            <w:fldChar w:fldCharType="begin"/>
          </w:r>
          <w:r w:rsidR="00302CAF" w:rsidRPr="00302CAF">
            <w:rPr>
              <w:b/>
              <w:bCs/>
            </w:rPr>
            <w:instrText xml:space="preserve"> CITATION Bas09 \l 2057 </w:instrText>
          </w:r>
          <w:r w:rsidR="00302CAF" w:rsidRPr="00302CAF">
            <w:rPr>
              <w:b/>
              <w:bCs/>
            </w:rPr>
            <w:fldChar w:fldCharType="separate"/>
          </w:r>
          <w:r w:rsidR="00302CAF" w:rsidRPr="00302CAF">
            <w:rPr>
              <w:b/>
              <w:bCs/>
              <w:noProof/>
            </w:rPr>
            <w:t>(Baschera, 2009)</w:t>
          </w:r>
          <w:r w:rsidR="00302CAF" w:rsidRPr="00302CAF">
            <w:rPr>
              <w:b/>
              <w:bCs/>
            </w:rPr>
            <w:fldChar w:fldCharType="end"/>
          </w:r>
        </w:sdtContent>
      </w:sdt>
      <w:r w:rsidRPr="00F73DB3">
        <w:t>.</w:t>
      </w:r>
      <w:r w:rsidR="0065034C" w:rsidRPr="00F73DB3">
        <w:t xml:space="preserve"> Medieval philosophers such as Anselm of </w:t>
      </w:r>
      <w:r w:rsidR="00F73DB3" w:rsidRPr="00F73DB3">
        <w:t>Canterbury</w:t>
      </w:r>
      <w:r w:rsidR="0065034C" w:rsidRPr="00F73DB3">
        <w:t xml:space="preserve">, Thomas Aquinas and William of Ockham </w:t>
      </w:r>
      <w:r w:rsidR="00F73DB3">
        <w:t xml:space="preserve">were determined to unify Aristotelian </w:t>
      </w:r>
      <w:r w:rsidR="00F73DB3">
        <w:lastRenderedPageBreak/>
        <w:t>rationality with their understanding of catholic doctrine</w:t>
      </w:r>
      <w:r w:rsidR="00EE39CD">
        <w:t xml:space="preserve">, and were considered in their time to have done so successfully </w:t>
      </w:r>
      <w:sdt>
        <w:sdtPr>
          <w:rPr>
            <w:b/>
            <w:bCs/>
          </w:rPr>
          <w:id w:val="106789316"/>
          <w:citation/>
        </w:sdtPr>
        <w:sdtContent>
          <w:r w:rsidR="00EE39CD" w:rsidRPr="00EE39CD">
            <w:rPr>
              <w:b/>
              <w:bCs/>
            </w:rPr>
            <w:fldChar w:fldCharType="begin"/>
          </w:r>
          <w:r w:rsidR="00EE39CD" w:rsidRPr="00EE39CD">
            <w:rPr>
              <w:b/>
              <w:bCs/>
            </w:rPr>
            <w:instrText xml:space="preserve"> CITATION Pas24 \l 2057 </w:instrText>
          </w:r>
          <w:r w:rsidR="00EE39CD" w:rsidRPr="00EE39CD">
            <w:rPr>
              <w:b/>
              <w:bCs/>
            </w:rPr>
            <w:fldChar w:fldCharType="separate"/>
          </w:r>
          <w:r w:rsidR="00EE39CD" w:rsidRPr="00EE39CD">
            <w:rPr>
              <w:b/>
              <w:bCs/>
              <w:noProof/>
            </w:rPr>
            <w:t>(Pasnau, 2024)</w:t>
          </w:r>
          <w:r w:rsidR="00EE39CD" w:rsidRPr="00EE39CD">
            <w:rPr>
              <w:b/>
              <w:bCs/>
            </w:rPr>
            <w:fldChar w:fldCharType="end"/>
          </w:r>
        </w:sdtContent>
      </w:sdt>
    </w:p>
    <w:p w14:paraId="796FD5E9" w14:textId="3AE4AECC" w:rsidR="00F73DB3" w:rsidRPr="009F20C0" w:rsidRDefault="00FC0E07" w:rsidP="00977F99">
      <w:pPr>
        <w:rPr>
          <w:highlight w:val="yellow"/>
        </w:rPr>
      </w:pPr>
      <w:r w:rsidRPr="00F73DB3">
        <w:t>The monastic schools that employed scholasticism</w:t>
      </w:r>
      <w:r w:rsidR="00977F99" w:rsidRPr="00F73DB3">
        <w:t xml:space="preserve"> la</w:t>
      </w:r>
      <w:r w:rsidR="00977F99" w:rsidRPr="00977F99">
        <w:t>id the groundwork for the emergence of Europe's first universities</w:t>
      </w:r>
      <w:r w:rsidR="00977F99">
        <w:t xml:space="preserve">, </w:t>
      </w:r>
      <w:r>
        <w:t xml:space="preserve">at which theological study was considered the “Queen of all sciences” </w:t>
      </w:r>
      <w:sdt>
        <w:sdtPr>
          <w:rPr>
            <w:b/>
            <w:bCs/>
          </w:rPr>
          <w:id w:val="-493424509"/>
          <w:citation/>
        </w:sdtPr>
        <w:sdtContent>
          <w:r w:rsidR="00097600" w:rsidRPr="00097600">
            <w:rPr>
              <w:b/>
              <w:bCs/>
            </w:rPr>
            <w:fldChar w:fldCharType="begin"/>
          </w:r>
          <w:r w:rsidR="00097600" w:rsidRPr="00097600">
            <w:rPr>
              <w:b/>
              <w:bCs/>
            </w:rPr>
            <w:instrText xml:space="preserve"> CITATION Zak07 \l 2057 </w:instrText>
          </w:r>
          <w:r w:rsidR="00097600" w:rsidRPr="00097600">
            <w:rPr>
              <w:b/>
              <w:bCs/>
            </w:rPr>
            <w:fldChar w:fldCharType="separate"/>
          </w:r>
          <w:r w:rsidR="00097600" w:rsidRPr="00097600">
            <w:rPr>
              <w:b/>
              <w:bCs/>
              <w:noProof/>
            </w:rPr>
            <w:t>(Zakai, 2007)</w:t>
          </w:r>
          <w:r w:rsidR="00097600" w:rsidRPr="00097600">
            <w:rPr>
              <w:b/>
              <w:bCs/>
            </w:rPr>
            <w:fldChar w:fldCharType="end"/>
          </w:r>
        </w:sdtContent>
      </w:sdt>
      <w:r w:rsidR="00097600">
        <w:t xml:space="preserve">. </w:t>
      </w:r>
      <w:r w:rsidR="00F73DB3">
        <w:t>This remained the status quo, until the 16</w:t>
      </w:r>
      <w:r w:rsidR="00F73DB3" w:rsidRPr="00F73DB3">
        <w:rPr>
          <w:vertAlign w:val="superscript"/>
        </w:rPr>
        <w:t>th</w:t>
      </w:r>
      <w:r w:rsidR="00F73DB3">
        <w:t xml:space="preserve"> century reformation challenged the established discourse in theology. </w:t>
      </w:r>
      <w:r w:rsidR="009F20C0" w:rsidRPr="009F20C0">
        <w:t>The Protestant Reformation led to significant theological shifts, emphasizing justification by faith alone, the authority of Scripture over church traditions, and the rejection of certain Catholic doctrines and practices</w:t>
      </w:r>
      <w:r w:rsidR="009F20C0">
        <w:t xml:space="preserve"> </w:t>
      </w:r>
      <w:sdt>
        <w:sdtPr>
          <w:rPr>
            <w:b/>
            <w:bCs/>
          </w:rPr>
          <w:id w:val="658731400"/>
          <w:citation/>
        </w:sdtPr>
        <w:sdtContent>
          <w:r w:rsidR="009F20C0" w:rsidRPr="009F20C0">
            <w:rPr>
              <w:b/>
              <w:bCs/>
            </w:rPr>
            <w:fldChar w:fldCharType="begin"/>
          </w:r>
          <w:r w:rsidR="009F20C0" w:rsidRPr="009F20C0">
            <w:rPr>
              <w:b/>
              <w:bCs/>
            </w:rPr>
            <w:instrText xml:space="preserve">CITATION Ric99 \l 2057 </w:instrText>
          </w:r>
          <w:r w:rsidR="009F20C0" w:rsidRPr="009F20C0">
            <w:rPr>
              <w:b/>
              <w:bCs/>
            </w:rPr>
            <w:fldChar w:fldCharType="separate"/>
          </w:r>
          <w:r w:rsidR="009F20C0" w:rsidRPr="009F20C0">
            <w:rPr>
              <w:b/>
              <w:bCs/>
              <w:noProof/>
            </w:rPr>
            <w:t>(Rex, 1999)</w:t>
          </w:r>
          <w:r w:rsidR="009F20C0" w:rsidRPr="009F20C0">
            <w:rPr>
              <w:b/>
              <w:bCs/>
            </w:rPr>
            <w:fldChar w:fldCharType="end"/>
          </w:r>
        </w:sdtContent>
      </w:sdt>
      <w:r w:rsidR="009F20C0" w:rsidRPr="009F20C0">
        <w:rPr>
          <w:b/>
          <w:bCs/>
        </w:rPr>
        <w:t>.</w:t>
      </w:r>
      <w:r w:rsidR="009F20C0">
        <w:t xml:space="preserve"> With this metaphorical blow,</w:t>
      </w:r>
      <w:r w:rsidR="00F73DB3">
        <w:t xml:space="preserve"> the cracks began to show in the façade of scholastic theology as the ultimate way to understand religion.</w:t>
      </w:r>
    </w:p>
    <w:p w14:paraId="05DABA46" w14:textId="77777777" w:rsidR="00977F99" w:rsidRPr="005C049D" w:rsidRDefault="00977F99" w:rsidP="00977F99">
      <w:pPr>
        <w:rPr>
          <w:color w:val="FF0000"/>
        </w:rPr>
      </w:pPr>
    </w:p>
    <w:p w14:paraId="7B6FB903" w14:textId="58FEE9B6" w:rsidR="00981971" w:rsidRPr="00AA33AA" w:rsidRDefault="00981971" w:rsidP="00510795">
      <w:pPr>
        <w:rPr>
          <w:b/>
          <w:bCs/>
          <w:u w:val="single"/>
        </w:rPr>
      </w:pPr>
      <w:r w:rsidRPr="00981971">
        <w:rPr>
          <w:b/>
          <w:bCs/>
          <w:u w:val="single"/>
        </w:rPr>
        <w:t>From Studying Religion to Religious Studies</w:t>
      </w:r>
    </w:p>
    <w:p w14:paraId="0FEA4526" w14:textId="4D53D833" w:rsidR="00615C0F" w:rsidRDefault="00510795" w:rsidP="00510795">
      <w:r>
        <w:t xml:space="preserve">The </w:t>
      </w:r>
      <w:r w:rsidR="00BF5E75">
        <w:t xml:space="preserve">beginning of the </w:t>
      </w:r>
      <w:r>
        <w:t>emergence of religious studies as a distinct academic field can be traced back to seeds of thought planted during the ‘Enlightenment Era’ of the 17</w:t>
      </w:r>
      <w:r w:rsidRPr="007402BA">
        <w:rPr>
          <w:vertAlign w:val="superscript"/>
        </w:rPr>
        <w:t>th</w:t>
      </w:r>
      <w:r>
        <w:t xml:space="preserve"> and 18</w:t>
      </w:r>
      <w:r w:rsidRPr="007402BA">
        <w:rPr>
          <w:vertAlign w:val="superscript"/>
        </w:rPr>
        <w:t>th</w:t>
      </w:r>
      <w:r>
        <w:t xml:space="preserve"> centuries. This era is associated with its namesake philosophical system of ‘Enlightenment’, which emphasized the importance of reason, empirical evidence and the scientific method to ultimately improve the human experience </w:t>
      </w:r>
      <w:sdt>
        <w:sdtPr>
          <w:rPr>
            <w:b/>
            <w:bCs/>
          </w:rPr>
          <w:id w:val="1492752954"/>
          <w:citation/>
        </w:sdtPr>
        <w:sdtContent>
          <w:r w:rsidRPr="00E21CB7">
            <w:rPr>
              <w:b/>
              <w:bCs/>
            </w:rPr>
            <w:fldChar w:fldCharType="begin"/>
          </w:r>
          <w:r w:rsidRPr="00E21CB7">
            <w:rPr>
              <w:b/>
              <w:bCs/>
            </w:rPr>
            <w:instrText xml:space="preserve"> CITATION Bri23 \l 2057 </w:instrText>
          </w:r>
          <w:r w:rsidRPr="00E21CB7">
            <w:rPr>
              <w:b/>
              <w:bCs/>
            </w:rPr>
            <w:fldChar w:fldCharType="separate"/>
          </w:r>
          <w:r w:rsidRPr="00E21CB7">
            <w:rPr>
              <w:b/>
              <w:bCs/>
              <w:noProof/>
            </w:rPr>
            <w:t>(Bristow, 2023)</w:t>
          </w:r>
          <w:r w:rsidRPr="00E21CB7">
            <w:rPr>
              <w:b/>
              <w:bCs/>
            </w:rPr>
            <w:fldChar w:fldCharType="end"/>
          </w:r>
        </w:sdtContent>
      </w:sdt>
      <w:r>
        <w:t>.</w:t>
      </w:r>
      <w:r w:rsidR="00BF5E75">
        <w:t xml:space="preserve"> </w:t>
      </w:r>
      <w:r w:rsidRPr="004B33E1">
        <w:t xml:space="preserve">Enlightenment </w:t>
      </w:r>
      <w:r>
        <w:t xml:space="preserve">thought </w:t>
      </w:r>
      <w:r w:rsidRPr="004B33E1">
        <w:t xml:space="preserve">is often </w:t>
      </w:r>
      <w:r>
        <w:t>misunderstood as being ideologically opposed to religion</w:t>
      </w:r>
      <w:r w:rsidRPr="004B33E1">
        <w:t xml:space="preserve">, but </w:t>
      </w:r>
      <w:r>
        <w:t xml:space="preserve">this </w:t>
      </w:r>
      <w:r w:rsidR="00615C0F">
        <w:t>is a gross misunderstanding</w:t>
      </w:r>
      <w:r>
        <w:t>. P</w:t>
      </w:r>
      <w:r w:rsidRPr="004B33E1">
        <w:t>rimarily</w:t>
      </w:r>
      <w:r>
        <w:t>, its</w:t>
      </w:r>
      <w:r w:rsidRPr="004B33E1">
        <w:t xml:space="preserve"> critique</w:t>
      </w:r>
      <w:r>
        <w:t xml:space="preserve"> focus</w:t>
      </w:r>
      <w:r w:rsidR="00A92EDC">
        <w:t>ed</w:t>
      </w:r>
      <w:r w:rsidRPr="004B33E1">
        <w:t xml:space="preserve"> </w:t>
      </w:r>
      <w:r>
        <w:t xml:space="preserve">on ‘irrational’ aspects of religion that could not be quantified empirically, and instead sought </w:t>
      </w:r>
      <w:r w:rsidRPr="004B33E1">
        <w:t xml:space="preserve">to </w:t>
      </w:r>
      <w:r>
        <w:t>‘</w:t>
      </w:r>
      <w:r w:rsidRPr="004B33E1">
        <w:t>purify</w:t>
      </w:r>
      <w:r>
        <w:t>’</w:t>
      </w:r>
      <w:r w:rsidRPr="004B33E1">
        <w:t xml:space="preserve"> religion into a "rational" or "natural" form</w:t>
      </w:r>
      <w:r>
        <w:t xml:space="preserve">. Thus, enlightenment thinkers such as Voltaire focused the bulk of their opposition towards the way religion was being practiced, rather than opposing religion itself </w:t>
      </w:r>
      <w:sdt>
        <w:sdtPr>
          <w:id w:val="1455366653"/>
          <w:citation/>
        </w:sdtPr>
        <w:sdtEndPr>
          <w:rPr>
            <w:b/>
            <w:bCs/>
          </w:rPr>
        </w:sdtEndPr>
        <w:sdtContent>
          <w:r w:rsidRPr="00E21CB7">
            <w:rPr>
              <w:b/>
              <w:bCs/>
            </w:rPr>
            <w:fldChar w:fldCharType="begin"/>
          </w:r>
          <w:r w:rsidRPr="00E21CB7">
            <w:rPr>
              <w:b/>
              <w:bCs/>
            </w:rPr>
            <w:instrText xml:space="preserve"> CITATION Bri23 \l 2057 </w:instrText>
          </w:r>
          <w:r w:rsidRPr="00E21CB7">
            <w:rPr>
              <w:b/>
              <w:bCs/>
            </w:rPr>
            <w:fldChar w:fldCharType="separate"/>
          </w:r>
          <w:r w:rsidRPr="00E21CB7">
            <w:rPr>
              <w:b/>
              <w:bCs/>
              <w:noProof/>
            </w:rPr>
            <w:t>(Bristow, 2023)</w:t>
          </w:r>
          <w:r w:rsidRPr="00E21CB7">
            <w:rPr>
              <w:b/>
              <w:bCs/>
            </w:rPr>
            <w:fldChar w:fldCharType="end"/>
          </w:r>
        </w:sdtContent>
      </w:sdt>
      <w:r w:rsidRPr="004B33E1">
        <w:t xml:space="preserve">. </w:t>
      </w:r>
      <w:r>
        <w:t xml:space="preserve">Despite this fact, theologians such as </w:t>
      </w:r>
      <w:r w:rsidRPr="007317C3">
        <w:t>Schleiermache</w:t>
      </w:r>
      <w:r>
        <w:t xml:space="preserve">r felt it necessary </w:t>
      </w:r>
      <w:r w:rsidRPr="007317C3">
        <w:t>to defend religion against the scepticism of the Enlightenment thinkers</w:t>
      </w:r>
      <w:r w:rsidR="00BF5E75">
        <w:t xml:space="preserve"> </w:t>
      </w:r>
      <w:sdt>
        <w:sdtPr>
          <w:rPr>
            <w:b/>
            <w:bCs/>
          </w:rPr>
          <w:id w:val="14807483"/>
          <w:citation/>
        </w:sdtPr>
        <w:sdtContent>
          <w:r w:rsidR="00BF5E75" w:rsidRPr="0036236E">
            <w:rPr>
              <w:b/>
              <w:bCs/>
            </w:rPr>
            <w:fldChar w:fldCharType="begin"/>
          </w:r>
          <w:r w:rsidR="00BF5E75" w:rsidRPr="0036236E">
            <w:rPr>
              <w:b/>
              <w:bCs/>
            </w:rPr>
            <w:instrText xml:space="preserve"> CITATION For22 \l 2057 </w:instrText>
          </w:r>
          <w:r w:rsidR="00BF5E75" w:rsidRPr="0036236E">
            <w:rPr>
              <w:b/>
              <w:bCs/>
            </w:rPr>
            <w:fldChar w:fldCharType="separate"/>
          </w:r>
          <w:r w:rsidR="00BF5E75" w:rsidRPr="0036236E">
            <w:rPr>
              <w:b/>
              <w:bCs/>
              <w:noProof/>
            </w:rPr>
            <w:t>(Forster, 2022)</w:t>
          </w:r>
          <w:r w:rsidR="00BF5E75" w:rsidRPr="0036236E">
            <w:rPr>
              <w:b/>
              <w:bCs/>
            </w:rPr>
            <w:fldChar w:fldCharType="end"/>
          </w:r>
        </w:sdtContent>
      </w:sdt>
      <w:r>
        <w:t xml:space="preserve">. Whilst being sympathetic towards sceptics, </w:t>
      </w:r>
      <w:r w:rsidRPr="009E4D94">
        <w:t xml:space="preserve">Schleiermacher ultimately rejected the idea that religion can be founded on </w:t>
      </w:r>
      <w:r>
        <w:t>knowledge</w:t>
      </w:r>
      <w:r w:rsidRPr="009E4D94">
        <w:t>, and instead, he proposed that religion is rooted in a unique intuition or feeling of the universe, which he later refines as a “feeling of absolute dependence”</w:t>
      </w:r>
      <w:r>
        <w:t xml:space="preserve"> </w:t>
      </w:r>
      <w:sdt>
        <w:sdtPr>
          <w:rPr>
            <w:b/>
            <w:bCs/>
          </w:rPr>
          <w:id w:val="-1180352104"/>
          <w:citation/>
        </w:sdtPr>
        <w:sdtContent>
          <w:r w:rsidRPr="0036236E">
            <w:rPr>
              <w:b/>
              <w:bCs/>
            </w:rPr>
            <w:fldChar w:fldCharType="begin"/>
          </w:r>
          <w:r w:rsidRPr="0036236E">
            <w:rPr>
              <w:b/>
              <w:bCs/>
            </w:rPr>
            <w:instrText xml:space="preserve"> CITATION For22 \l 2057 </w:instrText>
          </w:r>
          <w:r w:rsidRPr="0036236E">
            <w:rPr>
              <w:b/>
              <w:bCs/>
            </w:rPr>
            <w:fldChar w:fldCharType="separate"/>
          </w:r>
          <w:r w:rsidRPr="0036236E">
            <w:rPr>
              <w:b/>
              <w:bCs/>
              <w:noProof/>
            </w:rPr>
            <w:t>(Forster, 2022)</w:t>
          </w:r>
          <w:r w:rsidRPr="0036236E">
            <w:rPr>
              <w:b/>
              <w:bCs/>
            </w:rPr>
            <w:fldChar w:fldCharType="end"/>
          </w:r>
        </w:sdtContent>
      </w:sdt>
      <w:r>
        <w:t xml:space="preserve">. This discourse highlights the beginning of a divide between those who would seek to understand religion </w:t>
      </w:r>
      <w:r w:rsidRPr="00097EB3">
        <w:rPr>
          <w:i/>
          <w:iCs/>
        </w:rPr>
        <w:t>a posteriori</w:t>
      </w:r>
      <w:r>
        <w:t xml:space="preserve">, or through empirical evidence, and those who sought to preserve the </w:t>
      </w:r>
      <w:r w:rsidRPr="00097EB3">
        <w:rPr>
          <w:i/>
          <w:iCs/>
        </w:rPr>
        <w:t>a priori</w:t>
      </w:r>
      <w:r w:rsidRPr="00097EB3">
        <w:t> </w:t>
      </w:r>
      <w:r>
        <w:t>approach, which</w:t>
      </w:r>
      <w:r w:rsidRPr="00097EB3">
        <w:t xml:space="preserve"> provides </w:t>
      </w:r>
      <w:r>
        <w:t>understanding about religion through theoretical enquiry, and deduction.</w:t>
      </w:r>
    </w:p>
    <w:p w14:paraId="44405247" w14:textId="73C0773B" w:rsidR="00615C0F" w:rsidRPr="00615C0F" w:rsidRDefault="00652994" w:rsidP="00615C0F">
      <w:r>
        <w:t>However, this growing schism of thought did not</w:t>
      </w:r>
      <w:r w:rsidR="00615C0F">
        <w:t xml:space="preserve"> create a unified </w:t>
      </w:r>
      <w:r>
        <w:t>separate field of study overnight</w:t>
      </w:r>
      <w:r w:rsidR="00615C0F">
        <w:t xml:space="preserve">. </w:t>
      </w:r>
      <w:r w:rsidRPr="00615C0F">
        <w:t>In</w:t>
      </w:r>
      <w:r w:rsidRPr="00D10CCF">
        <w:t>to</w:t>
      </w:r>
      <w:r w:rsidRPr="00615C0F">
        <w:t xml:space="preserve"> the late nineteenth century, academia was still in its formative stages</w:t>
      </w:r>
      <w:r w:rsidR="00CB04F6">
        <w:t xml:space="preserve">. </w:t>
      </w:r>
      <w:r w:rsidRPr="00615C0F">
        <w:t xml:space="preserve">The study of religion was particularly fluid, intersecting with disciplines like philology, history, anthropology, sociology, </w:t>
      </w:r>
      <w:r w:rsidRPr="00D10CCF">
        <w:t xml:space="preserve">and </w:t>
      </w:r>
      <w:r w:rsidR="00D10CCF">
        <w:t>sometimes also included theological debate</w:t>
      </w:r>
      <w:r w:rsidR="00121BF0" w:rsidRPr="00D10CCF">
        <w:t xml:space="preserve">. </w:t>
      </w:r>
      <w:r w:rsidR="00737CDE">
        <w:t xml:space="preserve">The way in which this slow separation occurred was not the same across academic circles, either. </w:t>
      </w:r>
      <w:r w:rsidR="00CB04F6">
        <w:t>Leigh Schmidt</w:t>
      </w:r>
      <w:r w:rsidR="00737CDE">
        <w:t xml:space="preserve">, modern scholar of religious studies, </w:t>
      </w:r>
      <w:r w:rsidR="00CB04F6">
        <w:t>highlights that the emergence of the study of religion was down to different socio-political pressures in America and Britain</w:t>
      </w:r>
      <w:r w:rsidR="00BE2184">
        <w:t xml:space="preserve"> </w:t>
      </w:r>
      <w:sdt>
        <w:sdtPr>
          <w:rPr>
            <w:b/>
            <w:bCs/>
          </w:rPr>
          <w:id w:val="-1095709710"/>
          <w:citation/>
        </w:sdtPr>
        <w:sdtContent>
          <w:r w:rsidR="00BE2184" w:rsidRPr="00BE2184">
            <w:rPr>
              <w:b/>
              <w:bCs/>
            </w:rPr>
            <w:fldChar w:fldCharType="begin"/>
          </w:r>
          <w:r w:rsidR="00BE2184" w:rsidRPr="00BE2184">
            <w:rPr>
              <w:b/>
              <w:bCs/>
            </w:rPr>
            <w:instrText xml:space="preserve"> CITATION Sch14 \l 2057 </w:instrText>
          </w:r>
          <w:r w:rsidR="00BE2184" w:rsidRPr="00BE2184">
            <w:rPr>
              <w:b/>
              <w:bCs/>
            </w:rPr>
            <w:fldChar w:fldCharType="separate"/>
          </w:r>
          <w:r w:rsidR="00BE2184" w:rsidRPr="00BE2184">
            <w:rPr>
              <w:b/>
              <w:bCs/>
              <w:noProof/>
            </w:rPr>
            <w:t>(Schmidt, 2014)</w:t>
          </w:r>
          <w:r w:rsidR="00BE2184" w:rsidRPr="00BE2184">
            <w:rPr>
              <w:b/>
              <w:bCs/>
            </w:rPr>
            <w:fldChar w:fldCharType="end"/>
          </w:r>
        </w:sdtContent>
      </w:sdt>
      <w:r w:rsidR="00CB04F6">
        <w:t xml:space="preserve">. </w:t>
      </w:r>
      <w:r w:rsidR="00BE2184">
        <w:t>Schmidt</w:t>
      </w:r>
      <w:r w:rsidR="00CB04F6">
        <w:t xml:space="preserve"> points towards </w:t>
      </w:r>
      <w:r w:rsidR="00615C0F" w:rsidRPr="00615C0F">
        <w:t>Elizabeth A. Clark's work, </w:t>
      </w:r>
      <w:r w:rsidR="00615C0F" w:rsidRPr="00615C0F">
        <w:rPr>
          <w:i/>
          <w:iCs/>
        </w:rPr>
        <w:t>Founding the Fathers</w:t>
      </w:r>
      <w:r w:rsidR="00615C0F" w:rsidRPr="00615C0F">
        <w:t xml:space="preserve">, </w:t>
      </w:r>
      <w:r w:rsidR="00CB04F6" w:rsidRPr="00BE2184">
        <w:t>to highlight</w:t>
      </w:r>
      <w:r w:rsidR="00615C0F" w:rsidRPr="00615C0F">
        <w:t xml:space="preserve"> the significant role of Protestant theological institutions in shaping the study of religion in America during this period. </w:t>
      </w:r>
      <w:r w:rsidR="00CB04F6" w:rsidRPr="00BE2184">
        <w:t>Such theologians</w:t>
      </w:r>
      <w:r w:rsidR="00615C0F" w:rsidRPr="00615C0F">
        <w:t xml:space="preserve"> navigated limited resources and aimed to carve out a distinct scholarly field focused on early Christianity, while still grappling with their theological commitments</w:t>
      </w:r>
      <w:r w:rsidR="009F20C0" w:rsidRPr="00BE2184">
        <w:t xml:space="preserve">, </w:t>
      </w:r>
      <w:r w:rsidR="00615C0F" w:rsidRPr="00615C0F">
        <w:t>in an effort to secure a more formal recognition within the academic landscape.</w:t>
      </w:r>
      <w:r w:rsidR="009F20C0" w:rsidRPr="00BE2184">
        <w:t xml:space="preserve"> </w:t>
      </w:r>
      <w:r w:rsidR="00CB04F6" w:rsidRPr="00BE2184">
        <w:t xml:space="preserve"> </w:t>
      </w:r>
      <w:r w:rsidR="00BE2184" w:rsidRPr="00BE2184">
        <w:t xml:space="preserve">In </w:t>
      </w:r>
      <w:r w:rsidR="00BE2184">
        <w:t xml:space="preserve">contrast, Shmidt looks to </w:t>
      </w:r>
      <w:r w:rsidR="00615C0F" w:rsidRPr="00615C0F">
        <w:t>Marjorie Wheeler-Barclay's </w:t>
      </w:r>
      <w:r w:rsidR="00615C0F" w:rsidRPr="00615C0F">
        <w:rPr>
          <w:i/>
          <w:iCs/>
        </w:rPr>
        <w:t>Science of Religion</w:t>
      </w:r>
      <w:r w:rsidR="00615C0F" w:rsidRPr="00615C0F">
        <w:t> </w:t>
      </w:r>
      <w:r w:rsidR="00BE2184">
        <w:t xml:space="preserve">in order to </w:t>
      </w:r>
      <w:r w:rsidR="00615C0F" w:rsidRPr="00615C0F">
        <w:t>examine</w:t>
      </w:r>
      <w:r w:rsidR="00BE2184">
        <w:t xml:space="preserve"> </w:t>
      </w:r>
      <w:r w:rsidR="00737CDE" w:rsidRPr="00737CDE">
        <w:t xml:space="preserve">the emergence of religious studies on the </w:t>
      </w:r>
      <w:r w:rsidR="00615C0F" w:rsidRPr="00737CDE">
        <w:t>British academic scene</w:t>
      </w:r>
      <w:r w:rsidR="00615C0F" w:rsidRPr="00615C0F">
        <w:t xml:space="preserve">. Against </w:t>
      </w:r>
      <w:r w:rsidR="00737CDE" w:rsidRPr="00737CDE">
        <w:t xml:space="preserve">what they describe </w:t>
      </w:r>
      <w:r w:rsidR="00737CDE" w:rsidRPr="00737CDE">
        <w:lastRenderedPageBreak/>
        <w:t>as ‘</w:t>
      </w:r>
      <w:r w:rsidR="00615C0F" w:rsidRPr="00615C0F">
        <w:t>the backdrop of a Victorian crisis of faith</w:t>
      </w:r>
      <w:r w:rsidR="00737CDE" w:rsidRPr="00737CDE">
        <w:t>’, Wheeler-Barclay contends that</w:t>
      </w:r>
      <w:r w:rsidR="00615C0F" w:rsidRPr="00615C0F">
        <w:t xml:space="preserve"> these scholars promoted a more comparative and sociological approach to </w:t>
      </w:r>
      <w:r w:rsidR="00737CDE" w:rsidRPr="00615C0F">
        <w:t>religion and</w:t>
      </w:r>
      <w:r w:rsidR="00737CDE">
        <w:t xml:space="preserve"> were much more keen in </w:t>
      </w:r>
      <w:r w:rsidR="00615C0F" w:rsidRPr="00615C0F">
        <w:t>distancing their work from Christian theology</w:t>
      </w:r>
      <w:r w:rsidR="00737CDE" w:rsidRPr="00737CDE">
        <w:t xml:space="preserve"> than their American counterparts were seen to do</w:t>
      </w:r>
      <w:r w:rsidR="00BE2184">
        <w:t xml:space="preserve">. </w:t>
      </w:r>
      <w:r w:rsidR="00615C0F" w:rsidRPr="00615C0F">
        <w:t>Figures like Friedrich Max Müller</w:t>
      </w:r>
      <w:r w:rsidR="00737CDE">
        <w:t xml:space="preserve">, German Philologist and scholar of the University of </w:t>
      </w:r>
      <w:r w:rsidR="00E05F50">
        <w:t xml:space="preserve">Oxford, </w:t>
      </w:r>
      <w:r w:rsidR="00E05F50" w:rsidRPr="00615C0F">
        <w:t>and</w:t>
      </w:r>
      <w:r w:rsidR="00615C0F" w:rsidRPr="00615C0F">
        <w:t xml:space="preserve"> Edward B. Tylor </w:t>
      </w:r>
      <w:r w:rsidR="00737CDE">
        <w:t>attempted</w:t>
      </w:r>
      <w:r w:rsidR="00615C0F" w:rsidRPr="00615C0F">
        <w:t xml:space="preserve"> to create a science of religion that would focus on non-confessional methodologies, a </w:t>
      </w:r>
      <w:r w:rsidR="00737CDE">
        <w:t xml:space="preserve">stark </w:t>
      </w:r>
      <w:r w:rsidR="00615C0F" w:rsidRPr="00615C0F">
        <w:t>departure from the theological perspectives that dominated in America.</w:t>
      </w:r>
      <w:r w:rsidR="00D61820" w:rsidRPr="00737CDE">
        <w:t xml:space="preserve"> M</w:t>
      </w:r>
      <w:r w:rsidR="00D61820" w:rsidRPr="00615C0F">
        <w:t>üller</w:t>
      </w:r>
      <w:r w:rsidR="00D61820" w:rsidRPr="00737CDE">
        <w:t xml:space="preserve"> is often quoted as coining the term ‘Science of religion”, and famously asserted that “He who knows one [Religion], knows none” </w:t>
      </w:r>
      <w:sdt>
        <w:sdtPr>
          <w:rPr>
            <w:b/>
            <w:bCs/>
          </w:rPr>
          <w:id w:val="993997477"/>
          <w:citation/>
        </w:sdtPr>
        <w:sdtContent>
          <w:r w:rsidR="00302CAF" w:rsidRPr="00302CAF">
            <w:rPr>
              <w:b/>
              <w:bCs/>
            </w:rPr>
            <w:fldChar w:fldCharType="begin"/>
          </w:r>
          <w:r w:rsidR="00302CAF" w:rsidRPr="00302CAF">
            <w:rPr>
              <w:b/>
              <w:bCs/>
            </w:rPr>
            <w:instrText xml:space="preserve"> CITATION Mul73 \l 2057 </w:instrText>
          </w:r>
          <w:r w:rsidR="00302CAF" w:rsidRPr="00302CAF">
            <w:rPr>
              <w:b/>
              <w:bCs/>
            </w:rPr>
            <w:fldChar w:fldCharType="separate"/>
          </w:r>
          <w:r w:rsidR="00302CAF" w:rsidRPr="00302CAF">
            <w:rPr>
              <w:b/>
              <w:bCs/>
              <w:noProof/>
            </w:rPr>
            <w:t>(Muller, 1873)</w:t>
          </w:r>
          <w:r w:rsidR="00302CAF" w:rsidRPr="00302CAF">
            <w:rPr>
              <w:b/>
              <w:bCs/>
            </w:rPr>
            <w:fldChar w:fldCharType="end"/>
          </w:r>
        </w:sdtContent>
      </w:sdt>
      <w:r w:rsidR="00BE2184">
        <w:t xml:space="preserve">. Shmidt contends </w:t>
      </w:r>
      <w:r w:rsidR="00302CAF">
        <w:t>t</w:t>
      </w:r>
      <w:r w:rsidR="00BE2184">
        <w:t xml:space="preserve">hese academics, along with an involved community of ‘amateur’ thinkers, pushed the boundaries of religious enquiry more aggressively than their American contemporaries. </w:t>
      </w:r>
    </w:p>
    <w:p w14:paraId="7F7206C4" w14:textId="74CEF4FB" w:rsidR="009F3A97" w:rsidRDefault="009F3A97" w:rsidP="009F3A97"/>
    <w:p w14:paraId="3098DF99" w14:textId="66D700E9" w:rsidR="00FF6DCB" w:rsidRDefault="007D3A15" w:rsidP="009F3A97">
      <w:r>
        <w:t xml:space="preserve">In the present day, the boundaries between what is considered religious studies and what is considered theology will differ depending on the placement of your institution. Within German speaking academia, the disciplines are considered not only split but in a ‘harsh sibling rivalry’ </w:t>
      </w:r>
      <w:sdt>
        <w:sdtPr>
          <w:rPr>
            <w:b/>
            <w:bCs/>
          </w:rPr>
          <w:id w:val="-1770614010"/>
          <w:citation/>
        </w:sdtPr>
        <w:sdtContent>
          <w:r w:rsidRPr="007D3A15">
            <w:rPr>
              <w:b/>
              <w:bCs/>
            </w:rPr>
            <w:fldChar w:fldCharType="begin"/>
          </w:r>
          <w:r w:rsidRPr="007D3A15">
            <w:rPr>
              <w:b/>
              <w:bCs/>
            </w:rPr>
            <w:instrText xml:space="preserve"> CITATION Rei12 \l 2057 </w:instrText>
          </w:r>
          <w:r w:rsidRPr="007D3A15">
            <w:rPr>
              <w:b/>
              <w:bCs/>
            </w:rPr>
            <w:fldChar w:fldCharType="separate"/>
          </w:r>
          <w:r w:rsidRPr="007D3A15">
            <w:rPr>
              <w:b/>
              <w:bCs/>
              <w:noProof/>
            </w:rPr>
            <w:t>(Bernhardt, 2012)</w:t>
          </w:r>
          <w:r w:rsidRPr="007D3A15">
            <w:rPr>
              <w:b/>
              <w:bCs/>
            </w:rPr>
            <w:fldChar w:fldCharType="end"/>
          </w:r>
        </w:sdtContent>
      </w:sdt>
      <w:r w:rsidRPr="007D3A15">
        <w:rPr>
          <w:b/>
          <w:bCs/>
        </w:rPr>
        <w:t>.</w:t>
      </w:r>
      <w:r>
        <w:t xml:space="preserve"> Whilst in British academic settings, it is not uncommon for Theology and religious studies to be combined under the same departmental umbrella of ‘TRS’</w:t>
      </w:r>
      <w:r w:rsidR="00E05F50">
        <w:t xml:space="preserve"> </w:t>
      </w:r>
      <w:sdt>
        <w:sdtPr>
          <w:id w:val="-152292659"/>
          <w:citation/>
        </w:sdtPr>
        <w:sdtEndPr>
          <w:rPr>
            <w:b/>
            <w:bCs/>
          </w:rPr>
        </w:sdtEndPr>
        <w:sdtContent>
          <w:r w:rsidR="00E05F50" w:rsidRPr="00E05F50">
            <w:rPr>
              <w:b/>
              <w:bCs/>
            </w:rPr>
            <w:fldChar w:fldCharType="begin"/>
          </w:r>
          <w:r w:rsidR="00E05F50" w:rsidRPr="00E05F50">
            <w:rPr>
              <w:b/>
              <w:bCs/>
            </w:rPr>
            <w:instrText xml:space="preserve"> CITATION TRS24 \l 2057 </w:instrText>
          </w:r>
          <w:r w:rsidR="00E05F50" w:rsidRPr="00E05F50">
            <w:rPr>
              <w:b/>
              <w:bCs/>
            </w:rPr>
            <w:fldChar w:fldCharType="separate"/>
          </w:r>
          <w:r w:rsidR="00E05F50" w:rsidRPr="00E05F50">
            <w:rPr>
              <w:b/>
              <w:bCs/>
              <w:noProof/>
            </w:rPr>
            <w:t>(TRS UK, 2024)</w:t>
          </w:r>
          <w:r w:rsidR="00E05F50" w:rsidRPr="00E05F50">
            <w:rPr>
              <w:b/>
              <w:bCs/>
            </w:rPr>
            <w:fldChar w:fldCharType="end"/>
          </w:r>
        </w:sdtContent>
      </w:sdt>
      <w:r w:rsidRPr="00E05F50">
        <w:rPr>
          <w:b/>
          <w:bCs/>
        </w:rPr>
        <w:t xml:space="preserve">. </w:t>
      </w:r>
      <w:r>
        <w:t>T</w:t>
      </w:r>
      <w:r w:rsidR="009F3A97">
        <w:t>hus</w:t>
      </w:r>
      <w:r>
        <w:t xml:space="preserve">, although there is a historical and </w:t>
      </w:r>
      <w:r w:rsidR="009F3A97">
        <w:t xml:space="preserve">palpable divide between theology and religious studies, the extent to which they are separated can vary between institutions. </w:t>
      </w:r>
      <w:r w:rsidR="00EE2209">
        <w:t xml:space="preserve">The remainder of this paper will work towards formalising a definition of the two </w:t>
      </w:r>
      <w:r w:rsidR="005C049D">
        <w:t xml:space="preserve">fields, to assess whether they justifiably separate disciplines in theory. After this, the value </w:t>
      </w:r>
      <w:r w:rsidR="00EE2209">
        <w:t>in enforcing rigid boundaries between them</w:t>
      </w:r>
      <w:r w:rsidR="005C049D">
        <w:t xml:space="preserve"> will be discussed</w:t>
      </w:r>
      <w:r w:rsidR="00EE2209">
        <w:t>.</w:t>
      </w:r>
    </w:p>
    <w:p w14:paraId="76D32A0C" w14:textId="77777777" w:rsidR="00131D9B" w:rsidRDefault="00131D9B" w:rsidP="00F51ABE">
      <w:pPr>
        <w:rPr>
          <w:b/>
          <w:bCs/>
          <w:u w:val="single"/>
        </w:rPr>
      </w:pPr>
    </w:p>
    <w:p w14:paraId="783259DA" w14:textId="253B9779" w:rsidR="00F51ABE" w:rsidRPr="00D61EE9" w:rsidRDefault="00AA33AA" w:rsidP="00F51ABE">
      <w:pPr>
        <w:rPr>
          <w:b/>
          <w:bCs/>
          <w:u w:val="single"/>
        </w:rPr>
      </w:pPr>
      <w:r>
        <w:rPr>
          <w:b/>
          <w:bCs/>
          <w:u w:val="single"/>
        </w:rPr>
        <w:t xml:space="preserve">The Theoretical Boundaries between Theology and Religious Studies </w:t>
      </w:r>
    </w:p>
    <w:p w14:paraId="4924A4BC" w14:textId="77777777" w:rsidR="00AA33AA" w:rsidRDefault="00AA33AA" w:rsidP="00F51ABE"/>
    <w:p w14:paraId="64D5F7FB" w14:textId="51190838" w:rsidR="00AA33AA" w:rsidRDefault="00AA33AA" w:rsidP="00F51ABE">
      <w:r>
        <w:t>We have thus far focused on how Theology and Religious studies are practiced</w:t>
      </w:r>
      <w:r w:rsidR="009633A6">
        <w:t xml:space="preserve"> within academic </w:t>
      </w:r>
      <w:r w:rsidR="00131D9B">
        <w:t>settings</w:t>
      </w:r>
      <w:r>
        <w:t xml:space="preserve">. The remainder of this paper will be dedicated to exploring the theoretically ideal versions of these fields, in a sense how they should be practiced. </w:t>
      </w:r>
      <w:r w:rsidR="009633A6">
        <w:t>To</w:t>
      </w:r>
      <w:r>
        <w:t xml:space="preserve"> assert that ideally these fields should be separate, we would need to produce a justifiable definition of the two that makes them valuably distinct from each other.</w:t>
      </w:r>
    </w:p>
    <w:p w14:paraId="350172D7" w14:textId="3B785E62" w:rsidR="00F51ABE" w:rsidRDefault="00F51ABE" w:rsidP="00F51ABE">
      <w:r>
        <w:t>As ever is the case with complex fields of enquiry, it is difficult to succinctly and accurately define what ‘theology’ is. Even lexical definitions, or the meaning of each term in common usage, differ between dictionaries; The Oxford English Dictionary defines theology as “</w:t>
      </w:r>
      <w:r w:rsidRPr="0026468E">
        <w:rPr>
          <w:i/>
          <w:iCs/>
        </w:rPr>
        <w:t>The study or science which treats of God, His nature and attributes, and His relations with man and the universe</w:t>
      </w:r>
      <w:r>
        <w:t>”</w:t>
      </w:r>
      <w:r w:rsidRPr="0026468E">
        <w:t> </w:t>
      </w:r>
      <w:sdt>
        <w:sdtPr>
          <w:rPr>
            <w:b/>
            <w:bCs/>
          </w:rPr>
          <w:id w:val="-2023077837"/>
          <w:citation/>
        </w:sdtPr>
        <w:sdtContent>
          <w:r w:rsidRPr="0026468E">
            <w:rPr>
              <w:b/>
              <w:bCs/>
            </w:rPr>
            <w:fldChar w:fldCharType="begin"/>
          </w:r>
          <w:r w:rsidRPr="0026468E">
            <w:rPr>
              <w:b/>
              <w:bCs/>
            </w:rPr>
            <w:instrText xml:space="preserve"> CITATION Oxf24 \l 2057 </w:instrText>
          </w:r>
          <w:r w:rsidRPr="0026468E">
            <w:rPr>
              <w:b/>
              <w:bCs/>
            </w:rPr>
            <w:fldChar w:fldCharType="separate"/>
          </w:r>
          <w:r w:rsidRPr="0026468E">
            <w:rPr>
              <w:b/>
              <w:bCs/>
              <w:noProof/>
            </w:rPr>
            <w:t>(Oxford University Press, 2024)</w:t>
          </w:r>
          <w:r w:rsidRPr="0026468E">
            <w:rPr>
              <w:b/>
              <w:bCs/>
            </w:rPr>
            <w:fldChar w:fldCharType="end"/>
          </w:r>
        </w:sdtContent>
      </w:sdt>
      <w:r>
        <w:t xml:space="preserve">, whereas the </w:t>
      </w:r>
      <w:r w:rsidRPr="0013409B">
        <w:t xml:space="preserve">Merriam-Webster </w:t>
      </w:r>
      <w:r>
        <w:t>dictionary defines theology more broadly as “</w:t>
      </w:r>
      <w:r w:rsidRPr="00285EFD">
        <w:rPr>
          <w:i/>
          <w:iCs/>
        </w:rPr>
        <w:t>the study of religious faith, practice, and experience</w:t>
      </w:r>
      <w:r>
        <w:rPr>
          <w:i/>
          <w:iCs/>
        </w:rPr>
        <w:t xml:space="preserve">, especially </w:t>
      </w:r>
      <w:r w:rsidRPr="008B3D2F">
        <w:rPr>
          <w:i/>
          <w:iCs/>
        </w:rPr>
        <w:t>the study of God and of God's relation to the world</w:t>
      </w:r>
      <w:r>
        <w:t xml:space="preserve">” </w:t>
      </w:r>
      <w:r w:rsidRPr="0013409B">
        <w:rPr>
          <w:b/>
          <w:bCs/>
          <w:noProof/>
        </w:rPr>
        <w:t>(Merriam-Webster, 2024)</w:t>
      </w:r>
      <w:r>
        <w:rPr>
          <w:noProof/>
        </w:rPr>
        <w:t>. Matters become further muddled if we turn to the dictionary definitions of Religious Studies to try and highlight the differences between the two fields, as the Oxford English dictionary defines religious studies simply as “</w:t>
      </w:r>
      <w:r w:rsidRPr="008B3D2F">
        <w:rPr>
          <w:i/>
          <w:iCs/>
          <w:noProof/>
        </w:rPr>
        <w:t>The study of religion or religions as an academic discipline</w:t>
      </w:r>
      <w:r>
        <w:rPr>
          <w:noProof/>
        </w:rPr>
        <w:t xml:space="preserve">” </w:t>
      </w:r>
      <w:sdt>
        <w:sdtPr>
          <w:rPr>
            <w:noProof/>
          </w:rPr>
          <w:id w:val="1119414936"/>
          <w:citation/>
        </w:sdtPr>
        <w:sdtContent>
          <w:r w:rsidRPr="00B3631B">
            <w:rPr>
              <w:b/>
              <w:bCs/>
              <w:noProof/>
            </w:rPr>
            <w:fldChar w:fldCharType="begin"/>
          </w:r>
          <w:r w:rsidRPr="00B3631B">
            <w:rPr>
              <w:b/>
              <w:bCs/>
              <w:noProof/>
            </w:rPr>
            <w:instrText xml:space="preserve">CITATION Oxf241 \l 2057 </w:instrText>
          </w:r>
          <w:r w:rsidRPr="00B3631B">
            <w:rPr>
              <w:b/>
              <w:bCs/>
              <w:noProof/>
            </w:rPr>
            <w:fldChar w:fldCharType="separate"/>
          </w:r>
          <w:r w:rsidRPr="00B3631B">
            <w:rPr>
              <w:b/>
              <w:bCs/>
              <w:noProof/>
            </w:rPr>
            <w:t>(Oxford University Press, 2024)</w:t>
          </w:r>
          <w:r w:rsidRPr="00B3631B">
            <w:rPr>
              <w:b/>
              <w:bCs/>
              <w:noProof/>
            </w:rPr>
            <w:fldChar w:fldCharType="end"/>
          </w:r>
        </w:sdtContent>
      </w:sdt>
      <w:r>
        <w:rPr>
          <w:noProof/>
        </w:rPr>
        <w:t xml:space="preserve">, and the Merriam-Webster dictionary fails to give ‘religious studies’ its own entry. Upon first reflection it seems that there are no </w:t>
      </w:r>
      <w:r w:rsidRPr="008351A0">
        <w:rPr>
          <w:noProof/>
        </w:rPr>
        <w:t>definitional</w:t>
      </w:r>
      <w:r>
        <w:rPr>
          <w:noProof/>
        </w:rPr>
        <w:t xml:space="preserve"> differences between the two at all.      </w:t>
      </w:r>
    </w:p>
    <w:p w14:paraId="139F664B" w14:textId="2A8E19E7" w:rsidR="00F51ABE" w:rsidRDefault="00F51ABE" w:rsidP="00F51ABE">
      <w:pPr>
        <w:rPr>
          <w:noProof/>
        </w:rPr>
      </w:pPr>
      <w:r>
        <w:rPr>
          <w:noProof/>
        </w:rPr>
        <w:lastRenderedPageBreak/>
        <w:t>There are, however, two features of the lexical definitions of ‘theology’ that begin to distinguish it as a</w:t>
      </w:r>
      <w:r w:rsidR="005C049D">
        <w:rPr>
          <w:noProof/>
        </w:rPr>
        <w:t xml:space="preserve">n </w:t>
      </w:r>
      <w:r>
        <w:rPr>
          <w:noProof/>
        </w:rPr>
        <w:t xml:space="preserve">separate </w:t>
      </w:r>
      <w:r w:rsidR="00DB5AA4">
        <w:rPr>
          <w:noProof/>
        </w:rPr>
        <w:t xml:space="preserve">academic </w:t>
      </w:r>
      <w:r>
        <w:rPr>
          <w:noProof/>
        </w:rPr>
        <w:t xml:space="preserve">field to religious studies. The first of these features is that the definitions of theology make specific references to </w:t>
      </w:r>
      <w:r w:rsidRPr="00BD0F95">
        <w:rPr>
          <w:noProof/>
          <w:u w:val="single"/>
        </w:rPr>
        <w:t>G</w:t>
      </w:r>
      <w:r>
        <w:rPr>
          <w:noProof/>
        </w:rPr>
        <w:t xml:space="preserve">od (with a capital G), insinuating that theological discourse is limited to monotheistic traditions. The capitalisation of ‘God’ and ‘His’ in English denotes its use as a proper noun,  and therefore refers to a single entity, rather than referring to a class of entity (which would require a common noun instead) </w:t>
      </w:r>
      <w:sdt>
        <w:sdtPr>
          <w:rPr>
            <w:b/>
            <w:bCs/>
            <w:noProof/>
          </w:rPr>
          <w:id w:val="1710763570"/>
          <w:citation/>
        </w:sdtPr>
        <w:sdtContent>
          <w:r w:rsidRPr="005966CB">
            <w:rPr>
              <w:b/>
              <w:bCs/>
              <w:noProof/>
            </w:rPr>
            <w:fldChar w:fldCharType="begin"/>
          </w:r>
          <w:r w:rsidRPr="005966CB">
            <w:rPr>
              <w:b/>
              <w:bCs/>
              <w:noProof/>
            </w:rPr>
            <w:instrText xml:space="preserve"> CITATION Les19 \l 2057 </w:instrText>
          </w:r>
          <w:r w:rsidRPr="005966CB">
            <w:rPr>
              <w:b/>
              <w:bCs/>
              <w:noProof/>
            </w:rPr>
            <w:fldChar w:fldCharType="separate"/>
          </w:r>
          <w:r w:rsidRPr="005966CB">
            <w:rPr>
              <w:b/>
              <w:bCs/>
              <w:noProof/>
            </w:rPr>
            <w:t>(Lester &amp; Beason, 2019)</w:t>
          </w:r>
          <w:r w:rsidRPr="005966CB">
            <w:rPr>
              <w:b/>
              <w:bCs/>
              <w:noProof/>
            </w:rPr>
            <w:fldChar w:fldCharType="end"/>
          </w:r>
        </w:sdtContent>
      </w:sdt>
      <w:r w:rsidRPr="005966CB">
        <w:rPr>
          <w:b/>
          <w:bCs/>
          <w:noProof/>
        </w:rPr>
        <w:t>.</w:t>
      </w:r>
      <w:r>
        <w:rPr>
          <w:noProof/>
        </w:rPr>
        <w:t xml:space="preserve">  This is a deliberate gramatical choice</w:t>
      </w:r>
      <w:r w:rsidR="00131D9B">
        <w:rPr>
          <w:noProof/>
        </w:rPr>
        <w:t xml:space="preserve"> which</w:t>
      </w:r>
      <w:r>
        <w:rPr>
          <w:noProof/>
        </w:rPr>
        <w:t xml:space="preserve"> would exclude polytheistic and nontheistic religions from engaging in theology by definition. Such a distinction is not made within the definition of Religious Studies, indicating a seperation between the two fields of enquiry.  </w:t>
      </w:r>
    </w:p>
    <w:p w14:paraId="7AD1BCEE" w14:textId="6FABB430" w:rsidR="00131D9B" w:rsidRDefault="00F51ABE" w:rsidP="000D572F">
      <w:pPr>
        <w:rPr>
          <w:noProof/>
        </w:rPr>
      </w:pPr>
      <w:r>
        <w:rPr>
          <w:noProof/>
        </w:rPr>
        <w:t>The second feature of the above lexical definitions which indicates a notable difference between theology and religious studies is that the defintion of religious studies references the study of multiple religions. Once again, the definitions of theology refer to a singular ‘God’ and also refer to singular religious ‘faith’ and ‘practice’, rather than multiple ‘faiths’ or ‘practices’. So, we can identify this as a distinguishing factor between the two methodologies, in the lay person’s understanding.</w:t>
      </w:r>
    </w:p>
    <w:p w14:paraId="2E924508" w14:textId="487E82FD" w:rsidR="00131D9B" w:rsidRPr="00AB26E8" w:rsidRDefault="00131D9B" w:rsidP="000D572F">
      <w:pPr>
        <w:rPr>
          <w:i/>
          <w:iCs/>
          <w:noProof/>
        </w:rPr>
      </w:pPr>
      <w:r>
        <w:rPr>
          <w:noProof/>
        </w:rPr>
        <w:t xml:space="preserve">We must also note the Oxford Dictionaries’ classification of theology as a science. We may see this, and make an assumption that the theology must follow the scientific method. However, the definition of </w:t>
      </w:r>
      <w:r w:rsidR="00DD5E4D">
        <w:rPr>
          <w:noProof/>
        </w:rPr>
        <w:t>‘</w:t>
      </w:r>
      <w:r>
        <w:rPr>
          <w:noProof/>
        </w:rPr>
        <w:t>science</w:t>
      </w:r>
      <w:r w:rsidR="00DD5E4D">
        <w:rPr>
          <w:noProof/>
        </w:rPr>
        <w:t>’</w:t>
      </w:r>
      <w:r>
        <w:rPr>
          <w:noProof/>
        </w:rPr>
        <w:t xml:space="preserve"> within the Oxford English Dictionary that correlates with the </w:t>
      </w:r>
      <w:r w:rsidR="00DD5E4D">
        <w:rPr>
          <w:noProof/>
        </w:rPr>
        <w:t xml:space="preserve">entry for ‘theology’ describes science as being </w:t>
      </w:r>
      <w:r w:rsidR="00DD5E4D" w:rsidRPr="00DD5E4D">
        <w:rPr>
          <w:i/>
          <w:iCs/>
          <w:noProof/>
        </w:rPr>
        <w:t>“</w:t>
      </w:r>
      <w:r w:rsidR="00DD5E4D" w:rsidRPr="00DD5E4D">
        <w:rPr>
          <w:i/>
          <w:iCs/>
          <w:noProof/>
        </w:rPr>
        <w:t>A particular area of knowledge or study; a recognized branch of learning</w:t>
      </w:r>
      <w:r w:rsidR="00DD5E4D" w:rsidRPr="00DD5E4D">
        <w:rPr>
          <w:i/>
          <w:iCs/>
          <w:noProof/>
        </w:rPr>
        <w:t>”</w:t>
      </w:r>
      <w:r w:rsidR="00DD5E4D">
        <w:rPr>
          <w:noProof/>
        </w:rPr>
        <w:t xml:space="preserve"> </w:t>
      </w:r>
      <w:sdt>
        <w:sdtPr>
          <w:rPr>
            <w:b/>
            <w:bCs/>
            <w:noProof/>
          </w:rPr>
          <w:id w:val="-881242316"/>
          <w:citation/>
        </w:sdtPr>
        <w:sdtContent>
          <w:r w:rsidR="00DD5E4D" w:rsidRPr="00DD5E4D">
            <w:rPr>
              <w:b/>
              <w:bCs/>
              <w:noProof/>
            </w:rPr>
            <w:fldChar w:fldCharType="begin"/>
          </w:r>
          <w:r w:rsidR="00DD5E4D" w:rsidRPr="00DD5E4D">
            <w:rPr>
              <w:b/>
              <w:bCs/>
              <w:noProof/>
            </w:rPr>
            <w:instrText xml:space="preserve">CITATION Oxf242 \l 2057 </w:instrText>
          </w:r>
          <w:r w:rsidR="00DD5E4D" w:rsidRPr="00DD5E4D">
            <w:rPr>
              <w:b/>
              <w:bCs/>
              <w:noProof/>
            </w:rPr>
            <w:fldChar w:fldCharType="separate"/>
          </w:r>
          <w:r w:rsidR="00DD5E4D" w:rsidRPr="00DD5E4D">
            <w:rPr>
              <w:b/>
              <w:bCs/>
              <w:noProof/>
            </w:rPr>
            <w:t>(Oxford University Press, 2024)</w:t>
          </w:r>
          <w:r w:rsidR="00DD5E4D" w:rsidRPr="00DD5E4D">
            <w:rPr>
              <w:b/>
              <w:bCs/>
              <w:noProof/>
            </w:rPr>
            <w:fldChar w:fldCharType="end"/>
          </w:r>
        </w:sdtContent>
      </w:sdt>
      <w:r w:rsidR="00DD5E4D">
        <w:rPr>
          <w:noProof/>
        </w:rPr>
        <w:t>, whilst the entry defining the scientific method is much more specific, stating that it is “</w:t>
      </w:r>
      <w:r w:rsidR="00DD5E4D" w:rsidRPr="00AB26E8">
        <w:rPr>
          <w:i/>
          <w:iCs/>
          <w:noProof/>
        </w:rPr>
        <w:t>A method of observation or procedure based on scientific ideas or methods; </w:t>
      </w:r>
      <w:r w:rsidR="00DD5E4D" w:rsidRPr="00AB26E8">
        <w:rPr>
          <w:i/>
          <w:iCs/>
          <w:noProof/>
        </w:rPr>
        <w:t xml:space="preserve"> </w:t>
      </w:r>
      <w:r w:rsidR="00DD5E4D" w:rsidRPr="00AB26E8">
        <w:rPr>
          <w:i/>
          <w:iCs/>
          <w:noProof/>
        </w:rPr>
        <w:t xml:space="preserve">an empirical method that has underlain the development of natural science since the 17th </w:t>
      </w:r>
      <w:r w:rsidR="00DD5E4D" w:rsidRPr="00AB26E8">
        <w:rPr>
          <w:i/>
          <w:iCs/>
          <w:noProof/>
        </w:rPr>
        <w:t>[</w:t>
      </w:r>
      <w:r w:rsidR="00DD5E4D" w:rsidRPr="00AB26E8">
        <w:rPr>
          <w:i/>
          <w:iCs/>
          <w:noProof/>
        </w:rPr>
        <w:t>cent</w:t>
      </w:r>
      <w:r w:rsidR="00DD5E4D" w:rsidRPr="00AB26E8">
        <w:rPr>
          <w:i/>
          <w:iCs/>
          <w:noProof/>
        </w:rPr>
        <w:t>ury]</w:t>
      </w:r>
      <w:r w:rsidR="00DD5E4D">
        <w:rPr>
          <w:noProof/>
        </w:rPr>
        <w:t xml:space="preserve">” </w:t>
      </w:r>
      <w:sdt>
        <w:sdtPr>
          <w:rPr>
            <w:b/>
            <w:bCs/>
            <w:noProof/>
          </w:rPr>
          <w:id w:val="1147554974"/>
          <w:citation/>
        </w:sdtPr>
        <w:sdtContent>
          <w:r w:rsidR="00AB26E8" w:rsidRPr="00AB26E8">
            <w:rPr>
              <w:b/>
              <w:bCs/>
              <w:noProof/>
            </w:rPr>
            <w:fldChar w:fldCharType="begin"/>
          </w:r>
          <w:r w:rsidR="00AB26E8" w:rsidRPr="00AB26E8">
            <w:rPr>
              <w:b/>
              <w:bCs/>
              <w:noProof/>
            </w:rPr>
            <w:instrText xml:space="preserve"> CITATION Oxf23 \l 2057 </w:instrText>
          </w:r>
          <w:r w:rsidR="00AB26E8" w:rsidRPr="00AB26E8">
            <w:rPr>
              <w:b/>
              <w:bCs/>
              <w:noProof/>
            </w:rPr>
            <w:fldChar w:fldCharType="separate"/>
          </w:r>
          <w:r w:rsidR="00AB26E8" w:rsidRPr="00AB26E8">
            <w:rPr>
              <w:b/>
              <w:bCs/>
              <w:noProof/>
            </w:rPr>
            <w:t>(Oxford University Press, 2023)</w:t>
          </w:r>
          <w:r w:rsidR="00AB26E8" w:rsidRPr="00AB26E8">
            <w:rPr>
              <w:b/>
              <w:bCs/>
              <w:noProof/>
            </w:rPr>
            <w:fldChar w:fldCharType="end"/>
          </w:r>
        </w:sdtContent>
      </w:sdt>
      <w:r w:rsidR="00AB26E8">
        <w:rPr>
          <w:noProof/>
        </w:rPr>
        <w:t xml:space="preserve">. Thus, the intent behind using the word </w:t>
      </w:r>
      <w:r w:rsidR="00604050">
        <w:rPr>
          <w:noProof/>
        </w:rPr>
        <w:t>‘</w:t>
      </w:r>
      <w:r w:rsidR="00AB26E8">
        <w:rPr>
          <w:noProof/>
        </w:rPr>
        <w:t>science’ within the definition of theology was not to insinuate that the method behind it is scientific, but rather that it is a recognised branch of learning.</w:t>
      </w:r>
    </w:p>
    <w:p w14:paraId="1AB530BC" w14:textId="40553611" w:rsidR="000D572F" w:rsidRDefault="000D572F" w:rsidP="000D572F">
      <w:pPr>
        <w:rPr>
          <w:noProof/>
        </w:rPr>
      </w:pPr>
      <w:r>
        <w:rPr>
          <w:noProof/>
        </w:rPr>
        <w:t>We can therefore conclude that</w:t>
      </w:r>
      <w:r w:rsidR="00AB26E8">
        <w:rPr>
          <w:noProof/>
        </w:rPr>
        <w:t xml:space="preserve"> the common use definition of</w:t>
      </w:r>
      <w:r>
        <w:rPr>
          <w:noProof/>
        </w:rPr>
        <w:t xml:space="preserve"> ‘theology’ </w:t>
      </w:r>
      <w:r w:rsidR="00AB26E8">
        <w:rPr>
          <w:noProof/>
        </w:rPr>
        <w:t>is that it is</w:t>
      </w:r>
      <w:r>
        <w:rPr>
          <w:noProof/>
        </w:rPr>
        <w:t xml:space="preserve"> the study of a singular monotheistic religious tradition, primarily focusing on the nature of their God. Religious studies, in turn, is understood to concern the study, comparison and impact of any and all religion or religious beliefs, including polytheistic and non-theistic traditions. </w:t>
      </w:r>
    </w:p>
    <w:p w14:paraId="3D426CAE" w14:textId="77777777" w:rsidR="00AB26E8" w:rsidRDefault="00AB26E8" w:rsidP="00F51ABE">
      <w:pPr>
        <w:rPr>
          <w:noProof/>
        </w:rPr>
      </w:pPr>
    </w:p>
    <w:p w14:paraId="2E780E09" w14:textId="3C91B7BC" w:rsidR="000D572F" w:rsidRDefault="000D572F" w:rsidP="00F51ABE">
      <w:pPr>
        <w:rPr>
          <w:noProof/>
        </w:rPr>
      </w:pPr>
      <w:r>
        <w:rPr>
          <w:noProof/>
        </w:rPr>
        <w:t>Whilst this categorisation may satisfy the public en masse, it fails to effectively classify all of the disparate academic works that relate to matters of religion. Take, for example, J.L. Mackie’s famous treatise on the problem of evil</w:t>
      </w:r>
      <w:r>
        <w:rPr>
          <w:noProof/>
        </w:rPr>
        <w:t xml:space="preserve"> </w:t>
      </w:r>
      <w:sdt>
        <w:sdtPr>
          <w:rPr>
            <w:b/>
            <w:bCs/>
            <w:noProof/>
          </w:rPr>
          <w:id w:val="2081478052"/>
          <w:citation/>
        </w:sdtPr>
        <w:sdtContent>
          <w:r w:rsidRPr="000D572F">
            <w:rPr>
              <w:b/>
              <w:bCs/>
              <w:noProof/>
            </w:rPr>
            <w:fldChar w:fldCharType="begin"/>
          </w:r>
          <w:r w:rsidRPr="000D572F">
            <w:rPr>
              <w:b/>
              <w:bCs/>
              <w:noProof/>
            </w:rPr>
            <w:instrText xml:space="preserve"> CITATION Mac55 \l 2057 </w:instrText>
          </w:r>
          <w:r w:rsidRPr="000D572F">
            <w:rPr>
              <w:b/>
              <w:bCs/>
              <w:noProof/>
            </w:rPr>
            <w:fldChar w:fldCharType="separate"/>
          </w:r>
          <w:r w:rsidRPr="000D572F">
            <w:rPr>
              <w:b/>
              <w:bCs/>
              <w:noProof/>
            </w:rPr>
            <w:t>(Mackie, 1955)</w:t>
          </w:r>
          <w:r w:rsidRPr="000D572F">
            <w:rPr>
              <w:b/>
              <w:bCs/>
              <w:noProof/>
            </w:rPr>
            <w:fldChar w:fldCharType="end"/>
          </w:r>
        </w:sdtContent>
      </w:sdt>
      <w:r>
        <w:rPr>
          <w:noProof/>
        </w:rPr>
        <w:t xml:space="preserve">. In this work, Mackie examines claims on the nature of </w:t>
      </w:r>
      <w:r w:rsidRPr="0070598F">
        <w:rPr>
          <w:noProof/>
          <w:u w:val="single"/>
        </w:rPr>
        <w:t>G</w:t>
      </w:r>
      <w:r>
        <w:rPr>
          <w:noProof/>
        </w:rPr>
        <w:t xml:space="preserve">od, and uses those to draw a conclusion about God’s relation to the world. In this way, this discourse would be identified firmly as theological. However, the conclusion that Mackie ends up drawing is that God, as described as omnipotent and wholly loving, cannot exist in relation to our world if we believe evil to exist (as he contends that all theologians do). Mackie instead uses this work to advocate for atheism, which </w:t>
      </w:r>
      <w:r w:rsidR="0048600D">
        <w:rPr>
          <w:noProof/>
        </w:rPr>
        <w:t xml:space="preserve">would </w:t>
      </w:r>
      <w:r>
        <w:rPr>
          <w:noProof/>
        </w:rPr>
        <w:t xml:space="preserve">exclude </w:t>
      </w:r>
      <w:r>
        <w:rPr>
          <w:noProof/>
        </w:rPr>
        <w:t>it</w:t>
      </w:r>
      <w:r>
        <w:rPr>
          <w:noProof/>
        </w:rPr>
        <w:t xml:space="preserve"> from being classified as theology under </w:t>
      </w:r>
      <w:r>
        <w:rPr>
          <w:noProof/>
        </w:rPr>
        <w:t>the above</w:t>
      </w:r>
      <w:r>
        <w:rPr>
          <w:noProof/>
        </w:rPr>
        <w:t xml:space="preserve"> definition.</w:t>
      </w:r>
      <w:r>
        <w:rPr>
          <w:noProof/>
        </w:rPr>
        <w:t xml:space="preserve"> The paradox of having Mackie’s work both be and not be categorised a</w:t>
      </w:r>
      <w:r w:rsidR="0048600D">
        <w:rPr>
          <w:noProof/>
        </w:rPr>
        <w:t>s a</w:t>
      </w:r>
      <w:r>
        <w:rPr>
          <w:noProof/>
        </w:rPr>
        <w:t xml:space="preserve"> work of theology shows this definition to be </w:t>
      </w:r>
      <w:r w:rsidR="00DB5AA4">
        <w:rPr>
          <w:noProof/>
        </w:rPr>
        <w:t>non-viable.</w:t>
      </w:r>
    </w:p>
    <w:p w14:paraId="2B96B9AA" w14:textId="597EC26E" w:rsidR="00086B51" w:rsidRDefault="00DB5AA4" w:rsidP="00F51ABE">
      <w:r>
        <w:rPr>
          <w:noProof/>
        </w:rPr>
        <w:t xml:space="preserve">We can, however, produce definitions of Theology and Religious studies that both reconcile together the history of the disciplines and overcome the problems presented from the lay understanding outlined above.  </w:t>
      </w:r>
      <w:r w:rsidR="00F51ABE">
        <w:rPr>
          <w:noProof/>
        </w:rPr>
        <w:t>One of the most famous definitions of theology is that it is “</w:t>
      </w:r>
      <w:r w:rsidR="00F51ABE" w:rsidRPr="00AB26E8">
        <w:rPr>
          <w:i/>
          <w:iCs/>
          <w:noProof/>
        </w:rPr>
        <w:t>faith seeking understanding</w:t>
      </w:r>
      <w:r w:rsidR="00F51ABE">
        <w:rPr>
          <w:noProof/>
        </w:rPr>
        <w:t>”, which was coined by the 11</w:t>
      </w:r>
      <w:r w:rsidR="00F51ABE" w:rsidRPr="00AB26E8">
        <w:rPr>
          <w:noProof/>
          <w:vertAlign w:val="superscript"/>
        </w:rPr>
        <w:t>th</w:t>
      </w:r>
      <w:r w:rsidR="00F51ABE">
        <w:rPr>
          <w:noProof/>
        </w:rPr>
        <w:t xml:space="preserve"> century </w:t>
      </w:r>
      <w:r w:rsidR="00F51ABE" w:rsidRPr="00436435">
        <w:rPr>
          <w:noProof/>
        </w:rPr>
        <w:t>Archbishop</w:t>
      </w:r>
      <w:r w:rsidR="00F51ABE">
        <w:rPr>
          <w:noProof/>
        </w:rPr>
        <w:t xml:space="preserve"> </w:t>
      </w:r>
      <w:r w:rsidR="00F51ABE" w:rsidRPr="00436435">
        <w:rPr>
          <w:noProof/>
        </w:rPr>
        <w:t xml:space="preserve">Saint Anselm of </w:t>
      </w:r>
      <w:r w:rsidR="00F51ABE" w:rsidRPr="00436435">
        <w:rPr>
          <w:noProof/>
        </w:rPr>
        <w:lastRenderedPageBreak/>
        <w:t xml:space="preserve">Canterbury </w:t>
      </w:r>
      <w:sdt>
        <w:sdtPr>
          <w:rPr>
            <w:b/>
            <w:bCs/>
            <w:noProof/>
          </w:rPr>
          <w:id w:val="141543411"/>
          <w:citation/>
        </w:sdtPr>
        <w:sdtContent>
          <w:r w:rsidR="00F51ABE" w:rsidRPr="00AB26E8">
            <w:rPr>
              <w:b/>
              <w:bCs/>
              <w:noProof/>
            </w:rPr>
            <w:fldChar w:fldCharType="begin"/>
          </w:r>
          <w:r w:rsidR="00F51ABE" w:rsidRPr="00AB26E8">
            <w:rPr>
              <w:b/>
              <w:bCs/>
              <w:noProof/>
            </w:rPr>
            <w:instrText xml:space="preserve"> CITATION Wil24 \l 2057 </w:instrText>
          </w:r>
          <w:r w:rsidR="00F51ABE" w:rsidRPr="00AB26E8">
            <w:rPr>
              <w:b/>
              <w:bCs/>
              <w:noProof/>
            </w:rPr>
            <w:fldChar w:fldCharType="separate"/>
          </w:r>
          <w:r w:rsidR="00F51ABE" w:rsidRPr="00AB26E8">
            <w:rPr>
              <w:b/>
              <w:bCs/>
              <w:noProof/>
            </w:rPr>
            <w:t>(Williams, 2024)</w:t>
          </w:r>
          <w:r w:rsidR="00F51ABE" w:rsidRPr="00AB26E8">
            <w:rPr>
              <w:b/>
              <w:bCs/>
              <w:noProof/>
            </w:rPr>
            <w:fldChar w:fldCharType="end"/>
          </w:r>
        </w:sdtContent>
      </w:sdt>
      <w:r w:rsidR="009633A6" w:rsidRPr="009633A6">
        <w:rPr>
          <w:noProof/>
        </w:rPr>
        <w:t xml:space="preserve">. </w:t>
      </w:r>
      <w:r w:rsidR="009633A6">
        <w:rPr>
          <w:noProof/>
        </w:rPr>
        <w:t xml:space="preserve">Anselm’s definition of theology puts ‘faith’ as the beginning point of the discipline; He does not describe it as </w:t>
      </w:r>
      <w:r w:rsidR="0014597B">
        <w:rPr>
          <w:noProof/>
        </w:rPr>
        <w:t>‘seeking the understanding of faith’, but puts belief as a pre-curser to undertaking theology</w:t>
      </w:r>
      <w:r w:rsidR="00AB26E8">
        <w:rPr>
          <w:noProof/>
        </w:rPr>
        <w:t xml:space="preserve">. Thus, we could re-define the field of theology as </w:t>
      </w:r>
      <w:r w:rsidR="00AB26E8">
        <w:t>being</w:t>
      </w:r>
      <w:r w:rsidR="00AB26E8">
        <w:t xml:space="preserve"> the study of the nature and content of a specific religious belief</w:t>
      </w:r>
      <w:r w:rsidR="00AB26E8">
        <w:t xml:space="preserve"> which presupposes that the</w:t>
      </w:r>
      <w:r w:rsidR="00AB26E8">
        <w:t xml:space="preserve"> religion</w:t>
      </w:r>
      <w:r w:rsidR="00AB26E8">
        <w:t xml:space="preserve"> in question</w:t>
      </w:r>
      <w:r w:rsidR="00AB26E8">
        <w:t xml:space="preserve"> is grounded in ontological truth, and then explores the implications of </w:t>
      </w:r>
      <w:r w:rsidR="00086B51">
        <w:t>this pre-supposed truth</w:t>
      </w:r>
      <w:r w:rsidR="00AB26E8">
        <w:t>.</w:t>
      </w:r>
    </w:p>
    <w:p w14:paraId="06B87CD1" w14:textId="0294E0B5" w:rsidR="00F85AC7" w:rsidRDefault="00AB26E8" w:rsidP="00941E04">
      <w:pPr>
        <w:rPr>
          <w:noProof/>
        </w:rPr>
      </w:pPr>
      <w:r>
        <w:rPr>
          <w:noProof/>
        </w:rPr>
        <w:t xml:space="preserve">This definition of theology also justifies the distiction between it and Religious Studies. </w:t>
      </w:r>
      <w:r w:rsidR="00F51ABE">
        <w:rPr>
          <w:noProof/>
        </w:rPr>
        <w:t xml:space="preserve">Ninian Smart, Scottish writer and prominent scholar of religion, put forward that religious studies sets itself apart from theology through its ‘methodological agnosticism’ </w:t>
      </w:r>
      <w:sdt>
        <w:sdtPr>
          <w:rPr>
            <w:b/>
            <w:bCs/>
            <w:noProof/>
          </w:rPr>
          <w:id w:val="-191924298"/>
          <w:citation/>
        </w:sdtPr>
        <w:sdtContent>
          <w:r w:rsidR="00217741" w:rsidRPr="00217741">
            <w:rPr>
              <w:b/>
              <w:bCs/>
              <w:noProof/>
            </w:rPr>
            <w:fldChar w:fldCharType="begin"/>
          </w:r>
          <w:r w:rsidR="00217741" w:rsidRPr="00217741">
            <w:rPr>
              <w:b/>
              <w:bCs/>
              <w:noProof/>
            </w:rPr>
            <w:instrText xml:space="preserve"> CITATION Sma73 \l 2057 </w:instrText>
          </w:r>
          <w:r w:rsidR="00217741" w:rsidRPr="00217741">
            <w:rPr>
              <w:b/>
              <w:bCs/>
              <w:noProof/>
            </w:rPr>
            <w:fldChar w:fldCharType="separate"/>
          </w:r>
          <w:r w:rsidR="00217741" w:rsidRPr="00217741">
            <w:rPr>
              <w:b/>
              <w:bCs/>
              <w:noProof/>
            </w:rPr>
            <w:t>(Smart, 1973)</w:t>
          </w:r>
          <w:r w:rsidR="00217741" w:rsidRPr="00217741">
            <w:rPr>
              <w:b/>
              <w:bCs/>
              <w:noProof/>
            </w:rPr>
            <w:fldChar w:fldCharType="end"/>
          </w:r>
        </w:sdtContent>
      </w:sdt>
      <w:r w:rsidR="00F51ABE" w:rsidRPr="00217741">
        <w:rPr>
          <w:b/>
          <w:bCs/>
          <w:noProof/>
        </w:rPr>
        <w:t>.</w:t>
      </w:r>
      <w:r w:rsidR="00217741">
        <w:rPr>
          <w:noProof/>
        </w:rPr>
        <w:t xml:space="preserve"> </w:t>
      </w:r>
      <w:r w:rsidR="00941E04">
        <w:rPr>
          <w:noProof/>
        </w:rPr>
        <w:t>Methodological agnosticism</w:t>
      </w:r>
      <w:r w:rsidR="006831F1">
        <w:rPr>
          <w:noProof/>
        </w:rPr>
        <w:t>, Smart contends,</w:t>
      </w:r>
      <w:r w:rsidR="00941E04">
        <w:rPr>
          <w:noProof/>
        </w:rPr>
        <w:t xml:space="preserve"> </w:t>
      </w:r>
      <w:r w:rsidR="006831F1">
        <w:rPr>
          <w:noProof/>
        </w:rPr>
        <w:t>involves making a distinction between the</w:t>
      </w:r>
      <w:r w:rsidR="0040236D">
        <w:rPr>
          <w:noProof/>
        </w:rPr>
        <w:t xml:space="preserve"> ‘real’ and that which ‘exists’; “</w:t>
      </w:r>
      <w:r w:rsidR="0040236D" w:rsidRPr="0040236D">
        <w:rPr>
          <w:i/>
          <w:iCs/>
          <w:noProof/>
        </w:rPr>
        <w:t>In this usage, God is real for Christians whether or not he exists. The methodological agnosticism here being used is, then, agnosticism about the existence or otherwise of the main foci of the belief system in question</w:t>
      </w:r>
      <w:r w:rsidR="0040236D">
        <w:rPr>
          <w:noProof/>
        </w:rPr>
        <w:t>”</w:t>
      </w:r>
      <w:r w:rsidR="00217741">
        <w:rPr>
          <w:noProof/>
        </w:rPr>
        <w:t xml:space="preserve"> </w:t>
      </w:r>
      <w:sdt>
        <w:sdtPr>
          <w:rPr>
            <w:b/>
            <w:bCs/>
            <w:noProof/>
          </w:rPr>
          <w:id w:val="-56553521"/>
          <w:citation/>
        </w:sdtPr>
        <w:sdtContent>
          <w:r w:rsidR="00217741" w:rsidRPr="00217741">
            <w:rPr>
              <w:b/>
              <w:bCs/>
              <w:noProof/>
            </w:rPr>
            <w:fldChar w:fldCharType="begin"/>
          </w:r>
          <w:r w:rsidR="00217741" w:rsidRPr="00217741">
            <w:rPr>
              <w:b/>
              <w:bCs/>
              <w:noProof/>
            </w:rPr>
            <w:instrText xml:space="preserve"> CITATION Sma73 \l 2057 </w:instrText>
          </w:r>
          <w:r w:rsidR="00217741" w:rsidRPr="00217741">
            <w:rPr>
              <w:b/>
              <w:bCs/>
              <w:noProof/>
            </w:rPr>
            <w:fldChar w:fldCharType="separate"/>
          </w:r>
          <w:r w:rsidR="00217741" w:rsidRPr="00217741">
            <w:rPr>
              <w:b/>
              <w:bCs/>
              <w:noProof/>
            </w:rPr>
            <w:t>(Smart, 1973)</w:t>
          </w:r>
          <w:r w:rsidR="00217741" w:rsidRPr="00217741">
            <w:rPr>
              <w:b/>
              <w:bCs/>
              <w:noProof/>
            </w:rPr>
            <w:fldChar w:fldCharType="end"/>
          </w:r>
        </w:sdtContent>
      </w:sdt>
      <w:r w:rsidR="0040236D">
        <w:rPr>
          <w:noProof/>
        </w:rPr>
        <w:t xml:space="preserve">. </w:t>
      </w:r>
      <w:r w:rsidR="00217741">
        <w:rPr>
          <w:noProof/>
        </w:rPr>
        <w:t xml:space="preserve">Smart asserts here that scholars of religious studies can refer to something that has tangible effects on the world, without making claims towards the ontological existance of the referent. </w:t>
      </w:r>
      <w:r w:rsidR="0040236D">
        <w:rPr>
          <w:noProof/>
        </w:rPr>
        <w:t xml:space="preserve">In this way </w:t>
      </w:r>
      <w:r w:rsidR="00941E04">
        <w:rPr>
          <w:noProof/>
        </w:rPr>
        <w:t>the religious studies scholar</w:t>
      </w:r>
      <w:r w:rsidR="0040236D">
        <w:rPr>
          <w:noProof/>
        </w:rPr>
        <w:t xml:space="preserve"> should be able to</w:t>
      </w:r>
      <w:r w:rsidR="00941E04">
        <w:rPr>
          <w:noProof/>
        </w:rPr>
        <w:t xml:space="preserve"> strive towards </w:t>
      </w:r>
      <w:r w:rsidR="0040236D">
        <w:rPr>
          <w:noProof/>
        </w:rPr>
        <w:t>a</w:t>
      </w:r>
      <w:r w:rsidR="00941E04">
        <w:rPr>
          <w:noProof/>
        </w:rPr>
        <w:t xml:space="preserve"> view of religion and their impact on the world</w:t>
      </w:r>
      <w:r w:rsidR="0040236D">
        <w:rPr>
          <w:noProof/>
        </w:rPr>
        <w:t xml:space="preserve"> that comes from empirical evidence, and not internal revelation, in accordance with the scientific method</w:t>
      </w:r>
      <w:r w:rsidR="00941E04">
        <w:rPr>
          <w:noProof/>
        </w:rPr>
        <w:t>.</w:t>
      </w:r>
      <w:r w:rsidR="0040236D">
        <w:rPr>
          <w:noProof/>
        </w:rPr>
        <w:t xml:space="preserve"> </w:t>
      </w:r>
      <w:r w:rsidR="00941E04">
        <w:rPr>
          <w:noProof/>
        </w:rPr>
        <w:t xml:space="preserve"> </w:t>
      </w:r>
      <w:r w:rsidR="00F85AC7">
        <w:rPr>
          <w:noProof/>
        </w:rPr>
        <w:t xml:space="preserve">As such, we can define religious studies as </w:t>
      </w:r>
      <w:r w:rsidR="00F85AC7">
        <w:t>being the study of the nature</w:t>
      </w:r>
      <w:r w:rsidR="00F85AC7">
        <w:t xml:space="preserve">, </w:t>
      </w:r>
      <w:r w:rsidR="00F85AC7">
        <w:t xml:space="preserve">content </w:t>
      </w:r>
      <w:r w:rsidR="00F85AC7">
        <w:t xml:space="preserve">and implications </w:t>
      </w:r>
      <w:r w:rsidR="00F85AC7">
        <w:t>of religious belief</w:t>
      </w:r>
      <w:r w:rsidR="00F85AC7">
        <w:t>(s) without pre-supposing that any religious belief</w:t>
      </w:r>
      <w:r w:rsidR="00F85AC7">
        <w:t xml:space="preserve"> is grounded in ontological truth</w:t>
      </w:r>
      <w:r w:rsidR="00F85AC7">
        <w:t>.</w:t>
      </w:r>
    </w:p>
    <w:p w14:paraId="240C63CC" w14:textId="667800C6" w:rsidR="00075F28" w:rsidRDefault="00941E04" w:rsidP="0048600D">
      <w:pPr>
        <w:rPr>
          <w:noProof/>
        </w:rPr>
      </w:pPr>
      <w:r>
        <w:rPr>
          <w:noProof/>
        </w:rPr>
        <w:t xml:space="preserve">A critic to this </w:t>
      </w:r>
      <w:r w:rsidR="00F85AC7">
        <w:rPr>
          <w:noProof/>
        </w:rPr>
        <w:t>position may argue</w:t>
      </w:r>
      <w:r w:rsidR="00217741">
        <w:rPr>
          <w:noProof/>
        </w:rPr>
        <w:t xml:space="preserve"> that</w:t>
      </w:r>
      <w:r w:rsidR="00F85AC7">
        <w:rPr>
          <w:noProof/>
        </w:rPr>
        <w:t xml:space="preserve"> </w:t>
      </w:r>
      <w:r w:rsidR="0014597B">
        <w:rPr>
          <w:noProof/>
        </w:rPr>
        <w:t xml:space="preserve">it is obvious that Saint Anselm intended theology to be confined to the Christian tradition, and that his intended idea of ‘faith’ was rooted in the Christian concept of divinity. </w:t>
      </w:r>
      <w:r w:rsidR="0014597B">
        <w:rPr>
          <w:noProof/>
        </w:rPr>
        <w:t xml:space="preserve">This would once again pose an issue, as if we understand faith in the same way as Anslem we would exclude </w:t>
      </w:r>
      <w:r w:rsidR="0048600D">
        <w:rPr>
          <w:noProof/>
        </w:rPr>
        <w:t xml:space="preserve">discourse on any other religion that pre-supposes the </w:t>
      </w:r>
      <w:r w:rsidR="00217741">
        <w:rPr>
          <w:noProof/>
        </w:rPr>
        <w:t>the</w:t>
      </w:r>
      <w:r w:rsidR="0048600D">
        <w:rPr>
          <w:noProof/>
        </w:rPr>
        <w:t xml:space="preserve"> of that </w:t>
      </w:r>
      <w:r w:rsidR="00217741">
        <w:rPr>
          <w:noProof/>
        </w:rPr>
        <w:t>r</w:t>
      </w:r>
      <w:r w:rsidR="0048600D">
        <w:rPr>
          <w:noProof/>
        </w:rPr>
        <w:t>eligion from being categorised</w:t>
      </w:r>
      <w:r w:rsidR="00217741">
        <w:rPr>
          <w:noProof/>
        </w:rPr>
        <w:t xml:space="preserve"> (such as Islamic Theology)</w:t>
      </w:r>
      <w:r w:rsidR="0048600D">
        <w:rPr>
          <w:noProof/>
        </w:rPr>
        <w:t xml:space="preserve">. </w:t>
      </w:r>
      <w:r w:rsidR="00633339">
        <w:rPr>
          <w:noProof/>
        </w:rPr>
        <w:t>We could, in response,</w:t>
      </w:r>
      <w:r w:rsidR="0048600D">
        <w:rPr>
          <w:noProof/>
        </w:rPr>
        <w:t xml:space="preserve"> re-define ‘faith’ </w:t>
      </w:r>
      <w:r w:rsidR="00633339">
        <w:rPr>
          <w:noProof/>
        </w:rPr>
        <w:t>to mean any religious belief in orde</w:t>
      </w:r>
      <w:r w:rsidR="00075F28">
        <w:rPr>
          <w:noProof/>
        </w:rPr>
        <w:t>r to</w:t>
      </w:r>
      <w:r w:rsidR="00633339">
        <w:rPr>
          <w:noProof/>
        </w:rPr>
        <w:t xml:space="preserve"> deconstruct the concept from the christian-centric viewpoin</w:t>
      </w:r>
      <w:r w:rsidR="00075F28">
        <w:rPr>
          <w:noProof/>
        </w:rPr>
        <w:t>t. This would both preserve ‘faith-centric’ viewpoint of theology that Anslem put forwards, and also</w:t>
      </w:r>
      <w:r w:rsidR="00633339">
        <w:rPr>
          <w:noProof/>
        </w:rPr>
        <w:t xml:space="preserve"> work towards a framework for theology and religious studies that is inclusive of all academic discourse surrounding religion. </w:t>
      </w:r>
    </w:p>
    <w:p w14:paraId="3A0EC872" w14:textId="77777777" w:rsidR="00075F28" w:rsidRDefault="00075F28" w:rsidP="0048600D">
      <w:pPr>
        <w:rPr>
          <w:noProof/>
        </w:rPr>
      </w:pPr>
    </w:p>
    <w:p w14:paraId="1E08BCB4" w14:textId="77777777" w:rsidR="001C6481" w:rsidRDefault="00075F28" w:rsidP="00704983">
      <w:pPr>
        <w:rPr>
          <w:noProof/>
        </w:rPr>
      </w:pPr>
      <w:r>
        <w:rPr>
          <w:noProof/>
        </w:rPr>
        <w:t xml:space="preserve">The notion of methodological agnosticism could also be challenged; </w:t>
      </w:r>
      <w:r w:rsidR="00F51ABE">
        <w:rPr>
          <w:noProof/>
        </w:rPr>
        <w:t xml:space="preserve">Post-modern scholars </w:t>
      </w:r>
      <w:r>
        <w:rPr>
          <w:noProof/>
        </w:rPr>
        <w:t>would reject that</w:t>
      </w:r>
      <w:r w:rsidR="00F51ABE">
        <w:rPr>
          <w:noProof/>
        </w:rPr>
        <w:t xml:space="preserve"> the notion that ‘methodological agnosticism’ is possible because those studying religions are themselves humans who are situated ‘ideologically within space and time’ </w:t>
      </w:r>
      <w:sdt>
        <w:sdtPr>
          <w:rPr>
            <w:b/>
            <w:bCs/>
            <w:noProof/>
          </w:rPr>
          <w:id w:val="-527563742"/>
          <w:citation/>
        </w:sdtPr>
        <w:sdtContent>
          <w:r w:rsidR="00F51ABE" w:rsidRPr="00075F28">
            <w:rPr>
              <w:b/>
              <w:bCs/>
              <w:noProof/>
            </w:rPr>
            <w:fldChar w:fldCharType="begin"/>
          </w:r>
          <w:r w:rsidR="00F51ABE" w:rsidRPr="00075F28">
            <w:rPr>
              <w:b/>
              <w:bCs/>
              <w:noProof/>
            </w:rPr>
            <w:instrText xml:space="preserve"> CITATION Cox03 \l 2057 </w:instrText>
          </w:r>
          <w:r w:rsidR="00F51ABE" w:rsidRPr="00075F28">
            <w:rPr>
              <w:b/>
              <w:bCs/>
              <w:noProof/>
            </w:rPr>
            <w:fldChar w:fldCharType="separate"/>
          </w:r>
          <w:r w:rsidR="00F51ABE" w:rsidRPr="00075F28">
            <w:rPr>
              <w:b/>
              <w:bCs/>
              <w:noProof/>
            </w:rPr>
            <w:t>(Cox, 2003)</w:t>
          </w:r>
          <w:r w:rsidR="00F51ABE" w:rsidRPr="00075F28">
            <w:rPr>
              <w:b/>
              <w:bCs/>
              <w:noProof/>
            </w:rPr>
            <w:fldChar w:fldCharType="end"/>
          </w:r>
        </w:sdtContent>
      </w:sdt>
      <w:r w:rsidR="00F51ABE" w:rsidRPr="00075F28">
        <w:rPr>
          <w:b/>
          <w:bCs/>
          <w:noProof/>
        </w:rPr>
        <w:t xml:space="preserve">. </w:t>
      </w:r>
      <w:r w:rsidR="00F51ABE">
        <w:rPr>
          <w:noProof/>
        </w:rPr>
        <w:t>This viewpoint contends that researchers cannot separate themselves from their own beliefs, which will ultimately inform their research, leading to accidental pre-suppositions. Then, their work being based upon pre-suppostions on the truth or falsehood of specific religious beliefs, would then be categorised as theology. Thus, methodological agnosticism cannot be the factor that sets Religious studies apart from theology</w:t>
      </w:r>
      <w:r>
        <w:rPr>
          <w:noProof/>
        </w:rPr>
        <w:t xml:space="preserve">. </w:t>
      </w:r>
    </w:p>
    <w:p w14:paraId="61088ADB" w14:textId="652ABA1B" w:rsidR="00F51ABE" w:rsidRDefault="00075F28" w:rsidP="00F51ABE">
      <w:pPr>
        <w:rPr>
          <w:noProof/>
        </w:rPr>
      </w:pPr>
      <w:r>
        <w:rPr>
          <w:noProof/>
        </w:rPr>
        <w:t xml:space="preserve">Scholar </w:t>
      </w:r>
      <w:r w:rsidR="00F51ABE">
        <w:rPr>
          <w:noProof/>
        </w:rPr>
        <w:t xml:space="preserve">Timothy Fitzgerald </w:t>
      </w:r>
      <w:r w:rsidR="001C6481">
        <w:rPr>
          <w:noProof/>
        </w:rPr>
        <w:t>takes this arguement further, positing</w:t>
      </w:r>
      <w:r w:rsidR="00AA33AA">
        <w:rPr>
          <w:noProof/>
        </w:rPr>
        <w:t xml:space="preserve"> that </w:t>
      </w:r>
      <w:r w:rsidR="001C6481">
        <w:rPr>
          <w:noProof/>
        </w:rPr>
        <w:t>actual</w:t>
      </w:r>
      <w:r>
        <w:rPr>
          <w:noProof/>
        </w:rPr>
        <w:t xml:space="preserve"> employment of methodological agnosticism</w:t>
      </w:r>
      <w:r w:rsidR="001C6481">
        <w:rPr>
          <w:noProof/>
        </w:rPr>
        <w:t xml:space="preserve"> would lead to accidental theology</w:t>
      </w:r>
      <w:r w:rsidR="00AA33AA">
        <w:rPr>
          <w:noProof/>
        </w:rPr>
        <w:t>.</w:t>
      </w:r>
      <w:r w:rsidR="00704983">
        <w:rPr>
          <w:noProof/>
        </w:rPr>
        <w:t xml:space="preserve"> </w:t>
      </w:r>
      <w:sdt>
        <w:sdtPr>
          <w:rPr>
            <w:b/>
            <w:bCs/>
            <w:noProof/>
          </w:rPr>
          <w:id w:val="1319537119"/>
          <w:citation/>
        </w:sdtPr>
        <w:sdtContent>
          <w:r w:rsidR="00704983" w:rsidRPr="00704983">
            <w:rPr>
              <w:b/>
              <w:bCs/>
              <w:noProof/>
            </w:rPr>
            <w:fldChar w:fldCharType="begin"/>
          </w:r>
          <w:r w:rsidR="00704983" w:rsidRPr="00704983">
            <w:rPr>
              <w:b/>
              <w:bCs/>
              <w:noProof/>
            </w:rPr>
            <w:instrText xml:space="preserve"> CITATION Fit00 \l 2057 </w:instrText>
          </w:r>
          <w:r w:rsidR="00704983" w:rsidRPr="00704983">
            <w:rPr>
              <w:b/>
              <w:bCs/>
              <w:noProof/>
            </w:rPr>
            <w:fldChar w:fldCharType="separate"/>
          </w:r>
          <w:r w:rsidR="00704983" w:rsidRPr="00704983">
            <w:rPr>
              <w:b/>
              <w:bCs/>
              <w:noProof/>
            </w:rPr>
            <w:t>(Fitzgerald, 2000)</w:t>
          </w:r>
          <w:r w:rsidR="00704983" w:rsidRPr="00704983">
            <w:rPr>
              <w:b/>
              <w:bCs/>
              <w:noProof/>
            </w:rPr>
            <w:fldChar w:fldCharType="end"/>
          </w:r>
        </w:sdtContent>
      </w:sdt>
      <w:r w:rsidR="00704983">
        <w:rPr>
          <w:noProof/>
        </w:rPr>
        <w:t xml:space="preserve"> </w:t>
      </w:r>
      <w:r w:rsidR="00F51ABE">
        <w:rPr>
          <w:noProof/>
        </w:rPr>
        <w:t xml:space="preserve">Fitzgerald </w:t>
      </w:r>
      <w:r w:rsidR="00704983">
        <w:rPr>
          <w:noProof/>
        </w:rPr>
        <w:t>contends that</w:t>
      </w:r>
      <w:r w:rsidR="00F51ABE">
        <w:rPr>
          <w:noProof/>
        </w:rPr>
        <w:t xml:space="preserve"> in order to</w:t>
      </w:r>
      <w:r w:rsidR="000D572F">
        <w:rPr>
          <w:noProof/>
        </w:rPr>
        <w:t xml:space="preserve"> </w:t>
      </w:r>
      <w:r w:rsidR="00F51ABE">
        <w:rPr>
          <w:noProof/>
        </w:rPr>
        <w:t xml:space="preserve">categorise religious studies as a separate discipline, we must consider religion to </w:t>
      </w:r>
      <w:r w:rsidR="00704983">
        <w:rPr>
          <w:noProof/>
        </w:rPr>
        <w:t xml:space="preserve">posess a characteristic that sets it apart from </w:t>
      </w:r>
      <w:r w:rsidR="00F51ABE">
        <w:rPr>
          <w:noProof/>
        </w:rPr>
        <w:t>quasi-religions, such as nationalism and pride in sports teams</w:t>
      </w:r>
      <w:r w:rsidR="00704983">
        <w:rPr>
          <w:noProof/>
        </w:rPr>
        <w:t xml:space="preserve">, which would be studied under general social science. He refers to this as the ‘sacred’. Fitzgerald then argues that, in order to describe something as ‘not-sacred’, we would have to assume the ontological existance of ‘the state of being sacred’. </w:t>
      </w:r>
      <w:r w:rsidR="00704983">
        <w:rPr>
          <w:noProof/>
        </w:rPr>
        <w:lastRenderedPageBreak/>
        <w:t>And, if we define religion as being ‘uniquely sacred’, and we have assumed that ‘the state of being sacred’ must ontologically exist, we must assume that</w:t>
      </w:r>
      <w:r w:rsidR="001C6481">
        <w:rPr>
          <w:noProof/>
        </w:rPr>
        <w:t xml:space="preserve"> the only thing that can be in the state of being sacred (i.e. the religion being discussed) also ontollogically exists. Therefore, Fitzgerald argues that smart’s definition of methodological agnosticism would ultimately lead to theological discourse.</w:t>
      </w:r>
    </w:p>
    <w:p w14:paraId="385D74B0" w14:textId="1A19E4A4" w:rsidR="00F51ABE" w:rsidRDefault="001C6481" w:rsidP="001C6481">
      <w:pPr>
        <w:rPr>
          <w:noProof/>
        </w:rPr>
      </w:pPr>
      <w:r>
        <w:rPr>
          <w:noProof/>
        </w:rPr>
        <w:t>Fitzgerald here</w:t>
      </w:r>
      <w:r w:rsidR="006A7945">
        <w:rPr>
          <w:noProof/>
        </w:rPr>
        <w:t xml:space="preserve"> makes an inductive argument as to why methodological agnosticism must pre-suppose an ontological existance of the sacred</w:t>
      </w:r>
      <w:r>
        <w:rPr>
          <w:noProof/>
        </w:rPr>
        <w:t xml:space="preserve">. </w:t>
      </w:r>
      <w:r w:rsidR="006A7945">
        <w:rPr>
          <w:noProof/>
        </w:rPr>
        <w:t>However, asserting that the scientific method can ever argue towards ontological truths</w:t>
      </w:r>
      <w:r w:rsidR="001062FE">
        <w:rPr>
          <w:noProof/>
        </w:rPr>
        <w:t>, a postion known as scientific realism, leads to its own logical issues. This can be most easibly exemplified by Bertrand Russell’s story of the chicken:</w:t>
      </w:r>
    </w:p>
    <w:p w14:paraId="3A60DC03" w14:textId="05D66DB5" w:rsidR="001062FE" w:rsidRDefault="001062FE" w:rsidP="001C6481">
      <w:pPr>
        <w:rPr>
          <w:noProof/>
        </w:rPr>
      </w:pPr>
      <w:r w:rsidRPr="00342269">
        <w:rPr>
          <w:i/>
          <w:iCs/>
          <w:noProof/>
        </w:rPr>
        <w:t>“</w:t>
      </w:r>
      <w:r w:rsidRPr="00342269">
        <w:rPr>
          <w:i/>
          <w:iCs/>
          <w:noProof/>
        </w:rPr>
        <w:t>The man who has fed the chicken every day throughout its life at last wrings its neck instead, showing that more refined views as to the uniformity of nature would have been useful to the chicken</w:t>
      </w:r>
      <w:r w:rsidRPr="00342269">
        <w:rPr>
          <w:i/>
          <w:iCs/>
          <w:noProof/>
        </w:rPr>
        <w:t>”</w:t>
      </w:r>
      <w:r w:rsidR="00342269">
        <w:rPr>
          <w:i/>
          <w:iCs/>
          <w:noProof/>
        </w:rPr>
        <w:t xml:space="preserve"> </w:t>
      </w:r>
      <w:sdt>
        <w:sdtPr>
          <w:rPr>
            <w:b/>
            <w:bCs/>
            <w:i/>
            <w:iCs/>
            <w:noProof/>
          </w:rPr>
          <w:id w:val="-510907592"/>
          <w:citation/>
        </w:sdtPr>
        <w:sdtContent>
          <w:r w:rsidR="00342269" w:rsidRPr="00342269">
            <w:rPr>
              <w:b/>
              <w:bCs/>
              <w:i/>
              <w:iCs/>
              <w:noProof/>
            </w:rPr>
            <w:fldChar w:fldCharType="begin"/>
          </w:r>
          <w:r w:rsidR="00342269" w:rsidRPr="00342269">
            <w:rPr>
              <w:b/>
              <w:bCs/>
              <w:i/>
              <w:iCs/>
              <w:noProof/>
            </w:rPr>
            <w:instrText xml:space="preserve"> CITATION Ber12 \l 2057 </w:instrText>
          </w:r>
          <w:r w:rsidR="00342269" w:rsidRPr="00342269">
            <w:rPr>
              <w:b/>
              <w:bCs/>
              <w:i/>
              <w:iCs/>
              <w:noProof/>
            </w:rPr>
            <w:fldChar w:fldCharType="separate"/>
          </w:r>
          <w:r w:rsidR="00342269" w:rsidRPr="00342269">
            <w:rPr>
              <w:b/>
              <w:bCs/>
              <w:noProof/>
            </w:rPr>
            <w:t>(Russell, 1912)</w:t>
          </w:r>
          <w:r w:rsidR="00342269" w:rsidRPr="00342269">
            <w:rPr>
              <w:b/>
              <w:bCs/>
              <w:i/>
              <w:iCs/>
              <w:noProof/>
            </w:rPr>
            <w:fldChar w:fldCharType="end"/>
          </w:r>
        </w:sdtContent>
      </w:sdt>
    </w:p>
    <w:p w14:paraId="276A71BB" w14:textId="69597DDC" w:rsidR="006A7945" w:rsidRDefault="00342269" w:rsidP="000D7657">
      <w:pPr>
        <w:rPr>
          <w:noProof/>
        </w:rPr>
      </w:pPr>
      <w:r>
        <w:rPr>
          <w:noProof/>
        </w:rPr>
        <w:t xml:space="preserve">In Russell’s example, the chicken used their epirical experience (that of being fed everyday) to make a statement about the nature of the world (that it is true that they will always be fed by the farmer). The chicken will have had scores and scores of days worth of observations suggesting this fact, and yet in the end its empirical experiences were not justification enough for the statement that ‘the nature of the world is that I will always be fed daily by the farmer’. </w:t>
      </w:r>
      <w:r w:rsidR="000D7657">
        <w:rPr>
          <w:noProof/>
        </w:rPr>
        <w:t>Thus, the scientific method, which relies on empirical evidence, cannot be used as justification for ontological truths. Therefore, Fitzgerald cannot claim that methodolgical agnosticism, as a method of facillitating the scientific method, could ever argue towards a specific ontological truth.</w:t>
      </w:r>
    </w:p>
    <w:p w14:paraId="7E414E6A" w14:textId="293E5EBA" w:rsidR="00F51ABE" w:rsidRDefault="00F51ABE" w:rsidP="00F51ABE">
      <w:pPr>
        <w:rPr>
          <w:noProof/>
        </w:rPr>
      </w:pPr>
      <w:r>
        <w:rPr>
          <w:noProof/>
        </w:rPr>
        <w:t xml:space="preserve">A critic may </w:t>
      </w:r>
      <w:r w:rsidR="00604050">
        <w:rPr>
          <w:noProof/>
        </w:rPr>
        <w:t xml:space="preserve">still </w:t>
      </w:r>
      <w:r w:rsidR="000D7657">
        <w:rPr>
          <w:noProof/>
        </w:rPr>
        <w:t xml:space="preserve">concievibly </w:t>
      </w:r>
      <w:r>
        <w:rPr>
          <w:noProof/>
        </w:rPr>
        <w:t xml:space="preserve">argue that this still does not effectively classify all of the disparate academic works that relate to matters of Religion, as it cannot account for how to classify works that seek to prove the truth or falsehood of different religious beliefs. </w:t>
      </w:r>
      <w:r w:rsidR="0014597B">
        <w:rPr>
          <w:noProof/>
        </w:rPr>
        <w:t xml:space="preserve">Let us once again consider the work of J.L. Mackie. According to the pre-supposition definition of theology, we cannot consider his work to be theological, as the existence of God is not accepted as a true predicate behind his argument. However, the pre-supposition definition would also </w:t>
      </w:r>
      <w:r>
        <w:rPr>
          <w:noProof/>
        </w:rPr>
        <w:t xml:space="preserve">prevent us from categorsing </w:t>
      </w:r>
      <w:r w:rsidR="0014597B">
        <w:rPr>
          <w:noProof/>
        </w:rPr>
        <w:t>this work under the field of Religious Studies</w:t>
      </w:r>
      <w:r>
        <w:rPr>
          <w:noProof/>
        </w:rPr>
        <w:t>, as methodological agnosticism does not allow for overt statements on the truth/falsehood of religious beliefs. As such, it could be argued that by being unable to sucessfully classify works relating to the truth/falsehood of certain religious beliefs, the pre-supposition model fails to accurately depict the difference between Theology and Religious studies.</w:t>
      </w:r>
    </w:p>
    <w:p w14:paraId="704391FE" w14:textId="548BF90E" w:rsidR="00623B44" w:rsidRPr="00EE39CD" w:rsidRDefault="00F51ABE" w:rsidP="00F51ABE">
      <w:r>
        <w:t xml:space="preserve">In response to this, it can be said that </w:t>
      </w:r>
      <w:r>
        <w:rPr>
          <w:noProof/>
        </w:rPr>
        <w:t xml:space="preserve">discourse on the truth/ falsehood of religious beliefs is instead related to a separate academic field entirely, this being the Philosophy of Religion. </w:t>
      </w:r>
      <w:r w:rsidR="0014597B">
        <w:rPr>
          <w:noProof/>
        </w:rPr>
        <w:t>T</w:t>
      </w:r>
      <w:r w:rsidR="00EA4B6D">
        <w:rPr>
          <w:noProof/>
        </w:rPr>
        <w:t xml:space="preserve">he argument for the seperation of the Philosophy of Religion from theology is not a novel one, </w:t>
      </w:r>
      <w:r w:rsidR="00DB4A10">
        <w:rPr>
          <w:noProof/>
        </w:rPr>
        <w:t xml:space="preserve">and has been defended by notable </w:t>
      </w:r>
      <w:r w:rsidR="00EE39CD">
        <w:rPr>
          <w:noProof/>
        </w:rPr>
        <w:t>scholars</w:t>
      </w:r>
      <w:r w:rsidR="00DB4A10">
        <w:rPr>
          <w:noProof/>
        </w:rPr>
        <w:t xml:space="preserve"> such as Thomas Aquinas, Martin Luther and </w:t>
      </w:r>
      <w:r w:rsidR="00EE39CD">
        <w:rPr>
          <w:noProof/>
        </w:rPr>
        <w:t xml:space="preserve">John Calvin </w:t>
      </w:r>
      <w:sdt>
        <w:sdtPr>
          <w:rPr>
            <w:b/>
            <w:bCs/>
            <w:noProof/>
          </w:rPr>
          <w:id w:val="1589350565"/>
          <w:citation/>
        </w:sdtPr>
        <w:sdtContent>
          <w:r w:rsidR="00EE39CD" w:rsidRPr="00EE39CD">
            <w:rPr>
              <w:b/>
              <w:bCs/>
              <w:noProof/>
            </w:rPr>
            <w:fldChar w:fldCharType="begin"/>
          </w:r>
          <w:r w:rsidR="00EE39CD" w:rsidRPr="00EE39CD">
            <w:rPr>
              <w:b/>
              <w:bCs/>
              <w:noProof/>
            </w:rPr>
            <w:instrText xml:space="preserve"> CITATION Woo21 \l 2057 </w:instrText>
          </w:r>
          <w:r w:rsidR="00EE39CD" w:rsidRPr="00EE39CD">
            <w:rPr>
              <w:b/>
              <w:bCs/>
              <w:noProof/>
            </w:rPr>
            <w:fldChar w:fldCharType="separate"/>
          </w:r>
          <w:r w:rsidR="00EE39CD" w:rsidRPr="00EE39CD">
            <w:rPr>
              <w:b/>
              <w:bCs/>
              <w:noProof/>
            </w:rPr>
            <w:t>(Wood, 2021)</w:t>
          </w:r>
          <w:r w:rsidR="00EE39CD" w:rsidRPr="00EE39CD">
            <w:rPr>
              <w:b/>
              <w:bCs/>
              <w:noProof/>
            </w:rPr>
            <w:fldChar w:fldCharType="end"/>
          </w:r>
        </w:sdtContent>
      </w:sdt>
      <w:r w:rsidR="00EE39CD">
        <w:rPr>
          <w:b/>
          <w:bCs/>
          <w:noProof/>
        </w:rPr>
        <w:t xml:space="preserve">. </w:t>
      </w:r>
      <w:r w:rsidR="00EE39CD">
        <w:rPr>
          <w:noProof/>
        </w:rPr>
        <w:t xml:space="preserve">It is often asserted, however, that philosophy of religion is the pre-cursor to theology, as it is the justification of the faith that is seeking understanding. As such, I would place it as a separate field of enquiry to both theology and religious studies. </w:t>
      </w:r>
    </w:p>
    <w:p w14:paraId="24FA4303" w14:textId="77777777" w:rsidR="00DD5E4D" w:rsidRDefault="00DD5E4D" w:rsidP="00F51ABE"/>
    <w:p w14:paraId="08825911" w14:textId="78385AA4" w:rsidR="00623B44" w:rsidRDefault="00623B44" w:rsidP="00F51ABE">
      <w:r>
        <w:t xml:space="preserve">From the above analysis, we can conclude that there is indeed justification for enforcing distinct boundaries between the fields of Philosophy of Religion, Theology, and Religious </w:t>
      </w:r>
      <w:r w:rsidR="00095E5F">
        <w:t>S</w:t>
      </w:r>
      <w:r>
        <w:t>tudies. In turn, we can define these fields as follows:</w:t>
      </w:r>
    </w:p>
    <w:p w14:paraId="0548B2FB" w14:textId="77777777" w:rsidR="00095E5F" w:rsidRDefault="00F51ABE" w:rsidP="00623B44">
      <w:pPr>
        <w:pStyle w:val="ListParagraph"/>
        <w:numPr>
          <w:ilvl w:val="0"/>
          <w:numId w:val="12"/>
        </w:numPr>
      </w:pPr>
      <w:r>
        <w:lastRenderedPageBreak/>
        <w:t xml:space="preserve">Philosophy of religion is the study of discerning the truth of specific religious beliefs. It does not pre-suppose that any religion is grounded in </w:t>
      </w:r>
      <w:r w:rsidR="00623B44">
        <w:t xml:space="preserve">ontological </w:t>
      </w:r>
      <w:r>
        <w:t>truth, but does draw conclusions on the matter</w:t>
      </w:r>
    </w:p>
    <w:p w14:paraId="7B6C0CC0" w14:textId="77777777" w:rsidR="00095E5F" w:rsidRDefault="00F51ABE" w:rsidP="00AF0008">
      <w:pPr>
        <w:pStyle w:val="ListParagraph"/>
        <w:numPr>
          <w:ilvl w:val="0"/>
          <w:numId w:val="12"/>
        </w:numPr>
      </w:pPr>
      <w:r>
        <w:t xml:space="preserve">Theology </w:t>
      </w:r>
      <w:r w:rsidR="00623B44">
        <w:t>is the study of</w:t>
      </w:r>
      <w:r>
        <w:t xml:space="preserve"> the nature and content of a </w:t>
      </w:r>
      <w:r w:rsidR="00623B44">
        <w:t>specific religious belief</w:t>
      </w:r>
      <w:r>
        <w:t xml:space="preserve">. It pre-supposes that this religion is grounded in </w:t>
      </w:r>
      <w:r w:rsidR="00623B44">
        <w:t xml:space="preserve">ontological </w:t>
      </w:r>
      <w:r>
        <w:t>truth, and then explores the implications of this.</w:t>
      </w:r>
    </w:p>
    <w:p w14:paraId="5B2E1B89" w14:textId="2F2361CF" w:rsidR="00AF0008" w:rsidRDefault="00F51ABE" w:rsidP="00AF0008">
      <w:pPr>
        <w:pStyle w:val="ListParagraph"/>
        <w:numPr>
          <w:ilvl w:val="0"/>
          <w:numId w:val="12"/>
        </w:numPr>
      </w:pPr>
      <w:r>
        <w:t xml:space="preserve">Religious </w:t>
      </w:r>
      <w:r w:rsidR="00623B44">
        <w:t>S</w:t>
      </w:r>
      <w:r>
        <w:t xml:space="preserve">tudies </w:t>
      </w:r>
      <w:r w:rsidR="00623B44">
        <w:t>is</w:t>
      </w:r>
      <w:r>
        <w:t xml:space="preserve"> the study of all religions and religious </w:t>
      </w:r>
      <w:r w:rsidR="00623B44">
        <w:t>beliefs and</w:t>
      </w:r>
      <w:r>
        <w:t xml:space="preserve"> explores the implications of these beliefs upon the human world</w:t>
      </w:r>
      <w:r w:rsidR="00623B44">
        <w:t xml:space="preserve"> through the employment of the scientific method</w:t>
      </w:r>
      <w:r>
        <w:t xml:space="preserve">. It does not pre-suppose that any religion is grounded in </w:t>
      </w:r>
      <w:r w:rsidR="00623B44">
        <w:t>truth and</w:t>
      </w:r>
      <w:r>
        <w:t xml:space="preserve"> does not draw conclusions on the matter.</w:t>
      </w:r>
      <w:r w:rsidR="00AF0008">
        <w:t xml:space="preserve"> </w:t>
      </w:r>
    </w:p>
    <w:p w14:paraId="57E5B83B" w14:textId="77777777" w:rsidR="00941E04" w:rsidRDefault="00941E04" w:rsidP="00941E04"/>
    <w:p w14:paraId="3318B475" w14:textId="6CC95A74" w:rsidR="00C72D11" w:rsidRDefault="00941E04" w:rsidP="00F51ABE">
      <w:r>
        <w:rPr>
          <w:noProof/>
        </w:rPr>
        <w:t>It is logically impossible that an argument can both pre-suppose and not pre-suppose a predicate as true, so therefore an argument cannot be classified under both theology and religious studies.</w:t>
      </w:r>
      <w:r w:rsidR="0048600D">
        <w:rPr>
          <w:noProof/>
        </w:rPr>
        <w:t xml:space="preserve"> I</w:t>
      </w:r>
      <w:r w:rsidR="0048600D">
        <w:rPr>
          <w:noProof/>
        </w:rPr>
        <w:t>n this way, the boundaries between religious studies and theology are as rigid as they could be.</w:t>
      </w:r>
    </w:p>
    <w:p w14:paraId="73B4F30E" w14:textId="556D4B1E" w:rsidR="00F51ABE" w:rsidRPr="00604050" w:rsidRDefault="00604050" w:rsidP="00F51ABE">
      <w:pPr>
        <w:rPr>
          <w:b/>
          <w:bCs/>
          <w:u w:val="single"/>
        </w:rPr>
      </w:pPr>
      <w:r>
        <w:rPr>
          <w:b/>
          <w:bCs/>
          <w:u w:val="single"/>
        </w:rPr>
        <w:t>Do we need both Theology and Religious Studies to Understand Religion</w:t>
      </w:r>
      <w:r w:rsidR="00F51ABE" w:rsidRPr="00D61EE9">
        <w:rPr>
          <w:b/>
          <w:bCs/>
          <w:u w:val="single"/>
        </w:rPr>
        <w:t xml:space="preserve">? </w:t>
      </w:r>
    </w:p>
    <w:p w14:paraId="41E4AFD8" w14:textId="1799E3F3" w:rsidR="00AA33AA" w:rsidRDefault="00F51ABE" w:rsidP="00AA33AA">
      <w:pPr>
        <w:rPr>
          <w:noProof/>
        </w:rPr>
      </w:pPr>
      <w:r>
        <w:t xml:space="preserve">As we have seen, Theology and Religious studies are </w:t>
      </w:r>
      <w:r>
        <w:rPr>
          <w:noProof/>
        </w:rPr>
        <w:t xml:space="preserve">fundementally distinct fields of enquiry </w:t>
      </w:r>
      <w:r w:rsidR="008002E2">
        <w:rPr>
          <w:noProof/>
        </w:rPr>
        <w:t xml:space="preserve">to eachother </w:t>
      </w:r>
      <w:r>
        <w:rPr>
          <w:noProof/>
        </w:rPr>
        <w:t>due to the methodology they employ and the conclusions that they can argue towards.</w:t>
      </w:r>
      <w:r w:rsidR="0048600D">
        <w:rPr>
          <w:noProof/>
        </w:rPr>
        <w:t xml:space="preserve"> </w:t>
      </w:r>
      <w:r w:rsidR="008002E2">
        <w:rPr>
          <w:noProof/>
        </w:rPr>
        <w:t>We have also seen that studying religion is a persuit that justifies having dedicated academic fields</w:t>
      </w:r>
      <w:r w:rsidR="00604050">
        <w:rPr>
          <w:noProof/>
        </w:rPr>
        <w:t xml:space="preserve">, as we have seen the sacred to be a unique feature of religion that provides value in being studied. </w:t>
      </w:r>
      <w:r>
        <w:rPr>
          <w:noProof/>
        </w:rPr>
        <w:t xml:space="preserve">Therefore, </w:t>
      </w:r>
      <w:r>
        <w:t>to argue that there is no value in maintaining the</w:t>
      </w:r>
      <w:r w:rsidR="00AA33AA">
        <w:t>se</w:t>
      </w:r>
      <w:r>
        <w:t xml:space="preserve"> boundaries would be</w:t>
      </w:r>
      <w:r w:rsidR="00CD7829">
        <w:t xml:space="preserve"> either</w:t>
      </w:r>
      <w:r>
        <w:t xml:space="preserve"> to suggest that </w:t>
      </w:r>
      <w:r w:rsidR="00C72D11">
        <w:t xml:space="preserve">either </w:t>
      </w:r>
      <w:r>
        <w:t>one of these methodologies is academically superior to the other</w:t>
      </w:r>
      <w:r w:rsidR="00C72D11">
        <w:t xml:space="preserve">, </w:t>
      </w:r>
      <w:r w:rsidR="008002E2">
        <w:t xml:space="preserve">and therefore that one method should be the only method whereby religion is studied, </w:t>
      </w:r>
      <w:r w:rsidR="00C72D11">
        <w:t>or that neither approach as it stands has value</w:t>
      </w:r>
      <w:r>
        <w:t>.</w:t>
      </w:r>
    </w:p>
    <w:p w14:paraId="2FD6E746" w14:textId="6DCC65E1" w:rsidR="00D61EE9" w:rsidRDefault="008002E2" w:rsidP="00F51ABE">
      <w:r>
        <w:t xml:space="preserve">I contend that asserting either of the methodologies of theology or religious studies to be superior to the other is an absurd statement. </w:t>
      </w:r>
      <w:r w:rsidR="00086B51">
        <w:t xml:space="preserve">Trying to compare which approach is better </w:t>
      </w:r>
      <w:r>
        <w:t>would be akin</w:t>
      </w:r>
      <w:r w:rsidR="00086B51">
        <w:t xml:space="preserve"> to </w:t>
      </w:r>
      <w:r>
        <w:t xml:space="preserve">attempting to </w:t>
      </w:r>
      <w:r w:rsidR="00086B51">
        <w:t xml:space="preserve">compare the value of a drawing of </w:t>
      </w:r>
      <w:r>
        <w:t>the front of an object</w:t>
      </w:r>
      <w:r w:rsidR="00086B51">
        <w:t xml:space="preserve"> against a picture of </w:t>
      </w:r>
      <w:r>
        <w:t>its back</w:t>
      </w:r>
      <w:r w:rsidR="00086B51">
        <w:t xml:space="preserve">; Both are visual representations of </w:t>
      </w:r>
      <w:r>
        <w:t>the object,</w:t>
      </w:r>
      <w:r w:rsidR="00086B51">
        <w:t xml:space="preserve"> but otherwise </w:t>
      </w:r>
      <w:r>
        <w:t xml:space="preserve">are </w:t>
      </w:r>
      <w:r w:rsidR="00086B51">
        <w:t>incomparable insofar as</w:t>
      </w:r>
      <w:r>
        <w:t xml:space="preserve"> to</w:t>
      </w:r>
      <w:r w:rsidR="00086B51">
        <w:t xml:space="preserve"> the value of the </w:t>
      </w:r>
      <w:r>
        <w:t>experience</w:t>
      </w:r>
      <w:r w:rsidR="00086B51">
        <w:t xml:space="preserve"> they could impart.</w:t>
      </w:r>
      <w:r w:rsidR="00AA33AA">
        <w:t xml:space="preserve"> </w:t>
      </w:r>
      <w:r w:rsidR="00086B51">
        <w:t xml:space="preserve">They are simply different modes of visualisation, and we would not judge the camera to be inferior or the pen to be irrational. </w:t>
      </w:r>
      <w:r>
        <w:t>Thus, it would be foolish to deem either method as the</w:t>
      </w:r>
      <w:r w:rsidR="00604050">
        <w:t xml:space="preserve"> ‘correct’ way to understand religion. Value can be found in both methods, and neither should subsume the other. </w:t>
      </w:r>
      <w:r>
        <w:t xml:space="preserve"> </w:t>
      </w:r>
    </w:p>
    <w:p w14:paraId="2857F6B1" w14:textId="3949ADEF" w:rsidR="004E3374" w:rsidRDefault="00604050" w:rsidP="00F51ABE">
      <w:r>
        <w:t xml:space="preserve">In conclusion, </w:t>
      </w:r>
      <w:r w:rsidR="00893F74">
        <w:t>w</w:t>
      </w:r>
      <w:r w:rsidR="00DB5AA4">
        <w:t xml:space="preserve">hilst the above analysis has clearly shown the necessity and value of having strict boundaries between the fields of Religious Studies, Philosophy of Religion and Theology, this by no means insinuates that they must be conducted in isolation. The fact that they study the same subject matter but are methodologically different from one another serves as the very reason that they are just as valuable to one another as they are </w:t>
      </w:r>
      <w:r w:rsidR="00CD7829">
        <w:t xml:space="preserve">independently of one another. The future of </w:t>
      </w:r>
      <w:r w:rsidR="000B7AA0">
        <w:t>studying religion should be paved in discourse from all perspectives</w:t>
      </w:r>
      <w:r w:rsidR="00893F74">
        <w:t>,</w:t>
      </w:r>
      <w:r w:rsidR="000B7AA0">
        <w:t xml:space="preserve"> </w:t>
      </w:r>
      <w:r w:rsidR="00893F74">
        <w:t>to not deny ourselves the richness of understanding. In short, whilst there are definitive boundaries between individual works of theology and religious studies, we do not have to limit ourselves as scholars to conducting only</w:t>
      </w:r>
      <w:r w:rsidR="00CC7CE2">
        <w:t xml:space="preserve"> one of them.</w:t>
      </w:r>
    </w:p>
    <w:p w14:paraId="544536AB" w14:textId="51E1F883" w:rsidR="00075F28" w:rsidRPr="00E05F50" w:rsidRDefault="00075F28" w:rsidP="00F51ABE">
      <w:pPr>
        <w:rPr>
          <w:b/>
          <w:bCs/>
        </w:rPr>
      </w:pPr>
      <w:r w:rsidRPr="00E05F50">
        <w:rPr>
          <w:b/>
          <w:bCs/>
        </w:rPr>
        <w:t xml:space="preserve">Word Count: </w:t>
      </w:r>
      <w:r w:rsidR="00E05F50" w:rsidRPr="00E05F50">
        <w:rPr>
          <w:b/>
          <w:bCs/>
        </w:rPr>
        <w:t>3875</w:t>
      </w:r>
    </w:p>
    <w:p w14:paraId="265C7FE3" w14:textId="77777777" w:rsidR="00EE39CD" w:rsidRDefault="00EE39CD" w:rsidP="00F51ABE"/>
    <w:p w14:paraId="1625E529" w14:textId="3327E21C" w:rsidR="00EE39CD" w:rsidRPr="00F51ABE" w:rsidRDefault="00EE39CD" w:rsidP="00EE39CD">
      <w:pPr>
        <w:pStyle w:val="Bibliography"/>
        <w:ind w:left="720" w:hanging="720"/>
        <w:rPr>
          <w:noProof/>
        </w:rPr>
      </w:pPr>
    </w:p>
    <w:sectPr w:rsidR="00EE39CD" w:rsidRPr="00F51A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7B15E0" w14:textId="77777777" w:rsidR="00E849DC" w:rsidRDefault="00E849DC" w:rsidP="00097600">
      <w:pPr>
        <w:spacing w:after="0" w:line="240" w:lineRule="auto"/>
      </w:pPr>
      <w:r>
        <w:separator/>
      </w:r>
    </w:p>
  </w:endnote>
  <w:endnote w:type="continuationSeparator" w:id="0">
    <w:p w14:paraId="2B46E1B6" w14:textId="77777777" w:rsidR="00E849DC" w:rsidRDefault="00E849DC" w:rsidP="00097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E6DCFB" w14:textId="77777777" w:rsidR="00E849DC" w:rsidRDefault="00E849DC" w:rsidP="00097600">
      <w:pPr>
        <w:spacing w:after="0" w:line="240" w:lineRule="auto"/>
      </w:pPr>
      <w:r>
        <w:separator/>
      </w:r>
    </w:p>
  </w:footnote>
  <w:footnote w:type="continuationSeparator" w:id="0">
    <w:p w14:paraId="0259C7BE" w14:textId="77777777" w:rsidR="00E849DC" w:rsidRDefault="00E849DC" w:rsidP="000976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E026AC"/>
    <w:multiLevelType w:val="multilevel"/>
    <w:tmpl w:val="C2525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DE0595"/>
    <w:multiLevelType w:val="hybridMultilevel"/>
    <w:tmpl w:val="DCC04D50"/>
    <w:lvl w:ilvl="0" w:tplc="56AC65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E75912"/>
    <w:multiLevelType w:val="hybridMultilevel"/>
    <w:tmpl w:val="A6384C46"/>
    <w:lvl w:ilvl="0" w:tplc="56AC65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850375"/>
    <w:multiLevelType w:val="hybridMultilevel"/>
    <w:tmpl w:val="4182957C"/>
    <w:lvl w:ilvl="0" w:tplc="9C665EC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5410A7"/>
    <w:multiLevelType w:val="multilevel"/>
    <w:tmpl w:val="32E6F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0F2835"/>
    <w:multiLevelType w:val="hybridMultilevel"/>
    <w:tmpl w:val="93E89D1C"/>
    <w:lvl w:ilvl="0" w:tplc="56AC65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442FC8"/>
    <w:multiLevelType w:val="hybridMultilevel"/>
    <w:tmpl w:val="97B81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3D6C0F"/>
    <w:multiLevelType w:val="multilevel"/>
    <w:tmpl w:val="92265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BF4F72"/>
    <w:multiLevelType w:val="hybridMultilevel"/>
    <w:tmpl w:val="9C7253EC"/>
    <w:lvl w:ilvl="0" w:tplc="56AC65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4A2A86"/>
    <w:multiLevelType w:val="multilevel"/>
    <w:tmpl w:val="38D0D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2A08F4"/>
    <w:multiLevelType w:val="hybridMultilevel"/>
    <w:tmpl w:val="124EB7AA"/>
    <w:lvl w:ilvl="0" w:tplc="56AC65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C660C8"/>
    <w:multiLevelType w:val="hybridMultilevel"/>
    <w:tmpl w:val="6AAE1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1935818">
    <w:abstractNumId w:val="3"/>
  </w:num>
  <w:num w:numId="2" w16cid:durableId="478038719">
    <w:abstractNumId w:val="8"/>
  </w:num>
  <w:num w:numId="3" w16cid:durableId="737289812">
    <w:abstractNumId w:val="10"/>
  </w:num>
  <w:num w:numId="4" w16cid:durableId="760682455">
    <w:abstractNumId w:val="5"/>
  </w:num>
  <w:num w:numId="5" w16cid:durableId="67771242">
    <w:abstractNumId w:val="1"/>
  </w:num>
  <w:num w:numId="6" w16cid:durableId="751438334">
    <w:abstractNumId w:val="0"/>
  </w:num>
  <w:num w:numId="7" w16cid:durableId="201481287">
    <w:abstractNumId w:val="9"/>
  </w:num>
  <w:num w:numId="8" w16cid:durableId="796145718">
    <w:abstractNumId w:val="7"/>
  </w:num>
  <w:num w:numId="9" w16cid:durableId="596641663">
    <w:abstractNumId w:val="4"/>
  </w:num>
  <w:num w:numId="10" w16cid:durableId="838539401">
    <w:abstractNumId w:val="11"/>
  </w:num>
  <w:num w:numId="11" w16cid:durableId="256987802">
    <w:abstractNumId w:val="2"/>
  </w:num>
  <w:num w:numId="12" w16cid:durableId="13906861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EE9"/>
    <w:rsid w:val="00004B99"/>
    <w:rsid w:val="0003482D"/>
    <w:rsid w:val="00066990"/>
    <w:rsid w:val="000747F8"/>
    <w:rsid w:val="00075F28"/>
    <w:rsid w:val="00086B51"/>
    <w:rsid w:val="00095E5F"/>
    <w:rsid w:val="00097600"/>
    <w:rsid w:val="000B7AA0"/>
    <w:rsid w:val="000C469E"/>
    <w:rsid w:val="000D572F"/>
    <w:rsid w:val="000D7657"/>
    <w:rsid w:val="001062FE"/>
    <w:rsid w:val="00121BF0"/>
    <w:rsid w:val="00131D9B"/>
    <w:rsid w:val="0014597B"/>
    <w:rsid w:val="001C6481"/>
    <w:rsid w:val="00217741"/>
    <w:rsid w:val="002232D8"/>
    <w:rsid w:val="002E0E7E"/>
    <w:rsid w:val="00302CAF"/>
    <w:rsid w:val="00342269"/>
    <w:rsid w:val="003C14D9"/>
    <w:rsid w:val="003D4EB3"/>
    <w:rsid w:val="0040236D"/>
    <w:rsid w:val="00454754"/>
    <w:rsid w:val="0048600D"/>
    <w:rsid w:val="004B0386"/>
    <w:rsid w:val="004E3374"/>
    <w:rsid w:val="00510795"/>
    <w:rsid w:val="0051169D"/>
    <w:rsid w:val="005749BC"/>
    <w:rsid w:val="005966CB"/>
    <w:rsid w:val="005C049D"/>
    <w:rsid w:val="00604050"/>
    <w:rsid w:val="00615C0F"/>
    <w:rsid w:val="00623B44"/>
    <w:rsid w:val="00633339"/>
    <w:rsid w:val="0065034C"/>
    <w:rsid w:val="00652994"/>
    <w:rsid w:val="006750F3"/>
    <w:rsid w:val="006831F1"/>
    <w:rsid w:val="006A18CC"/>
    <w:rsid w:val="006A7945"/>
    <w:rsid w:val="006E06E3"/>
    <w:rsid w:val="00704983"/>
    <w:rsid w:val="0070598F"/>
    <w:rsid w:val="00737CDE"/>
    <w:rsid w:val="00750EF3"/>
    <w:rsid w:val="00753062"/>
    <w:rsid w:val="007C4D43"/>
    <w:rsid w:val="007D3A15"/>
    <w:rsid w:val="008002E2"/>
    <w:rsid w:val="00893F74"/>
    <w:rsid w:val="008C66B9"/>
    <w:rsid w:val="008D46CC"/>
    <w:rsid w:val="00941E04"/>
    <w:rsid w:val="009633A6"/>
    <w:rsid w:val="00977F99"/>
    <w:rsid w:val="00981971"/>
    <w:rsid w:val="009F20C0"/>
    <w:rsid w:val="009F3A97"/>
    <w:rsid w:val="00A47A82"/>
    <w:rsid w:val="00A92EDC"/>
    <w:rsid w:val="00AA33AA"/>
    <w:rsid w:val="00AB26E8"/>
    <w:rsid w:val="00AD4A9F"/>
    <w:rsid w:val="00AF0008"/>
    <w:rsid w:val="00B22B4D"/>
    <w:rsid w:val="00B74232"/>
    <w:rsid w:val="00BD0F95"/>
    <w:rsid w:val="00BE2184"/>
    <w:rsid w:val="00BE3277"/>
    <w:rsid w:val="00BF5E75"/>
    <w:rsid w:val="00C50DF0"/>
    <w:rsid w:val="00C72D11"/>
    <w:rsid w:val="00CB04F6"/>
    <w:rsid w:val="00CC7CE2"/>
    <w:rsid w:val="00CD36A1"/>
    <w:rsid w:val="00CD7829"/>
    <w:rsid w:val="00CE3748"/>
    <w:rsid w:val="00D10CCF"/>
    <w:rsid w:val="00D61820"/>
    <w:rsid w:val="00D61EE9"/>
    <w:rsid w:val="00DB4A10"/>
    <w:rsid w:val="00DB5AA4"/>
    <w:rsid w:val="00DD5E4D"/>
    <w:rsid w:val="00E05F50"/>
    <w:rsid w:val="00E5703E"/>
    <w:rsid w:val="00E81E5A"/>
    <w:rsid w:val="00E849DC"/>
    <w:rsid w:val="00EA4B6D"/>
    <w:rsid w:val="00EE2209"/>
    <w:rsid w:val="00EE39CD"/>
    <w:rsid w:val="00F51ABE"/>
    <w:rsid w:val="00F73DB3"/>
    <w:rsid w:val="00F85AC7"/>
    <w:rsid w:val="00FC0E07"/>
    <w:rsid w:val="00FF6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78725"/>
  <w15:chartTrackingRefBased/>
  <w15:docId w15:val="{22C9C7FE-C3C3-495B-996F-3E113E97E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1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1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1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1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1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1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1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1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1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1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1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1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1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1EE9"/>
    <w:rPr>
      <w:rFonts w:eastAsiaTheme="majorEastAsia" w:cstheme="majorBidi"/>
      <w:color w:val="272727" w:themeColor="text1" w:themeTint="D8"/>
    </w:rPr>
  </w:style>
  <w:style w:type="paragraph" w:styleId="Title">
    <w:name w:val="Title"/>
    <w:basedOn w:val="Normal"/>
    <w:next w:val="Normal"/>
    <w:link w:val="TitleChar"/>
    <w:uiPriority w:val="10"/>
    <w:qFormat/>
    <w:rsid w:val="00D61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EE9"/>
    <w:pPr>
      <w:spacing w:before="160"/>
      <w:jc w:val="center"/>
    </w:pPr>
    <w:rPr>
      <w:i/>
      <w:iCs/>
      <w:color w:val="404040" w:themeColor="text1" w:themeTint="BF"/>
    </w:rPr>
  </w:style>
  <w:style w:type="character" w:customStyle="1" w:styleId="QuoteChar">
    <w:name w:val="Quote Char"/>
    <w:basedOn w:val="DefaultParagraphFont"/>
    <w:link w:val="Quote"/>
    <w:uiPriority w:val="29"/>
    <w:rsid w:val="00D61EE9"/>
    <w:rPr>
      <w:i/>
      <w:iCs/>
      <w:color w:val="404040" w:themeColor="text1" w:themeTint="BF"/>
    </w:rPr>
  </w:style>
  <w:style w:type="paragraph" w:styleId="ListParagraph">
    <w:name w:val="List Paragraph"/>
    <w:basedOn w:val="Normal"/>
    <w:uiPriority w:val="34"/>
    <w:qFormat/>
    <w:rsid w:val="00D61EE9"/>
    <w:pPr>
      <w:ind w:left="720"/>
      <w:contextualSpacing/>
    </w:pPr>
  </w:style>
  <w:style w:type="character" w:styleId="IntenseEmphasis">
    <w:name w:val="Intense Emphasis"/>
    <w:basedOn w:val="DefaultParagraphFont"/>
    <w:uiPriority w:val="21"/>
    <w:qFormat/>
    <w:rsid w:val="00D61EE9"/>
    <w:rPr>
      <w:i/>
      <w:iCs/>
      <w:color w:val="0F4761" w:themeColor="accent1" w:themeShade="BF"/>
    </w:rPr>
  </w:style>
  <w:style w:type="paragraph" w:styleId="IntenseQuote">
    <w:name w:val="Intense Quote"/>
    <w:basedOn w:val="Normal"/>
    <w:next w:val="Normal"/>
    <w:link w:val="IntenseQuoteChar"/>
    <w:uiPriority w:val="30"/>
    <w:qFormat/>
    <w:rsid w:val="00D61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EE9"/>
    <w:rPr>
      <w:i/>
      <w:iCs/>
      <w:color w:val="0F4761" w:themeColor="accent1" w:themeShade="BF"/>
    </w:rPr>
  </w:style>
  <w:style w:type="character" w:styleId="IntenseReference">
    <w:name w:val="Intense Reference"/>
    <w:basedOn w:val="DefaultParagraphFont"/>
    <w:uiPriority w:val="32"/>
    <w:qFormat/>
    <w:rsid w:val="00D61EE9"/>
    <w:rPr>
      <w:b/>
      <w:bCs/>
      <w:smallCaps/>
      <w:color w:val="0F4761" w:themeColor="accent1" w:themeShade="BF"/>
      <w:spacing w:val="5"/>
    </w:rPr>
  </w:style>
  <w:style w:type="character" w:styleId="Hyperlink">
    <w:name w:val="Hyperlink"/>
    <w:basedOn w:val="DefaultParagraphFont"/>
    <w:uiPriority w:val="99"/>
    <w:unhideWhenUsed/>
    <w:rsid w:val="004E3374"/>
    <w:rPr>
      <w:color w:val="467886" w:themeColor="hyperlink"/>
      <w:u w:val="single"/>
    </w:rPr>
  </w:style>
  <w:style w:type="character" w:styleId="UnresolvedMention">
    <w:name w:val="Unresolved Mention"/>
    <w:basedOn w:val="DefaultParagraphFont"/>
    <w:uiPriority w:val="99"/>
    <w:semiHidden/>
    <w:unhideWhenUsed/>
    <w:rsid w:val="004E3374"/>
    <w:rPr>
      <w:color w:val="605E5C"/>
      <w:shd w:val="clear" w:color="auto" w:fill="E1DFDD"/>
    </w:rPr>
  </w:style>
  <w:style w:type="paragraph" w:styleId="FootnoteText">
    <w:name w:val="footnote text"/>
    <w:basedOn w:val="Normal"/>
    <w:link w:val="FootnoteTextChar"/>
    <w:uiPriority w:val="99"/>
    <w:semiHidden/>
    <w:unhideWhenUsed/>
    <w:rsid w:val="000976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7600"/>
    <w:rPr>
      <w:sz w:val="20"/>
      <w:szCs w:val="20"/>
    </w:rPr>
  </w:style>
  <w:style w:type="character" w:styleId="FootnoteReference">
    <w:name w:val="footnote reference"/>
    <w:basedOn w:val="DefaultParagraphFont"/>
    <w:uiPriority w:val="99"/>
    <w:semiHidden/>
    <w:unhideWhenUsed/>
    <w:rsid w:val="00097600"/>
    <w:rPr>
      <w:vertAlign w:val="superscript"/>
    </w:rPr>
  </w:style>
  <w:style w:type="paragraph" w:styleId="Bibliography">
    <w:name w:val="Bibliography"/>
    <w:basedOn w:val="Normal"/>
    <w:next w:val="Normal"/>
    <w:uiPriority w:val="37"/>
    <w:unhideWhenUsed/>
    <w:rsid w:val="00EE39CD"/>
  </w:style>
  <w:style w:type="paragraph" w:styleId="NormalWeb">
    <w:name w:val="Normal (Web)"/>
    <w:basedOn w:val="Normal"/>
    <w:uiPriority w:val="99"/>
    <w:semiHidden/>
    <w:unhideWhenUsed/>
    <w:rsid w:val="009F20C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59541">
      <w:bodyDiv w:val="1"/>
      <w:marLeft w:val="0"/>
      <w:marRight w:val="0"/>
      <w:marTop w:val="0"/>
      <w:marBottom w:val="0"/>
      <w:divBdr>
        <w:top w:val="none" w:sz="0" w:space="0" w:color="auto"/>
        <w:left w:val="none" w:sz="0" w:space="0" w:color="auto"/>
        <w:bottom w:val="none" w:sz="0" w:space="0" w:color="auto"/>
        <w:right w:val="none" w:sz="0" w:space="0" w:color="auto"/>
      </w:divBdr>
    </w:div>
    <w:div w:id="83378908">
      <w:bodyDiv w:val="1"/>
      <w:marLeft w:val="0"/>
      <w:marRight w:val="0"/>
      <w:marTop w:val="0"/>
      <w:marBottom w:val="0"/>
      <w:divBdr>
        <w:top w:val="none" w:sz="0" w:space="0" w:color="auto"/>
        <w:left w:val="none" w:sz="0" w:space="0" w:color="auto"/>
        <w:bottom w:val="none" w:sz="0" w:space="0" w:color="auto"/>
        <w:right w:val="none" w:sz="0" w:space="0" w:color="auto"/>
      </w:divBdr>
    </w:div>
    <w:div w:id="132799115">
      <w:bodyDiv w:val="1"/>
      <w:marLeft w:val="0"/>
      <w:marRight w:val="0"/>
      <w:marTop w:val="0"/>
      <w:marBottom w:val="0"/>
      <w:divBdr>
        <w:top w:val="none" w:sz="0" w:space="0" w:color="auto"/>
        <w:left w:val="none" w:sz="0" w:space="0" w:color="auto"/>
        <w:bottom w:val="none" w:sz="0" w:space="0" w:color="auto"/>
        <w:right w:val="none" w:sz="0" w:space="0" w:color="auto"/>
      </w:divBdr>
    </w:div>
    <w:div w:id="244535596">
      <w:bodyDiv w:val="1"/>
      <w:marLeft w:val="0"/>
      <w:marRight w:val="0"/>
      <w:marTop w:val="0"/>
      <w:marBottom w:val="0"/>
      <w:divBdr>
        <w:top w:val="none" w:sz="0" w:space="0" w:color="auto"/>
        <w:left w:val="none" w:sz="0" w:space="0" w:color="auto"/>
        <w:bottom w:val="none" w:sz="0" w:space="0" w:color="auto"/>
        <w:right w:val="none" w:sz="0" w:space="0" w:color="auto"/>
      </w:divBdr>
    </w:div>
    <w:div w:id="321197371">
      <w:bodyDiv w:val="1"/>
      <w:marLeft w:val="0"/>
      <w:marRight w:val="0"/>
      <w:marTop w:val="0"/>
      <w:marBottom w:val="0"/>
      <w:divBdr>
        <w:top w:val="none" w:sz="0" w:space="0" w:color="auto"/>
        <w:left w:val="none" w:sz="0" w:space="0" w:color="auto"/>
        <w:bottom w:val="none" w:sz="0" w:space="0" w:color="auto"/>
        <w:right w:val="none" w:sz="0" w:space="0" w:color="auto"/>
      </w:divBdr>
    </w:div>
    <w:div w:id="591469510">
      <w:bodyDiv w:val="1"/>
      <w:marLeft w:val="0"/>
      <w:marRight w:val="0"/>
      <w:marTop w:val="0"/>
      <w:marBottom w:val="0"/>
      <w:divBdr>
        <w:top w:val="none" w:sz="0" w:space="0" w:color="auto"/>
        <w:left w:val="none" w:sz="0" w:space="0" w:color="auto"/>
        <w:bottom w:val="none" w:sz="0" w:space="0" w:color="auto"/>
        <w:right w:val="none" w:sz="0" w:space="0" w:color="auto"/>
      </w:divBdr>
    </w:div>
    <w:div w:id="641424755">
      <w:bodyDiv w:val="1"/>
      <w:marLeft w:val="0"/>
      <w:marRight w:val="0"/>
      <w:marTop w:val="0"/>
      <w:marBottom w:val="0"/>
      <w:divBdr>
        <w:top w:val="none" w:sz="0" w:space="0" w:color="auto"/>
        <w:left w:val="none" w:sz="0" w:space="0" w:color="auto"/>
        <w:bottom w:val="none" w:sz="0" w:space="0" w:color="auto"/>
        <w:right w:val="none" w:sz="0" w:space="0" w:color="auto"/>
      </w:divBdr>
    </w:div>
    <w:div w:id="647631495">
      <w:bodyDiv w:val="1"/>
      <w:marLeft w:val="0"/>
      <w:marRight w:val="0"/>
      <w:marTop w:val="0"/>
      <w:marBottom w:val="0"/>
      <w:divBdr>
        <w:top w:val="none" w:sz="0" w:space="0" w:color="auto"/>
        <w:left w:val="none" w:sz="0" w:space="0" w:color="auto"/>
        <w:bottom w:val="none" w:sz="0" w:space="0" w:color="auto"/>
        <w:right w:val="none" w:sz="0" w:space="0" w:color="auto"/>
      </w:divBdr>
      <w:divsChild>
        <w:div w:id="1198784933">
          <w:marLeft w:val="0"/>
          <w:marRight w:val="0"/>
          <w:marTop w:val="0"/>
          <w:marBottom w:val="0"/>
          <w:divBdr>
            <w:top w:val="none" w:sz="0" w:space="0" w:color="auto"/>
            <w:left w:val="none" w:sz="0" w:space="0" w:color="auto"/>
            <w:bottom w:val="none" w:sz="0" w:space="0" w:color="auto"/>
            <w:right w:val="none" w:sz="0" w:space="0" w:color="auto"/>
          </w:divBdr>
          <w:divsChild>
            <w:div w:id="66081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802178">
      <w:bodyDiv w:val="1"/>
      <w:marLeft w:val="0"/>
      <w:marRight w:val="0"/>
      <w:marTop w:val="0"/>
      <w:marBottom w:val="0"/>
      <w:divBdr>
        <w:top w:val="none" w:sz="0" w:space="0" w:color="auto"/>
        <w:left w:val="none" w:sz="0" w:space="0" w:color="auto"/>
        <w:bottom w:val="none" w:sz="0" w:space="0" w:color="auto"/>
        <w:right w:val="none" w:sz="0" w:space="0" w:color="auto"/>
      </w:divBdr>
      <w:divsChild>
        <w:div w:id="1392729209">
          <w:marLeft w:val="0"/>
          <w:marRight w:val="0"/>
          <w:marTop w:val="0"/>
          <w:marBottom w:val="0"/>
          <w:divBdr>
            <w:top w:val="none" w:sz="0" w:space="0" w:color="auto"/>
            <w:left w:val="none" w:sz="0" w:space="0" w:color="auto"/>
            <w:bottom w:val="none" w:sz="0" w:space="0" w:color="auto"/>
            <w:right w:val="none" w:sz="0" w:space="0" w:color="auto"/>
          </w:divBdr>
          <w:divsChild>
            <w:div w:id="35180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294693">
      <w:bodyDiv w:val="1"/>
      <w:marLeft w:val="0"/>
      <w:marRight w:val="0"/>
      <w:marTop w:val="0"/>
      <w:marBottom w:val="0"/>
      <w:divBdr>
        <w:top w:val="none" w:sz="0" w:space="0" w:color="auto"/>
        <w:left w:val="none" w:sz="0" w:space="0" w:color="auto"/>
        <w:bottom w:val="none" w:sz="0" w:space="0" w:color="auto"/>
        <w:right w:val="none" w:sz="0" w:space="0" w:color="auto"/>
      </w:divBdr>
    </w:div>
    <w:div w:id="826827992">
      <w:bodyDiv w:val="1"/>
      <w:marLeft w:val="0"/>
      <w:marRight w:val="0"/>
      <w:marTop w:val="0"/>
      <w:marBottom w:val="0"/>
      <w:divBdr>
        <w:top w:val="none" w:sz="0" w:space="0" w:color="auto"/>
        <w:left w:val="none" w:sz="0" w:space="0" w:color="auto"/>
        <w:bottom w:val="none" w:sz="0" w:space="0" w:color="auto"/>
        <w:right w:val="none" w:sz="0" w:space="0" w:color="auto"/>
      </w:divBdr>
    </w:div>
    <w:div w:id="926812235">
      <w:bodyDiv w:val="1"/>
      <w:marLeft w:val="0"/>
      <w:marRight w:val="0"/>
      <w:marTop w:val="0"/>
      <w:marBottom w:val="0"/>
      <w:divBdr>
        <w:top w:val="none" w:sz="0" w:space="0" w:color="auto"/>
        <w:left w:val="none" w:sz="0" w:space="0" w:color="auto"/>
        <w:bottom w:val="none" w:sz="0" w:space="0" w:color="auto"/>
        <w:right w:val="none" w:sz="0" w:space="0" w:color="auto"/>
      </w:divBdr>
    </w:div>
    <w:div w:id="935746811">
      <w:bodyDiv w:val="1"/>
      <w:marLeft w:val="0"/>
      <w:marRight w:val="0"/>
      <w:marTop w:val="0"/>
      <w:marBottom w:val="0"/>
      <w:divBdr>
        <w:top w:val="none" w:sz="0" w:space="0" w:color="auto"/>
        <w:left w:val="none" w:sz="0" w:space="0" w:color="auto"/>
        <w:bottom w:val="none" w:sz="0" w:space="0" w:color="auto"/>
        <w:right w:val="none" w:sz="0" w:space="0" w:color="auto"/>
      </w:divBdr>
    </w:div>
    <w:div w:id="975068861">
      <w:bodyDiv w:val="1"/>
      <w:marLeft w:val="0"/>
      <w:marRight w:val="0"/>
      <w:marTop w:val="0"/>
      <w:marBottom w:val="0"/>
      <w:divBdr>
        <w:top w:val="none" w:sz="0" w:space="0" w:color="auto"/>
        <w:left w:val="none" w:sz="0" w:space="0" w:color="auto"/>
        <w:bottom w:val="none" w:sz="0" w:space="0" w:color="auto"/>
        <w:right w:val="none" w:sz="0" w:space="0" w:color="auto"/>
      </w:divBdr>
    </w:div>
    <w:div w:id="1002775834">
      <w:bodyDiv w:val="1"/>
      <w:marLeft w:val="0"/>
      <w:marRight w:val="0"/>
      <w:marTop w:val="0"/>
      <w:marBottom w:val="0"/>
      <w:divBdr>
        <w:top w:val="none" w:sz="0" w:space="0" w:color="auto"/>
        <w:left w:val="none" w:sz="0" w:space="0" w:color="auto"/>
        <w:bottom w:val="none" w:sz="0" w:space="0" w:color="auto"/>
        <w:right w:val="none" w:sz="0" w:space="0" w:color="auto"/>
      </w:divBdr>
    </w:div>
    <w:div w:id="1004238315">
      <w:bodyDiv w:val="1"/>
      <w:marLeft w:val="0"/>
      <w:marRight w:val="0"/>
      <w:marTop w:val="0"/>
      <w:marBottom w:val="0"/>
      <w:divBdr>
        <w:top w:val="none" w:sz="0" w:space="0" w:color="auto"/>
        <w:left w:val="none" w:sz="0" w:space="0" w:color="auto"/>
        <w:bottom w:val="none" w:sz="0" w:space="0" w:color="auto"/>
        <w:right w:val="none" w:sz="0" w:space="0" w:color="auto"/>
      </w:divBdr>
    </w:div>
    <w:div w:id="1044330553">
      <w:bodyDiv w:val="1"/>
      <w:marLeft w:val="0"/>
      <w:marRight w:val="0"/>
      <w:marTop w:val="0"/>
      <w:marBottom w:val="0"/>
      <w:divBdr>
        <w:top w:val="none" w:sz="0" w:space="0" w:color="auto"/>
        <w:left w:val="none" w:sz="0" w:space="0" w:color="auto"/>
        <w:bottom w:val="none" w:sz="0" w:space="0" w:color="auto"/>
        <w:right w:val="none" w:sz="0" w:space="0" w:color="auto"/>
      </w:divBdr>
    </w:div>
    <w:div w:id="1119299598">
      <w:bodyDiv w:val="1"/>
      <w:marLeft w:val="0"/>
      <w:marRight w:val="0"/>
      <w:marTop w:val="0"/>
      <w:marBottom w:val="0"/>
      <w:divBdr>
        <w:top w:val="none" w:sz="0" w:space="0" w:color="auto"/>
        <w:left w:val="none" w:sz="0" w:space="0" w:color="auto"/>
        <w:bottom w:val="none" w:sz="0" w:space="0" w:color="auto"/>
        <w:right w:val="none" w:sz="0" w:space="0" w:color="auto"/>
      </w:divBdr>
    </w:div>
    <w:div w:id="1154953222">
      <w:bodyDiv w:val="1"/>
      <w:marLeft w:val="0"/>
      <w:marRight w:val="0"/>
      <w:marTop w:val="0"/>
      <w:marBottom w:val="0"/>
      <w:divBdr>
        <w:top w:val="none" w:sz="0" w:space="0" w:color="auto"/>
        <w:left w:val="none" w:sz="0" w:space="0" w:color="auto"/>
        <w:bottom w:val="none" w:sz="0" w:space="0" w:color="auto"/>
        <w:right w:val="none" w:sz="0" w:space="0" w:color="auto"/>
      </w:divBdr>
    </w:div>
    <w:div w:id="1189369701">
      <w:bodyDiv w:val="1"/>
      <w:marLeft w:val="0"/>
      <w:marRight w:val="0"/>
      <w:marTop w:val="0"/>
      <w:marBottom w:val="0"/>
      <w:divBdr>
        <w:top w:val="none" w:sz="0" w:space="0" w:color="auto"/>
        <w:left w:val="none" w:sz="0" w:space="0" w:color="auto"/>
        <w:bottom w:val="none" w:sz="0" w:space="0" w:color="auto"/>
        <w:right w:val="none" w:sz="0" w:space="0" w:color="auto"/>
      </w:divBdr>
    </w:div>
    <w:div w:id="1227686906">
      <w:bodyDiv w:val="1"/>
      <w:marLeft w:val="0"/>
      <w:marRight w:val="0"/>
      <w:marTop w:val="0"/>
      <w:marBottom w:val="0"/>
      <w:divBdr>
        <w:top w:val="none" w:sz="0" w:space="0" w:color="auto"/>
        <w:left w:val="none" w:sz="0" w:space="0" w:color="auto"/>
        <w:bottom w:val="none" w:sz="0" w:space="0" w:color="auto"/>
        <w:right w:val="none" w:sz="0" w:space="0" w:color="auto"/>
      </w:divBdr>
    </w:div>
    <w:div w:id="1261916020">
      <w:bodyDiv w:val="1"/>
      <w:marLeft w:val="0"/>
      <w:marRight w:val="0"/>
      <w:marTop w:val="0"/>
      <w:marBottom w:val="0"/>
      <w:divBdr>
        <w:top w:val="none" w:sz="0" w:space="0" w:color="auto"/>
        <w:left w:val="none" w:sz="0" w:space="0" w:color="auto"/>
        <w:bottom w:val="none" w:sz="0" w:space="0" w:color="auto"/>
        <w:right w:val="none" w:sz="0" w:space="0" w:color="auto"/>
      </w:divBdr>
    </w:div>
    <w:div w:id="1298101235">
      <w:bodyDiv w:val="1"/>
      <w:marLeft w:val="0"/>
      <w:marRight w:val="0"/>
      <w:marTop w:val="0"/>
      <w:marBottom w:val="0"/>
      <w:divBdr>
        <w:top w:val="none" w:sz="0" w:space="0" w:color="auto"/>
        <w:left w:val="none" w:sz="0" w:space="0" w:color="auto"/>
        <w:bottom w:val="none" w:sz="0" w:space="0" w:color="auto"/>
        <w:right w:val="none" w:sz="0" w:space="0" w:color="auto"/>
      </w:divBdr>
    </w:div>
    <w:div w:id="1328052072">
      <w:bodyDiv w:val="1"/>
      <w:marLeft w:val="0"/>
      <w:marRight w:val="0"/>
      <w:marTop w:val="0"/>
      <w:marBottom w:val="0"/>
      <w:divBdr>
        <w:top w:val="none" w:sz="0" w:space="0" w:color="auto"/>
        <w:left w:val="none" w:sz="0" w:space="0" w:color="auto"/>
        <w:bottom w:val="none" w:sz="0" w:space="0" w:color="auto"/>
        <w:right w:val="none" w:sz="0" w:space="0" w:color="auto"/>
      </w:divBdr>
    </w:div>
    <w:div w:id="1364792991">
      <w:bodyDiv w:val="1"/>
      <w:marLeft w:val="0"/>
      <w:marRight w:val="0"/>
      <w:marTop w:val="0"/>
      <w:marBottom w:val="0"/>
      <w:divBdr>
        <w:top w:val="none" w:sz="0" w:space="0" w:color="auto"/>
        <w:left w:val="none" w:sz="0" w:space="0" w:color="auto"/>
        <w:bottom w:val="none" w:sz="0" w:space="0" w:color="auto"/>
        <w:right w:val="none" w:sz="0" w:space="0" w:color="auto"/>
      </w:divBdr>
    </w:div>
    <w:div w:id="1431857179">
      <w:bodyDiv w:val="1"/>
      <w:marLeft w:val="0"/>
      <w:marRight w:val="0"/>
      <w:marTop w:val="0"/>
      <w:marBottom w:val="0"/>
      <w:divBdr>
        <w:top w:val="none" w:sz="0" w:space="0" w:color="auto"/>
        <w:left w:val="none" w:sz="0" w:space="0" w:color="auto"/>
        <w:bottom w:val="none" w:sz="0" w:space="0" w:color="auto"/>
        <w:right w:val="none" w:sz="0" w:space="0" w:color="auto"/>
      </w:divBdr>
    </w:div>
    <w:div w:id="1460342725">
      <w:bodyDiv w:val="1"/>
      <w:marLeft w:val="0"/>
      <w:marRight w:val="0"/>
      <w:marTop w:val="0"/>
      <w:marBottom w:val="0"/>
      <w:divBdr>
        <w:top w:val="none" w:sz="0" w:space="0" w:color="auto"/>
        <w:left w:val="none" w:sz="0" w:space="0" w:color="auto"/>
        <w:bottom w:val="none" w:sz="0" w:space="0" w:color="auto"/>
        <w:right w:val="none" w:sz="0" w:space="0" w:color="auto"/>
      </w:divBdr>
    </w:div>
    <w:div w:id="1522863621">
      <w:bodyDiv w:val="1"/>
      <w:marLeft w:val="0"/>
      <w:marRight w:val="0"/>
      <w:marTop w:val="0"/>
      <w:marBottom w:val="0"/>
      <w:divBdr>
        <w:top w:val="none" w:sz="0" w:space="0" w:color="auto"/>
        <w:left w:val="none" w:sz="0" w:space="0" w:color="auto"/>
        <w:bottom w:val="none" w:sz="0" w:space="0" w:color="auto"/>
        <w:right w:val="none" w:sz="0" w:space="0" w:color="auto"/>
      </w:divBdr>
    </w:div>
    <w:div w:id="1526209864">
      <w:bodyDiv w:val="1"/>
      <w:marLeft w:val="0"/>
      <w:marRight w:val="0"/>
      <w:marTop w:val="0"/>
      <w:marBottom w:val="0"/>
      <w:divBdr>
        <w:top w:val="none" w:sz="0" w:space="0" w:color="auto"/>
        <w:left w:val="none" w:sz="0" w:space="0" w:color="auto"/>
        <w:bottom w:val="none" w:sz="0" w:space="0" w:color="auto"/>
        <w:right w:val="none" w:sz="0" w:space="0" w:color="auto"/>
      </w:divBdr>
    </w:div>
    <w:div w:id="1562667798">
      <w:bodyDiv w:val="1"/>
      <w:marLeft w:val="0"/>
      <w:marRight w:val="0"/>
      <w:marTop w:val="0"/>
      <w:marBottom w:val="0"/>
      <w:divBdr>
        <w:top w:val="none" w:sz="0" w:space="0" w:color="auto"/>
        <w:left w:val="none" w:sz="0" w:space="0" w:color="auto"/>
        <w:bottom w:val="none" w:sz="0" w:space="0" w:color="auto"/>
        <w:right w:val="none" w:sz="0" w:space="0" w:color="auto"/>
      </w:divBdr>
    </w:div>
    <w:div w:id="1634142184">
      <w:bodyDiv w:val="1"/>
      <w:marLeft w:val="0"/>
      <w:marRight w:val="0"/>
      <w:marTop w:val="0"/>
      <w:marBottom w:val="0"/>
      <w:divBdr>
        <w:top w:val="none" w:sz="0" w:space="0" w:color="auto"/>
        <w:left w:val="none" w:sz="0" w:space="0" w:color="auto"/>
        <w:bottom w:val="none" w:sz="0" w:space="0" w:color="auto"/>
        <w:right w:val="none" w:sz="0" w:space="0" w:color="auto"/>
      </w:divBdr>
    </w:div>
    <w:div w:id="1640264272">
      <w:bodyDiv w:val="1"/>
      <w:marLeft w:val="0"/>
      <w:marRight w:val="0"/>
      <w:marTop w:val="0"/>
      <w:marBottom w:val="0"/>
      <w:divBdr>
        <w:top w:val="none" w:sz="0" w:space="0" w:color="auto"/>
        <w:left w:val="none" w:sz="0" w:space="0" w:color="auto"/>
        <w:bottom w:val="none" w:sz="0" w:space="0" w:color="auto"/>
        <w:right w:val="none" w:sz="0" w:space="0" w:color="auto"/>
      </w:divBdr>
    </w:div>
    <w:div w:id="1753429243">
      <w:bodyDiv w:val="1"/>
      <w:marLeft w:val="0"/>
      <w:marRight w:val="0"/>
      <w:marTop w:val="0"/>
      <w:marBottom w:val="0"/>
      <w:divBdr>
        <w:top w:val="none" w:sz="0" w:space="0" w:color="auto"/>
        <w:left w:val="none" w:sz="0" w:space="0" w:color="auto"/>
        <w:bottom w:val="none" w:sz="0" w:space="0" w:color="auto"/>
        <w:right w:val="none" w:sz="0" w:space="0" w:color="auto"/>
      </w:divBdr>
    </w:div>
    <w:div w:id="1786458740">
      <w:bodyDiv w:val="1"/>
      <w:marLeft w:val="0"/>
      <w:marRight w:val="0"/>
      <w:marTop w:val="0"/>
      <w:marBottom w:val="0"/>
      <w:divBdr>
        <w:top w:val="none" w:sz="0" w:space="0" w:color="auto"/>
        <w:left w:val="none" w:sz="0" w:space="0" w:color="auto"/>
        <w:bottom w:val="none" w:sz="0" w:space="0" w:color="auto"/>
        <w:right w:val="none" w:sz="0" w:space="0" w:color="auto"/>
      </w:divBdr>
    </w:div>
    <w:div w:id="1828355754">
      <w:bodyDiv w:val="1"/>
      <w:marLeft w:val="0"/>
      <w:marRight w:val="0"/>
      <w:marTop w:val="0"/>
      <w:marBottom w:val="0"/>
      <w:divBdr>
        <w:top w:val="none" w:sz="0" w:space="0" w:color="auto"/>
        <w:left w:val="none" w:sz="0" w:space="0" w:color="auto"/>
        <w:bottom w:val="none" w:sz="0" w:space="0" w:color="auto"/>
        <w:right w:val="none" w:sz="0" w:space="0" w:color="auto"/>
      </w:divBdr>
    </w:div>
    <w:div w:id="1944847941">
      <w:bodyDiv w:val="1"/>
      <w:marLeft w:val="0"/>
      <w:marRight w:val="0"/>
      <w:marTop w:val="0"/>
      <w:marBottom w:val="0"/>
      <w:divBdr>
        <w:top w:val="none" w:sz="0" w:space="0" w:color="auto"/>
        <w:left w:val="none" w:sz="0" w:space="0" w:color="auto"/>
        <w:bottom w:val="none" w:sz="0" w:space="0" w:color="auto"/>
        <w:right w:val="none" w:sz="0" w:space="0" w:color="auto"/>
      </w:divBdr>
    </w:div>
    <w:div w:id="2026443508">
      <w:bodyDiv w:val="1"/>
      <w:marLeft w:val="0"/>
      <w:marRight w:val="0"/>
      <w:marTop w:val="0"/>
      <w:marBottom w:val="0"/>
      <w:divBdr>
        <w:top w:val="none" w:sz="0" w:space="0" w:color="auto"/>
        <w:left w:val="none" w:sz="0" w:space="0" w:color="auto"/>
        <w:bottom w:val="none" w:sz="0" w:space="0" w:color="auto"/>
        <w:right w:val="none" w:sz="0" w:space="0" w:color="auto"/>
      </w:divBdr>
    </w:div>
    <w:div w:id="2091656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Bri23</b:Tag>
    <b:SourceType>InternetSite</b:SourceType>
    <b:Guid>{DAD593E3-5A0B-4946-97DE-ECAC7F379720}</b:Guid>
    <b:Title>Enlightenment</b:Title>
    <b:Year>2023</b:Year>
    <b:Month>September</b:Month>
    <b:Author>
      <b:Author>
        <b:NameList>
          <b:Person>
            <b:Last>Bristow</b:Last>
            <b:First>William</b:First>
          </b:Person>
        </b:NameList>
      </b:Author>
      <b:Editor>
        <b:NameList>
          <b:Person>
            <b:Last>Nodelman</b:Last>
            <b:First>Edward</b:First>
            <b:Middle>N. Zalta &amp; Uri</b:Middle>
          </b:Person>
        </b:NameList>
      </b:Editor>
    </b:Author>
    <b:InternetSiteTitle>The Stanford Encyclopedia of Philosophy</b:InternetSiteTitle>
    <b:URL>https://plato.stanford.edu/archives/fall2023/entries/enlightenment/</b:URL>
    <b:YearAccessed>2024</b:YearAccessed>
    <b:MonthAccessed>November</b:MonthAccessed>
    <b:RefOrder>12</b:RefOrder>
  </b:Source>
  <b:Source>
    <b:Tag>For22</b:Tag>
    <b:SourceType>InternetSite</b:SourceType>
    <b:Guid>{32DAB30B-B6CD-4A74-BD3C-545DB6BD0550}</b:Guid>
    <b:Author>
      <b:Author>
        <b:NameList>
          <b:Person>
            <b:Last>Forster</b:Last>
            <b:First>Michael</b:First>
          </b:Person>
        </b:NameList>
      </b:Author>
      <b:Editor>
        <b:NameList>
          <b:Person>
            <b:Last>Zalta</b:Last>
            <b:First>Edward</b:First>
            <b:Middle>N.</b:Middle>
          </b:Person>
        </b:NameList>
      </b:Editor>
    </b:Author>
    <b:Title>Friedrich Daniel Ernst Schleiermacher</b:Title>
    <b:InternetSiteTitle>The Stanford Encyclopedia of Philosophy</b:InternetSiteTitle>
    <b:Year>2022</b:Year>
    <b:Month>June</b:Month>
    <b:URL>https://plato.stanford.edu/archives/sum2022/entries/schleiermacher/</b:URL>
    <b:YearAccessed>2024</b:YearAccessed>
    <b:RefOrder>13</b:RefOrder>
  </b:Source>
  <b:Source>
    <b:Tag>Oxf24</b:Tag>
    <b:SourceType>InternetSite</b:SourceType>
    <b:Guid>{92EAE7CB-8E85-4D23-9FD4-D0CB5040958B}</b:Guid>
    <b:Title>Oxford English Dictionary</b:Title>
    <b:Year>2024</b:Year>
    <b:Author>
      <b:Author>
        <b:Corporate>Oxford University Press</b:Corporate>
      </b:Author>
    </b:Author>
    <b:InternetSiteTitle>Theology (n.)</b:InternetSiteTitle>
    <b:Month>June</b:Month>
    <b:URL>https://doi.org/10.1093/OED/8062203668.</b:URL>
    <b:RefOrder>18</b:RefOrder>
  </b:Source>
  <b:Source>
    <b:Tag>Oxf241</b:Tag>
    <b:SourceType>InternetSite</b:SourceType>
    <b:Guid>{1A6DCEF6-0816-4192-8D50-E71C53C69C4E}</b:Guid>
    <b:Author>
      <b:Author>
        <b:Corporate>Oxford University Press</b:Corporate>
      </b:Author>
    </b:Author>
    <b:Title>Oxford English Dictionary</b:Title>
    <b:InternetSiteTitle>religious studies (n.)</b:InternetSiteTitle>
    <b:Year>2024</b:Year>
    <b:Month>September</b:Month>
    <b:URL>https://doi.org/10.1093/OED/1111211497</b:URL>
    <b:RefOrder>19</b:RefOrder>
  </b:Source>
  <b:Source>
    <b:Tag>Wil24</b:Tag>
    <b:SourceType>InternetSite</b:SourceType>
    <b:Guid>{D1C82FAC-F872-4188-A6FC-4DCE410D8CB2}</b:Guid>
    <b:Author>
      <b:Author>
        <b:NameList>
          <b:Person>
            <b:Last>Williams</b:Last>
            <b:First>Thomas</b:First>
          </b:Person>
        </b:NameList>
      </b:Author>
      <b:Editor>
        <b:NameList>
          <b:Person>
            <b:Last>Nodelman</b:Last>
            <b:First>Edward</b:First>
            <b:Middle>N. Zalta &amp; Uri</b:Middle>
          </b:Person>
        </b:NameList>
      </b:Editor>
    </b:Author>
    <b:Title>Anselm of Cantebury</b:Title>
    <b:InternetSiteTitle>The Stanford Encyclopedia of Philosophy</b:InternetSiteTitle>
    <b:Year>2024</b:Year>
    <b:Month>November</b:Month>
    <b:URL>https://plato.stanford.edu/archives/win2024/entries/anselm/</b:URL>
    <b:RefOrder>24</b:RefOrder>
  </b:Source>
  <b:Source>
    <b:Tag>Cox03</b:Tag>
    <b:SourceType>Misc</b:SourceType>
    <b:Guid>{72C78DC8-AB0A-4136-A4E0-0460242A6A09}</b:Guid>
    <b:Title>Religion without God: Methodological Agnosticism and the Future of Religious Studies</b:Title>
    <b:Year>2003</b:Year>
    <b:City>Heriot-Watt University</b:City>
    <b:Publisher>The Hibbert Trust</b:Publisher>
    <b:Author>
      <b:Author>
        <b:NameList>
          <b:Person>
            <b:Last>Cox</b:Last>
            <b:First>James</b:First>
            <b:Middle>L</b:Middle>
          </b:Person>
        </b:NameList>
      </b:Author>
    </b:Author>
    <b:PublicationTitle>The Hibbert Lecture</b:PublicationTitle>
    <b:RefOrder>26</b:RefOrder>
  </b:Source>
  <b:Source>
    <b:Tag>Les19</b:Tag>
    <b:SourceType>Book</b:SourceType>
    <b:Guid>{DA7EFF39-3066-49D5-925A-A77928721059}</b:Guid>
    <b:Title>The McGraw-Hill Education Handbook of English Grammar and Usage</b:Title>
    <b:Year>2019</b:Year>
    <b:URL>chrome-extension://efaidnbmnnnibpcajpcglclefindmkaj/http://repository.bitscollege.edu.et:8080/bitstream/handle/123456789/790/McGraw-Hill%20Education%20Handbook%20of%20English%20Grammar%20%20Usage,%203rd%20ed%20(Mark%20Lester,%20Larry%20Beason)%20(Z-Librar</b:URL>
    <b:Publisher>McGraw-Hill Education</b:Publisher>
    <b:Pages>17</b:Pages>
    <b:Author>
      <b:Author>
        <b:NameList>
          <b:Person>
            <b:Last>Lester</b:Last>
            <b:First>Mark</b:First>
          </b:Person>
          <b:Person>
            <b:Last>Beason</b:Last>
            <b:First>Larry </b:First>
          </b:Person>
        </b:NameList>
      </b:Author>
    </b:Author>
    <b:RefOrder>20</b:RefOrder>
  </b:Source>
  <b:Source>
    <b:Tag>Mac55</b:Tag>
    <b:SourceType>JournalArticle</b:SourceType>
    <b:Guid>{4AB1F86E-E0DE-4DC3-A287-5FB3D9393F0F}</b:Guid>
    <b:Title>Evil and Omnipotence</b:Title>
    <b:Year>1955</b:Year>
    <b:Author>
      <b:Author>
        <b:NameList>
          <b:Person>
            <b:Last>Mackie</b:Last>
            <b:First>J.</b:First>
            <b:Middle>L.</b:Middle>
          </b:Person>
        </b:NameList>
      </b:Author>
    </b:Author>
    <b:JournalName>Mind</b:JournalName>
    <b:Pages>200-212</b:Pages>
    <b:Month>April</b:Month>
    <b:Volume>64</b:Volume>
    <b:Issue>254</b:Issue>
    <b:RefOrder>23</b:RefOrder>
  </b:Source>
  <b:Source>
    <b:Tag>Kri09</b:Tag>
    <b:SourceType>BookSection</b:SourceType>
    <b:Guid>{D8C51E12-23F0-49E5-AAD4-065A05398D99}</b:Guid>
    <b:Title>What are academic disciplines?</b:Title>
    <b:Year>2009</b:Year>
    <b:Pages>1-59</b:Pages>
    <b:Author>
      <b:Author>
        <b:NameList>
          <b:Person>
            <b:Last>Krishnan</b:Last>
            <b:First>Armin</b:First>
          </b:Person>
        </b:NameList>
      </b:Author>
    </b:Author>
    <b:BookTitle>Some observations on the disciplinarity vs. interdisciplinarity debate</b:BookTitle>
    <b:Publisher>ESRC National Centre for Research Methods</b:Publisher>
    <b:RefOrder>1</b:RefOrder>
  </b:Source>
  <b:Source>
    <b:Tag>Nye19</b:Tag>
    <b:SourceType>JournalArticle</b:SourceType>
    <b:Guid>{B0380EAD-A011-4B71-9367-D70BA8842E28}</b:Guid>
    <b:Author>
      <b:Author>
        <b:NameList>
          <b:Person>
            <b:Last>Nye</b:Last>
            <b:First>Malory</b:First>
          </b:Person>
        </b:NameList>
      </b:Author>
    </b:Author>
    <b:Title>Decolonizing the study of religion</b:Title>
    <b:Year>2019</b:Year>
    <b:JournalName>Open Library of Humanities</b:JournalName>
    <b:Volume>5</b:Volume>
    <b:Issue>1</b:Issue>
    <b:RefOrder>2</b:RefOrder>
  </b:Source>
  <b:Source>
    <b:Tag>Mar12</b:Tag>
    <b:SourceType>JournalArticle</b:SourceType>
    <b:Guid>{DC6FF529-AF61-4BDE-9D8A-8E171CF8D4AF}</b:Guid>
    <b:Author>
      <b:Author>
        <b:NameList>
          <b:Person>
            <b:Last>Marbaniang</b:Last>
            <b:First>Domenic</b:First>
          </b:Person>
        </b:NameList>
      </b:Author>
    </b:Author>
    <b:Title>Meaning and divisions of theology</b:Title>
    <b:JournalName>Revive: Malayalam Edition</b:JournalName>
    <b:Year>2012</b:Year>
    <b:RefOrder>3</b:RefOrder>
  </b:Source>
  <b:Source>
    <b:Tag>Nad96</b:Tag>
    <b:SourceType>JournalArticle</b:SourceType>
    <b:Guid>{96AACD04-FE28-4DA8-954E-69489E11ADC6}</b:Guid>
    <b:Author>
      <b:Author>
        <b:NameList>
          <b:Person>
            <b:Last>Naddaf</b:Last>
            <b:First>Gerard</b:First>
          </b:Person>
        </b:NameList>
      </b:Author>
    </b:Author>
    <b:Title>Plato's Theologia Revisited</b:Title>
    <b:JournalName>Methexis</b:JournalName>
    <b:Year>1996</b:Year>
    <b:Pages>5-18</b:Pages>
    <b:Volume>9</b:Volume>
    <b:RefOrder>4</b:RefOrder>
  </b:Source>
  <b:Source>
    <b:Tag>Men19</b:Tag>
    <b:SourceType>InternetSite</b:SourceType>
    <b:Guid>{956B600C-3C01-41E4-8EF2-FF8132C67CE0}</b:Guid>
    <b:Title>Aristotle and Mathematics</b:Title>
    <b:Year>2019</b:Year>
    <b:Author>
      <b:Author>
        <b:NameList>
          <b:Person>
            <b:Last>Mendell</b:Last>
            <b:First>Henry</b:First>
          </b:Person>
        </b:NameList>
      </b:Author>
      <b:Editor>
        <b:NameList>
          <b:Person>
            <b:Last>Zalta</b:Last>
            <b:First>Edward</b:First>
            <b:Middle>N.</b:Middle>
          </b:Person>
        </b:NameList>
      </b:Editor>
    </b:Author>
    <b:InternetSiteTitle>The Stanford Encyclopedia of Philosophy</b:InternetSiteTitle>
    <b:Month>September</b:Month>
    <b:URL>https://plato.stanford.edu/archives/fall2019/entries/aristotle-mathematics/</b:URL>
    <b:YearAccessed>2024</b:YearAccessed>
    <b:MonthAccessed>November</b:MonthAccessed>
    <b:RefOrder>6</b:RefOrder>
  </b:Source>
  <b:Source>
    <b:Tag>Shi23</b:Tag>
    <b:SourceType>InternetSite</b:SourceType>
    <b:Guid>{B1A87950-DC08-417B-8040-AC34C09483F5}</b:Guid>
    <b:Author>
      <b:Author>
        <b:NameList>
          <b:Person>
            <b:Last>Shields</b:Last>
            <b:First>Christopher</b:First>
          </b:Person>
        </b:NameList>
      </b:Author>
      <b:Editor>
        <b:NameList>
          <b:Person>
            <b:Last>Nodelman</b:Last>
            <b:First>Edward</b:First>
            <b:Middle>N. Zalta &amp; Uri</b:Middle>
          </b:Person>
        </b:NameList>
      </b:Editor>
    </b:Author>
    <b:Title>Aristotle</b:Title>
    <b:InternetSiteTitle>The Stanford Encyclopedia of Philosophy</b:InternetSiteTitle>
    <b:Year>2023</b:Year>
    <b:Month>December</b:Month>
    <b:URL>https://plato.stanford.edu/archives/win2023/entries/aristotle/</b:URL>
    <b:YearAccessed>2024</b:YearAccessed>
    <b:MonthAccessed>November</b:MonthAccessed>
    <b:RefOrder>5</b:RefOrder>
  </b:Source>
  <b:Source>
    <b:Tag>Men12</b:Tag>
    <b:SourceType>BookSection</b:SourceType>
    <b:Guid>{BE17A8EB-7E2F-4A15-935D-DBA50B72B2B1}</b:Guid>
    <b:Title>Aristotle's Theology</b:Title>
    <b:Year>2012</b:Year>
    <b:Author>
      <b:Author>
        <b:NameList>
          <b:Person>
            <b:Last>Menn</b:Last>
            <b:First>Stephen</b:First>
          </b:Person>
        </b:NameList>
      </b:Author>
      <b:Editor>
        <b:NameList>
          <b:Person>
            <b:Last>Shields</b:Last>
            <b:First>Christopher</b:First>
          </b:Person>
        </b:NameList>
      </b:Editor>
    </b:Author>
    <b:Pages>422-464</b:Pages>
    <b:BookTitle>The Oxford Handbook of Arstotle</b:BookTitle>
    <b:RefOrder>7</b:RefOrder>
  </b:Source>
  <b:Source>
    <b:Tag>Zak07</b:Tag>
    <b:SourceType>JournalArticle</b:SourceType>
    <b:Guid>{25F80F30-76B5-4720-B8BE-4671F154F808}</b:Guid>
    <b:Title>The Rise of Modern Science and the Decline of Theology as the ‘Queen of Sciences’ in the Early Modern Era</b:Title>
    <b:Year>2007</b:Year>
    <b:Pages>125-152</b:Pages>
    <b:Author>
      <b:Author>
        <b:NameList>
          <b:Person>
            <b:Last>Zakai</b:Last>
            <b:First>Avihu</b:First>
          </b:Person>
        </b:NameList>
      </b:Author>
    </b:Author>
    <b:JournalName>Reformation &amp; Renaissance Review</b:JournalName>
    <b:Volume>9</b:Volume>
    <b:Issue>2</b:Issue>
    <b:RefOrder>10</b:RefOrder>
  </b:Source>
  <b:Source>
    <b:Tag>Oxf242</b:Tag>
    <b:SourceType>DocumentFromInternetSite</b:SourceType>
    <b:Guid>{58E022DC-BB4F-4FEF-8575-A7814B92DABF}</b:Guid>
    <b:Title>science (n.)</b:Title>
    <b:Year>2024</b:Year>
    <b:Author>
      <b:Author>
        <b:Corporate>Oxford University Press</b:Corporate>
      </b:Author>
    </b:Author>
    <b:InternetSiteTitle>Oxford English Dictionary</b:InternetSiteTitle>
    <b:Month>September</b:Month>
    <b:URL>https://doi.org/10.1093/OED/9588368826.</b:URL>
    <b:YearAccessed>2024</b:YearAccessed>
    <b:MonthAccessed>November</b:MonthAccessed>
    <b:RefOrder>21</b:RefOrder>
  </b:Source>
  <b:Source>
    <b:Tag>Oxf23</b:Tag>
    <b:SourceType>InternetSite</b:SourceType>
    <b:Guid>{E53066B9-05B5-4B15-97E3-9FCD524F0191}</b:Guid>
    <b:Title>scientific method (n.)</b:Title>
    <b:InternetSiteTitle>Oxford English Dictionary</b:InternetSiteTitle>
    <b:Year>2023</b:Year>
    <b:Month>July</b:Month>
    <b:URL>https://doi.org/10.1093/OED/8843968527</b:URL>
    <b:Author>
      <b:Author>
        <b:Corporate>Oxford University Press</b:Corporate>
      </b:Author>
    </b:Author>
    <b:YearAccessed>2024</b:YearAccessed>
    <b:MonthAccessed>November</b:MonthAccessed>
    <b:RefOrder>22</b:RefOrder>
  </b:Source>
  <b:Source>
    <b:Tag>Sma73</b:Tag>
    <b:SourceType>Book</b:SourceType>
    <b:Guid>{EDC30C87-24D4-41D1-A4B5-04BF7147B4A6}</b:Guid>
    <b:Author>
      <b:Author>
        <b:NameList>
          <b:Person>
            <b:Last>Smart</b:Last>
            <b:First>Ninian</b:First>
          </b:Person>
        </b:NameList>
      </b:Author>
    </b:Author>
    <b:Title>The Science of Religion and the Sociology of Knowledge: Some Methodological Questions</b:Title>
    <b:Year>1973</b:Year>
    <b:Publisher>Princeton University Press</b:Publisher>
    <b:Pages>54</b:Pages>
    <b:RefOrder>25</b:RefOrder>
  </b:Source>
  <b:Source>
    <b:Tag>Fit00</b:Tag>
    <b:SourceType>Book</b:SourceType>
    <b:Guid>{E57A4ED7-02C0-41A8-B748-B39DC0A5765F}</b:Guid>
    <b:Author>
      <b:Author>
        <b:NameList>
          <b:Person>
            <b:Last>Fitzgerald</b:Last>
            <b:First>Timothy</b:First>
          </b:Person>
        </b:NameList>
      </b:Author>
    </b:Author>
    <b:Title>The Ideology of Religious Studies</b:Title>
    <b:Year>2000</b:Year>
    <b:Publisher>Oxford University Press</b:Publisher>
    <b:Pages>54-71</b:Pages>
    <b:RefOrder>27</b:RefOrder>
  </b:Source>
  <b:Source>
    <b:Tag>Ber12</b:Tag>
    <b:SourceType>Book</b:SourceType>
    <b:Guid>{DC2021FF-BB8A-4ED2-B235-6D4B77AB0836}</b:Guid>
    <b:Author>
      <b:Author>
        <b:NameList>
          <b:Person>
            <b:Last>Russell</b:Last>
            <b:First>Bertrand</b:First>
          </b:Person>
        </b:NameList>
      </b:Author>
    </b:Author>
    <b:Title>The Problems of Philosophy</b:Title>
    <b:Year>1912</b:Year>
    <b:Publisher>Oxford University Press</b:Publisher>
    <b:RefOrder>28</b:RefOrder>
  </b:Source>
  <b:Source>
    <b:Tag>Woo21</b:Tag>
    <b:SourceType>InternetSite</b:SourceType>
    <b:Guid>{2F0C7DBD-61AB-4FC6-9EA3-11C8B0C16F97}</b:Guid>
    <b:Author>
      <b:Author>
        <b:NameList>
          <b:Person>
            <b:Last>Wood</b:Last>
            <b:First>William</b:First>
          </b:Person>
        </b:NameList>
      </b:Author>
    </b:Author>
    <b:Title>Philosophy and Christian Theology</b:Title>
    <b:InternetSiteTitle>The Stanford Encyclopedia of Philosophy</b:InternetSiteTitle>
    <b:Year>2021</b:Year>
    <b:Month>March</b:Month>
    <b:URL>https://plato.stanford.edu/archives/spr2022/entries/christiantheology-philosophy/</b:URL>
    <b:YearAccessed>2024</b:YearAccessed>
    <b:MonthAccessed>November</b:MonthAccessed>
    <b:RefOrder>29</b:RefOrder>
  </b:Source>
  <b:Source>
    <b:Tag>Pas24</b:Tag>
    <b:SourceType>InternetSite</b:SourceType>
    <b:Guid>{0CFFDB5D-D159-41FB-969F-824C77716061}</b:Guid>
    <b:Author>
      <b:Author>
        <b:NameList>
          <b:Person>
            <b:Last>Pasnau</b:Last>
            <b:First>Robert</b:First>
          </b:Person>
        </b:NameList>
      </b:Author>
      <b:Editor>
        <b:NameList>
          <b:Person>
            <b:Last>Nodelman</b:Last>
            <b:First>Edward</b:First>
            <b:Middle>N. Zalta &amp; Uri</b:Middle>
          </b:Person>
        </b:NameList>
      </b:Editor>
    </b:Author>
    <b:Title>Thomas Aquinas</b:Title>
    <b:InternetSiteTitle>The Stanford Encyclopedia of Philosophy</b:InternetSiteTitle>
    <b:Year>2024</b:Year>
    <b:Month>November</b:Month>
    <b:URL>https://plato.stanford.edu/archives/win2024/entries/aquinas/</b:URL>
    <b:YearAccessed>2024</b:YearAccessed>
    <b:MonthAccessed>November</b:MonthAccessed>
    <b:RefOrder>9</b:RefOrder>
  </b:Source>
  <b:Source>
    <b:Tag>Ric99</b:Tag>
    <b:SourceType>JournalArticle</b:SourceType>
    <b:Guid>{2477BE15-1497-4C3B-918E-65E9D93AC36B}</b:Guid>
    <b:Author>
      <b:Author>
        <b:NameList>
          <b:Person>
            <b:Last>Rex</b:Last>
            <b:First>Richard</b:First>
          </b:Person>
        </b:NameList>
      </b:Author>
    </b:Author>
    <b:Title>The Early Impact of Reformation Theology at Cambridge University, 1521-1547</b:Title>
    <b:Year>1999</b:Year>
    <b:JournalName>Reformation &amp; Renaissance Review</b:JournalName>
    <b:Pages>38-71</b:Pages>
    <b:Volume>2</b:Volume>
    <b:Issue>1</b:Issue>
    <b:RefOrder>11</b:RefOrder>
  </b:Source>
  <b:Source>
    <b:Tag>Sch14</b:Tag>
    <b:SourceType>JournalArticle</b:SourceType>
    <b:Guid>{5E5BEF5B-E55C-40BE-99A9-C0E5512A9351}</b:Guid>
    <b:Author>
      <b:Author>
        <b:NameList>
          <b:Person>
            <b:Last>Schmidt</b:Last>
            <b:First>Leigh</b:First>
          </b:Person>
        </b:NameList>
      </b:Author>
    </b:Author>
    <b:Title>Portents of a Discipline: The Study of Religion Before Religious Studies</b:Title>
    <b:JournalName>Modern Intellectual History</b:JournalName>
    <b:Year>2014</b:Year>
    <b:Pages>211-220</b:Pages>
    <b:Volume>11</b:Volume>
    <b:Issue>1</b:Issue>
    <b:RefOrder>14</b:RefOrder>
  </b:Source>
  <b:Source>
    <b:Tag>Mul73</b:Tag>
    <b:SourceType>Book</b:SourceType>
    <b:Guid>{C6F1DE3E-F711-46EF-AB0B-64BF83450569}</b:Guid>
    <b:Title>Introduction to the Science of Religion </b:Title>
    <b:Year>1873</b:Year>
    <b:Author>
      <b:Author>
        <b:NameList>
          <b:Person>
            <b:Last>Muller</b:Last>
            <b:First>F.</b:First>
            <b:Middle>Max</b:Middle>
          </b:Person>
        </b:NameList>
      </b:Author>
    </b:Author>
    <b:RefOrder>15</b:RefOrder>
  </b:Source>
  <b:Source>
    <b:Tag>Bas09</b:Tag>
    <b:SourceType>BookSection</b:SourceType>
    <b:Guid>{B618B30C-EE5A-4ACD-9153-4AEC7C9CD71A}</b:Guid>
    <b:Title>Chapter Six. Aristotle And Scholasticism</b:Title>
    <b:Year>2009</b:Year>
    <b:Publisher>Brill</b:Publisher>
    <b:Author>
      <b:Author>
        <b:NameList>
          <b:Person>
            <b:Last>Baschera</b:Last>
            <b:First>L.</b:First>
          </b:Person>
        </b:NameList>
      </b:Author>
    </b:Author>
    <b:BookTitle>A Companion to Peter Martyr Vermigli</b:BookTitle>
    <b:Pages>133-159</b:Pages>
    <b:RefOrder>8</b:RefOrder>
  </b:Source>
  <b:Source>
    <b:Tag>Rei12</b:Tag>
    <b:SourceType>JournalArticle</b:SourceType>
    <b:Guid>{18189B32-E1FD-4C2E-A6FA-28196CEA1527}</b:Guid>
    <b:Title>Comparative Theology: Between Theology and Religious Studies</b:Title>
    <b:Year>2012</b:Year>
    <b:Pages>964-972</b:Pages>
    <b:Author>
      <b:Author>
        <b:NameList>
          <b:Person>
            <b:Last>Bernhardt</b:Last>
            <b:First>Reinhold</b:First>
          </b:Person>
        </b:NameList>
      </b:Author>
    </b:Author>
    <b:JournalName>Religions</b:JournalName>
    <b:RefOrder>16</b:RefOrder>
  </b:Source>
  <b:Source>
    <b:Tag>TRS24</b:Tag>
    <b:SourceType>InternetSite</b:SourceType>
    <b:Guid>{D389D432-9C66-4753-B9F4-68583CFDA855}</b:Guid>
    <b:Title>TRS in the university setting</b:Title>
    <b:Year>2024</b:Year>
    <b:Author>
      <b:Author>
        <b:Corporate>TRS UK</b:Corporate>
      </b:Author>
    </b:Author>
    <b:InternetSiteTitle>Theology and Religious Studies in Higher Education</b:InternetSiteTitle>
    <b:URL>https://trs.ac.uk/academics/trs-in-the-university-setting/</b:URL>
    <b:RefOrder>17</b:RefOrder>
  </b:Source>
</b:Sources>
</file>

<file path=customXml/itemProps1.xml><?xml version="1.0" encoding="utf-8"?>
<ds:datastoreItem xmlns:ds="http://schemas.openxmlformats.org/officeDocument/2006/customXml" ds:itemID="{9D5F309A-BF34-4D73-A1F3-AE8901F21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1884</TotalTime>
  <Pages>8</Pages>
  <Words>3980</Words>
  <Characters>22408</Characters>
  <Application>Microsoft Office Word</Application>
  <DocSecurity>0</DocSecurity>
  <Lines>367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Hough (staff)</dc:creator>
  <cp:keywords/>
  <dc:description/>
  <cp:lastModifiedBy>Olivia Hough (staff)</cp:lastModifiedBy>
  <cp:revision>14</cp:revision>
  <dcterms:created xsi:type="dcterms:W3CDTF">2024-11-17T16:19:00Z</dcterms:created>
  <dcterms:modified xsi:type="dcterms:W3CDTF">2024-11-18T23:59:00Z</dcterms:modified>
</cp:coreProperties>
</file>