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3538A5" w14:textId="45F5B074" w:rsidR="00496A90" w:rsidRPr="00ED0F6A" w:rsidRDefault="00496A90">
      <w:pPr>
        <w:rPr>
          <w:rFonts w:ascii="Arial" w:hAnsi="Arial" w:cs="Arial"/>
        </w:rPr>
      </w:pPr>
      <w:r w:rsidRPr="00ED0F6A">
        <w:rPr>
          <w:rFonts w:ascii="Arial" w:hAnsi="Arial" w:cs="Arial"/>
        </w:rPr>
        <w:t>Student Name: Alexandru Balaban</w:t>
      </w:r>
    </w:p>
    <w:p w14:paraId="7F5912E9" w14:textId="30A7FF3C" w:rsidR="00496A90" w:rsidRPr="00ED0F6A" w:rsidRDefault="00496A90">
      <w:pPr>
        <w:rPr>
          <w:rFonts w:ascii="Arial" w:hAnsi="Arial" w:cs="Arial"/>
        </w:rPr>
      </w:pPr>
      <w:r w:rsidRPr="00ED0F6A">
        <w:rPr>
          <w:rFonts w:ascii="Arial" w:hAnsi="Arial" w:cs="Arial"/>
        </w:rPr>
        <w:t>Student ID: 2516267</w:t>
      </w:r>
    </w:p>
    <w:p w14:paraId="625FB018" w14:textId="77777777" w:rsidR="00496A90" w:rsidRPr="00ED0F6A" w:rsidRDefault="00496A90">
      <w:pPr>
        <w:rPr>
          <w:rFonts w:ascii="Arial" w:hAnsi="Arial" w:cs="Arial"/>
        </w:rPr>
      </w:pPr>
      <w:r w:rsidRPr="00ED0F6A">
        <w:rPr>
          <w:rFonts w:ascii="Arial" w:hAnsi="Arial" w:cs="Arial"/>
        </w:rPr>
        <w:t xml:space="preserve">Program of Study:  Business and Management </w:t>
      </w:r>
    </w:p>
    <w:p w14:paraId="27CA6332" w14:textId="13D49283" w:rsidR="00496A90" w:rsidRPr="00ED0F6A" w:rsidRDefault="00496A90">
      <w:pPr>
        <w:rPr>
          <w:rFonts w:ascii="Arial" w:hAnsi="Arial" w:cs="Arial"/>
        </w:rPr>
      </w:pPr>
      <w:r w:rsidRPr="00ED0F6A">
        <w:rPr>
          <w:rFonts w:ascii="Arial" w:hAnsi="Arial" w:cs="Arial"/>
        </w:rPr>
        <w:t>Module Name: Enterprise and Entrepreneurship LCLM4006</w:t>
      </w:r>
    </w:p>
    <w:p w14:paraId="359DB880" w14:textId="0281F3BF" w:rsidR="00496A90" w:rsidRPr="00ED0F6A" w:rsidRDefault="00496A90">
      <w:pPr>
        <w:rPr>
          <w:rFonts w:ascii="Arial" w:hAnsi="Arial" w:cs="Arial"/>
        </w:rPr>
      </w:pPr>
      <w:r w:rsidRPr="00ED0F6A">
        <w:rPr>
          <w:rFonts w:ascii="Arial" w:hAnsi="Arial" w:cs="Arial"/>
        </w:rPr>
        <w:t xml:space="preserve">Lecturer Name: </w:t>
      </w:r>
      <w:proofErr w:type="spellStart"/>
      <w:r w:rsidRPr="00ED0F6A">
        <w:rPr>
          <w:rFonts w:ascii="Arial" w:hAnsi="Arial" w:cs="Arial"/>
        </w:rPr>
        <w:t>Mustakkima</w:t>
      </w:r>
      <w:proofErr w:type="spellEnd"/>
      <w:r w:rsidRPr="00ED0F6A">
        <w:rPr>
          <w:rFonts w:ascii="Arial" w:hAnsi="Arial" w:cs="Arial"/>
        </w:rPr>
        <w:t xml:space="preserve"> Afrin </w:t>
      </w:r>
    </w:p>
    <w:p w14:paraId="35770BD8" w14:textId="77777777" w:rsidR="00496A90" w:rsidRDefault="00496A90">
      <w:pPr>
        <w:rPr>
          <w:rFonts w:ascii="Arial" w:hAnsi="Arial" w:cs="Arial"/>
          <w:b/>
          <w:bCs/>
        </w:rPr>
      </w:pPr>
    </w:p>
    <w:p w14:paraId="294AC1E3" w14:textId="1379B8EA" w:rsidR="00FB47F6" w:rsidRDefault="00FB47F6">
      <w:pPr>
        <w:rPr>
          <w:rFonts w:ascii="Arial" w:hAnsi="Arial" w:cs="Arial"/>
          <w:b/>
          <w:bCs/>
        </w:rPr>
      </w:pPr>
      <w:r>
        <w:rPr>
          <w:rFonts w:ascii="Arial" w:hAnsi="Arial" w:cs="Arial"/>
          <w:b/>
          <w:bCs/>
        </w:rPr>
        <w:t xml:space="preserve">Table of Contents </w:t>
      </w:r>
    </w:p>
    <w:p w14:paraId="01DB7425" w14:textId="77777777" w:rsidR="00FB47F6" w:rsidRDefault="00FB47F6">
      <w:pPr>
        <w:rPr>
          <w:rFonts w:ascii="Arial" w:hAnsi="Arial" w:cs="Arial"/>
          <w:b/>
          <w:bCs/>
        </w:rPr>
      </w:pPr>
    </w:p>
    <w:p w14:paraId="2CF0B7CC" w14:textId="2270413E" w:rsidR="00FB47F6" w:rsidRDefault="00FB47F6">
      <w:pPr>
        <w:rPr>
          <w:rFonts w:ascii="Arial" w:hAnsi="Arial" w:cs="Arial"/>
          <w:b/>
          <w:bCs/>
        </w:rPr>
      </w:pPr>
      <w:r>
        <w:rPr>
          <w:rFonts w:ascii="Arial" w:hAnsi="Arial" w:cs="Arial"/>
          <w:b/>
          <w:bCs/>
        </w:rPr>
        <w:t xml:space="preserve">Executive Summary …………… 1 </w:t>
      </w:r>
    </w:p>
    <w:p w14:paraId="203FB0C4" w14:textId="77777777" w:rsidR="00FB47F6" w:rsidRDefault="00FB47F6">
      <w:pPr>
        <w:rPr>
          <w:rFonts w:ascii="Arial" w:hAnsi="Arial" w:cs="Arial"/>
          <w:b/>
          <w:bCs/>
        </w:rPr>
      </w:pPr>
    </w:p>
    <w:p w14:paraId="6381CB8A" w14:textId="4AB8F22C" w:rsidR="00FB47F6" w:rsidRDefault="00FB47F6">
      <w:pPr>
        <w:rPr>
          <w:rFonts w:ascii="Arial" w:hAnsi="Arial" w:cs="Arial"/>
          <w:b/>
          <w:bCs/>
        </w:rPr>
      </w:pPr>
      <w:r>
        <w:rPr>
          <w:rFonts w:ascii="Arial" w:hAnsi="Arial" w:cs="Arial"/>
          <w:b/>
          <w:bCs/>
        </w:rPr>
        <w:t xml:space="preserve">Overview of the business idea ……………... 2 </w:t>
      </w:r>
    </w:p>
    <w:p w14:paraId="17304758" w14:textId="77777777" w:rsidR="00FB47F6" w:rsidRDefault="00FB47F6">
      <w:pPr>
        <w:rPr>
          <w:rFonts w:ascii="Arial" w:hAnsi="Arial" w:cs="Arial"/>
          <w:b/>
          <w:bCs/>
        </w:rPr>
      </w:pPr>
    </w:p>
    <w:p w14:paraId="21447227" w14:textId="72B599E3" w:rsidR="00FB47F6" w:rsidRDefault="00FB47F6">
      <w:pPr>
        <w:rPr>
          <w:rFonts w:ascii="Arial" w:hAnsi="Arial" w:cs="Arial"/>
          <w:b/>
          <w:bCs/>
        </w:rPr>
      </w:pPr>
      <w:r>
        <w:rPr>
          <w:rFonts w:ascii="Arial" w:hAnsi="Arial" w:cs="Arial"/>
          <w:b/>
          <w:bCs/>
        </w:rPr>
        <w:t xml:space="preserve">Market Research …………………………… 3 </w:t>
      </w:r>
    </w:p>
    <w:p w14:paraId="3D8B5BD2" w14:textId="58416B97" w:rsidR="00FB47F6" w:rsidRDefault="00FB47F6">
      <w:pPr>
        <w:rPr>
          <w:rFonts w:ascii="Arial" w:hAnsi="Arial" w:cs="Arial"/>
          <w:b/>
          <w:bCs/>
        </w:rPr>
      </w:pPr>
      <w:r>
        <w:rPr>
          <w:rFonts w:ascii="Arial" w:hAnsi="Arial" w:cs="Arial"/>
          <w:b/>
          <w:bCs/>
        </w:rPr>
        <w:t xml:space="preserve">PESTLE Analysis …………………………… 3 </w:t>
      </w:r>
    </w:p>
    <w:p w14:paraId="281E0C5B" w14:textId="17315676" w:rsidR="00FB47F6" w:rsidRDefault="00FB47F6">
      <w:pPr>
        <w:rPr>
          <w:rFonts w:ascii="Arial" w:hAnsi="Arial" w:cs="Arial"/>
          <w:b/>
          <w:bCs/>
        </w:rPr>
      </w:pPr>
      <w:r>
        <w:rPr>
          <w:rFonts w:ascii="Arial" w:hAnsi="Arial" w:cs="Arial"/>
          <w:b/>
          <w:bCs/>
        </w:rPr>
        <w:t xml:space="preserve">Competitor Analysis ……………………………. 4 </w:t>
      </w:r>
    </w:p>
    <w:p w14:paraId="45B8ECD2" w14:textId="77777777" w:rsidR="00FB47F6" w:rsidRDefault="00FB47F6">
      <w:pPr>
        <w:rPr>
          <w:rFonts w:ascii="Arial" w:hAnsi="Arial" w:cs="Arial"/>
          <w:b/>
          <w:bCs/>
        </w:rPr>
      </w:pPr>
    </w:p>
    <w:p w14:paraId="65018DF6" w14:textId="6439E551" w:rsidR="00FB47F6" w:rsidRDefault="00FB47F6">
      <w:pPr>
        <w:rPr>
          <w:rFonts w:ascii="Arial" w:hAnsi="Arial" w:cs="Arial"/>
          <w:b/>
          <w:bCs/>
        </w:rPr>
      </w:pPr>
      <w:r>
        <w:rPr>
          <w:rFonts w:ascii="Arial" w:hAnsi="Arial" w:cs="Arial"/>
          <w:b/>
          <w:bCs/>
        </w:rPr>
        <w:t>Marketing Communications ……………………</w:t>
      </w:r>
      <w:proofErr w:type="gramStart"/>
      <w:r>
        <w:rPr>
          <w:rFonts w:ascii="Arial" w:hAnsi="Arial" w:cs="Arial"/>
          <w:b/>
          <w:bCs/>
        </w:rPr>
        <w:t>…..</w:t>
      </w:r>
      <w:proofErr w:type="gramEnd"/>
      <w:r>
        <w:rPr>
          <w:rFonts w:ascii="Arial" w:hAnsi="Arial" w:cs="Arial"/>
          <w:b/>
          <w:bCs/>
        </w:rPr>
        <w:t xml:space="preserve"> 4 </w:t>
      </w:r>
    </w:p>
    <w:p w14:paraId="73F3D039" w14:textId="77777777" w:rsidR="00FB47F6" w:rsidRDefault="00FB47F6">
      <w:pPr>
        <w:rPr>
          <w:rFonts w:ascii="Arial" w:hAnsi="Arial" w:cs="Arial"/>
          <w:b/>
          <w:bCs/>
        </w:rPr>
      </w:pPr>
    </w:p>
    <w:p w14:paraId="60C1FFB3" w14:textId="26A81270" w:rsidR="00FB47F6" w:rsidRDefault="00FB47F6">
      <w:pPr>
        <w:rPr>
          <w:rFonts w:ascii="Arial" w:hAnsi="Arial" w:cs="Arial"/>
          <w:b/>
          <w:bCs/>
        </w:rPr>
      </w:pPr>
      <w:r>
        <w:rPr>
          <w:rFonts w:ascii="Arial" w:hAnsi="Arial" w:cs="Arial"/>
          <w:b/>
          <w:bCs/>
        </w:rPr>
        <w:t xml:space="preserve">Financials ……………………. 5 </w:t>
      </w:r>
    </w:p>
    <w:p w14:paraId="36DAF81B" w14:textId="6B00CE63" w:rsidR="00FB47F6" w:rsidRDefault="00FB47F6">
      <w:pPr>
        <w:rPr>
          <w:rFonts w:ascii="Arial" w:hAnsi="Arial" w:cs="Arial"/>
          <w:b/>
          <w:bCs/>
        </w:rPr>
      </w:pPr>
      <w:r>
        <w:rPr>
          <w:rFonts w:ascii="Arial" w:hAnsi="Arial" w:cs="Arial"/>
          <w:b/>
          <w:bCs/>
        </w:rPr>
        <w:t xml:space="preserve">Funding Requirements and </w:t>
      </w:r>
      <w:r w:rsidR="00E63392">
        <w:rPr>
          <w:rFonts w:ascii="Arial" w:hAnsi="Arial" w:cs="Arial"/>
          <w:b/>
          <w:bCs/>
        </w:rPr>
        <w:t>Sourcing</w:t>
      </w:r>
      <w:r>
        <w:rPr>
          <w:rFonts w:ascii="Arial" w:hAnsi="Arial" w:cs="Arial"/>
          <w:b/>
          <w:bCs/>
        </w:rPr>
        <w:t xml:space="preserve"> ………………………5 </w:t>
      </w:r>
    </w:p>
    <w:p w14:paraId="4601821C" w14:textId="336A8DBD" w:rsidR="00FB47F6" w:rsidRDefault="00FB47F6">
      <w:pPr>
        <w:rPr>
          <w:rFonts w:ascii="Arial" w:hAnsi="Arial" w:cs="Arial"/>
          <w:b/>
          <w:bCs/>
        </w:rPr>
      </w:pPr>
      <w:r>
        <w:rPr>
          <w:rFonts w:ascii="Arial" w:hAnsi="Arial" w:cs="Arial"/>
          <w:b/>
          <w:bCs/>
        </w:rPr>
        <w:t xml:space="preserve">Initial Startup Expenses ………………………… 5 </w:t>
      </w:r>
    </w:p>
    <w:p w14:paraId="505EDCAE" w14:textId="77777777" w:rsidR="00FB47F6" w:rsidRDefault="00FB47F6">
      <w:pPr>
        <w:rPr>
          <w:rFonts w:ascii="Arial" w:hAnsi="Arial" w:cs="Arial"/>
          <w:b/>
          <w:bCs/>
        </w:rPr>
      </w:pPr>
    </w:p>
    <w:p w14:paraId="543D9EED" w14:textId="4B3D9298" w:rsidR="00FB47F6" w:rsidRPr="00ED0F6A" w:rsidRDefault="00FB47F6">
      <w:pPr>
        <w:rPr>
          <w:rFonts w:ascii="Arial" w:hAnsi="Arial" w:cs="Arial"/>
          <w:b/>
          <w:bCs/>
        </w:rPr>
      </w:pPr>
      <w:r>
        <w:rPr>
          <w:rFonts w:ascii="Arial" w:hAnsi="Arial" w:cs="Arial"/>
          <w:b/>
          <w:bCs/>
        </w:rPr>
        <w:t xml:space="preserve">Reference List ………………………… 6 </w:t>
      </w:r>
    </w:p>
    <w:p w14:paraId="3786AA6E" w14:textId="77777777" w:rsidR="00FB47F6" w:rsidRDefault="00FB47F6" w:rsidP="00ED0F6A">
      <w:pPr>
        <w:spacing w:before="100" w:beforeAutospacing="1" w:after="100" w:afterAutospacing="1" w:line="240" w:lineRule="auto"/>
        <w:outlineLvl w:val="0"/>
        <w:rPr>
          <w:rFonts w:ascii="Arial" w:eastAsia="Times New Roman" w:hAnsi="Arial" w:cs="Arial"/>
          <w:b/>
          <w:bCs/>
          <w:kern w:val="36"/>
          <w:lang w:eastAsia="en-GB"/>
          <w14:ligatures w14:val="none"/>
        </w:rPr>
      </w:pPr>
    </w:p>
    <w:p w14:paraId="093920EB" w14:textId="142DAE5C" w:rsidR="00ED0F6A" w:rsidRPr="00ED0F6A" w:rsidRDefault="00ED0F6A" w:rsidP="00ED0F6A">
      <w:pPr>
        <w:spacing w:before="100" w:beforeAutospacing="1" w:after="100" w:afterAutospacing="1" w:line="240" w:lineRule="auto"/>
        <w:outlineLvl w:val="0"/>
        <w:rPr>
          <w:rFonts w:ascii="Arial" w:eastAsia="Times New Roman" w:hAnsi="Arial" w:cs="Arial"/>
          <w:b/>
          <w:bCs/>
          <w:kern w:val="36"/>
          <w:lang w:eastAsia="en-GB"/>
          <w14:ligatures w14:val="none"/>
        </w:rPr>
      </w:pPr>
      <w:r w:rsidRPr="00ED0F6A">
        <w:rPr>
          <w:rFonts w:ascii="Arial" w:eastAsia="Times New Roman" w:hAnsi="Arial" w:cs="Arial"/>
          <w:b/>
          <w:bCs/>
          <w:kern w:val="36"/>
          <w:lang w:eastAsia="en-GB"/>
          <w14:ligatures w14:val="none"/>
        </w:rPr>
        <w:t>Executive Summary</w:t>
      </w:r>
    </w:p>
    <w:p w14:paraId="6FB09AF4"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 xml:space="preserve">Fire &amp; Fry is a proposed mobile street food business that aims to provide freshly prepared, affordable and high-quality chicken and beef-based meals to customers across London. The business will operate through a fully equipped food truck, allowing flexibility to trade in high-footfall locations such as universities, festivals and busy commercial areas. Fire &amp; Fry will offer a range of products including burgers, </w:t>
      </w:r>
      <w:r w:rsidRPr="00ED0F6A">
        <w:rPr>
          <w:rFonts w:ascii="Arial" w:eastAsia="Times New Roman" w:hAnsi="Arial" w:cs="Arial"/>
          <w:kern w:val="0"/>
          <w:lang w:eastAsia="en-GB"/>
          <w14:ligatures w14:val="none"/>
        </w:rPr>
        <w:lastRenderedPageBreak/>
        <w:t>wraps, chicken wings, rice boxes, loaded fries, and grilled and fried chicken, with all meals prepared fresh to order.</w:t>
      </w:r>
    </w:p>
    <w:p w14:paraId="65357CB2"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The business aims to establish itself as a recognisable and competitive brand within the London street food market by focusing on product quality, customer service and convenience. Fire &amp; Fry will target students, young professionals, families and event visitors who are looking for affordable and convenient food options. The business will use digital marketing strategies, particularly social media platforms such as Instagram and TikTok, to increase brand awareness and build relationships with customers.</w:t>
      </w:r>
    </w:p>
    <w:p w14:paraId="4FFDB4D2"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Sustainability will be a key element of Fire &amp; Fry’s operations. The business will support local suppliers, use recyclable packaging and introduce procedures to reduce food waste. These practices demonstrate the business’s commitment to corporate social responsibility while supporting environmental and community objectives.</w:t>
      </w:r>
    </w:p>
    <w:p w14:paraId="2D046419" w14:textId="4A9D7385"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Fire &amp; Fry will initially operate as a sole trader and will require approximately £25,000 in start-up funding. This investment will be used to purchase and prepare the food truck, purchase equipment, obtain licences, buy initial stock and support marketing activities. Through effective financial management, sustainable practices and a differentiated customer offering, Fire &amp; Fry aims to achieve long-term growth and provide an attractive investment opportunity.</w:t>
      </w:r>
    </w:p>
    <w:p w14:paraId="0AC8A30A" w14:textId="77777777" w:rsidR="00ED0F6A" w:rsidRPr="00ED0F6A" w:rsidRDefault="00ED0F6A">
      <w:pPr>
        <w:rPr>
          <w:rFonts w:ascii="Arial" w:hAnsi="Arial" w:cs="Arial"/>
          <w:b/>
          <w:bCs/>
        </w:rPr>
      </w:pPr>
    </w:p>
    <w:p w14:paraId="220F6B60" w14:textId="77777777" w:rsidR="00ED0F6A" w:rsidRPr="00ED0F6A" w:rsidRDefault="00ED0F6A" w:rsidP="00ED0F6A">
      <w:pPr>
        <w:spacing w:before="100" w:beforeAutospacing="1" w:after="100" w:afterAutospacing="1" w:line="240" w:lineRule="auto"/>
        <w:outlineLvl w:val="0"/>
        <w:rPr>
          <w:rFonts w:ascii="Arial" w:eastAsia="Times New Roman" w:hAnsi="Arial" w:cs="Arial"/>
          <w:b/>
          <w:bCs/>
          <w:kern w:val="36"/>
          <w:lang w:eastAsia="en-GB"/>
          <w14:ligatures w14:val="none"/>
        </w:rPr>
      </w:pPr>
      <w:r w:rsidRPr="00ED0F6A">
        <w:rPr>
          <w:rFonts w:ascii="Arial" w:eastAsia="Times New Roman" w:hAnsi="Arial" w:cs="Arial"/>
          <w:b/>
          <w:bCs/>
          <w:kern w:val="36"/>
          <w:lang w:eastAsia="en-GB"/>
          <w14:ligatures w14:val="none"/>
        </w:rPr>
        <w:t>Overview of the Business Idea</w:t>
      </w:r>
    </w:p>
    <w:p w14:paraId="4497181E"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Fire &amp; Fry is a proposed mobile street food business that will operate from a fully equipped food truck. The aim is to provide freshly prepared chicken and beef-based meals to customers across London. The business will offer products including chicken wings, burgers, wraps, loaded fries, rice boxes, and grilled and fried chicken. All meals will be prepared fresh to order to maintain quality and customer satisfaction. Operating as a mobile business will allow Fire &amp; Fry to trade in high-footfall locations such as universities, festivals and commercial areas, allowing the business to respond effectively to customer demand (Kotler and Keller, 2022).</w:t>
      </w:r>
    </w:p>
    <w:p w14:paraId="7385135B"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The objective of Fire &amp; Fry is to establish a profitable and recognisable brand within London's street food market. In the future, the business aims to expand by introducing additional food trucks across London and eventually other major UK cities. This strategy will increase brand awareness, market share and long-term growth opportunities (Kotler and Keller, 2022).</w:t>
      </w:r>
    </w:p>
    <w:p w14:paraId="53448FCE"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Sustainability will be a key element of the business model. Fire &amp; Fry will source ingredients from local suppliers where possible, use recyclable packaging and implement procedures to reduce food waste. Any suitable surplus food will be donated to local community organisations. These practices demonstrate corporate social responsibility and the importance of environmental sustainability within modern businesses (Department for Environment, Food &amp; Rural Affairs, 2023).</w:t>
      </w:r>
    </w:p>
    <w:p w14:paraId="084DB485"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lastRenderedPageBreak/>
        <w:t>Fire &amp; Fry will initially operate as a sole trader business due to its simple setup, lower administrative requirements and ability for the owner to maintain full control over decision-making. Although this structure involves unlimited liability, it is appropriate due to the small scale of the proposed business (GOV.UK, 2025).</w:t>
      </w:r>
    </w:p>
    <w:p w14:paraId="28130E43"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As a food business operating within the UK, Fire &amp; Fry must comply with legal requirements including business registration, food safety legislation and hygiene standards. The business will also obtain insurance and ensure employees receive food hygiene training to protect customers and maintain trust in the brand (Food Standards Agency, 2024).</w:t>
      </w:r>
    </w:p>
    <w:p w14:paraId="4E94B5E8" w14:textId="2B3013D1" w:rsidR="00ED0F6A" w:rsidRPr="00ED0F6A" w:rsidRDefault="00ED0F6A" w:rsidP="00FB47F6">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Overall, Fire &amp; Fry aims to differentiate itself through quality food, sustainable practices and efficient service, supporting long-term growth and investor confidence.</w:t>
      </w:r>
    </w:p>
    <w:p w14:paraId="3A1357A1" w14:textId="77777777" w:rsidR="00ED0F6A" w:rsidRPr="00ED0F6A" w:rsidRDefault="00ED0F6A" w:rsidP="00ED0F6A">
      <w:pPr>
        <w:spacing w:before="100" w:beforeAutospacing="1" w:after="100" w:afterAutospacing="1" w:line="240" w:lineRule="auto"/>
        <w:outlineLvl w:val="0"/>
        <w:rPr>
          <w:rFonts w:ascii="Arial" w:eastAsia="Times New Roman" w:hAnsi="Arial" w:cs="Arial"/>
          <w:b/>
          <w:bCs/>
          <w:kern w:val="36"/>
          <w:lang w:eastAsia="en-GB"/>
          <w14:ligatures w14:val="none"/>
        </w:rPr>
      </w:pPr>
      <w:r w:rsidRPr="00ED0F6A">
        <w:rPr>
          <w:rFonts w:ascii="Arial" w:eastAsia="Times New Roman" w:hAnsi="Arial" w:cs="Arial"/>
          <w:b/>
          <w:bCs/>
          <w:kern w:val="36"/>
          <w:lang w:eastAsia="en-GB"/>
          <w14:ligatures w14:val="none"/>
        </w:rPr>
        <w:t>Market Research</w:t>
      </w:r>
    </w:p>
    <w:p w14:paraId="131586DF" w14:textId="77777777" w:rsidR="00ED0F6A" w:rsidRPr="00ED0F6A" w:rsidRDefault="00ED0F6A" w:rsidP="00ED0F6A">
      <w:pPr>
        <w:spacing w:before="100" w:beforeAutospacing="1" w:after="100" w:afterAutospacing="1" w:line="240" w:lineRule="auto"/>
        <w:outlineLvl w:val="1"/>
        <w:rPr>
          <w:rFonts w:ascii="Arial" w:eastAsia="Times New Roman" w:hAnsi="Arial" w:cs="Arial"/>
          <w:b/>
          <w:bCs/>
          <w:kern w:val="0"/>
          <w:lang w:eastAsia="en-GB"/>
          <w14:ligatures w14:val="none"/>
        </w:rPr>
      </w:pPr>
      <w:r w:rsidRPr="00ED0F6A">
        <w:rPr>
          <w:rFonts w:ascii="Arial" w:eastAsia="Times New Roman" w:hAnsi="Arial" w:cs="Arial"/>
          <w:b/>
          <w:bCs/>
          <w:kern w:val="0"/>
          <w:lang w:eastAsia="en-GB"/>
          <w14:ligatures w14:val="none"/>
        </w:rPr>
        <w:t>PESTEL Analysis</w:t>
      </w:r>
    </w:p>
    <w:p w14:paraId="3BE3C226"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A PESTEL analysis has been conducted to identify external factors that could influence Fire &amp; Fry’s performance and future growth.</w:t>
      </w:r>
    </w:p>
    <w:p w14:paraId="2B9BFAEE" w14:textId="77777777" w:rsidR="00ED0F6A" w:rsidRPr="00ED0F6A" w:rsidRDefault="00ED0F6A" w:rsidP="00ED0F6A">
      <w:pPr>
        <w:spacing w:before="100" w:beforeAutospacing="1" w:after="100" w:afterAutospacing="1" w:line="240" w:lineRule="auto"/>
        <w:outlineLvl w:val="2"/>
        <w:rPr>
          <w:rFonts w:ascii="Arial" w:eastAsia="Times New Roman" w:hAnsi="Arial" w:cs="Arial"/>
          <w:b/>
          <w:bCs/>
          <w:kern w:val="0"/>
          <w:lang w:eastAsia="en-GB"/>
          <w14:ligatures w14:val="none"/>
        </w:rPr>
      </w:pPr>
      <w:r w:rsidRPr="00ED0F6A">
        <w:rPr>
          <w:rFonts w:ascii="Arial" w:eastAsia="Times New Roman" w:hAnsi="Arial" w:cs="Arial"/>
          <w:b/>
          <w:bCs/>
          <w:kern w:val="0"/>
          <w:lang w:eastAsia="en-GB"/>
          <w14:ligatures w14:val="none"/>
        </w:rPr>
        <w:t>Political Factors</w:t>
      </w:r>
    </w:p>
    <w:p w14:paraId="19F64F1C"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Political factors may influence Fire &amp; Fry due to regulations affecting food businesses within the UK. The business must comply with food safety requirements, taxation policies and employment regulations. Although these create additional responsibilities, they help maintain customer confidence and safe business operations (Food Standards Agency, 2024).</w:t>
      </w:r>
    </w:p>
    <w:p w14:paraId="1945A610" w14:textId="77777777" w:rsidR="00ED0F6A" w:rsidRPr="00ED0F6A" w:rsidRDefault="00ED0F6A" w:rsidP="00ED0F6A">
      <w:pPr>
        <w:spacing w:before="100" w:beforeAutospacing="1" w:after="100" w:afterAutospacing="1" w:line="240" w:lineRule="auto"/>
        <w:outlineLvl w:val="2"/>
        <w:rPr>
          <w:rFonts w:ascii="Arial" w:eastAsia="Times New Roman" w:hAnsi="Arial" w:cs="Arial"/>
          <w:b/>
          <w:bCs/>
          <w:kern w:val="0"/>
          <w:lang w:eastAsia="en-GB"/>
          <w14:ligatures w14:val="none"/>
        </w:rPr>
      </w:pPr>
      <w:r w:rsidRPr="00ED0F6A">
        <w:rPr>
          <w:rFonts w:ascii="Arial" w:eastAsia="Times New Roman" w:hAnsi="Arial" w:cs="Arial"/>
          <w:b/>
          <w:bCs/>
          <w:kern w:val="0"/>
          <w:lang w:eastAsia="en-GB"/>
          <w14:ligatures w14:val="none"/>
        </w:rPr>
        <w:t>Economic Factors</w:t>
      </w:r>
    </w:p>
    <w:p w14:paraId="200072D4"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Economic conditions may affect Fire &amp; Fry through inflation, ingredient costs and consumer spending behaviour. Rising costs of food, packaging and energy may reduce profit margins. However, economic pressures may increase demand for affordable food options, allowing Fire &amp; Fry to attract customers seeking value for money (Office for National Statistics, 2024).</w:t>
      </w:r>
    </w:p>
    <w:p w14:paraId="4C41FFA3" w14:textId="77777777" w:rsidR="00ED0F6A" w:rsidRPr="00ED0F6A" w:rsidRDefault="00ED0F6A" w:rsidP="00ED0F6A">
      <w:pPr>
        <w:spacing w:before="100" w:beforeAutospacing="1" w:after="100" w:afterAutospacing="1" w:line="240" w:lineRule="auto"/>
        <w:outlineLvl w:val="2"/>
        <w:rPr>
          <w:rFonts w:ascii="Arial" w:eastAsia="Times New Roman" w:hAnsi="Arial" w:cs="Arial"/>
          <w:b/>
          <w:bCs/>
          <w:kern w:val="0"/>
          <w:lang w:eastAsia="en-GB"/>
          <w14:ligatures w14:val="none"/>
        </w:rPr>
      </w:pPr>
      <w:r w:rsidRPr="00ED0F6A">
        <w:rPr>
          <w:rFonts w:ascii="Arial" w:eastAsia="Times New Roman" w:hAnsi="Arial" w:cs="Arial"/>
          <w:b/>
          <w:bCs/>
          <w:kern w:val="0"/>
          <w:lang w:eastAsia="en-GB"/>
          <w14:ligatures w14:val="none"/>
        </w:rPr>
        <w:t>Social Factors</w:t>
      </w:r>
    </w:p>
    <w:p w14:paraId="1AF8FB24"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Social trends create opportunities for Fire &amp; Fry as customers increasingly demand convenient and high-quality food options. The popularity of street food markets and food-related social media content provides opportunities for brand growth. Fire &amp; Fry will target students, young professionals and event visitors by offering fresh meals and varied menu options (Kotler and Keller, 2022).</w:t>
      </w:r>
    </w:p>
    <w:p w14:paraId="5CC74F45" w14:textId="77777777" w:rsidR="00ED0F6A" w:rsidRPr="00ED0F6A" w:rsidRDefault="00ED0F6A" w:rsidP="00ED0F6A">
      <w:pPr>
        <w:spacing w:before="100" w:beforeAutospacing="1" w:after="100" w:afterAutospacing="1" w:line="240" w:lineRule="auto"/>
        <w:outlineLvl w:val="2"/>
        <w:rPr>
          <w:rFonts w:ascii="Arial" w:eastAsia="Times New Roman" w:hAnsi="Arial" w:cs="Arial"/>
          <w:b/>
          <w:bCs/>
          <w:kern w:val="0"/>
          <w:lang w:eastAsia="en-GB"/>
          <w14:ligatures w14:val="none"/>
        </w:rPr>
      </w:pPr>
      <w:r w:rsidRPr="00ED0F6A">
        <w:rPr>
          <w:rFonts w:ascii="Arial" w:eastAsia="Times New Roman" w:hAnsi="Arial" w:cs="Arial"/>
          <w:b/>
          <w:bCs/>
          <w:kern w:val="0"/>
          <w:lang w:eastAsia="en-GB"/>
          <w14:ligatures w14:val="none"/>
        </w:rPr>
        <w:t>Technological Factors</w:t>
      </w:r>
    </w:p>
    <w:p w14:paraId="6538F6EF"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 xml:space="preserve">Technology will support Fire &amp; Fry’s operations and marketing strategy. Social media platforms such as Instagram and TikTok will be used to promote products and </w:t>
      </w:r>
      <w:r w:rsidRPr="00ED0F6A">
        <w:rPr>
          <w:rFonts w:ascii="Arial" w:eastAsia="Times New Roman" w:hAnsi="Arial" w:cs="Arial"/>
          <w:kern w:val="0"/>
          <w:lang w:eastAsia="en-GB"/>
          <w14:ligatures w14:val="none"/>
        </w:rPr>
        <w:lastRenderedPageBreak/>
        <w:t>engage with customers. Contactless payments and online ordering systems will also improve customer convenience.</w:t>
      </w:r>
    </w:p>
    <w:p w14:paraId="55662C1A" w14:textId="77777777" w:rsidR="00ED0F6A" w:rsidRPr="00ED0F6A" w:rsidRDefault="00ED0F6A" w:rsidP="00ED0F6A">
      <w:pPr>
        <w:spacing w:before="100" w:beforeAutospacing="1" w:after="100" w:afterAutospacing="1" w:line="240" w:lineRule="auto"/>
        <w:outlineLvl w:val="2"/>
        <w:rPr>
          <w:rFonts w:ascii="Arial" w:eastAsia="Times New Roman" w:hAnsi="Arial" w:cs="Arial"/>
          <w:b/>
          <w:bCs/>
          <w:kern w:val="0"/>
          <w:lang w:eastAsia="en-GB"/>
          <w14:ligatures w14:val="none"/>
        </w:rPr>
      </w:pPr>
      <w:r w:rsidRPr="00ED0F6A">
        <w:rPr>
          <w:rFonts w:ascii="Arial" w:eastAsia="Times New Roman" w:hAnsi="Arial" w:cs="Arial"/>
          <w:b/>
          <w:bCs/>
          <w:kern w:val="0"/>
          <w:lang w:eastAsia="en-GB"/>
          <w14:ligatures w14:val="none"/>
        </w:rPr>
        <w:t>Environmental Factors</w:t>
      </w:r>
    </w:p>
    <w:p w14:paraId="4BB6D642"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Environmental concerns are becoming increasingly important for businesses and consumers. Fire &amp; Fry will reduce its environmental impact through recyclable packaging, local sourcing and food waste reduction procedures. These actions support corporate social responsibility objectives (Department for Environment, Food &amp; Rural Affairs, 2023).</w:t>
      </w:r>
    </w:p>
    <w:p w14:paraId="404682A2" w14:textId="77777777" w:rsidR="00ED0F6A" w:rsidRPr="00ED0F6A" w:rsidRDefault="00ED0F6A" w:rsidP="00ED0F6A">
      <w:pPr>
        <w:spacing w:before="100" w:beforeAutospacing="1" w:after="100" w:afterAutospacing="1" w:line="240" w:lineRule="auto"/>
        <w:outlineLvl w:val="2"/>
        <w:rPr>
          <w:rFonts w:ascii="Arial" w:eastAsia="Times New Roman" w:hAnsi="Arial" w:cs="Arial"/>
          <w:b/>
          <w:bCs/>
          <w:kern w:val="0"/>
          <w:lang w:eastAsia="en-GB"/>
          <w14:ligatures w14:val="none"/>
        </w:rPr>
      </w:pPr>
      <w:r w:rsidRPr="00ED0F6A">
        <w:rPr>
          <w:rFonts w:ascii="Arial" w:eastAsia="Times New Roman" w:hAnsi="Arial" w:cs="Arial"/>
          <w:b/>
          <w:bCs/>
          <w:kern w:val="0"/>
          <w:lang w:eastAsia="en-GB"/>
          <w14:ligatures w14:val="none"/>
        </w:rPr>
        <w:t>Legal Factors</w:t>
      </w:r>
    </w:p>
    <w:p w14:paraId="6C0E66D4"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Fire &amp; Fry must comply with food safety legislation, hygiene standards, employee training requirements and insurance obligations. Meeting these requirements will protect customers, employees and the reputation of the business (Food Standards Agency, 2024).</w:t>
      </w:r>
    </w:p>
    <w:p w14:paraId="7F8BB505" w14:textId="77777777" w:rsidR="00ED0F6A" w:rsidRPr="00ED0F6A" w:rsidRDefault="00ED0F6A" w:rsidP="00ED0F6A">
      <w:pPr>
        <w:spacing w:before="100" w:beforeAutospacing="1" w:after="100" w:afterAutospacing="1" w:line="240" w:lineRule="auto"/>
        <w:outlineLvl w:val="1"/>
        <w:rPr>
          <w:rFonts w:ascii="Arial" w:eastAsia="Times New Roman" w:hAnsi="Arial" w:cs="Arial"/>
          <w:b/>
          <w:bCs/>
          <w:kern w:val="0"/>
          <w:lang w:eastAsia="en-GB"/>
          <w14:ligatures w14:val="none"/>
        </w:rPr>
      </w:pPr>
      <w:r w:rsidRPr="00ED0F6A">
        <w:rPr>
          <w:rFonts w:ascii="Arial" w:eastAsia="Times New Roman" w:hAnsi="Arial" w:cs="Arial"/>
          <w:b/>
          <w:bCs/>
          <w:kern w:val="0"/>
          <w:lang w:eastAsia="en-GB"/>
          <w14:ligatures w14:val="none"/>
        </w:rPr>
        <w:t>Competitor Analysis</w:t>
      </w:r>
    </w:p>
    <w:p w14:paraId="2DAC7123"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Fire &amp; Fry will operate in a competitive market consisting of large fast-food chains, independent takeaways and street food businesses. Competitors such as KFC and McDonald’s benefit from strong brand recognition and customer loyalty. However, their standardised menus provide an opportunity for Fire &amp; Fry to offer a more personalised experience.</w:t>
      </w:r>
    </w:p>
    <w:p w14:paraId="16F4B9DA" w14:textId="5E6F2109" w:rsidR="00ED0F6A" w:rsidRPr="00ED0F6A" w:rsidRDefault="00ED0F6A" w:rsidP="000E4F06">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Fire &amp; Fry will create competitive advantage through freshly prepared meals, quality ingredients, sustainability and customer service. Rather than competing only on price, the business will position itself as a higher-quality street food alternative (Kotler and Keller, 2022).</w:t>
      </w:r>
    </w:p>
    <w:p w14:paraId="458AA79A" w14:textId="77777777" w:rsidR="00ED0F6A" w:rsidRPr="00ED0F6A" w:rsidRDefault="00ED0F6A" w:rsidP="00ED0F6A">
      <w:pPr>
        <w:spacing w:before="100" w:beforeAutospacing="1" w:after="100" w:afterAutospacing="1" w:line="240" w:lineRule="auto"/>
        <w:outlineLvl w:val="0"/>
        <w:rPr>
          <w:rFonts w:ascii="Arial" w:eastAsia="Times New Roman" w:hAnsi="Arial" w:cs="Arial"/>
          <w:b/>
          <w:bCs/>
          <w:kern w:val="36"/>
          <w:lang w:eastAsia="en-GB"/>
          <w14:ligatures w14:val="none"/>
        </w:rPr>
      </w:pPr>
      <w:r w:rsidRPr="00ED0F6A">
        <w:rPr>
          <w:rFonts w:ascii="Arial" w:eastAsia="Times New Roman" w:hAnsi="Arial" w:cs="Arial"/>
          <w:b/>
          <w:bCs/>
          <w:kern w:val="36"/>
          <w:lang w:eastAsia="en-GB"/>
          <w14:ligatures w14:val="none"/>
        </w:rPr>
        <w:t>Marketing Communications</w:t>
      </w:r>
    </w:p>
    <w:p w14:paraId="734C9CC1"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Marketing communications will be important for building awareness of Fire &amp; Fry and attracting customers. The business will use digital marketing, promotional activities and customer engagement strategies to reach students, young professionals, families and event visitors.</w:t>
      </w:r>
    </w:p>
    <w:p w14:paraId="5D2681D6"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Fire &amp; Fry will use platforms such as Instagram and TikTok to promote products, share food content and develop brand recognition. Customer reviews, preparation videos and promotional offers will encourage engagement and increase visibility. A strong online presence will help Fire &amp; Fry compete with larger businesses that already use established marketing channels (Kotler and Keller, 2022).</w:t>
      </w:r>
    </w:p>
    <w:p w14:paraId="294FD3F9"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 xml:space="preserve">The business will also introduce promotional methods such as student discounts, loyalty schemes and </w:t>
      </w:r>
      <w:proofErr w:type="gramStart"/>
      <w:r w:rsidRPr="00ED0F6A">
        <w:rPr>
          <w:rFonts w:ascii="Arial" w:eastAsia="Times New Roman" w:hAnsi="Arial" w:cs="Arial"/>
          <w:kern w:val="0"/>
          <w:lang w:eastAsia="en-GB"/>
          <w14:ligatures w14:val="none"/>
        </w:rPr>
        <w:t>limited-time</w:t>
      </w:r>
      <w:proofErr w:type="gramEnd"/>
      <w:r w:rsidRPr="00ED0F6A">
        <w:rPr>
          <w:rFonts w:ascii="Arial" w:eastAsia="Times New Roman" w:hAnsi="Arial" w:cs="Arial"/>
          <w:kern w:val="0"/>
          <w:lang w:eastAsia="en-GB"/>
          <w14:ligatures w14:val="none"/>
        </w:rPr>
        <w:t xml:space="preserve"> offers to encourage repeat purchases. Trading in high-footfall locations such as universities, festivals and business districts will further increase exposure and customer reach.</w:t>
      </w:r>
    </w:p>
    <w:p w14:paraId="3688EA3E" w14:textId="5CE79722" w:rsidR="00ED0F6A" w:rsidRPr="00ED0F6A" w:rsidRDefault="00ED0F6A" w:rsidP="000E4F06">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lastRenderedPageBreak/>
        <w:t>Overall, Fire &amp; Fry’s marketing strategy will focus on building brand awareness and creating a competitive position through quality food, sustainability and customer engagement.</w:t>
      </w:r>
    </w:p>
    <w:p w14:paraId="3D8F2D68" w14:textId="77777777" w:rsidR="00ED0F6A" w:rsidRPr="00ED0F6A" w:rsidRDefault="00ED0F6A" w:rsidP="00ED0F6A">
      <w:pPr>
        <w:spacing w:before="100" w:beforeAutospacing="1" w:after="100" w:afterAutospacing="1" w:line="240" w:lineRule="auto"/>
        <w:outlineLvl w:val="0"/>
        <w:rPr>
          <w:rFonts w:ascii="Arial" w:eastAsia="Times New Roman" w:hAnsi="Arial" w:cs="Arial"/>
          <w:b/>
          <w:bCs/>
          <w:kern w:val="36"/>
          <w:lang w:eastAsia="en-GB"/>
          <w14:ligatures w14:val="none"/>
        </w:rPr>
      </w:pPr>
      <w:r w:rsidRPr="00ED0F6A">
        <w:rPr>
          <w:rFonts w:ascii="Arial" w:eastAsia="Times New Roman" w:hAnsi="Arial" w:cs="Arial"/>
          <w:b/>
          <w:bCs/>
          <w:kern w:val="36"/>
          <w:lang w:eastAsia="en-GB"/>
          <w14:ligatures w14:val="none"/>
        </w:rPr>
        <w:t>Financials</w:t>
      </w:r>
    </w:p>
    <w:p w14:paraId="38CDC34D" w14:textId="77777777" w:rsidR="00ED0F6A" w:rsidRPr="00ED0F6A" w:rsidRDefault="00ED0F6A" w:rsidP="00ED0F6A">
      <w:pPr>
        <w:spacing w:before="100" w:beforeAutospacing="1" w:after="100" w:afterAutospacing="1" w:line="240" w:lineRule="auto"/>
        <w:outlineLvl w:val="1"/>
        <w:rPr>
          <w:rFonts w:ascii="Arial" w:eastAsia="Times New Roman" w:hAnsi="Arial" w:cs="Arial"/>
          <w:b/>
          <w:bCs/>
          <w:kern w:val="0"/>
          <w:lang w:eastAsia="en-GB"/>
          <w14:ligatures w14:val="none"/>
        </w:rPr>
      </w:pPr>
      <w:r w:rsidRPr="00ED0F6A">
        <w:rPr>
          <w:rFonts w:ascii="Arial" w:eastAsia="Times New Roman" w:hAnsi="Arial" w:cs="Arial"/>
          <w:b/>
          <w:bCs/>
          <w:kern w:val="0"/>
          <w:lang w:eastAsia="en-GB"/>
          <w14:ligatures w14:val="none"/>
        </w:rPr>
        <w:t>Funding Requirements and Sources</w:t>
      </w:r>
    </w:p>
    <w:p w14:paraId="48CA369E"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Fire &amp; Fry will require approximately £25,000 in start-up funding. This will cover costs including purchasing the food truck, equipment, licences, initial stock and marketing activities.</w:t>
      </w:r>
    </w:p>
    <w:p w14:paraId="109E167B"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Funding will come from a combination of investor funding and personal savings. Investor funding will provide the necessary capital without creating immediate repayment pressures associated with business loans, while personal savings demonstrate commitment to the business. Effective financial planning is important for improving the chances of long-term business survival (Burns, 2022).</w:t>
      </w:r>
    </w:p>
    <w:p w14:paraId="1BD12050" w14:textId="77777777" w:rsidR="00ED0F6A" w:rsidRPr="00ED0F6A" w:rsidRDefault="00ED0F6A" w:rsidP="00ED0F6A">
      <w:pPr>
        <w:spacing w:before="100" w:beforeAutospacing="1" w:after="100" w:afterAutospacing="1" w:line="240" w:lineRule="auto"/>
        <w:outlineLvl w:val="1"/>
        <w:rPr>
          <w:rFonts w:ascii="Arial" w:eastAsia="Times New Roman" w:hAnsi="Arial" w:cs="Arial"/>
          <w:b/>
          <w:bCs/>
          <w:kern w:val="0"/>
          <w:lang w:eastAsia="en-GB"/>
          <w14:ligatures w14:val="none"/>
        </w:rPr>
      </w:pPr>
      <w:r w:rsidRPr="00ED0F6A">
        <w:rPr>
          <w:rFonts w:ascii="Arial" w:eastAsia="Times New Roman" w:hAnsi="Arial" w:cs="Arial"/>
          <w:b/>
          <w:bCs/>
          <w:kern w:val="0"/>
          <w:lang w:eastAsia="en-GB"/>
          <w14:ligatures w14:val="none"/>
        </w:rPr>
        <w:t>Initial Startup Expenses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17"/>
        <w:gridCol w:w="1823"/>
      </w:tblGrid>
      <w:tr w:rsidR="00ED0F6A" w:rsidRPr="00ED0F6A" w14:paraId="36C684CF" w14:textId="77777777">
        <w:trPr>
          <w:tblHeader/>
          <w:tblCellSpacing w:w="15" w:type="dxa"/>
        </w:trPr>
        <w:tc>
          <w:tcPr>
            <w:tcW w:w="0" w:type="auto"/>
            <w:vAlign w:val="center"/>
            <w:hideMark/>
          </w:tcPr>
          <w:p w14:paraId="40D1564F" w14:textId="77777777" w:rsidR="00ED0F6A" w:rsidRPr="00ED0F6A" w:rsidRDefault="00ED0F6A" w:rsidP="00ED0F6A">
            <w:pPr>
              <w:spacing w:after="0" w:line="240" w:lineRule="auto"/>
              <w:jc w:val="center"/>
              <w:rPr>
                <w:rFonts w:ascii="Arial" w:eastAsia="Times New Roman" w:hAnsi="Arial" w:cs="Arial"/>
                <w:b/>
                <w:bCs/>
                <w:kern w:val="0"/>
                <w:lang w:eastAsia="en-GB"/>
                <w14:ligatures w14:val="none"/>
              </w:rPr>
            </w:pPr>
            <w:r w:rsidRPr="00ED0F6A">
              <w:rPr>
                <w:rFonts w:ascii="Arial" w:eastAsia="Times New Roman" w:hAnsi="Arial" w:cs="Arial"/>
                <w:b/>
                <w:bCs/>
                <w:kern w:val="0"/>
                <w:lang w:eastAsia="en-GB"/>
                <w14:ligatures w14:val="none"/>
              </w:rPr>
              <w:t>Startup Expense</w:t>
            </w:r>
          </w:p>
        </w:tc>
        <w:tc>
          <w:tcPr>
            <w:tcW w:w="0" w:type="auto"/>
            <w:vAlign w:val="center"/>
            <w:hideMark/>
          </w:tcPr>
          <w:p w14:paraId="39E8E5D9" w14:textId="77777777" w:rsidR="00ED0F6A" w:rsidRPr="00ED0F6A" w:rsidRDefault="00ED0F6A" w:rsidP="00ED0F6A">
            <w:pPr>
              <w:spacing w:after="0" w:line="240" w:lineRule="auto"/>
              <w:jc w:val="center"/>
              <w:rPr>
                <w:rFonts w:ascii="Arial" w:eastAsia="Times New Roman" w:hAnsi="Arial" w:cs="Arial"/>
                <w:b/>
                <w:bCs/>
                <w:kern w:val="0"/>
                <w:lang w:eastAsia="en-GB"/>
                <w14:ligatures w14:val="none"/>
              </w:rPr>
            </w:pPr>
            <w:r w:rsidRPr="00ED0F6A">
              <w:rPr>
                <w:rFonts w:ascii="Arial" w:eastAsia="Times New Roman" w:hAnsi="Arial" w:cs="Arial"/>
                <w:b/>
                <w:bCs/>
                <w:kern w:val="0"/>
                <w:lang w:eastAsia="en-GB"/>
                <w14:ligatures w14:val="none"/>
              </w:rPr>
              <w:t>Estimated Cost</w:t>
            </w:r>
          </w:p>
        </w:tc>
      </w:tr>
      <w:tr w:rsidR="00ED0F6A" w:rsidRPr="00ED0F6A" w14:paraId="24D6FC8F" w14:textId="77777777">
        <w:trPr>
          <w:tblCellSpacing w:w="15" w:type="dxa"/>
        </w:trPr>
        <w:tc>
          <w:tcPr>
            <w:tcW w:w="0" w:type="auto"/>
            <w:vAlign w:val="center"/>
            <w:hideMark/>
          </w:tcPr>
          <w:p w14:paraId="78E1BDE8" w14:textId="77777777" w:rsidR="00ED0F6A" w:rsidRPr="00ED0F6A" w:rsidRDefault="00ED0F6A" w:rsidP="00ED0F6A">
            <w:pPr>
              <w:spacing w:after="0"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Food truck and modifications</w:t>
            </w:r>
          </w:p>
        </w:tc>
        <w:tc>
          <w:tcPr>
            <w:tcW w:w="0" w:type="auto"/>
            <w:vAlign w:val="center"/>
            <w:hideMark/>
          </w:tcPr>
          <w:p w14:paraId="073F5CC7" w14:textId="77777777" w:rsidR="00ED0F6A" w:rsidRPr="00ED0F6A" w:rsidRDefault="00ED0F6A" w:rsidP="00ED0F6A">
            <w:pPr>
              <w:spacing w:after="0"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£12,000</w:t>
            </w:r>
          </w:p>
        </w:tc>
      </w:tr>
      <w:tr w:rsidR="00ED0F6A" w:rsidRPr="00ED0F6A" w14:paraId="578DF9A5" w14:textId="77777777">
        <w:trPr>
          <w:tblCellSpacing w:w="15" w:type="dxa"/>
        </w:trPr>
        <w:tc>
          <w:tcPr>
            <w:tcW w:w="0" w:type="auto"/>
            <w:vAlign w:val="center"/>
            <w:hideMark/>
          </w:tcPr>
          <w:p w14:paraId="66A3D19D" w14:textId="77777777" w:rsidR="00ED0F6A" w:rsidRPr="00ED0F6A" w:rsidRDefault="00ED0F6A" w:rsidP="00ED0F6A">
            <w:pPr>
              <w:spacing w:after="0"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Cooking equipment</w:t>
            </w:r>
          </w:p>
        </w:tc>
        <w:tc>
          <w:tcPr>
            <w:tcW w:w="0" w:type="auto"/>
            <w:vAlign w:val="center"/>
            <w:hideMark/>
          </w:tcPr>
          <w:p w14:paraId="35AD61CE" w14:textId="77777777" w:rsidR="00ED0F6A" w:rsidRPr="00ED0F6A" w:rsidRDefault="00ED0F6A" w:rsidP="00ED0F6A">
            <w:pPr>
              <w:spacing w:after="0"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£5,000</w:t>
            </w:r>
          </w:p>
        </w:tc>
      </w:tr>
      <w:tr w:rsidR="00ED0F6A" w:rsidRPr="00ED0F6A" w14:paraId="3C45CAE0" w14:textId="77777777">
        <w:trPr>
          <w:tblCellSpacing w:w="15" w:type="dxa"/>
        </w:trPr>
        <w:tc>
          <w:tcPr>
            <w:tcW w:w="0" w:type="auto"/>
            <w:vAlign w:val="center"/>
            <w:hideMark/>
          </w:tcPr>
          <w:p w14:paraId="7CAF18A9" w14:textId="77777777" w:rsidR="00ED0F6A" w:rsidRPr="00ED0F6A" w:rsidRDefault="00ED0F6A" w:rsidP="00ED0F6A">
            <w:pPr>
              <w:spacing w:after="0"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Initial food stock and ingredients</w:t>
            </w:r>
          </w:p>
        </w:tc>
        <w:tc>
          <w:tcPr>
            <w:tcW w:w="0" w:type="auto"/>
            <w:vAlign w:val="center"/>
            <w:hideMark/>
          </w:tcPr>
          <w:p w14:paraId="645216E9" w14:textId="77777777" w:rsidR="00ED0F6A" w:rsidRPr="00ED0F6A" w:rsidRDefault="00ED0F6A" w:rsidP="00ED0F6A">
            <w:pPr>
              <w:spacing w:after="0"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£1,500</w:t>
            </w:r>
          </w:p>
        </w:tc>
      </w:tr>
      <w:tr w:rsidR="00ED0F6A" w:rsidRPr="00ED0F6A" w14:paraId="1111FEBC" w14:textId="77777777">
        <w:trPr>
          <w:tblCellSpacing w:w="15" w:type="dxa"/>
        </w:trPr>
        <w:tc>
          <w:tcPr>
            <w:tcW w:w="0" w:type="auto"/>
            <w:vAlign w:val="center"/>
            <w:hideMark/>
          </w:tcPr>
          <w:p w14:paraId="5C84D23C" w14:textId="77777777" w:rsidR="00ED0F6A" w:rsidRPr="00ED0F6A" w:rsidRDefault="00ED0F6A" w:rsidP="00ED0F6A">
            <w:pPr>
              <w:spacing w:after="0"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Licences, insurance and permits</w:t>
            </w:r>
          </w:p>
        </w:tc>
        <w:tc>
          <w:tcPr>
            <w:tcW w:w="0" w:type="auto"/>
            <w:vAlign w:val="center"/>
            <w:hideMark/>
          </w:tcPr>
          <w:p w14:paraId="6E821FFC" w14:textId="77777777" w:rsidR="00ED0F6A" w:rsidRPr="00ED0F6A" w:rsidRDefault="00ED0F6A" w:rsidP="00ED0F6A">
            <w:pPr>
              <w:spacing w:after="0"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£1,000</w:t>
            </w:r>
          </w:p>
        </w:tc>
      </w:tr>
      <w:tr w:rsidR="00ED0F6A" w:rsidRPr="00ED0F6A" w14:paraId="7027D7CD" w14:textId="77777777">
        <w:trPr>
          <w:tblCellSpacing w:w="15" w:type="dxa"/>
        </w:trPr>
        <w:tc>
          <w:tcPr>
            <w:tcW w:w="0" w:type="auto"/>
            <w:vAlign w:val="center"/>
            <w:hideMark/>
          </w:tcPr>
          <w:p w14:paraId="7A663342" w14:textId="77777777" w:rsidR="00ED0F6A" w:rsidRPr="00ED0F6A" w:rsidRDefault="00ED0F6A" w:rsidP="00ED0F6A">
            <w:pPr>
              <w:spacing w:after="0"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Marketing and branding</w:t>
            </w:r>
          </w:p>
        </w:tc>
        <w:tc>
          <w:tcPr>
            <w:tcW w:w="0" w:type="auto"/>
            <w:vAlign w:val="center"/>
            <w:hideMark/>
          </w:tcPr>
          <w:p w14:paraId="3DC95753" w14:textId="77777777" w:rsidR="00ED0F6A" w:rsidRPr="00ED0F6A" w:rsidRDefault="00ED0F6A" w:rsidP="00ED0F6A">
            <w:pPr>
              <w:spacing w:after="0"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£1,000</w:t>
            </w:r>
          </w:p>
        </w:tc>
      </w:tr>
      <w:tr w:rsidR="00ED0F6A" w:rsidRPr="00ED0F6A" w14:paraId="12C3C09E" w14:textId="77777777">
        <w:trPr>
          <w:tblCellSpacing w:w="15" w:type="dxa"/>
        </w:trPr>
        <w:tc>
          <w:tcPr>
            <w:tcW w:w="0" w:type="auto"/>
            <w:vAlign w:val="center"/>
            <w:hideMark/>
          </w:tcPr>
          <w:p w14:paraId="438ECCB5" w14:textId="77777777" w:rsidR="00ED0F6A" w:rsidRPr="00ED0F6A" w:rsidRDefault="00ED0F6A" w:rsidP="00ED0F6A">
            <w:pPr>
              <w:spacing w:after="0"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Packaging materials</w:t>
            </w:r>
          </w:p>
        </w:tc>
        <w:tc>
          <w:tcPr>
            <w:tcW w:w="0" w:type="auto"/>
            <w:vAlign w:val="center"/>
            <w:hideMark/>
          </w:tcPr>
          <w:p w14:paraId="585011B2" w14:textId="77777777" w:rsidR="00ED0F6A" w:rsidRPr="00ED0F6A" w:rsidRDefault="00ED0F6A" w:rsidP="00ED0F6A">
            <w:pPr>
              <w:spacing w:after="0"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£500</w:t>
            </w:r>
          </w:p>
        </w:tc>
      </w:tr>
      <w:tr w:rsidR="00ED0F6A" w:rsidRPr="00ED0F6A" w14:paraId="58BA589A" w14:textId="77777777">
        <w:trPr>
          <w:tblCellSpacing w:w="15" w:type="dxa"/>
        </w:trPr>
        <w:tc>
          <w:tcPr>
            <w:tcW w:w="0" w:type="auto"/>
            <w:vAlign w:val="center"/>
            <w:hideMark/>
          </w:tcPr>
          <w:p w14:paraId="7AC136E6" w14:textId="77777777" w:rsidR="00ED0F6A" w:rsidRPr="00ED0F6A" w:rsidRDefault="00ED0F6A" w:rsidP="00ED0F6A">
            <w:pPr>
              <w:spacing w:after="0"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Working capital reserve</w:t>
            </w:r>
          </w:p>
        </w:tc>
        <w:tc>
          <w:tcPr>
            <w:tcW w:w="0" w:type="auto"/>
            <w:vAlign w:val="center"/>
            <w:hideMark/>
          </w:tcPr>
          <w:p w14:paraId="61641D06" w14:textId="77777777" w:rsidR="00ED0F6A" w:rsidRPr="00ED0F6A" w:rsidRDefault="00ED0F6A" w:rsidP="00ED0F6A">
            <w:pPr>
              <w:spacing w:after="0"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£4,000</w:t>
            </w:r>
          </w:p>
        </w:tc>
      </w:tr>
      <w:tr w:rsidR="00ED0F6A" w:rsidRPr="00ED0F6A" w14:paraId="33FCBAF3" w14:textId="77777777">
        <w:trPr>
          <w:tblCellSpacing w:w="15" w:type="dxa"/>
        </w:trPr>
        <w:tc>
          <w:tcPr>
            <w:tcW w:w="0" w:type="auto"/>
            <w:vAlign w:val="center"/>
            <w:hideMark/>
          </w:tcPr>
          <w:p w14:paraId="7FE5FB96" w14:textId="77777777" w:rsidR="00ED0F6A" w:rsidRPr="00ED0F6A" w:rsidRDefault="00ED0F6A" w:rsidP="00ED0F6A">
            <w:pPr>
              <w:spacing w:after="0" w:line="240" w:lineRule="auto"/>
              <w:rPr>
                <w:rFonts w:ascii="Arial" w:eastAsia="Times New Roman" w:hAnsi="Arial" w:cs="Arial"/>
                <w:kern w:val="0"/>
                <w:lang w:eastAsia="en-GB"/>
                <w14:ligatures w14:val="none"/>
              </w:rPr>
            </w:pPr>
            <w:r w:rsidRPr="00ED0F6A">
              <w:rPr>
                <w:rFonts w:ascii="Arial" w:eastAsia="Times New Roman" w:hAnsi="Arial" w:cs="Arial"/>
                <w:b/>
                <w:bCs/>
                <w:kern w:val="0"/>
                <w:lang w:eastAsia="en-GB"/>
                <w14:ligatures w14:val="none"/>
              </w:rPr>
              <w:t>Total</w:t>
            </w:r>
          </w:p>
        </w:tc>
        <w:tc>
          <w:tcPr>
            <w:tcW w:w="0" w:type="auto"/>
            <w:vAlign w:val="center"/>
            <w:hideMark/>
          </w:tcPr>
          <w:p w14:paraId="34F19C0F" w14:textId="77777777" w:rsidR="00ED0F6A" w:rsidRPr="00ED0F6A" w:rsidRDefault="00ED0F6A" w:rsidP="00ED0F6A">
            <w:pPr>
              <w:spacing w:after="0" w:line="240" w:lineRule="auto"/>
              <w:rPr>
                <w:rFonts w:ascii="Arial" w:eastAsia="Times New Roman" w:hAnsi="Arial" w:cs="Arial"/>
                <w:kern w:val="0"/>
                <w:lang w:eastAsia="en-GB"/>
                <w14:ligatures w14:val="none"/>
              </w:rPr>
            </w:pPr>
            <w:r w:rsidRPr="00ED0F6A">
              <w:rPr>
                <w:rFonts w:ascii="Arial" w:eastAsia="Times New Roman" w:hAnsi="Arial" w:cs="Arial"/>
                <w:b/>
                <w:bCs/>
                <w:kern w:val="0"/>
                <w:lang w:eastAsia="en-GB"/>
                <w14:ligatures w14:val="none"/>
              </w:rPr>
              <w:t>£25,000</w:t>
            </w:r>
          </w:p>
        </w:tc>
      </w:tr>
    </w:tbl>
    <w:p w14:paraId="019CCB68"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The largest expense will be the food truck as it is essential to the business model. Working capital will allow Fire &amp; Fry to manage operating costs such as stock purchases, fuel and unexpected expenses during the early stages of trading.</w:t>
      </w:r>
    </w:p>
    <w:p w14:paraId="77340110"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Overall, the financial plan provides Fire &amp; Fry with the funding required to launch successfully while maintaining financial stability and supporting future expansion.</w:t>
      </w:r>
    </w:p>
    <w:p w14:paraId="41D26D03"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p>
    <w:p w14:paraId="23F6ACEA" w14:textId="77777777" w:rsidR="00ED0F6A" w:rsidRPr="00ED0F6A" w:rsidRDefault="00ED0F6A" w:rsidP="00ED0F6A">
      <w:pPr>
        <w:spacing w:before="100" w:beforeAutospacing="1" w:after="100" w:afterAutospacing="1" w:line="240" w:lineRule="auto"/>
        <w:outlineLvl w:val="0"/>
        <w:rPr>
          <w:rFonts w:ascii="Arial" w:eastAsia="Times New Roman" w:hAnsi="Arial" w:cs="Arial"/>
          <w:b/>
          <w:bCs/>
          <w:kern w:val="36"/>
          <w:lang w:eastAsia="en-GB"/>
          <w14:ligatures w14:val="none"/>
        </w:rPr>
      </w:pPr>
      <w:r w:rsidRPr="00ED0F6A">
        <w:rPr>
          <w:rFonts w:ascii="Arial" w:eastAsia="Times New Roman" w:hAnsi="Arial" w:cs="Arial"/>
          <w:b/>
          <w:bCs/>
          <w:kern w:val="36"/>
          <w:lang w:eastAsia="en-GB"/>
          <w14:ligatures w14:val="none"/>
        </w:rPr>
        <w:t>Reference List</w:t>
      </w:r>
    </w:p>
    <w:p w14:paraId="49545251"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 xml:space="preserve">Burns, P. (2022) </w:t>
      </w:r>
      <w:r w:rsidRPr="00ED0F6A">
        <w:rPr>
          <w:rFonts w:ascii="Arial" w:eastAsia="Times New Roman" w:hAnsi="Arial" w:cs="Arial"/>
          <w:i/>
          <w:iCs/>
          <w:kern w:val="0"/>
          <w:lang w:eastAsia="en-GB"/>
          <w14:ligatures w14:val="none"/>
        </w:rPr>
        <w:t>Entrepreneurship and Small Business: Start-up, Growth and Maturity</w:t>
      </w:r>
      <w:r w:rsidRPr="00ED0F6A">
        <w:rPr>
          <w:rFonts w:ascii="Arial" w:eastAsia="Times New Roman" w:hAnsi="Arial" w:cs="Arial"/>
          <w:kern w:val="0"/>
          <w:lang w:eastAsia="en-GB"/>
          <w14:ligatures w14:val="none"/>
        </w:rPr>
        <w:t xml:space="preserve">. 5th </w:t>
      </w:r>
      <w:proofErr w:type="spellStart"/>
      <w:r w:rsidRPr="00ED0F6A">
        <w:rPr>
          <w:rFonts w:ascii="Arial" w:eastAsia="Times New Roman" w:hAnsi="Arial" w:cs="Arial"/>
          <w:kern w:val="0"/>
          <w:lang w:eastAsia="en-GB"/>
          <w14:ligatures w14:val="none"/>
        </w:rPr>
        <w:t>edn</w:t>
      </w:r>
      <w:proofErr w:type="spellEnd"/>
      <w:r w:rsidRPr="00ED0F6A">
        <w:rPr>
          <w:rFonts w:ascii="Arial" w:eastAsia="Times New Roman" w:hAnsi="Arial" w:cs="Arial"/>
          <w:kern w:val="0"/>
          <w:lang w:eastAsia="en-GB"/>
          <w14:ligatures w14:val="none"/>
        </w:rPr>
        <w:t>. London: Palgrave Macmillan.</w:t>
      </w:r>
    </w:p>
    <w:p w14:paraId="42E6C7F0"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 xml:space="preserve">Department for Environment, Food &amp; Rural Affairs (2023) </w:t>
      </w:r>
      <w:r w:rsidRPr="00ED0F6A">
        <w:rPr>
          <w:rFonts w:ascii="Arial" w:eastAsia="Times New Roman" w:hAnsi="Arial" w:cs="Arial"/>
          <w:i/>
          <w:iCs/>
          <w:kern w:val="0"/>
          <w:lang w:eastAsia="en-GB"/>
          <w14:ligatures w14:val="none"/>
        </w:rPr>
        <w:t>Environmental Improvement Plan 2023</w:t>
      </w:r>
      <w:r w:rsidRPr="00ED0F6A">
        <w:rPr>
          <w:rFonts w:ascii="Arial" w:eastAsia="Times New Roman" w:hAnsi="Arial" w:cs="Arial"/>
          <w:kern w:val="0"/>
          <w:lang w:eastAsia="en-GB"/>
          <w14:ligatures w14:val="none"/>
        </w:rPr>
        <w:t xml:space="preserve">. Available at: </w:t>
      </w:r>
      <w:hyperlink r:id="rId8" w:tgtFrame="_new" w:history="1">
        <w:r w:rsidRPr="00ED0F6A">
          <w:rPr>
            <w:rFonts w:ascii="Arial" w:eastAsia="Times New Roman" w:hAnsi="Arial" w:cs="Arial"/>
            <w:color w:val="0000FF"/>
            <w:kern w:val="0"/>
            <w:u w:val="single"/>
            <w:lang w:eastAsia="en-GB"/>
            <w14:ligatures w14:val="none"/>
          </w:rPr>
          <w:t>https://www.gov.uk/government/publications/environmental-improvement-plan</w:t>
        </w:r>
      </w:hyperlink>
      <w:r w:rsidRPr="00ED0F6A">
        <w:rPr>
          <w:rFonts w:ascii="Arial" w:eastAsia="Times New Roman" w:hAnsi="Arial" w:cs="Arial"/>
          <w:kern w:val="0"/>
          <w:lang w:eastAsia="en-GB"/>
          <w14:ligatures w14:val="none"/>
        </w:rPr>
        <w:t xml:space="preserve"> (Accessed: 26 July 2026).</w:t>
      </w:r>
    </w:p>
    <w:p w14:paraId="2A912C36"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lastRenderedPageBreak/>
        <w:t xml:space="preserve">Food Standards Agency (2024) </w:t>
      </w:r>
      <w:r w:rsidRPr="00ED0F6A">
        <w:rPr>
          <w:rFonts w:ascii="Arial" w:eastAsia="Times New Roman" w:hAnsi="Arial" w:cs="Arial"/>
          <w:i/>
          <w:iCs/>
          <w:kern w:val="0"/>
          <w:lang w:eastAsia="en-GB"/>
          <w14:ligatures w14:val="none"/>
        </w:rPr>
        <w:t>Starting a food business</w:t>
      </w:r>
      <w:r w:rsidRPr="00ED0F6A">
        <w:rPr>
          <w:rFonts w:ascii="Arial" w:eastAsia="Times New Roman" w:hAnsi="Arial" w:cs="Arial"/>
          <w:kern w:val="0"/>
          <w:lang w:eastAsia="en-GB"/>
          <w14:ligatures w14:val="none"/>
        </w:rPr>
        <w:t xml:space="preserve">. Available at: </w:t>
      </w:r>
      <w:hyperlink r:id="rId9" w:tgtFrame="_new" w:history="1">
        <w:r w:rsidRPr="00ED0F6A">
          <w:rPr>
            <w:rFonts w:ascii="Arial" w:eastAsia="Times New Roman" w:hAnsi="Arial" w:cs="Arial"/>
            <w:color w:val="0000FF"/>
            <w:kern w:val="0"/>
            <w:u w:val="single"/>
            <w:lang w:eastAsia="en-GB"/>
            <w14:ligatures w14:val="none"/>
          </w:rPr>
          <w:t>https://www.food.gov.uk/business-guidance/starting-a-food-business</w:t>
        </w:r>
      </w:hyperlink>
      <w:r w:rsidRPr="00ED0F6A">
        <w:rPr>
          <w:rFonts w:ascii="Arial" w:eastAsia="Times New Roman" w:hAnsi="Arial" w:cs="Arial"/>
          <w:kern w:val="0"/>
          <w:lang w:eastAsia="en-GB"/>
          <w14:ligatures w14:val="none"/>
        </w:rPr>
        <w:t xml:space="preserve"> (Accessed: 26 July 2026).</w:t>
      </w:r>
    </w:p>
    <w:p w14:paraId="1E59EE48"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 xml:space="preserve">GOV.UK (2025) </w:t>
      </w:r>
      <w:r w:rsidRPr="00ED0F6A">
        <w:rPr>
          <w:rFonts w:ascii="Arial" w:eastAsia="Times New Roman" w:hAnsi="Arial" w:cs="Arial"/>
          <w:i/>
          <w:iCs/>
          <w:kern w:val="0"/>
          <w:lang w:eastAsia="en-GB"/>
          <w14:ligatures w14:val="none"/>
        </w:rPr>
        <w:t>Set up as a sole trader: Registering and running your business</w:t>
      </w:r>
      <w:r w:rsidRPr="00ED0F6A">
        <w:rPr>
          <w:rFonts w:ascii="Arial" w:eastAsia="Times New Roman" w:hAnsi="Arial" w:cs="Arial"/>
          <w:kern w:val="0"/>
          <w:lang w:eastAsia="en-GB"/>
          <w14:ligatures w14:val="none"/>
        </w:rPr>
        <w:t xml:space="preserve">. Available at: </w:t>
      </w:r>
      <w:hyperlink r:id="rId10" w:tgtFrame="_new" w:history="1">
        <w:r w:rsidRPr="00ED0F6A">
          <w:rPr>
            <w:rFonts w:ascii="Arial" w:eastAsia="Times New Roman" w:hAnsi="Arial" w:cs="Arial"/>
            <w:color w:val="0000FF"/>
            <w:kern w:val="0"/>
            <w:u w:val="single"/>
            <w:lang w:eastAsia="en-GB"/>
            <w14:ligatures w14:val="none"/>
          </w:rPr>
          <w:t>https://www.gov.uk/set-up-sole-trader</w:t>
        </w:r>
      </w:hyperlink>
      <w:r w:rsidRPr="00ED0F6A">
        <w:rPr>
          <w:rFonts w:ascii="Arial" w:eastAsia="Times New Roman" w:hAnsi="Arial" w:cs="Arial"/>
          <w:kern w:val="0"/>
          <w:lang w:eastAsia="en-GB"/>
          <w14:ligatures w14:val="none"/>
        </w:rPr>
        <w:t xml:space="preserve"> (Accessed: 26 July 2026).</w:t>
      </w:r>
    </w:p>
    <w:p w14:paraId="7B1711C0"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 xml:space="preserve">Kotler, P. and Keller, K.L. (2022) </w:t>
      </w:r>
      <w:r w:rsidRPr="00ED0F6A">
        <w:rPr>
          <w:rFonts w:ascii="Arial" w:eastAsia="Times New Roman" w:hAnsi="Arial" w:cs="Arial"/>
          <w:i/>
          <w:iCs/>
          <w:kern w:val="0"/>
          <w:lang w:eastAsia="en-GB"/>
          <w14:ligatures w14:val="none"/>
        </w:rPr>
        <w:t>Marketing Management</w:t>
      </w:r>
      <w:r w:rsidRPr="00ED0F6A">
        <w:rPr>
          <w:rFonts w:ascii="Arial" w:eastAsia="Times New Roman" w:hAnsi="Arial" w:cs="Arial"/>
          <w:kern w:val="0"/>
          <w:lang w:eastAsia="en-GB"/>
          <w14:ligatures w14:val="none"/>
        </w:rPr>
        <w:t xml:space="preserve">. 16th </w:t>
      </w:r>
      <w:proofErr w:type="spellStart"/>
      <w:r w:rsidRPr="00ED0F6A">
        <w:rPr>
          <w:rFonts w:ascii="Arial" w:eastAsia="Times New Roman" w:hAnsi="Arial" w:cs="Arial"/>
          <w:kern w:val="0"/>
          <w:lang w:eastAsia="en-GB"/>
          <w14:ligatures w14:val="none"/>
        </w:rPr>
        <w:t>edn</w:t>
      </w:r>
      <w:proofErr w:type="spellEnd"/>
      <w:r w:rsidRPr="00ED0F6A">
        <w:rPr>
          <w:rFonts w:ascii="Arial" w:eastAsia="Times New Roman" w:hAnsi="Arial" w:cs="Arial"/>
          <w:kern w:val="0"/>
          <w:lang w:eastAsia="en-GB"/>
          <w14:ligatures w14:val="none"/>
        </w:rPr>
        <w:t>. Harlow: Pearson.</w:t>
      </w:r>
    </w:p>
    <w:p w14:paraId="3F10EB89"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r w:rsidRPr="00ED0F6A">
        <w:rPr>
          <w:rFonts w:ascii="Arial" w:eastAsia="Times New Roman" w:hAnsi="Arial" w:cs="Arial"/>
          <w:kern w:val="0"/>
          <w:lang w:eastAsia="en-GB"/>
          <w14:ligatures w14:val="none"/>
        </w:rPr>
        <w:t xml:space="preserve">Office for National Statistics (2024) </w:t>
      </w:r>
      <w:r w:rsidRPr="00ED0F6A">
        <w:rPr>
          <w:rFonts w:ascii="Arial" w:eastAsia="Times New Roman" w:hAnsi="Arial" w:cs="Arial"/>
          <w:i/>
          <w:iCs/>
          <w:kern w:val="0"/>
          <w:lang w:eastAsia="en-GB"/>
          <w14:ligatures w14:val="none"/>
        </w:rPr>
        <w:t>Consumer price inflation, UK</w:t>
      </w:r>
      <w:r w:rsidRPr="00ED0F6A">
        <w:rPr>
          <w:rFonts w:ascii="Arial" w:eastAsia="Times New Roman" w:hAnsi="Arial" w:cs="Arial"/>
          <w:kern w:val="0"/>
          <w:lang w:eastAsia="en-GB"/>
          <w14:ligatures w14:val="none"/>
        </w:rPr>
        <w:t xml:space="preserve">. Available at: </w:t>
      </w:r>
      <w:hyperlink r:id="rId11" w:tgtFrame="_new" w:history="1">
        <w:r w:rsidRPr="00ED0F6A">
          <w:rPr>
            <w:rFonts w:ascii="Arial" w:eastAsia="Times New Roman" w:hAnsi="Arial" w:cs="Arial"/>
            <w:color w:val="0000FF"/>
            <w:kern w:val="0"/>
            <w:u w:val="single"/>
            <w:lang w:eastAsia="en-GB"/>
            <w14:ligatures w14:val="none"/>
          </w:rPr>
          <w:t>https://www.ons.gov.uk/economy/inflationandpriceindices</w:t>
        </w:r>
      </w:hyperlink>
      <w:r w:rsidRPr="00ED0F6A">
        <w:rPr>
          <w:rFonts w:ascii="Arial" w:eastAsia="Times New Roman" w:hAnsi="Arial" w:cs="Arial"/>
          <w:kern w:val="0"/>
          <w:lang w:eastAsia="en-GB"/>
          <w14:ligatures w14:val="none"/>
        </w:rPr>
        <w:t xml:space="preserve"> (Accessed: 26 July 2026)</w:t>
      </w:r>
    </w:p>
    <w:p w14:paraId="46145514"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p>
    <w:p w14:paraId="0A63D94B" w14:textId="77777777" w:rsidR="00ED0F6A" w:rsidRPr="00ED0F6A" w:rsidRDefault="00ED0F6A" w:rsidP="00ED0F6A">
      <w:pPr>
        <w:spacing w:before="100" w:beforeAutospacing="1" w:after="100" w:afterAutospacing="1" w:line="240" w:lineRule="auto"/>
        <w:rPr>
          <w:rFonts w:ascii="Arial" w:eastAsia="Times New Roman" w:hAnsi="Arial" w:cs="Arial"/>
          <w:kern w:val="0"/>
          <w:lang w:eastAsia="en-GB"/>
          <w14:ligatures w14:val="none"/>
        </w:rPr>
      </w:pPr>
    </w:p>
    <w:p w14:paraId="3CB64115" w14:textId="77777777" w:rsidR="00ED0F6A" w:rsidRPr="00ED0F6A" w:rsidRDefault="00ED0F6A">
      <w:pPr>
        <w:rPr>
          <w:rFonts w:ascii="Arial" w:hAnsi="Arial" w:cs="Arial"/>
        </w:rPr>
      </w:pPr>
    </w:p>
    <w:sectPr w:rsidR="00ED0F6A" w:rsidRPr="00ED0F6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AACC99" w14:textId="77777777" w:rsidR="008518B2" w:rsidRDefault="008518B2" w:rsidP="00ED0F6A">
      <w:pPr>
        <w:spacing w:after="0" w:line="240" w:lineRule="auto"/>
      </w:pPr>
      <w:r>
        <w:separator/>
      </w:r>
    </w:p>
  </w:endnote>
  <w:endnote w:type="continuationSeparator" w:id="0">
    <w:p w14:paraId="37AAC275" w14:textId="77777777" w:rsidR="008518B2" w:rsidRDefault="008518B2" w:rsidP="00ED0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1538409"/>
      <w:docPartObj>
        <w:docPartGallery w:val="Page Numbers (Bottom of Page)"/>
        <w:docPartUnique/>
      </w:docPartObj>
    </w:sdtPr>
    <w:sdtEndPr>
      <w:rPr>
        <w:noProof/>
      </w:rPr>
    </w:sdtEndPr>
    <w:sdtContent>
      <w:p w14:paraId="6AE51B9D" w14:textId="23979EFD" w:rsidR="00ED0F6A" w:rsidRDefault="00ED0F6A">
        <w:pPr>
          <w:pStyle w:val="Footer"/>
        </w:pPr>
        <w:r>
          <w:fldChar w:fldCharType="begin"/>
        </w:r>
        <w:r>
          <w:instrText xml:space="preserve"> PAGE   \* MERGEFORMAT </w:instrText>
        </w:r>
        <w:r>
          <w:fldChar w:fldCharType="separate"/>
        </w:r>
        <w:r>
          <w:rPr>
            <w:noProof/>
          </w:rPr>
          <w:t>2</w:t>
        </w:r>
        <w:r>
          <w:rPr>
            <w:noProof/>
          </w:rPr>
          <w:fldChar w:fldCharType="end"/>
        </w:r>
      </w:p>
    </w:sdtContent>
  </w:sdt>
  <w:p w14:paraId="57A0CC69" w14:textId="77777777" w:rsidR="00ED0F6A" w:rsidRDefault="00ED0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CCF031" w14:textId="77777777" w:rsidR="008518B2" w:rsidRDefault="008518B2" w:rsidP="00ED0F6A">
      <w:pPr>
        <w:spacing w:after="0" w:line="240" w:lineRule="auto"/>
      </w:pPr>
      <w:r>
        <w:separator/>
      </w:r>
    </w:p>
  </w:footnote>
  <w:footnote w:type="continuationSeparator" w:id="0">
    <w:p w14:paraId="78228413" w14:textId="77777777" w:rsidR="008518B2" w:rsidRDefault="008518B2" w:rsidP="00ED0F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307006"/>
    <w:multiLevelType w:val="multilevel"/>
    <w:tmpl w:val="BADE6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55240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A90"/>
    <w:rsid w:val="000941DD"/>
    <w:rsid w:val="000E4F06"/>
    <w:rsid w:val="00496A90"/>
    <w:rsid w:val="00781F95"/>
    <w:rsid w:val="00803F70"/>
    <w:rsid w:val="008518B2"/>
    <w:rsid w:val="00922521"/>
    <w:rsid w:val="00C56FA8"/>
    <w:rsid w:val="00CD450B"/>
    <w:rsid w:val="00E63392"/>
    <w:rsid w:val="00ED0F6A"/>
    <w:rsid w:val="00EE6B7A"/>
    <w:rsid w:val="00EE6F35"/>
    <w:rsid w:val="00FB4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B9E0E"/>
  <w15:chartTrackingRefBased/>
  <w15:docId w15:val="{BCD30320-B631-434F-8910-0B65D2403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A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6A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6A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6A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6A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6A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A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A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A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A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6A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6A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6A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6A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6A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A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A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A90"/>
    <w:rPr>
      <w:rFonts w:eastAsiaTheme="majorEastAsia" w:cstheme="majorBidi"/>
      <w:color w:val="272727" w:themeColor="text1" w:themeTint="D8"/>
    </w:rPr>
  </w:style>
  <w:style w:type="paragraph" w:styleId="Title">
    <w:name w:val="Title"/>
    <w:basedOn w:val="Normal"/>
    <w:next w:val="Normal"/>
    <w:link w:val="TitleChar"/>
    <w:uiPriority w:val="10"/>
    <w:qFormat/>
    <w:rsid w:val="00496A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A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A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A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A90"/>
    <w:pPr>
      <w:spacing w:before="160"/>
      <w:jc w:val="center"/>
    </w:pPr>
    <w:rPr>
      <w:i/>
      <w:iCs/>
      <w:color w:val="404040" w:themeColor="text1" w:themeTint="BF"/>
    </w:rPr>
  </w:style>
  <w:style w:type="character" w:customStyle="1" w:styleId="QuoteChar">
    <w:name w:val="Quote Char"/>
    <w:basedOn w:val="DefaultParagraphFont"/>
    <w:link w:val="Quote"/>
    <w:uiPriority w:val="29"/>
    <w:rsid w:val="00496A90"/>
    <w:rPr>
      <w:i/>
      <w:iCs/>
      <w:color w:val="404040" w:themeColor="text1" w:themeTint="BF"/>
    </w:rPr>
  </w:style>
  <w:style w:type="paragraph" w:styleId="ListParagraph">
    <w:name w:val="List Paragraph"/>
    <w:basedOn w:val="Normal"/>
    <w:uiPriority w:val="34"/>
    <w:qFormat/>
    <w:rsid w:val="00496A90"/>
    <w:pPr>
      <w:ind w:left="720"/>
      <w:contextualSpacing/>
    </w:pPr>
  </w:style>
  <w:style w:type="character" w:styleId="IntenseEmphasis">
    <w:name w:val="Intense Emphasis"/>
    <w:basedOn w:val="DefaultParagraphFont"/>
    <w:uiPriority w:val="21"/>
    <w:qFormat/>
    <w:rsid w:val="00496A90"/>
    <w:rPr>
      <w:i/>
      <w:iCs/>
      <w:color w:val="0F4761" w:themeColor="accent1" w:themeShade="BF"/>
    </w:rPr>
  </w:style>
  <w:style w:type="paragraph" w:styleId="IntenseQuote">
    <w:name w:val="Intense Quote"/>
    <w:basedOn w:val="Normal"/>
    <w:next w:val="Normal"/>
    <w:link w:val="IntenseQuoteChar"/>
    <w:uiPriority w:val="30"/>
    <w:qFormat/>
    <w:rsid w:val="00496A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6A90"/>
    <w:rPr>
      <w:i/>
      <w:iCs/>
      <w:color w:val="0F4761" w:themeColor="accent1" w:themeShade="BF"/>
    </w:rPr>
  </w:style>
  <w:style w:type="character" w:styleId="IntenseReference">
    <w:name w:val="Intense Reference"/>
    <w:basedOn w:val="DefaultParagraphFont"/>
    <w:uiPriority w:val="32"/>
    <w:qFormat/>
    <w:rsid w:val="00496A90"/>
    <w:rPr>
      <w:b/>
      <w:bCs/>
      <w:smallCaps/>
      <w:color w:val="0F4761" w:themeColor="accent1" w:themeShade="BF"/>
      <w:spacing w:val="5"/>
    </w:rPr>
  </w:style>
  <w:style w:type="paragraph" w:customStyle="1" w:styleId="isselectedend">
    <w:name w:val="isselectedend"/>
    <w:basedOn w:val="Normal"/>
    <w:rsid w:val="00ED0F6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ED0F6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ED0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F6A"/>
  </w:style>
  <w:style w:type="paragraph" w:styleId="Footer">
    <w:name w:val="footer"/>
    <w:basedOn w:val="Normal"/>
    <w:link w:val="FooterChar"/>
    <w:uiPriority w:val="99"/>
    <w:unhideWhenUsed/>
    <w:rsid w:val="00ED0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F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nvironmental-improvement-pla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economy/inflationandpriceindices" TargetMode="External"/><Relationship Id="rId5" Type="http://schemas.openxmlformats.org/officeDocument/2006/relationships/webSettings" Target="webSettings.xml"/><Relationship Id="rId10" Type="http://schemas.openxmlformats.org/officeDocument/2006/relationships/hyperlink" Target="https://www.gov.uk/set-up-sole-trader" TargetMode="External"/><Relationship Id="rId4" Type="http://schemas.openxmlformats.org/officeDocument/2006/relationships/settings" Target="settings.xml"/><Relationship Id="rId9" Type="http://schemas.openxmlformats.org/officeDocument/2006/relationships/hyperlink" Target="https://www.food.gov.uk/business-guidance/starting-a-food-busines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A139A0-E95A-481B-B53B-C12C817F78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1704</Words>
  <Characters>9715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Balaban (2516267)</dc:creator>
  <cp:keywords/>
  <dc:description/>
  <cp:lastModifiedBy>Alexandru Balaban (2516267)</cp:lastModifiedBy>
  <cp:revision>4</cp:revision>
  <dcterms:created xsi:type="dcterms:W3CDTF">2026-07-26T19:44:00Z</dcterms:created>
  <dcterms:modified xsi:type="dcterms:W3CDTF">2026-07-26T19:53:00Z</dcterms:modified>
</cp:coreProperties>
</file>