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5C56" w:rsidRDefault="00925C56" w:rsidP="00925C56">
      <w:pPr>
        <w:pStyle w:val="NoSpacing"/>
        <w:spacing w:before="1540" w:after="240"/>
        <w:jc w:val="center"/>
        <w:rPr>
          <w:color w:val="4472C4" w:themeColor="accent1"/>
        </w:rPr>
      </w:pPr>
      <w:r>
        <w:rPr>
          <w:noProof/>
          <w:color w:val="4472C4"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b/>
          <w:bCs/>
          <w:caps/>
          <w:color w:val="4472C4" w:themeColor="accent1"/>
          <w:sz w:val="44"/>
          <w:szCs w:val="44"/>
        </w:rPr>
        <w:alias w:val="Title"/>
        <w:tag w:val=""/>
        <w:id w:val="1735040861"/>
        <w:placeholder>
          <w:docPart w:val="EC70DBB6516E447CBC7EABCE87335DF4"/>
        </w:placeholder>
        <w:dataBinding w:prefixMappings="xmlns:ns0='http://purl.org/dc/elements/1.1/' xmlns:ns1='http://schemas.openxmlformats.org/package/2006/metadata/core-properties' " w:xpath="/ns1:coreProperties[1]/ns0:title[1]" w:storeItemID="{6C3C8BC8-F283-45AE-878A-BAB7291924A1}"/>
        <w:text/>
      </w:sdtPr>
      <w:sdtContent>
        <w:p w:rsidR="00925C56" w:rsidRPr="00925C56" w:rsidRDefault="00B9004B" w:rsidP="00925C56">
          <w:pPr>
            <w:pStyle w:val="NoSpacing"/>
            <w:pBdr>
              <w:top w:val="single" w:sz="6" w:space="6" w:color="4472C4" w:themeColor="accent1"/>
              <w:bottom w:val="single" w:sz="6" w:space="6" w:color="4472C4" w:themeColor="accent1"/>
            </w:pBdr>
            <w:spacing w:after="240"/>
            <w:jc w:val="center"/>
            <w:rPr>
              <w:rFonts w:ascii="Times New Roman" w:eastAsiaTheme="majorEastAsia" w:hAnsi="Times New Roman" w:cs="Times New Roman"/>
              <w:b/>
              <w:bCs/>
              <w:caps/>
              <w:color w:val="4472C4" w:themeColor="accent1"/>
              <w:sz w:val="44"/>
              <w:szCs w:val="44"/>
            </w:rPr>
          </w:pPr>
          <w:r>
            <w:rPr>
              <w:rFonts w:ascii="Times New Roman" w:eastAsiaTheme="majorEastAsia" w:hAnsi="Times New Roman" w:cs="Times New Roman"/>
              <w:b/>
              <w:bCs/>
              <w:caps/>
              <w:color w:val="4472C4" w:themeColor="accent1"/>
              <w:sz w:val="44"/>
              <w:szCs w:val="44"/>
            </w:rPr>
            <w:t>A Strategic Financial Performance Review: Vodafone Group PLC &amp; Capital Investment Appraisal for Westward PLC</w:t>
          </w:r>
        </w:p>
      </w:sdtContent>
    </w:sdt>
    <w:p w:rsidR="00925C56" w:rsidRDefault="00925C56" w:rsidP="00925C56">
      <w:pPr>
        <w:pStyle w:val="NoSpacing"/>
        <w:spacing w:before="480"/>
        <w:jc w:val="center"/>
        <w:rPr>
          <w:color w:val="4472C4" w:themeColor="accent1"/>
        </w:rPr>
      </w:pPr>
      <w:r>
        <w:rPr>
          <w:noProof/>
          <w:color w:val="4472C4" w:themeColor="accent1"/>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B9004B" w:rsidRDefault="00B9004B" w:rsidP="00925C56">
      <w:pPr>
        <w:pStyle w:val="aupe"/>
        <w:rPr>
          <w:rStyle w:val="aupe1"/>
        </w:rPr>
      </w:pPr>
    </w:p>
    <w:p w:rsidR="00B9004B" w:rsidRDefault="00B9004B" w:rsidP="00925C56">
      <w:pPr>
        <w:pStyle w:val="aupe"/>
        <w:rPr>
          <w:rStyle w:val="aupe1"/>
        </w:rPr>
      </w:pPr>
    </w:p>
    <w:p w:rsidR="00B9004B" w:rsidRDefault="00B9004B" w:rsidP="00925C56">
      <w:pPr>
        <w:pStyle w:val="aupe"/>
        <w:rPr>
          <w:rStyle w:val="aupe1"/>
        </w:rPr>
      </w:pPr>
    </w:p>
    <w:p w:rsidR="00B9004B" w:rsidRDefault="00B9004B" w:rsidP="00925C56">
      <w:pPr>
        <w:pStyle w:val="aupe"/>
        <w:rPr>
          <w:rStyle w:val="aupe1"/>
        </w:rPr>
      </w:pPr>
    </w:p>
    <w:p w:rsidR="00B9004B" w:rsidRDefault="00B9004B" w:rsidP="00925C56">
      <w:pPr>
        <w:pStyle w:val="aupe"/>
        <w:rPr>
          <w:rStyle w:val="aupe1"/>
        </w:rPr>
      </w:pPr>
    </w:p>
    <w:p w:rsidR="00B9004B" w:rsidRDefault="00B9004B" w:rsidP="00925C56">
      <w:pPr>
        <w:pStyle w:val="aupe"/>
        <w:rPr>
          <w:rStyle w:val="aupe1"/>
        </w:rPr>
      </w:pPr>
    </w:p>
    <w:p w:rsidR="00B9004B" w:rsidRDefault="00B9004B" w:rsidP="00925C56">
      <w:pPr>
        <w:pStyle w:val="aupe"/>
        <w:rPr>
          <w:rStyle w:val="aupe1"/>
        </w:rPr>
      </w:pPr>
    </w:p>
    <w:p w:rsidR="00925C56" w:rsidRDefault="00925C56" w:rsidP="00925C56">
      <w:pPr>
        <w:pStyle w:val="aupe"/>
      </w:pPr>
      <w:r>
        <w:rPr>
          <w:rStyle w:val="aupe1"/>
        </w:rPr>
        <w:t>Student Name: MD. HASIBUL ISLAM</w:t>
      </w:r>
    </w:p>
    <w:p w:rsidR="00925C56" w:rsidRDefault="00925C56" w:rsidP="00925C56">
      <w:pPr>
        <w:pStyle w:val="aupe"/>
      </w:pPr>
      <w:r>
        <w:rPr>
          <w:rStyle w:val="aupe1"/>
        </w:rPr>
        <w:t>Student ID: 2516351</w:t>
      </w:r>
    </w:p>
    <w:p w:rsidR="00925C56" w:rsidRDefault="00925C56" w:rsidP="00925C56">
      <w:pPr>
        <w:pStyle w:val="aupe"/>
      </w:pPr>
      <w:r>
        <w:rPr>
          <w:rStyle w:val="aupe1"/>
        </w:rPr>
        <w:t>Programme: MBA</w:t>
      </w:r>
    </w:p>
    <w:p w:rsidR="00925C56" w:rsidRDefault="00925C56" w:rsidP="00925C56">
      <w:pPr>
        <w:pStyle w:val="aupe"/>
      </w:pPr>
      <w:r>
        <w:rPr>
          <w:rStyle w:val="aupe1"/>
        </w:rPr>
        <w:t xml:space="preserve">Module: Finance for Business Managers </w:t>
      </w:r>
      <w:r w:rsidR="00B9004B" w:rsidRPr="00B9004B">
        <w:t>(BMMB7005D)</w:t>
      </w:r>
    </w:p>
    <w:p w:rsidR="00925C56" w:rsidRDefault="00925C56" w:rsidP="00925C56">
      <w:pPr>
        <w:pStyle w:val="aupe"/>
        <w:rPr>
          <w:rStyle w:val="aupe1"/>
        </w:rPr>
      </w:pPr>
      <w:r>
        <w:rPr>
          <w:rStyle w:val="aupe1"/>
        </w:rPr>
        <w:t>Word Count: ~</w:t>
      </w:r>
      <w:r w:rsidR="00CA500E">
        <w:rPr>
          <w:rStyle w:val="aupe1"/>
        </w:rPr>
        <w:t>6,423</w:t>
      </w:r>
      <w:r>
        <w:rPr>
          <w:rStyle w:val="aupe1"/>
        </w:rPr>
        <w:t xml:space="preserve"> words</w:t>
      </w:r>
    </w:p>
    <w:p w:rsidR="0095790B" w:rsidRDefault="0095790B" w:rsidP="0095790B">
      <w:pPr>
        <w:pStyle w:val="aupe"/>
      </w:pPr>
      <w:r>
        <w:rPr>
          <w:rStyle w:val="aupe1"/>
        </w:rPr>
        <w:t>Submission</w:t>
      </w:r>
      <w:r w:rsidR="00713AD1">
        <w:rPr>
          <w:rStyle w:val="aupe1"/>
        </w:rPr>
        <w:t xml:space="preserve"> Date: 20</w:t>
      </w:r>
      <w:r>
        <w:rPr>
          <w:rStyle w:val="aupe1"/>
        </w:rPr>
        <w:t>-04-2026</w:t>
      </w:r>
    </w:p>
    <w:p w:rsidR="0095790B" w:rsidRPr="00B24EDF" w:rsidRDefault="0095790B" w:rsidP="0095790B">
      <w:pPr>
        <w:pStyle w:val="Heading1"/>
        <w:rPr>
          <w:rFonts w:ascii="Times New Roman" w:hAnsi="Times New Roman" w:cs="Times New Roman"/>
          <w:color w:val="auto"/>
        </w:rPr>
      </w:pPr>
      <w:bookmarkStart w:id="0" w:name="_Toc227526800"/>
      <w:r w:rsidRPr="00B24EDF">
        <w:rPr>
          <w:rFonts w:ascii="Times New Roman" w:hAnsi="Times New Roman" w:cs="Times New Roman"/>
          <w:color w:val="auto"/>
        </w:rPr>
        <w:lastRenderedPageBreak/>
        <w:t>Executive Summary</w:t>
      </w:r>
      <w:bookmarkEnd w:id="0"/>
    </w:p>
    <w:p w:rsidR="0095790B" w:rsidRPr="0051268B" w:rsidRDefault="0095790B" w:rsidP="0095790B">
      <w:pPr>
        <w:spacing w:line="276" w:lineRule="auto"/>
        <w:jc w:val="both"/>
        <w:rPr>
          <w:rFonts w:ascii="Times New Roman" w:hAnsi="Times New Roman" w:cs="Times New Roman"/>
          <w:sz w:val="24"/>
          <w:szCs w:val="24"/>
        </w:rPr>
      </w:pPr>
      <w:r w:rsidRPr="0051268B">
        <w:rPr>
          <w:rFonts w:ascii="Times New Roman" w:hAnsi="Times New Roman" w:cs="Times New Roman"/>
          <w:sz w:val="24"/>
          <w:szCs w:val="24"/>
        </w:rPr>
        <w:t>This report is divided into two combined sections. Part 1 is a strategic financial performance analysis of Vodafone Group PLC that includes the financial years 2024 and 2025, with the use of ratio analysis in five main dimensions, namely profitability, liquidity, and gearing, efficiency, and returns to the investor. Part 2 presents a capital investment analysis of Westward Plc a UK based manufacturer of quality curtains based on three strategic expansion alternatives using Net Present Value and Internal rate of return analysis.</w:t>
      </w:r>
    </w:p>
    <w:p w:rsidR="0095790B" w:rsidRPr="0051268B" w:rsidRDefault="0095790B" w:rsidP="0095790B">
      <w:pPr>
        <w:spacing w:line="276" w:lineRule="auto"/>
        <w:jc w:val="both"/>
        <w:rPr>
          <w:rFonts w:ascii="Times New Roman" w:hAnsi="Times New Roman" w:cs="Times New Roman"/>
          <w:sz w:val="24"/>
          <w:szCs w:val="24"/>
        </w:rPr>
      </w:pPr>
      <w:r w:rsidRPr="0051268B">
        <w:rPr>
          <w:rFonts w:ascii="Times New Roman" w:hAnsi="Times New Roman" w:cs="Times New Roman"/>
          <w:sz w:val="24"/>
          <w:szCs w:val="24"/>
        </w:rPr>
        <w:t>Vodafone financial performance in the review period was not very good. Revenue was slightly increased to show an increase between the years of 36, 717m to 37, 448m with gross profit margin being the same in both years at about 33.4% which shows that direct costs were well controlled. Nevertheless, the operating profit margin decreased drastically by 9.98% to -1.10% and ROCE went into the negative zone at -0.38% due to a large amount of impairment charges in 2025. There was significant improvement in liquidity, a current ratio of 0.92 increased to 1.26 and quick ratio of 0.89 to 1.23. The debt-to-equity ratio was slightly higher than 93.42, and it became 98.57, which suggests a continued dependence on the debt financing. The ROE decreased to -6.95, which indicates the net loss position of 2025.</w:t>
      </w:r>
    </w:p>
    <w:p w:rsidR="0095790B" w:rsidRPr="0051268B" w:rsidRDefault="0095790B" w:rsidP="0095790B">
      <w:pPr>
        <w:spacing w:line="276" w:lineRule="auto"/>
        <w:jc w:val="both"/>
        <w:rPr>
          <w:rFonts w:ascii="Times New Roman" w:hAnsi="Times New Roman" w:cs="Times New Roman"/>
          <w:b/>
          <w:bCs/>
          <w:sz w:val="24"/>
          <w:szCs w:val="24"/>
        </w:rPr>
      </w:pPr>
      <w:r w:rsidRPr="0051268B">
        <w:rPr>
          <w:rFonts w:ascii="Times New Roman" w:hAnsi="Times New Roman" w:cs="Times New Roman"/>
          <w:sz w:val="24"/>
          <w:szCs w:val="24"/>
        </w:rPr>
        <w:t>In Part 2, after NPV analysis at a cost of capital of 6 percent with 25 per cent corporation tax and 20 per cent straight-line capital allowances, an internet sales channel with start-up cost of 1,000,000 is suggested under option B as the value-maximising investment with a NPV of 792.23k. The approximate IRR on option B is 32.23. The optimal policy of divisible investment under a budget of capital rationing at 2,500,000 would result in a total NPV of 1853.04k. The report ends with a critical evaluation of ways Westward Plc can be financed.</w:t>
      </w:r>
    </w:p>
    <w:p w:rsidR="0095790B" w:rsidRDefault="0095790B" w:rsidP="00925C56">
      <w:pPr>
        <w:spacing w:line="276" w:lineRule="auto"/>
        <w:jc w:val="both"/>
        <w:rPr>
          <w:rFonts w:ascii="Times New Roman" w:hAnsi="Times New Roman" w:cs="Times New Roman"/>
          <w:sz w:val="24"/>
          <w:szCs w:val="24"/>
        </w:rPr>
      </w:pPr>
    </w:p>
    <w:p w:rsidR="0095790B" w:rsidRDefault="0095790B" w:rsidP="00925C56">
      <w:pPr>
        <w:spacing w:line="276" w:lineRule="auto"/>
        <w:jc w:val="both"/>
        <w:rPr>
          <w:rFonts w:ascii="Times New Roman" w:hAnsi="Times New Roman" w:cs="Times New Roman"/>
          <w:sz w:val="24"/>
          <w:szCs w:val="24"/>
        </w:rPr>
      </w:pPr>
    </w:p>
    <w:p w:rsidR="0095790B" w:rsidRDefault="0095790B" w:rsidP="00925C56">
      <w:pPr>
        <w:spacing w:line="276" w:lineRule="auto"/>
        <w:jc w:val="both"/>
        <w:rPr>
          <w:rFonts w:ascii="Times New Roman" w:hAnsi="Times New Roman" w:cs="Times New Roman"/>
          <w:sz w:val="24"/>
          <w:szCs w:val="24"/>
        </w:rPr>
      </w:pPr>
    </w:p>
    <w:p w:rsidR="0095790B" w:rsidRDefault="0095790B" w:rsidP="00925C56">
      <w:pPr>
        <w:spacing w:line="276" w:lineRule="auto"/>
        <w:jc w:val="both"/>
        <w:rPr>
          <w:rFonts w:ascii="Times New Roman" w:hAnsi="Times New Roman" w:cs="Times New Roman"/>
          <w:sz w:val="24"/>
          <w:szCs w:val="24"/>
        </w:rPr>
      </w:pPr>
    </w:p>
    <w:p w:rsidR="0095790B" w:rsidRDefault="0095790B" w:rsidP="00925C56">
      <w:pPr>
        <w:spacing w:line="276" w:lineRule="auto"/>
        <w:jc w:val="both"/>
        <w:rPr>
          <w:rFonts w:ascii="Times New Roman" w:hAnsi="Times New Roman" w:cs="Times New Roman"/>
          <w:sz w:val="24"/>
          <w:szCs w:val="24"/>
        </w:rPr>
      </w:pPr>
    </w:p>
    <w:p w:rsidR="0095790B" w:rsidRDefault="0095790B" w:rsidP="00925C56">
      <w:pPr>
        <w:spacing w:line="276" w:lineRule="auto"/>
        <w:jc w:val="both"/>
        <w:rPr>
          <w:rFonts w:ascii="Times New Roman" w:hAnsi="Times New Roman" w:cs="Times New Roman"/>
          <w:sz w:val="24"/>
          <w:szCs w:val="24"/>
        </w:rPr>
      </w:pPr>
    </w:p>
    <w:p w:rsidR="0095790B" w:rsidRDefault="0095790B" w:rsidP="00925C56">
      <w:pPr>
        <w:spacing w:line="276" w:lineRule="auto"/>
        <w:jc w:val="both"/>
        <w:rPr>
          <w:rFonts w:ascii="Times New Roman" w:hAnsi="Times New Roman" w:cs="Times New Roman"/>
          <w:sz w:val="24"/>
          <w:szCs w:val="24"/>
        </w:rPr>
      </w:pPr>
    </w:p>
    <w:p w:rsidR="0095790B" w:rsidRDefault="0095790B" w:rsidP="00925C56">
      <w:pPr>
        <w:spacing w:line="276" w:lineRule="auto"/>
        <w:jc w:val="both"/>
        <w:rPr>
          <w:rFonts w:ascii="Times New Roman" w:hAnsi="Times New Roman" w:cs="Times New Roman"/>
          <w:sz w:val="24"/>
          <w:szCs w:val="24"/>
        </w:rPr>
      </w:pPr>
    </w:p>
    <w:p w:rsidR="0095790B" w:rsidRDefault="0095790B" w:rsidP="00925C56">
      <w:pPr>
        <w:spacing w:line="276" w:lineRule="auto"/>
        <w:jc w:val="both"/>
        <w:rPr>
          <w:rFonts w:ascii="Times New Roman" w:hAnsi="Times New Roman" w:cs="Times New Roman"/>
          <w:sz w:val="24"/>
          <w:szCs w:val="24"/>
        </w:rPr>
      </w:pPr>
    </w:p>
    <w:p w:rsidR="0095790B" w:rsidRDefault="0095790B" w:rsidP="00925C56">
      <w:pPr>
        <w:spacing w:line="276" w:lineRule="auto"/>
        <w:jc w:val="both"/>
        <w:rPr>
          <w:rFonts w:ascii="Times New Roman" w:hAnsi="Times New Roman" w:cs="Times New Roman"/>
          <w:sz w:val="24"/>
          <w:szCs w:val="24"/>
        </w:rPr>
      </w:pPr>
    </w:p>
    <w:p w:rsidR="0095790B" w:rsidRDefault="0095790B" w:rsidP="00925C56">
      <w:pPr>
        <w:spacing w:line="276" w:lineRule="auto"/>
        <w:jc w:val="both"/>
        <w:rPr>
          <w:rFonts w:ascii="Times New Roman" w:hAnsi="Times New Roman" w:cs="Times New Roman"/>
          <w:sz w:val="24"/>
          <w:szCs w:val="24"/>
        </w:rPr>
      </w:pPr>
    </w:p>
    <w:p w:rsidR="0095790B" w:rsidRDefault="0095790B" w:rsidP="00925C56">
      <w:pPr>
        <w:spacing w:line="276" w:lineRule="auto"/>
        <w:jc w:val="both"/>
        <w:rPr>
          <w:rFonts w:ascii="Times New Roman" w:hAnsi="Times New Roman" w:cs="Times New Roman"/>
          <w:sz w:val="24"/>
          <w:szCs w:val="24"/>
        </w:rPr>
      </w:pPr>
    </w:p>
    <w:p w:rsidR="0095790B" w:rsidRDefault="0095790B" w:rsidP="00925C56">
      <w:pPr>
        <w:spacing w:line="276" w:lineRule="auto"/>
        <w:jc w:val="both"/>
        <w:rPr>
          <w:rFonts w:ascii="Times New Roman" w:hAnsi="Times New Roman" w:cs="Times New Roman"/>
          <w:sz w:val="24"/>
          <w:szCs w:val="24"/>
        </w:rPr>
      </w:pPr>
    </w:p>
    <w:p w:rsidR="0095790B" w:rsidRDefault="0095790B" w:rsidP="00925C56">
      <w:pPr>
        <w:spacing w:line="276" w:lineRule="auto"/>
        <w:jc w:val="both"/>
        <w:rPr>
          <w:rFonts w:ascii="Times New Roman" w:hAnsi="Times New Roman" w:cs="Times New Roman"/>
          <w:sz w:val="24"/>
          <w:szCs w:val="24"/>
        </w:rPr>
      </w:pPr>
    </w:p>
    <w:p w:rsidR="0095790B" w:rsidRDefault="0095790B" w:rsidP="00925C56">
      <w:pPr>
        <w:spacing w:line="276" w:lineRule="auto"/>
        <w:jc w:val="both"/>
        <w:rPr>
          <w:rFonts w:ascii="Times New Roman" w:hAnsi="Times New Roman" w:cs="Times New Roman"/>
          <w:sz w:val="24"/>
          <w:szCs w:val="24"/>
        </w:rPr>
      </w:pPr>
    </w:p>
    <w:p w:rsidR="0095790B" w:rsidRDefault="0095790B" w:rsidP="00925C56">
      <w:pPr>
        <w:spacing w:line="276" w:lineRule="auto"/>
        <w:jc w:val="both"/>
        <w:rPr>
          <w:rFonts w:ascii="Times New Roman" w:hAnsi="Times New Roman" w:cs="Times New Roman"/>
          <w:sz w:val="24"/>
          <w:szCs w:val="24"/>
        </w:rPr>
      </w:pPr>
    </w:p>
    <w:p w:rsidR="0095790B" w:rsidRDefault="0095790B" w:rsidP="00925C56">
      <w:pPr>
        <w:spacing w:line="276" w:lineRule="auto"/>
        <w:jc w:val="both"/>
        <w:rPr>
          <w:rFonts w:ascii="Times New Roman" w:hAnsi="Times New Roman" w:cs="Times New Roman"/>
          <w:sz w:val="24"/>
          <w:szCs w:val="24"/>
        </w:rPr>
      </w:pPr>
    </w:p>
    <w:p w:rsidR="0095790B" w:rsidRDefault="0095790B" w:rsidP="00925C56">
      <w:pPr>
        <w:spacing w:line="276" w:lineRule="auto"/>
        <w:jc w:val="both"/>
        <w:rPr>
          <w:rFonts w:ascii="Times New Roman" w:hAnsi="Times New Roman" w:cs="Times New Roman"/>
          <w:sz w:val="24"/>
          <w:szCs w:val="24"/>
        </w:rPr>
      </w:pPr>
    </w:p>
    <w:p w:rsidR="0095790B" w:rsidRDefault="0095790B" w:rsidP="00925C56">
      <w:pPr>
        <w:spacing w:line="276" w:lineRule="auto"/>
        <w:jc w:val="both"/>
        <w:rPr>
          <w:rFonts w:ascii="Times New Roman" w:hAnsi="Times New Roman" w:cs="Times New Roman"/>
          <w:sz w:val="24"/>
          <w:szCs w:val="24"/>
        </w:rPr>
      </w:pPr>
    </w:p>
    <w:p w:rsidR="0095790B" w:rsidRPr="00B24EDF" w:rsidRDefault="0095790B" w:rsidP="00925C56">
      <w:pPr>
        <w:spacing w:line="276" w:lineRule="auto"/>
        <w:jc w:val="both"/>
        <w:rPr>
          <w:rFonts w:ascii="Times New Roman" w:hAnsi="Times New Roman" w:cs="Times New Roman"/>
          <w:sz w:val="24"/>
          <w:szCs w:val="24"/>
        </w:rPr>
      </w:pPr>
    </w:p>
    <w:bookmarkStart w:id="1" w:name="_Toc227444133" w:displacedByCustomXml="next"/>
    <w:sdt>
      <w:sdtPr>
        <w:rPr>
          <w:rFonts w:ascii="Times New Roman" w:eastAsia="Trebuchet MS" w:hAnsi="Times New Roman" w:cs="Times New Roman"/>
          <w:color w:val="auto"/>
          <w:sz w:val="21"/>
          <w:szCs w:val="21"/>
        </w:rPr>
        <w:id w:val="1155496998"/>
        <w:docPartObj>
          <w:docPartGallery w:val="Table of Contents"/>
          <w:docPartUnique/>
        </w:docPartObj>
      </w:sdtPr>
      <w:sdtEndPr>
        <w:rPr>
          <w:b/>
          <w:bCs/>
          <w:noProof/>
        </w:rPr>
      </w:sdtEndPr>
      <w:sdtContent>
        <w:p w:rsidR="00102FBB" w:rsidRPr="00B24EDF" w:rsidRDefault="00102FBB">
          <w:pPr>
            <w:pStyle w:val="TOCHeading"/>
            <w:rPr>
              <w:rFonts w:ascii="Times New Roman" w:hAnsi="Times New Roman" w:cs="Times New Roman"/>
              <w:color w:val="auto"/>
            </w:rPr>
          </w:pPr>
          <w:r w:rsidRPr="00B24EDF">
            <w:rPr>
              <w:rFonts w:ascii="Times New Roman" w:hAnsi="Times New Roman" w:cs="Times New Roman"/>
              <w:color w:val="auto"/>
            </w:rPr>
            <w:t>Contents</w:t>
          </w:r>
        </w:p>
        <w:p w:rsidR="0095790B" w:rsidRDefault="00ED3C0B">
          <w:pPr>
            <w:pStyle w:val="TOC1"/>
            <w:tabs>
              <w:tab w:val="right" w:leader="dot" w:pos="9156"/>
            </w:tabs>
            <w:rPr>
              <w:rFonts w:asciiTheme="minorHAnsi" w:eastAsiaTheme="minorEastAsia" w:hAnsiTheme="minorHAnsi" w:cstheme="minorBidi"/>
              <w:noProof/>
              <w:sz w:val="22"/>
              <w:szCs w:val="22"/>
            </w:rPr>
          </w:pPr>
          <w:r w:rsidRPr="00ED3C0B">
            <w:rPr>
              <w:rFonts w:ascii="Times New Roman" w:hAnsi="Times New Roman" w:cs="Times New Roman"/>
            </w:rPr>
            <w:fldChar w:fldCharType="begin"/>
          </w:r>
          <w:r w:rsidR="00102FBB" w:rsidRPr="00B24EDF">
            <w:rPr>
              <w:rFonts w:ascii="Times New Roman" w:hAnsi="Times New Roman" w:cs="Times New Roman"/>
            </w:rPr>
            <w:instrText xml:space="preserve"> TOC \o "1-3" \h \z \u </w:instrText>
          </w:r>
          <w:r w:rsidRPr="00ED3C0B">
            <w:rPr>
              <w:rFonts w:ascii="Times New Roman" w:hAnsi="Times New Roman" w:cs="Times New Roman"/>
            </w:rPr>
            <w:fldChar w:fldCharType="separate"/>
          </w:r>
          <w:hyperlink w:anchor="_Toc227526800" w:history="1">
            <w:r w:rsidR="0095790B" w:rsidRPr="004B5169">
              <w:rPr>
                <w:rStyle w:val="Hyperlink"/>
                <w:rFonts w:ascii="Times New Roman" w:hAnsi="Times New Roman" w:cs="Times New Roman"/>
                <w:noProof/>
              </w:rPr>
              <w:t>Executive Summary</w:t>
            </w:r>
            <w:r w:rsidR="0095790B">
              <w:rPr>
                <w:noProof/>
                <w:webHidden/>
              </w:rPr>
              <w:tab/>
            </w:r>
            <w:r>
              <w:rPr>
                <w:noProof/>
                <w:webHidden/>
              </w:rPr>
              <w:fldChar w:fldCharType="begin"/>
            </w:r>
            <w:r w:rsidR="0095790B">
              <w:rPr>
                <w:noProof/>
                <w:webHidden/>
              </w:rPr>
              <w:instrText xml:space="preserve"> PAGEREF _Toc227526800 \h </w:instrText>
            </w:r>
            <w:r>
              <w:rPr>
                <w:noProof/>
                <w:webHidden/>
              </w:rPr>
            </w:r>
            <w:r>
              <w:rPr>
                <w:noProof/>
                <w:webHidden/>
              </w:rPr>
              <w:fldChar w:fldCharType="separate"/>
            </w:r>
            <w:r w:rsidR="0095790B">
              <w:rPr>
                <w:noProof/>
                <w:webHidden/>
              </w:rPr>
              <w:t>2</w:t>
            </w:r>
            <w:r>
              <w:rPr>
                <w:noProof/>
                <w:webHidden/>
              </w:rPr>
              <w:fldChar w:fldCharType="end"/>
            </w:r>
          </w:hyperlink>
        </w:p>
        <w:p w:rsidR="0095790B" w:rsidRDefault="00ED3C0B">
          <w:pPr>
            <w:pStyle w:val="TOC1"/>
            <w:tabs>
              <w:tab w:val="right" w:leader="dot" w:pos="9156"/>
            </w:tabs>
            <w:rPr>
              <w:rFonts w:asciiTheme="minorHAnsi" w:eastAsiaTheme="minorEastAsia" w:hAnsiTheme="minorHAnsi" w:cstheme="minorBidi"/>
              <w:noProof/>
              <w:sz w:val="22"/>
              <w:szCs w:val="22"/>
            </w:rPr>
          </w:pPr>
          <w:hyperlink w:anchor="_Toc227526801" w:history="1">
            <w:r w:rsidR="0095790B" w:rsidRPr="004B5169">
              <w:rPr>
                <w:rStyle w:val="Hyperlink"/>
                <w:rFonts w:ascii="Times New Roman" w:hAnsi="Times New Roman" w:cs="Times New Roman"/>
                <w:noProof/>
              </w:rPr>
              <w:t>Part 1: Financial Performance Analysis</w:t>
            </w:r>
            <w:r w:rsidR="0095790B">
              <w:rPr>
                <w:noProof/>
                <w:webHidden/>
              </w:rPr>
              <w:tab/>
            </w:r>
            <w:r>
              <w:rPr>
                <w:noProof/>
                <w:webHidden/>
              </w:rPr>
              <w:fldChar w:fldCharType="begin"/>
            </w:r>
            <w:r w:rsidR="0095790B">
              <w:rPr>
                <w:noProof/>
                <w:webHidden/>
              </w:rPr>
              <w:instrText xml:space="preserve"> PAGEREF _Toc227526801 \h </w:instrText>
            </w:r>
            <w:r>
              <w:rPr>
                <w:noProof/>
                <w:webHidden/>
              </w:rPr>
            </w:r>
            <w:r>
              <w:rPr>
                <w:noProof/>
                <w:webHidden/>
              </w:rPr>
              <w:fldChar w:fldCharType="separate"/>
            </w:r>
            <w:r w:rsidR="0095790B">
              <w:rPr>
                <w:noProof/>
                <w:webHidden/>
              </w:rPr>
              <w:t>4</w:t>
            </w:r>
            <w:r>
              <w:rPr>
                <w:noProof/>
                <w:webHidden/>
              </w:rPr>
              <w:fldChar w:fldCharType="end"/>
            </w:r>
          </w:hyperlink>
        </w:p>
        <w:p w:rsidR="0095790B" w:rsidRDefault="00ED3C0B">
          <w:pPr>
            <w:pStyle w:val="TOC1"/>
            <w:tabs>
              <w:tab w:val="right" w:leader="dot" w:pos="9156"/>
            </w:tabs>
            <w:rPr>
              <w:rFonts w:asciiTheme="minorHAnsi" w:eastAsiaTheme="minorEastAsia" w:hAnsiTheme="minorHAnsi" w:cstheme="minorBidi"/>
              <w:noProof/>
              <w:sz w:val="22"/>
              <w:szCs w:val="22"/>
            </w:rPr>
          </w:pPr>
          <w:hyperlink w:anchor="_Toc227526802" w:history="1">
            <w:r w:rsidR="0095790B" w:rsidRPr="004B5169">
              <w:rPr>
                <w:rStyle w:val="Hyperlink"/>
                <w:rFonts w:ascii="Times New Roman" w:hAnsi="Times New Roman" w:cs="Times New Roman"/>
                <w:noProof/>
              </w:rPr>
              <w:t>Overview of Financial Performance</w:t>
            </w:r>
            <w:r w:rsidR="0095790B">
              <w:rPr>
                <w:noProof/>
                <w:webHidden/>
              </w:rPr>
              <w:tab/>
            </w:r>
            <w:r>
              <w:rPr>
                <w:noProof/>
                <w:webHidden/>
              </w:rPr>
              <w:fldChar w:fldCharType="begin"/>
            </w:r>
            <w:r w:rsidR="0095790B">
              <w:rPr>
                <w:noProof/>
                <w:webHidden/>
              </w:rPr>
              <w:instrText xml:space="preserve"> PAGEREF _Toc227526802 \h </w:instrText>
            </w:r>
            <w:r>
              <w:rPr>
                <w:noProof/>
                <w:webHidden/>
              </w:rPr>
            </w:r>
            <w:r>
              <w:rPr>
                <w:noProof/>
                <w:webHidden/>
              </w:rPr>
              <w:fldChar w:fldCharType="separate"/>
            </w:r>
            <w:r w:rsidR="0095790B">
              <w:rPr>
                <w:noProof/>
                <w:webHidden/>
              </w:rPr>
              <w:t>4</w:t>
            </w:r>
            <w:r>
              <w:rPr>
                <w:noProof/>
                <w:webHidden/>
              </w:rPr>
              <w:fldChar w:fldCharType="end"/>
            </w:r>
          </w:hyperlink>
        </w:p>
        <w:p w:rsidR="0095790B" w:rsidRDefault="00ED3C0B">
          <w:pPr>
            <w:pStyle w:val="TOC1"/>
            <w:tabs>
              <w:tab w:val="right" w:leader="dot" w:pos="9156"/>
            </w:tabs>
            <w:rPr>
              <w:rFonts w:asciiTheme="minorHAnsi" w:eastAsiaTheme="minorEastAsia" w:hAnsiTheme="minorHAnsi" w:cstheme="minorBidi"/>
              <w:noProof/>
              <w:sz w:val="22"/>
              <w:szCs w:val="22"/>
            </w:rPr>
          </w:pPr>
          <w:hyperlink w:anchor="_Toc227526803" w:history="1">
            <w:r w:rsidR="0095790B" w:rsidRPr="004B5169">
              <w:rPr>
                <w:rStyle w:val="Hyperlink"/>
                <w:rFonts w:ascii="Times New Roman" w:hAnsi="Times New Roman" w:cs="Times New Roman"/>
                <w:noProof/>
              </w:rPr>
              <w:t>Company Background and Report Objectives</w:t>
            </w:r>
            <w:r w:rsidR="0095790B">
              <w:rPr>
                <w:noProof/>
                <w:webHidden/>
              </w:rPr>
              <w:tab/>
            </w:r>
            <w:r>
              <w:rPr>
                <w:noProof/>
                <w:webHidden/>
              </w:rPr>
              <w:fldChar w:fldCharType="begin"/>
            </w:r>
            <w:r w:rsidR="0095790B">
              <w:rPr>
                <w:noProof/>
                <w:webHidden/>
              </w:rPr>
              <w:instrText xml:space="preserve"> PAGEREF _Toc227526803 \h </w:instrText>
            </w:r>
            <w:r>
              <w:rPr>
                <w:noProof/>
                <w:webHidden/>
              </w:rPr>
            </w:r>
            <w:r>
              <w:rPr>
                <w:noProof/>
                <w:webHidden/>
              </w:rPr>
              <w:fldChar w:fldCharType="separate"/>
            </w:r>
            <w:r w:rsidR="0095790B">
              <w:rPr>
                <w:noProof/>
                <w:webHidden/>
              </w:rPr>
              <w:t>4</w:t>
            </w:r>
            <w:r>
              <w:rPr>
                <w:noProof/>
                <w:webHidden/>
              </w:rPr>
              <w:fldChar w:fldCharType="end"/>
            </w:r>
          </w:hyperlink>
        </w:p>
        <w:p w:rsidR="0095790B" w:rsidRDefault="00ED3C0B">
          <w:pPr>
            <w:pStyle w:val="TOC1"/>
            <w:tabs>
              <w:tab w:val="right" w:leader="dot" w:pos="9156"/>
            </w:tabs>
            <w:rPr>
              <w:rFonts w:asciiTheme="minorHAnsi" w:eastAsiaTheme="minorEastAsia" w:hAnsiTheme="minorHAnsi" w:cstheme="minorBidi"/>
              <w:noProof/>
              <w:sz w:val="22"/>
              <w:szCs w:val="22"/>
            </w:rPr>
          </w:pPr>
          <w:hyperlink w:anchor="_Toc227526804" w:history="1">
            <w:r w:rsidR="0095790B" w:rsidRPr="004B5169">
              <w:rPr>
                <w:rStyle w:val="Hyperlink"/>
                <w:rFonts w:ascii="Times New Roman" w:hAnsi="Times New Roman" w:cs="Times New Roman"/>
                <w:noProof/>
              </w:rPr>
              <w:t>Comparative Ratio Analysis and Interpretation</w:t>
            </w:r>
            <w:r w:rsidR="0095790B">
              <w:rPr>
                <w:noProof/>
                <w:webHidden/>
              </w:rPr>
              <w:tab/>
            </w:r>
            <w:r>
              <w:rPr>
                <w:noProof/>
                <w:webHidden/>
              </w:rPr>
              <w:fldChar w:fldCharType="begin"/>
            </w:r>
            <w:r w:rsidR="0095790B">
              <w:rPr>
                <w:noProof/>
                <w:webHidden/>
              </w:rPr>
              <w:instrText xml:space="preserve"> PAGEREF _Toc227526804 \h </w:instrText>
            </w:r>
            <w:r>
              <w:rPr>
                <w:noProof/>
                <w:webHidden/>
              </w:rPr>
            </w:r>
            <w:r>
              <w:rPr>
                <w:noProof/>
                <w:webHidden/>
              </w:rPr>
              <w:fldChar w:fldCharType="separate"/>
            </w:r>
            <w:r w:rsidR="0095790B">
              <w:rPr>
                <w:noProof/>
                <w:webHidden/>
              </w:rPr>
              <w:t>5</w:t>
            </w:r>
            <w:r>
              <w:rPr>
                <w:noProof/>
                <w:webHidden/>
              </w:rPr>
              <w:fldChar w:fldCharType="end"/>
            </w:r>
          </w:hyperlink>
        </w:p>
        <w:p w:rsidR="0095790B" w:rsidRDefault="00ED3C0B">
          <w:pPr>
            <w:pStyle w:val="TOC2"/>
            <w:tabs>
              <w:tab w:val="right" w:leader="dot" w:pos="9156"/>
            </w:tabs>
            <w:rPr>
              <w:rFonts w:asciiTheme="minorHAnsi" w:eastAsiaTheme="minorEastAsia" w:hAnsiTheme="minorHAnsi" w:cstheme="minorBidi"/>
              <w:noProof/>
              <w:sz w:val="22"/>
              <w:szCs w:val="22"/>
            </w:rPr>
          </w:pPr>
          <w:hyperlink w:anchor="_Toc227526805" w:history="1">
            <w:r w:rsidR="0095790B" w:rsidRPr="004B5169">
              <w:rPr>
                <w:rStyle w:val="Hyperlink"/>
                <w:rFonts w:ascii="Times New Roman" w:hAnsi="Times New Roman" w:cs="Times New Roman"/>
                <w:noProof/>
              </w:rPr>
              <w:t>Profitability Trends</w:t>
            </w:r>
            <w:r w:rsidR="0095790B">
              <w:rPr>
                <w:noProof/>
                <w:webHidden/>
              </w:rPr>
              <w:tab/>
            </w:r>
            <w:r>
              <w:rPr>
                <w:noProof/>
                <w:webHidden/>
              </w:rPr>
              <w:fldChar w:fldCharType="begin"/>
            </w:r>
            <w:r w:rsidR="0095790B">
              <w:rPr>
                <w:noProof/>
                <w:webHidden/>
              </w:rPr>
              <w:instrText xml:space="preserve"> PAGEREF _Toc227526805 \h </w:instrText>
            </w:r>
            <w:r>
              <w:rPr>
                <w:noProof/>
                <w:webHidden/>
              </w:rPr>
            </w:r>
            <w:r>
              <w:rPr>
                <w:noProof/>
                <w:webHidden/>
              </w:rPr>
              <w:fldChar w:fldCharType="separate"/>
            </w:r>
            <w:r w:rsidR="0095790B">
              <w:rPr>
                <w:noProof/>
                <w:webHidden/>
              </w:rPr>
              <w:t>5</w:t>
            </w:r>
            <w:r>
              <w:rPr>
                <w:noProof/>
                <w:webHidden/>
              </w:rPr>
              <w:fldChar w:fldCharType="end"/>
            </w:r>
          </w:hyperlink>
        </w:p>
        <w:p w:rsidR="0095790B" w:rsidRDefault="00ED3C0B">
          <w:pPr>
            <w:pStyle w:val="TOC2"/>
            <w:tabs>
              <w:tab w:val="right" w:leader="dot" w:pos="9156"/>
            </w:tabs>
            <w:rPr>
              <w:rFonts w:asciiTheme="minorHAnsi" w:eastAsiaTheme="minorEastAsia" w:hAnsiTheme="minorHAnsi" w:cstheme="minorBidi"/>
              <w:noProof/>
              <w:sz w:val="22"/>
              <w:szCs w:val="22"/>
            </w:rPr>
          </w:pPr>
          <w:hyperlink w:anchor="_Toc227526806" w:history="1">
            <w:r w:rsidR="0095790B" w:rsidRPr="004B5169">
              <w:rPr>
                <w:rStyle w:val="Hyperlink"/>
                <w:rFonts w:ascii="Times New Roman" w:hAnsi="Times New Roman" w:cs="Times New Roman"/>
                <w:noProof/>
              </w:rPr>
              <w:t>Liquidity Ratios</w:t>
            </w:r>
            <w:r w:rsidR="0095790B">
              <w:rPr>
                <w:noProof/>
                <w:webHidden/>
              </w:rPr>
              <w:tab/>
            </w:r>
            <w:r>
              <w:rPr>
                <w:noProof/>
                <w:webHidden/>
              </w:rPr>
              <w:fldChar w:fldCharType="begin"/>
            </w:r>
            <w:r w:rsidR="0095790B">
              <w:rPr>
                <w:noProof/>
                <w:webHidden/>
              </w:rPr>
              <w:instrText xml:space="preserve"> PAGEREF _Toc227526806 \h </w:instrText>
            </w:r>
            <w:r>
              <w:rPr>
                <w:noProof/>
                <w:webHidden/>
              </w:rPr>
            </w:r>
            <w:r>
              <w:rPr>
                <w:noProof/>
                <w:webHidden/>
              </w:rPr>
              <w:fldChar w:fldCharType="separate"/>
            </w:r>
            <w:r w:rsidR="0095790B">
              <w:rPr>
                <w:noProof/>
                <w:webHidden/>
              </w:rPr>
              <w:t>6</w:t>
            </w:r>
            <w:r>
              <w:rPr>
                <w:noProof/>
                <w:webHidden/>
              </w:rPr>
              <w:fldChar w:fldCharType="end"/>
            </w:r>
          </w:hyperlink>
        </w:p>
        <w:p w:rsidR="0095790B" w:rsidRDefault="00ED3C0B">
          <w:pPr>
            <w:pStyle w:val="TOC2"/>
            <w:tabs>
              <w:tab w:val="right" w:leader="dot" w:pos="9156"/>
            </w:tabs>
            <w:rPr>
              <w:rFonts w:asciiTheme="minorHAnsi" w:eastAsiaTheme="minorEastAsia" w:hAnsiTheme="minorHAnsi" w:cstheme="minorBidi"/>
              <w:noProof/>
              <w:sz w:val="22"/>
              <w:szCs w:val="22"/>
            </w:rPr>
          </w:pPr>
          <w:hyperlink w:anchor="_Toc227526807" w:history="1">
            <w:r w:rsidR="0095790B" w:rsidRPr="004B5169">
              <w:rPr>
                <w:rStyle w:val="Hyperlink"/>
                <w:rFonts w:ascii="Times New Roman" w:hAnsi="Times New Roman" w:cs="Times New Roman"/>
                <w:noProof/>
              </w:rPr>
              <w:t>Gearing Ratios</w:t>
            </w:r>
            <w:r w:rsidR="0095790B">
              <w:rPr>
                <w:noProof/>
                <w:webHidden/>
              </w:rPr>
              <w:tab/>
            </w:r>
            <w:r>
              <w:rPr>
                <w:noProof/>
                <w:webHidden/>
              </w:rPr>
              <w:fldChar w:fldCharType="begin"/>
            </w:r>
            <w:r w:rsidR="0095790B">
              <w:rPr>
                <w:noProof/>
                <w:webHidden/>
              </w:rPr>
              <w:instrText xml:space="preserve"> PAGEREF _Toc227526807 \h </w:instrText>
            </w:r>
            <w:r>
              <w:rPr>
                <w:noProof/>
                <w:webHidden/>
              </w:rPr>
            </w:r>
            <w:r>
              <w:rPr>
                <w:noProof/>
                <w:webHidden/>
              </w:rPr>
              <w:fldChar w:fldCharType="separate"/>
            </w:r>
            <w:r w:rsidR="0095790B">
              <w:rPr>
                <w:noProof/>
                <w:webHidden/>
              </w:rPr>
              <w:t>6</w:t>
            </w:r>
            <w:r>
              <w:rPr>
                <w:noProof/>
                <w:webHidden/>
              </w:rPr>
              <w:fldChar w:fldCharType="end"/>
            </w:r>
          </w:hyperlink>
        </w:p>
        <w:p w:rsidR="0095790B" w:rsidRDefault="00ED3C0B">
          <w:pPr>
            <w:pStyle w:val="TOC2"/>
            <w:tabs>
              <w:tab w:val="right" w:leader="dot" w:pos="9156"/>
            </w:tabs>
            <w:rPr>
              <w:rFonts w:asciiTheme="minorHAnsi" w:eastAsiaTheme="minorEastAsia" w:hAnsiTheme="minorHAnsi" w:cstheme="minorBidi"/>
              <w:noProof/>
              <w:sz w:val="22"/>
              <w:szCs w:val="22"/>
            </w:rPr>
          </w:pPr>
          <w:hyperlink w:anchor="_Toc227526808" w:history="1">
            <w:r w:rsidR="0095790B" w:rsidRPr="004B5169">
              <w:rPr>
                <w:rStyle w:val="Hyperlink"/>
                <w:rFonts w:ascii="Times New Roman" w:hAnsi="Times New Roman" w:cs="Times New Roman"/>
                <w:noProof/>
              </w:rPr>
              <w:t>Efficiency Metrics</w:t>
            </w:r>
            <w:r w:rsidR="0095790B">
              <w:rPr>
                <w:noProof/>
                <w:webHidden/>
              </w:rPr>
              <w:tab/>
            </w:r>
            <w:r>
              <w:rPr>
                <w:noProof/>
                <w:webHidden/>
              </w:rPr>
              <w:fldChar w:fldCharType="begin"/>
            </w:r>
            <w:r w:rsidR="0095790B">
              <w:rPr>
                <w:noProof/>
                <w:webHidden/>
              </w:rPr>
              <w:instrText xml:space="preserve"> PAGEREF _Toc227526808 \h </w:instrText>
            </w:r>
            <w:r>
              <w:rPr>
                <w:noProof/>
                <w:webHidden/>
              </w:rPr>
            </w:r>
            <w:r>
              <w:rPr>
                <w:noProof/>
                <w:webHidden/>
              </w:rPr>
              <w:fldChar w:fldCharType="separate"/>
            </w:r>
            <w:r w:rsidR="0095790B">
              <w:rPr>
                <w:noProof/>
                <w:webHidden/>
              </w:rPr>
              <w:t>7</w:t>
            </w:r>
            <w:r>
              <w:rPr>
                <w:noProof/>
                <w:webHidden/>
              </w:rPr>
              <w:fldChar w:fldCharType="end"/>
            </w:r>
          </w:hyperlink>
        </w:p>
        <w:p w:rsidR="0095790B" w:rsidRDefault="00ED3C0B">
          <w:pPr>
            <w:pStyle w:val="TOC1"/>
            <w:tabs>
              <w:tab w:val="right" w:leader="dot" w:pos="9156"/>
            </w:tabs>
            <w:rPr>
              <w:rFonts w:asciiTheme="minorHAnsi" w:eastAsiaTheme="minorEastAsia" w:hAnsiTheme="minorHAnsi" w:cstheme="minorBidi"/>
              <w:noProof/>
              <w:sz w:val="22"/>
              <w:szCs w:val="22"/>
            </w:rPr>
          </w:pPr>
          <w:hyperlink w:anchor="_Toc227526809" w:history="1">
            <w:r w:rsidR="0095790B" w:rsidRPr="004B5169">
              <w:rPr>
                <w:rStyle w:val="Hyperlink"/>
                <w:rFonts w:ascii="Times New Roman" w:hAnsi="Times New Roman" w:cs="Times New Roman"/>
                <w:noProof/>
              </w:rPr>
              <w:t>Critical Evaluation of Accounting Ratios</w:t>
            </w:r>
            <w:r w:rsidR="0095790B">
              <w:rPr>
                <w:noProof/>
                <w:webHidden/>
              </w:rPr>
              <w:tab/>
            </w:r>
            <w:r>
              <w:rPr>
                <w:noProof/>
                <w:webHidden/>
              </w:rPr>
              <w:fldChar w:fldCharType="begin"/>
            </w:r>
            <w:r w:rsidR="0095790B">
              <w:rPr>
                <w:noProof/>
                <w:webHidden/>
              </w:rPr>
              <w:instrText xml:space="preserve"> PAGEREF _Toc227526809 \h </w:instrText>
            </w:r>
            <w:r>
              <w:rPr>
                <w:noProof/>
                <w:webHidden/>
              </w:rPr>
            </w:r>
            <w:r>
              <w:rPr>
                <w:noProof/>
                <w:webHidden/>
              </w:rPr>
              <w:fldChar w:fldCharType="separate"/>
            </w:r>
            <w:r w:rsidR="0095790B">
              <w:rPr>
                <w:noProof/>
                <w:webHidden/>
              </w:rPr>
              <w:t>7</w:t>
            </w:r>
            <w:r>
              <w:rPr>
                <w:noProof/>
                <w:webHidden/>
              </w:rPr>
              <w:fldChar w:fldCharType="end"/>
            </w:r>
          </w:hyperlink>
        </w:p>
        <w:p w:rsidR="0095790B" w:rsidRDefault="00ED3C0B">
          <w:pPr>
            <w:pStyle w:val="TOC1"/>
            <w:tabs>
              <w:tab w:val="right" w:leader="dot" w:pos="9156"/>
            </w:tabs>
            <w:rPr>
              <w:rFonts w:asciiTheme="minorHAnsi" w:eastAsiaTheme="minorEastAsia" w:hAnsiTheme="minorHAnsi" w:cstheme="minorBidi"/>
              <w:noProof/>
              <w:sz w:val="22"/>
              <w:szCs w:val="22"/>
            </w:rPr>
          </w:pPr>
          <w:hyperlink w:anchor="_Toc227526810" w:history="1">
            <w:r w:rsidR="0095790B" w:rsidRPr="004B5169">
              <w:rPr>
                <w:rStyle w:val="Hyperlink"/>
                <w:rFonts w:ascii="Times New Roman" w:hAnsi="Times New Roman" w:cs="Times New Roman"/>
                <w:noProof/>
              </w:rPr>
              <w:t>Summary of Findings</w:t>
            </w:r>
            <w:r w:rsidR="0095790B">
              <w:rPr>
                <w:noProof/>
                <w:webHidden/>
              </w:rPr>
              <w:tab/>
            </w:r>
            <w:r>
              <w:rPr>
                <w:noProof/>
                <w:webHidden/>
              </w:rPr>
              <w:fldChar w:fldCharType="begin"/>
            </w:r>
            <w:r w:rsidR="0095790B">
              <w:rPr>
                <w:noProof/>
                <w:webHidden/>
              </w:rPr>
              <w:instrText xml:space="preserve"> PAGEREF _Toc227526810 \h </w:instrText>
            </w:r>
            <w:r>
              <w:rPr>
                <w:noProof/>
                <w:webHidden/>
              </w:rPr>
            </w:r>
            <w:r>
              <w:rPr>
                <w:noProof/>
                <w:webHidden/>
              </w:rPr>
              <w:fldChar w:fldCharType="separate"/>
            </w:r>
            <w:r w:rsidR="0095790B">
              <w:rPr>
                <w:noProof/>
                <w:webHidden/>
              </w:rPr>
              <w:t>8</w:t>
            </w:r>
            <w:r>
              <w:rPr>
                <w:noProof/>
                <w:webHidden/>
              </w:rPr>
              <w:fldChar w:fldCharType="end"/>
            </w:r>
          </w:hyperlink>
        </w:p>
        <w:p w:rsidR="0095790B" w:rsidRDefault="00ED3C0B">
          <w:pPr>
            <w:pStyle w:val="TOC1"/>
            <w:tabs>
              <w:tab w:val="right" w:leader="dot" w:pos="9156"/>
            </w:tabs>
            <w:rPr>
              <w:rFonts w:asciiTheme="minorHAnsi" w:eastAsiaTheme="minorEastAsia" w:hAnsiTheme="minorHAnsi" w:cstheme="minorBidi"/>
              <w:noProof/>
              <w:sz w:val="22"/>
              <w:szCs w:val="22"/>
            </w:rPr>
          </w:pPr>
          <w:hyperlink w:anchor="_Toc227526811" w:history="1">
            <w:r w:rsidR="0095790B" w:rsidRPr="004B5169">
              <w:rPr>
                <w:rStyle w:val="Hyperlink"/>
                <w:rFonts w:ascii="Times New Roman" w:hAnsi="Times New Roman" w:cs="Times New Roman"/>
                <w:noProof/>
              </w:rPr>
              <w:t>Strategic Recommendations</w:t>
            </w:r>
            <w:r w:rsidR="0095790B">
              <w:rPr>
                <w:noProof/>
                <w:webHidden/>
              </w:rPr>
              <w:tab/>
            </w:r>
            <w:r>
              <w:rPr>
                <w:noProof/>
                <w:webHidden/>
              </w:rPr>
              <w:fldChar w:fldCharType="begin"/>
            </w:r>
            <w:r w:rsidR="0095790B">
              <w:rPr>
                <w:noProof/>
                <w:webHidden/>
              </w:rPr>
              <w:instrText xml:space="preserve"> PAGEREF _Toc227526811 \h </w:instrText>
            </w:r>
            <w:r>
              <w:rPr>
                <w:noProof/>
                <w:webHidden/>
              </w:rPr>
            </w:r>
            <w:r>
              <w:rPr>
                <w:noProof/>
                <w:webHidden/>
              </w:rPr>
              <w:fldChar w:fldCharType="separate"/>
            </w:r>
            <w:r w:rsidR="0095790B">
              <w:rPr>
                <w:noProof/>
                <w:webHidden/>
              </w:rPr>
              <w:t>8</w:t>
            </w:r>
            <w:r>
              <w:rPr>
                <w:noProof/>
                <w:webHidden/>
              </w:rPr>
              <w:fldChar w:fldCharType="end"/>
            </w:r>
          </w:hyperlink>
        </w:p>
        <w:p w:rsidR="0095790B" w:rsidRDefault="00ED3C0B">
          <w:pPr>
            <w:pStyle w:val="TOC1"/>
            <w:tabs>
              <w:tab w:val="right" w:leader="dot" w:pos="9156"/>
            </w:tabs>
            <w:rPr>
              <w:rFonts w:asciiTheme="minorHAnsi" w:eastAsiaTheme="minorEastAsia" w:hAnsiTheme="minorHAnsi" w:cstheme="minorBidi"/>
              <w:noProof/>
              <w:sz w:val="22"/>
              <w:szCs w:val="22"/>
            </w:rPr>
          </w:pPr>
          <w:hyperlink w:anchor="_Toc227526812" w:history="1">
            <w:r w:rsidR="0095790B" w:rsidRPr="004B5169">
              <w:rPr>
                <w:rStyle w:val="Hyperlink"/>
                <w:rFonts w:ascii="Times New Roman" w:hAnsi="Times New Roman" w:cs="Times New Roman"/>
                <w:noProof/>
              </w:rPr>
              <w:t>Part 2: Capital Investment Appraisal - Westward Plc</w:t>
            </w:r>
            <w:r w:rsidR="0095790B">
              <w:rPr>
                <w:noProof/>
                <w:webHidden/>
              </w:rPr>
              <w:tab/>
            </w:r>
            <w:r>
              <w:rPr>
                <w:noProof/>
                <w:webHidden/>
              </w:rPr>
              <w:fldChar w:fldCharType="begin"/>
            </w:r>
            <w:r w:rsidR="0095790B">
              <w:rPr>
                <w:noProof/>
                <w:webHidden/>
              </w:rPr>
              <w:instrText xml:space="preserve"> PAGEREF _Toc227526812 \h </w:instrText>
            </w:r>
            <w:r>
              <w:rPr>
                <w:noProof/>
                <w:webHidden/>
              </w:rPr>
            </w:r>
            <w:r>
              <w:rPr>
                <w:noProof/>
                <w:webHidden/>
              </w:rPr>
              <w:fldChar w:fldCharType="separate"/>
            </w:r>
            <w:r w:rsidR="0095790B">
              <w:rPr>
                <w:noProof/>
                <w:webHidden/>
              </w:rPr>
              <w:t>9</w:t>
            </w:r>
            <w:r>
              <w:rPr>
                <w:noProof/>
                <w:webHidden/>
              </w:rPr>
              <w:fldChar w:fldCharType="end"/>
            </w:r>
          </w:hyperlink>
        </w:p>
        <w:p w:rsidR="0095790B" w:rsidRDefault="00ED3C0B">
          <w:pPr>
            <w:pStyle w:val="TOC1"/>
            <w:tabs>
              <w:tab w:val="right" w:leader="dot" w:pos="9156"/>
            </w:tabs>
            <w:rPr>
              <w:rFonts w:asciiTheme="minorHAnsi" w:eastAsiaTheme="minorEastAsia" w:hAnsiTheme="minorHAnsi" w:cstheme="minorBidi"/>
              <w:noProof/>
              <w:sz w:val="22"/>
              <w:szCs w:val="22"/>
            </w:rPr>
          </w:pPr>
          <w:hyperlink w:anchor="_Toc227526813" w:history="1">
            <w:r w:rsidR="0095790B" w:rsidRPr="004B5169">
              <w:rPr>
                <w:rStyle w:val="Hyperlink"/>
                <w:rFonts w:ascii="Times New Roman" w:hAnsi="Times New Roman" w:cs="Times New Roman"/>
                <w:noProof/>
              </w:rPr>
              <w:t>I.   Introduction and Operating Assumptions</w:t>
            </w:r>
            <w:r w:rsidR="0095790B">
              <w:rPr>
                <w:noProof/>
                <w:webHidden/>
              </w:rPr>
              <w:tab/>
            </w:r>
            <w:r>
              <w:rPr>
                <w:noProof/>
                <w:webHidden/>
              </w:rPr>
              <w:fldChar w:fldCharType="begin"/>
            </w:r>
            <w:r w:rsidR="0095790B">
              <w:rPr>
                <w:noProof/>
                <w:webHidden/>
              </w:rPr>
              <w:instrText xml:space="preserve"> PAGEREF _Toc227526813 \h </w:instrText>
            </w:r>
            <w:r>
              <w:rPr>
                <w:noProof/>
                <w:webHidden/>
              </w:rPr>
            </w:r>
            <w:r>
              <w:rPr>
                <w:noProof/>
                <w:webHidden/>
              </w:rPr>
              <w:fldChar w:fldCharType="separate"/>
            </w:r>
            <w:r w:rsidR="0095790B">
              <w:rPr>
                <w:noProof/>
                <w:webHidden/>
              </w:rPr>
              <w:t>9</w:t>
            </w:r>
            <w:r>
              <w:rPr>
                <w:noProof/>
                <w:webHidden/>
              </w:rPr>
              <w:fldChar w:fldCharType="end"/>
            </w:r>
          </w:hyperlink>
        </w:p>
        <w:p w:rsidR="0095790B" w:rsidRDefault="00ED3C0B">
          <w:pPr>
            <w:pStyle w:val="TOC1"/>
            <w:tabs>
              <w:tab w:val="right" w:leader="dot" w:pos="9156"/>
            </w:tabs>
            <w:rPr>
              <w:rFonts w:asciiTheme="minorHAnsi" w:eastAsiaTheme="minorEastAsia" w:hAnsiTheme="minorHAnsi" w:cstheme="minorBidi"/>
              <w:noProof/>
              <w:sz w:val="22"/>
              <w:szCs w:val="22"/>
            </w:rPr>
          </w:pPr>
          <w:hyperlink w:anchor="_Toc227526814" w:history="1">
            <w:r w:rsidR="0095790B" w:rsidRPr="004B5169">
              <w:rPr>
                <w:rStyle w:val="Hyperlink"/>
                <w:rFonts w:ascii="Times New Roman" w:hAnsi="Times New Roman" w:cs="Times New Roman"/>
                <w:noProof/>
              </w:rPr>
              <w:t>II.   Net Present Value Analysis</w:t>
            </w:r>
            <w:r w:rsidR="0095790B">
              <w:rPr>
                <w:noProof/>
                <w:webHidden/>
              </w:rPr>
              <w:tab/>
            </w:r>
            <w:r>
              <w:rPr>
                <w:noProof/>
                <w:webHidden/>
              </w:rPr>
              <w:fldChar w:fldCharType="begin"/>
            </w:r>
            <w:r w:rsidR="0095790B">
              <w:rPr>
                <w:noProof/>
                <w:webHidden/>
              </w:rPr>
              <w:instrText xml:space="preserve"> PAGEREF _Toc227526814 \h </w:instrText>
            </w:r>
            <w:r>
              <w:rPr>
                <w:noProof/>
                <w:webHidden/>
              </w:rPr>
            </w:r>
            <w:r>
              <w:rPr>
                <w:noProof/>
                <w:webHidden/>
              </w:rPr>
              <w:fldChar w:fldCharType="separate"/>
            </w:r>
            <w:r w:rsidR="0095790B">
              <w:rPr>
                <w:noProof/>
                <w:webHidden/>
              </w:rPr>
              <w:t>9</w:t>
            </w:r>
            <w:r>
              <w:rPr>
                <w:noProof/>
                <w:webHidden/>
              </w:rPr>
              <w:fldChar w:fldCharType="end"/>
            </w:r>
          </w:hyperlink>
        </w:p>
        <w:p w:rsidR="0095790B" w:rsidRDefault="00ED3C0B">
          <w:pPr>
            <w:pStyle w:val="TOC1"/>
            <w:tabs>
              <w:tab w:val="right" w:leader="dot" w:pos="9156"/>
            </w:tabs>
            <w:rPr>
              <w:rFonts w:asciiTheme="minorHAnsi" w:eastAsiaTheme="minorEastAsia" w:hAnsiTheme="minorHAnsi" w:cstheme="minorBidi"/>
              <w:noProof/>
              <w:sz w:val="22"/>
              <w:szCs w:val="22"/>
            </w:rPr>
          </w:pPr>
          <w:hyperlink w:anchor="_Toc227526815" w:history="1">
            <w:r w:rsidR="0095790B" w:rsidRPr="004B5169">
              <w:rPr>
                <w:rStyle w:val="Hyperlink"/>
                <w:rFonts w:ascii="Times New Roman" w:hAnsi="Times New Roman" w:cs="Times New Roman"/>
                <w:noProof/>
              </w:rPr>
              <w:t>III.   Internal Rate of Return - Option B</w:t>
            </w:r>
            <w:r w:rsidR="0095790B">
              <w:rPr>
                <w:noProof/>
                <w:webHidden/>
              </w:rPr>
              <w:tab/>
            </w:r>
            <w:r>
              <w:rPr>
                <w:noProof/>
                <w:webHidden/>
              </w:rPr>
              <w:fldChar w:fldCharType="begin"/>
            </w:r>
            <w:r w:rsidR="0095790B">
              <w:rPr>
                <w:noProof/>
                <w:webHidden/>
              </w:rPr>
              <w:instrText xml:space="preserve"> PAGEREF _Toc227526815 \h </w:instrText>
            </w:r>
            <w:r>
              <w:rPr>
                <w:noProof/>
                <w:webHidden/>
              </w:rPr>
            </w:r>
            <w:r>
              <w:rPr>
                <w:noProof/>
                <w:webHidden/>
              </w:rPr>
              <w:fldChar w:fldCharType="separate"/>
            </w:r>
            <w:r w:rsidR="0095790B">
              <w:rPr>
                <w:noProof/>
                <w:webHidden/>
              </w:rPr>
              <w:t>11</w:t>
            </w:r>
            <w:r>
              <w:rPr>
                <w:noProof/>
                <w:webHidden/>
              </w:rPr>
              <w:fldChar w:fldCharType="end"/>
            </w:r>
          </w:hyperlink>
        </w:p>
        <w:p w:rsidR="0095790B" w:rsidRDefault="00ED3C0B">
          <w:pPr>
            <w:pStyle w:val="TOC1"/>
            <w:tabs>
              <w:tab w:val="right" w:leader="dot" w:pos="9156"/>
            </w:tabs>
            <w:rPr>
              <w:rFonts w:asciiTheme="minorHAnsi" w:eastAsiaTheme="minorEastAsia" w:hAnsiTheme="minorHAnsi" w:cstheme="minorBidi"/>
              <w:noProof/>
              <w:sz w:val="22"/>
              <w:szCs w:val="22"/>
            </w:rPr>
          </w:pPr>
          <w:hyperlink w:anchor="_Toc227526816" w:history="1">
            <w:r w:rsidR="0095790B" w:rsidRPr="004B5169">
              <w:rPr>
                <w:rStyle w:val="Hyperlink"/>
                <w:rFonts w:ascii="Times New Roman" w:hAnsi="Times New Roman" w:cs="Times New Roman"/>
                <w:noProof/>
              </w:rPr>
              <w:t>IV.   Interpretation and Theoretical Discussion</w:t>
            </w:r>
            <w:r w:rsidR="0095790B">
              <w:rPr>
                <w:noProof/>
                <w:webHidden/>
              </w:rPr>
              <w:tab/>
            </w:r>
            <w:r>
              <w:rPr>
                <w:noProof/>
                <w:webHidden/>
              </w:rPr>
              <w:fldChar w:fldCharType="begin"/>
            </w:r>
            <w:r w:rsidR="0095790B">
              <w:rPr>
                <w:noProof/>
                <w:webHidden/>
              </w:rPr>
              <w:instrText xml:space="preserve"> PAGEREF _Toc227526816 \h </w:instrText>
            </w:r>
            <w:r>
              <w:rPr>
                <w:noProof/>
                <w:webHidden/>
              </w:rPr>
            </w:r>
            <w:r>
              <w:rPr>
                <w:noProof/>
                <w:webHidden/>
              </w:rPr>
              <w:fldChar w:fldCharType="separate"/>
            </w:r>
            <w:r w:rsidR="0095790B">
              <w:rPr>
                <w:noProof/>
                <w:webHidden/>
              </w:rPr>
              <w:t>12</w:t>
            </w:r>
            <w:r>
              <w:rPr>
                <w:noProof/>
                <w:webHidden/>
              </w:rPr>
              <w:fldChar w:fldCharType="end"/>
            </w:r>
          </w:hyperlink>
        </w:p>
        <w:p w:rsidR="0095790B" w:rsidRDefault="00ED3C0B">
          <w:pPr>
            <w:pStyle w:val="TOC1"/>
            <w:tabs>
              <w:tab w:val="right" w:leader="dot" w:pos="9156"/>
            </w:tabs>
            <w:rPr>
              <w:rFonts w:asciiTheme="minorHAnsi" w:eastAsiaTheme="minorEastAsia" w:hAnsiTheme="minorHAnsi" w:cstheme="minorBidi"/>
              <w:noProof/>
              <w:sz w:val="22"/>
              <w:szCs w:val="22"/>
            </w:rPr>
          </w:pPr>
          <w:hyperlink w:anchor="_Toc227526817" w:history="1">
            <w:r w:rsidR="0095790B" w:rsidRPr="004B5169">
              <w:rPr>
                <w:rStyle w:val="Hyperlink"/>
                <w:rFonts w:ascii="Times New Roman" w:hAnsi="Times New Roman" w:cs="Times New Roman"/>
                <w:noProof/>
              </w:rPr>
              <w:t>V.   Capital Rationing - Optimal Investment Policy</w:t>
            </w:r>
            <w:r w:rsidR="0095790B">
              <w:rPr>
                <w:noProof/>
                <w:webHidden/>
              </w:rPr>
              <w:tab/>
            </w:r>
            <w:r>
              <w:rPr>
                <w:noProof/>
                <w:webHidden/>
              </w:rPr>
              <w:fldChar w:fldCharType="begin"/>
            </w:r>
            <w:r w:rsidR="0095790B">
              <w:rPr>
                <w:noProof/>
                <w:webHidden/>
              </w:rPr>
              <w:instrText xml:space="preserve"> PAGEREF _Toc227526817 \h </w:instrText>
            </w:r>
            <w:r>
              <w:rPr>
                <w:noProof/>
                <w:webHidden/>
              </w:rPr>
            </w:r>
            <w:r>
              <w:rPr>
                <w:noProof/>
                <w:webHidden/>
              </w:rPr>
              <w:fldChar w:fldCharType="separate"/>
            </w:r>
            <w:r w:rsidR="0095790B">
              <w:rPr>
                <w:noProof/>
                <w:webHidden/>
              </w:rPr>
              <w:t>13</w:t>
            </w:r>
            <w:r>
              <w:rPr>
                <w:noProof/>
                <w:webHidden/>
              </w:rPr>
              <w:fldChar w:fldCharType="end"/>
            </w:r>
          </w:hyperlink>
        </w:p>
        <w:p w:rsidR="0095790B" w:rsidRDefault="00ED3C0B">
          <w:pPr>
            <w:pStyle w:val="TOC1"/>
            <w:tabs>
              <w:tab w:val="right" w:leader="dot" w:pos="9156"/>
            </w:tabs>
            <w:rPr>
              <w:rFonts w:asciiTheme="minorHAnsi" w:eastAsiaTheme="minorEastAsia" w:hAnsiTheme="minorHAnsi" w:cstheme="minorBidi"/>
              <w:noProof/>
              <w:sz w:val="22"/>
              <w:szCs w:val="22"/>
            </w:rPr>
          </w:pPr>
          <w:hyperlink w:anchor="_Toc227526818" w:history="1">
            <w:r w:rsidR="0095790B" w:rsidRPr="004B5169">
              <w:rPr>
                <w:rStyle w:val="Hyperlink"/>
                <w:rFonts w:ascii="Times New Roman" w:hAnsi="Times New Roman" w:cs="Times New Roman"/>
                <w:noProof/>
              </w:rPr>
              <w:t>VI.   Financing the Investment Programme</w:t>
            </w:r>
            <w:r w:rsidR="0095790B">
              <w:rPr>
                <w:noProof/>
                <w:webHidden/>
              </w:rPr>
              <w:tab/>
            </w:r>
            <w:r>
              <w:rPr>
                <w:noProof/>
                <w:webHidden/>
              </w:rPr>
              <w:fldChar w:fldCharType="begin"/>
            </w:r>
            <w:r w:rsidR="0095790B">
              <w:rPr>
                <w:noProof/>
                <w:webHidden/>
              </w:rPr>
              <w:instrText xml:space="preserve"> PAGEREF _Toc227526818 \h </w:instrText>
            </w:r>
            <w:r>
              <w:rPr>
                <w:noProof/>
                <w:webHidden/>
              </w:rPr>
            </w:r>
            <w:r>
              <w:rPr>
                <w:noProof/>
                <w:webHidden/>
              </w:rPr>
              <w:fldChar w:fldCharType="separate"/>
            </w:r>
            <w:r w:rsidR="0095790B">
              <w:rPr>
                <w:noProof/>
                <w:webHidden/>
              </w:rPr>
              <w:t>14</w:t>
            </w:r>
            <w:r>
              <w:rPr>
                <w:noProof/>
                <w:webHidden/>
              </w:rPr>
              <w:fldChar w:fldCharType="end"/>
            </w:r>
          </w:hyperlink>
        </w:p>
        <w:p w:rsidR="0095790B" w:rsidRDefault="00ED3C0B">
          <w:pPr>
            <w:pStyle w:val="TOC1"/>
            <w:tabs>
              <w:tab w:val="right" w:leader="dot" w:pos="9156"/>
            </w:tabs>
            <w:rPr>
              <w:rFonts w:asciiTheme="minorHAnsi" w:eastAsiaTheme="minorEastAsia" w:hAnsiTheme="minorHAnsi" w:cstheme="minorBidi"/>
              <w:noProof/>
              <w:sz w:val="22"/>
              <w:szCs w:val="22"/>
            </w:rPr>
          </w:pPr>
          <w:hyperlink w:anchor="_Toc227526819" w:history="1">
            <w:r w:rsidR="0095790B" w:rsidRPr="004B5169">
              <w:rPr>
                <w:rStyle w:val="Hyperlink"/>
                <w:rFonts w:ascii="Times New Roman" w:hAnsi="Times New Roman" w:cs="Times New Roman"/>
                <w:noProof/>
              </w:rPr>
              <w:t>References</w:t>
            </w:r>
            <w:r w:rsidR="0095790B">
              <w:rPr>
                <w:noProof/>
                <w:webHidden/>
              </w:rPr>
              <w:tab/>
            </w:r>
            <w:r>
              <w:rPr>
                <w:noProof/>
                <w:webHidden/>
              </w:rPr>
              <w:fldChar w:fldCharType="begin"/>
            </w:r>
            <w:r w:rsidR="0095790B">
              <w:rPr>
                <w:noProof/>
                <w:webHidden/>
              </w:rPr>
              <w:instrText xml:space="preserve"> PAGEREF _Toc227526819 \h </w:instrText>
            </w:r>
            <w:r>
              <w:rPr>
                <w:noProof/>
                <w:webHidden/>
              </w:rPr>
            </w:r>
            <w:r>
              <w:rPr>
                <w:noProof/>
                <w:webHidden/>
              </w:rPr>
              <w:fldChar w:fldCharType="separate"/>
            </w:r>
            <w:r w:rsidR="0095790B">
              <w:rPr>
                <w:noProof/>
                <w:webHidden/>
              </w:rPr>
              <w:t>16</w:t>
            </w:r>
            <w:r>
              <w:rPr>
                <w:noProof/>
                <w:webHidden/>
              </w:rPr>
              <w:fldChar w:fldCharType="end"/>
            </w:r>
          </w:hyperlink>
        </w:p>
        <w:p w:rsidR="0095790B" w:rsidRDefault="00ED3C0B">
          <w:pPr>
            <w:pStyle w:val="TOC1"/>
            <w:tabs>
              <w:tab w:val="right" w:leader="dot" w:pos="9156"/>
            </w:tabs>
            <w:rPr>
              <w:rFonts w:asciiTheme="minorHAnsi" w:eastAsiaTheme="minorEastAsia" w:hAnsiTheme="minorHAnsi" w:cstheme="minorBidi"/>
              <w:noProof/>
              <w:sz w:val="22"/>
              <w:szCs w:val="22"/>
            </w:rPr>
          </w:pPr>
          <w:hyperlink w:anchor="_Toc227526820" w:history="1">
            <w:r w:rsidR="0095790B" w:rsidRPr="004B5169">
              <w:rPr>
                <w:rStyle w:val="Hyperlink"/>
                <w:rFonts w:ascii="Times New Roman" w:hAnsi="Times New Roman" w:cs="Times New Roman"/>
                <w:noProof/>
              </w:rPr>
              <w:t>Appendices</w:t>
            </w:r>
            <w:r w:rsidR="0095790B">
              <w:rPr>
                <w:noProof/>
                <w:webHidden/>
              </w:rPr>
              <w:tab/>
            </w:r>
            <w:r>
              <w:rPr>
                <w:noProof/>
                <w:webHidden/>
              </w:rPr>
              <w:fldChar w:fldCharType="begin"/>
            </w:r>
            <w:r w:rsidR="0095790B">
              <w:rPr>
                <w:noProof/>
                <w:webHidden/>
              </w:rPr>
              <w:instrText xml:space="preserve"> PAGEREF _Toc227526820 \h </w:instrText>
            </w:r>
            <w:r>
              <w:rPr>
                <w:noProof/>
                <w:webHidden/>
              </w:rPr>
            </w:r>
            <w:r>
              <w:rPr>
                <w:noProof/>
                <w:webHidden/>
              </w:rPr>
              <w:fldChar w:fldCharType="separate"/>
            </w:r>
            <w:r w:rsidR="0095790B">
              <w:rPr>
                <w:noProof/>
                <w:webHidden/>
              </w:rPr>
              <w:t>18</w:t>
            </w:r>
            <w:r>
              <w:rPr>
                <w:noProof/>
                <w:webHidden/>
              </w:rPr>
              <w:fldChar w:fldCharType="end"/>
            </w:r>
          </w:hyperlink>
        </w:p>
        <w:p w:rsidR="0095790B" w:rsidRDefault="00ED3C0B">
          <w:pPr>
            <w:pStyle w:val="TOC2"/>
            <w:tabs>
              <w:tab w:val="right" w:leader="dot" w:pos="9156"/>
            </w:tabs>
            <w:rPr>
              <w:rFonts w:asciiTheme="minorHAnsi" w:eastAsiaTheme="minorEastAsia" w:hAnsiTheme="minorHAnsi" w:cstheme="minorBidi"/>
              <w:noProof/>
              <w:sz w:val="22"/>
              <w:szCs w:val="22"/>
            </w:rPr>
          </w:pPr>
          <w:hyperlink w:anchor="_Toc227526821" w:history="1">
            <w:r w:rsidR="0095790B" w:rsidRPr="004B5169">
              <w:rPr>
                <w:rStyle w:val="Hyperlink"/>
                <w:rFonts w:ascii="Times New Roman" w:hAnsi="Times New Roman" w:cs="Times New Roman"/>
                <w:noProof/>
              </w:rPr>
              <w:t>Appendix A — Vodafone Group PLC: Annual Reports</w:t>
            </w:r>
            <w:r w:rsidR="0095790B">
              <w:rPr>
                <w:noProof/>
                <w:webHidden/>
              </w:rPr>
              <w:tab/>
            </w:r>
            <w:r>
              <w:rPr>
                <w:noProof/>
                <w:webHidden/>
              </w:rPr>
              <w:fldChar w:fldCharType="begin"/>
            </w:r>
            <w:r w:rsidR="0095790B">
              <w:rPr>
                <w:noProof/>
                <w:webHidden/>
              </w:rPr>
              <w:instrText xml:space="preserve"> PAGEREF _Toc227526821 \h </w:instrText>
            </w:r>
            <w:r>
              <w:rPr>
                <w:noProof/>
                <w:webHidden/>
              </w:rPr>
            </w:r>
            <w:r>
              <w:rPr>
                <w:noProof/>
                <w:webHidden/>
              </w:rPr>
              <w:fldChar w:fldCharType="separate"/>
            </w:r>
            <w:r w:rsidR="0095790B">
              <w:rPr>
                <w:noProof/>
                <w:webHidden/>
              </w:rPr>
              <w:t>18</w:t>
            </w:r>
            <w:r>
              <w:rPr>
                <w:noProof/>
                <w:webHidden/>
              </w:rPr>
              <w:fldChar w:fldCharType="end"/>
            </w:r>
          </w:hyperlink>
        </w:p>
        <w:p w:rsidR="0095790B" w:rsidRDefault="00ED3C0B">
          <w:pPr>
            <w:pStyle w:val="TOC3"/>
            <w:tabs>
              <w:tab w:val="right" w:leader="dot" w:pos="9156"/>
            </w:tabs>
            <w:rPr>
              <w:rFonts w:asciiTheme="minorHAnsi" w:eastAsiaTheme="minorEastAsia" w:hAnsiTheme="minorHAnsi" w:cstheme="minorBidi"/>
              <w:noProof/>
              <w:sz w:val="22"/>
              <w:szCs w:val="22"/>
            </w:rPr>
          </w:pPr>
          <w:hyperlink w:anchor="_Toc227526822" w:history="1">
            <w:r w:rsidR="0095790B" w:rsidRPr="004B5169">
              <w:rPr>
                <w:rStyle w:val="Hyperlink"/>
                <w:rFonts w:ascii="Times New Roman" w:hAnsi="Times New Roman" w:cs="Times New Roman"/>
                <w:noProof/>
              </w:rPr>
              <w:t>Appendix B:</w:t>
            </w:r>
            <w:r w:rsidR="0095790B">
              <w:rPr>
                <w:noProof/>
                <w:webHidden/>
              </w:rPr>
              <w:tab/>
            </w:r>
            <w:r>
              <w:rPr>
                <w:noProof/>
                <w:webHidden/>
              </w:rPr>
              <w:fldChar w:fldCharType="begin"/>
            </w:r>
            <w:r w:rsidR="0095790B">
              <w:rPr>
                <w:noProof/>
                <w:webHidden/>
              </w:rPr>
              <w:instrText xml:space="preserve"> PAGEREF _Toc227526822 \h </w:instrText>
            </w:r>
            <w:r>
              <w:rPr>
                <w:noProof/>
                <w:webHidden/>
              </w:rPr>
            </w:r>
            <w:r>
              <w:rPr>
                <w:noProof/>
                <w:webHidden/>
              </w:rPr>
              <w:fldChar w:fldCharType="separate"/>
            </w:r>
            <w:r w:rsidR="0095790B">
              <w:rPr>
                <w:noProof/>
                <w:webHidden/>
              </w:rPr>
              <w:t>21</w:t>
            </w:r>
            <w:r>
              <w:rPr>
                <w:noProof/>
                <w:webHidden/>
              </w:rPr>
              <w:fldChar w:fldCharType="end"/>
            </w:r>
          </w:hyperlink>
        </w:p>
        <w:p w:rsidR="00102FBB" w:rsidRPr="00B24EDF" w:rsidRDefault="00ED3C0B">
          <w:pPr>
            <w:rPr>
              <w:rFonts w:ascii="Times New Roman" w:hAnsi="Times New Roman" w:cs="Times New Roman"/>
            </w:rPr>
          </w:pPr>
          <w:r w:rsidRPr="00B24EDF">
            <w:rPr>
              <w:rFonts w:ascii="Times New Roman" w:hAnsi="Times New Roman" w:cs="Times New Roman"/>
              <w:b/>
              <w:bCs/>
              <w:noProof/>
            </w:rPr>
            <w:fldChar w:fldCharType="end"/>
          </w:r>
        </w:p>
      </w:sdtContent>
    </w:sdt>
    <w:p w:rsidR="0095790B" w:rsidRDefault="0095790B" w:rsidP="00102FBB">
      <w:pPr>
        <w:spacing w:line="276" w:lineRule="auto"/>
        <w:jc w:val="both"/>
        <w:rPr>
          <w:rFonts w:ascii="Times New Roman" w:hAnsi="Times New Roman" w:cs="Times New Roman"/>
          <w:b/>
          <w:bCs/>
          <w:sz w:val="24"/>
          <w:szCs w:val="24"/>
        </w:rPr>
      </w:pPr>
    </w:p>
    <w:p w:rsidR="0095790B" w:rsidRDefault="0095790B" w:rsidP="00102FBB">
      <w:pPr>
        <w:spacing w:line="276" w:lineRule="auto"/>
        <w:jc w:val="both"/>
        <w:rPr>
          <w:rFonts w:ascii="Times New Roman" w:hAnsi="Times New Roman" w:cs="Times New Roman"/>
          <w:b/>
          <w:bCs/>
          <w:sz w:val="24"/>
          <w:szCs w:val="24"/>
        </w:rPr>
      </w:pPr>
    </w:p>
    <w:p w:rsidR="0095790B" w:rsidRDefault="0095790B" w:rsidP="00102FBB">
      <w:pPr>
        <w:spacing w:line="276" w:lineRule="auto"/>
        <w:jc w:val="both"/>
        <w:rPr>
          <w:rFonts w:ascii="Times New Roman" w:hAnsi="Times New Roman" w:cs="Times New Roman"/>
          <w:b/>
          <w:bCs/>
          <w:sz w:val="24"/>
          <w:szCs w:val="24"/>
        </w:rPr>
      </w:pPr>
    </w:p>
    <w:p w:rsidR="0095790B" w:rsidRDefault="0095790B" w:rsidP="00102FBB">
      <w:pPr>
        <w:spacing w:line="276" w:lineRule="auto"/>
        <w:jc w:val="both"/>
        <w:rPr>
          <w:rFonts w:ascii="Times New Roman" w:hAnsi="Times New Roman" w:cs="Times New Roman"/>
          <w:b/>
          <w:bCs/>
          <w:sz w:val="24"/>
          <w:szCs w:val="24"/>
        </w:rPr>
      </w:pPr>
    </w:p>
    <w:p w:rsidR="0095790B" w:rsidRDefault="0095790B" w:rsidP="00102FBB">
      <w:pPr>
        <w:spacing w:line="276" w:lineRule="auto"/>
        <w:jc w:val="both"/>
        <w:rPr>
          <w:rFonts w:ascii="Times New Roman" w:hAnsi="Times New Roman" w:cs="Times New Roman"/>
          <w:b/>
          <w:bCs/>
          <w:sz w:val="24"/>
          <w:szCs w:val="24"/>
        </w:rPr>
      </w:pPr>
    </w:p>
    <w:p w:rsidR="0095790B" w:rsidRDefault="0095790B" w:rsidP="00102FBB">
      <w:pPr>
        <w:spacing w:line="276" w:lineRule="auto"/>
        <w:jc w:val="both"/>
        <w:rPr>
          <w:rFonts w:ascii="Times New Roman" w:hAnsi="Times New Roman" w:cs="Times New Roman"/>
          <w:b/>
          <w:bCs/>
          <w:sz w:val="24"/>
          <w:szCs w:val="24"/>
        </w:rPr>
      </w:pPr>
    </w:p>
    <w:p w:rsidR="0095790B" w:rsidRDefault="0095790B" w:rsidP="00102FBB">
      <w:pPr>
        <w:spacing w:line="276" w:lineRule="auto"/>
        <w:jc w:val="both"/>
        <w:rPr>
          <w:rFonts w:ascii="Times New Roman" w:hAnsi="Times New Roman" w:cs="Times New Roman"/>
          <w:b/>
          <w:bCs/>
          <w:sz w:val="24"/>
          <w:szCs w:val="24"/>
        </w:rPr>
      </w:pPr>
    </w:p>
    <w:p w:rsidR="0095790B" w:rsidRDefault="0095790B" w:rsidP="00102FBB">
      <w:pPr>
        <w:spacing w:line="276" w:lineRule="auto"/>
        <w:jc w:val="both"/>
        <w:rPr>
          <w:rFonts w:ascii="Times New Roman" w:hAnsi="Times New Roman" w:cs="Times New Roman"/>
          <w:b/>
          <w:bCs/>
          <w:sz w:val="24"/>
          <w:szCs w:val="24"/>
        </w:rPr>
      </w:pPr>
    </w:p>
    <w:p w:rsidR="0095790B" w:rsidRDefault="0095790B" w:rsidP="00102FBB">
      <w:pPr>
        <w:spacing w:line="276" w:lineRule="auto"/>
        <w:jc w:val="both"/>
        <w:rPr>
          <w:rFonts w:ascii="Times New Roman" w:hAnsi="Times New Roman" w:cs="Times New Roman"/>
          <w:b/>
          <w:bCs/>
          <w:sz w:val="24"/>
          <w:szCs w:val="24"/>
        </w:rPr>
      </w:pPr>
    </w:p>
    <w:p w:rsidR="0095790B" w:rsidRDefault="0095790B" w:rsidP="00102FBB">
      <w:pPr>
        <w:spacing w:line="276" w:lineRule="auto"/>
        <w:jc w:val="both"/>
        <w:rPr>
          <w:rFonts w:ascii="Times New Roman" w:hAnsi="Times New Roman" w:cs="Times New Roman"/>
          <w:b/>
          <w:bCs/>
          <w:sz w:val="24"/>
          <w:szCs w:val="24"/>
        </w:rPr>
      </w:pPr>
    </w:p>
    <w:p w:rsidR="0095790B" w:rsidRDefault="0095790B" w:rsidP="00102FBB">
      <w:pPr>
        <w:spacing w:line="276" w:lineRule="auto"/>
        <w:jc w:val="both"/>
        <w:rPr>
          <w:rFonts w:ascii="Times New Roman" w:hAnsi="Times New Roman" w:cs="Times New Roman"/>
          <w:b/>
          <w:bCs/>
          <w:sz w:val="24"/>
          <w:szCs w:val="24"/>
        </w:rPr>
      </w:pPr>
    </w:p>
    <w:p w:rsidR="0095790B" w:rsidRDefault="0095790B" w:rsidP="00102FBB">
      <w:pPr>
        <w:spacing w:line="276" w:lineRule="auto"/>
        <w:jc w:val="both"/>
        <w:rPr>
          <w:rFonts w:ascii="Times New Roman" w:hAnsi="Times New Roman" w:cs="Times New Roman"/>
          <w:b/>
          <w:bCs/>
          <w:sz w:val="24"/>
          <w:szCs w:val="24"/>
        </w:rPr>
      </w:pPr>
    </w:p>
    <w:p w:rsidR="0095790B" w:rsidRDefault="0095790B" w:rsidP="00102FBB">
      <w:pPr>
        <w:spacing w:line="276" w:lineRule="auto"/>
        <w:jc w:val="both"/>
        <w:rPr>
          <w:rFonts w:ascii="Times New Roman" w:hAnsi="Times New Roman" w:cs="Times New Roman"/>
          <w:b/>
          <w:bCs/>
          <w:sz w:val="24"/>
          <w:szCs w:val="24"/>
        </w:rPr>
      </w:pPr>
    </w:p>
    <w:p w:rsidR="0095790B" w:rsidRDefault="0095790B" w:rsidP="00102FBB">
      <w:pPr>
        <w:spacing w:line="276" w:lineRule="auto"/>
        <w:jc w:val="both"/>
        <w:rPr>
          <w:rFonts w:ascii="Times New Roman" w:hAnsi="Times New Roman" w:cs="Times New Roman"/>
          <w:b/>
          <w:bCs/>
          <w:sz w:val="24"/>
          <w:szCs w:val="24"/>
        </w:rPr>
      </w:pPr>
    </w:p>
    <w:p w:rsidR="0095790B" w:rsidRDefault="0095790B" w:rsidP="00102FBB">
      <w:pPr>
        <w:spacing w:line="276" w:lineRule="auto"/>
        <w:jc w:val="both"/>
        <w:rPr>
          <w:rFonts w:ascii="Times New Roman" w:hAnsi="Times New Roman" w:cs="Times New Roman"/>
          <w:b/>
          <w:bCs/>
          <w:sz w:val="24"/>
          <w:szCs w:val="24"/>
        </w:rPr>
      </w:pPr>
    </w:p>
    <w:p w:rsidR="0095790B" w:rsidRDefault="0095790B" w:rsidP="00102FBB">
      <w:pPr>
        <w:spacing w:line="276" w:lineRule="auto"/>
        <w:jc w:val="both"/>
        <w:rPr>
          <w:rFonts w:ascii="Times New Roman" w:hAnsi="Times New Roman" w:cs="Times New Roman"/>
          <w:b/>
          <w:bCs/>
          <w:sz w:val="24"/>
          <w:szCs w:val="24"/>
        </w:rPr>
      </w:pPr>
    </w:p>
    <w:p w:rsidR="0095790B" w:rsidRDefault="0095790B" w:rsidP="00102FBB">
      <w:pPr>
        <w:spacing w:line="276" w:lineRule="auto"/>
        <w:jc w:val="both"/>
        <w:rPr>
          <w:rFonts w:ascii="Times New Roman" w:hAnsi="Times New Roman" w:cs="Times New Roman"/>
          <w:b/>
          <w:bCs/>
          <w:sz w:val="24"/>
          <w:szCs w:val="24"/>
        </w:rPr>
      </w:pPr>
    </w:p>
    <w:p w:rsidR="0095790B" w:rsidRDefault="0095790B" w:rsidP="00102FBB">
      <w:pPr>
        <w:spacing w:line="276" w:lineRule="auto"/>
        <w:jc w:val="both"/>
        <w:rPr>
          <w:rFonts w:ascii="Times New Roman" w:hAnsi="Times New Roman" w:cs="Times New Roman"/>
          <w:b/>
          <w:bCs/>
          <w:sz w:val="24"/>
          <w:szCs w:val="24"/>
        </w:rPr>
      </w:pPr>
    </w:p>
    <w:p w:rsidR="00102FBB" w:rsidRPr="0095790B" w:rsidRDefault="0095790B" w:rsidP="0095790B">
      <w:pPr>
        <w:pStyle w:val="Heading1"/>
        <w:rPr>
          <w:rFonts w:ascii="Times New Roman" w:hAnsi="Times New Roman" w:cs="Times New Roman"/>
          <w:color w:val="auto"/>
        </w:rPr>
      </w:pPr>
      <w:bookmarkStart w:id="2" w:name="_Toc227526801"/>
      <w:r w:rsidRPr="0095790B">
        <w:rPr>
          <w:rFonts w:ascii="Times New Roman" w:hAnsi="Times New Roman" w:cs="Times New Roman"/>
          <w:color w:val="auto"/>
        </w:rPr>
        <w:lastRenderedPageBreak/>
        <w:t>Part 1: Financial Performance Analysis</w:t>
      </w:r>
      <w:bookmarkEnd w:id="2"/>
    </w:p>
    <w:p w:rsidR="00DF4B2D" w:rsidRPr="00B24EDF" w:rsidRDefault="00DF4B2D" w:rsidP="0051268B">
      <w:pPr>
        <w:pStyle w:val="Heading1"/>
        <w:rPr>
          <w:rFonts w:ascii="Times New Roman" w:hAnsi="Times New Roman" w:cs="Times New Roman"/>
          <w:color w:val="auto"/>
        </w:rPr>
      </w:pPr>
      <w:bookmarkStart w:id="3" w:name="_Toc224253800"/>
      <w:bookmarkStart w:id="4" w:name="_Toc227526802"/>
      <w:bookmarkEnd w:id="1"/>
      <w:r w:rsidRPr="00B24EDF">
        <w:rPr>
          <w:rFonts w:ascii="Times New Roman" w:hAnsi="Times New Roman" w:cs="Times New Roman"/>
          <w:color w:val="auto"/>
        </w:rPr>
        <w:t>Overview of Financial Performance</w:t>
      </w:r>
      <w:bookmarkEnd w:id="3"/>
      <w:bookmarkEnd w:id="4"/>
    </w:p>
    <w:p w:rsidR="00DF4B2D" w:rsidRPr="00B24EDF" w:rsidRDefault="00DF4B2D" w:rsidP="00102FBB">
      <w:pPr>
        <w:spacing w:line="276" w:lineRule="auto"/>
        <w:jc w:val="both"/>
        <w:rPr>
          <w:rFonts w:ascii="Times New Roman" w:hAnsi="Times New Roman" w:cs="Times New Roman"/>
          <w:sz w:val="24"/>
          <w:szCs w:val="24"/>
        </w:rPr>
      </w:pPr>
      <w:bookmarkStart w:id="5" w:name="_Toc224253801"/>
      <w:r w:rsidRPr="00B24EDF">
        <w:rPr>
          <w:rFonts w:ascii="Times New Roman" w:hAnsi="Times New Roman" w:cs="Times New Roman"/>
          <w:sz w:val="24"/>
          <w:szCs w:val="24"/>
        </w:rPr>
        <w:t>This report provides a financial analysis of the Vodafone Group PLC of the 2024 and 2025 financial years. Vodafone being a multinational telecommunication firm is in a very capital intensive business which necessitates constant investments in network infrastructure, digital solutions and customer retention. This report aims at analyzing the financial performance of the company in terms of ratio analysis as well as determining its liquidity in the short term, profitability, capital structure, operating efficiency and shareholder returns.</w:t>
      </w:r>
    </w:p>
    <w:p w:rsidR="00DF4B2D" w:rsidRPr="00B24EDF" w:rsidRDefault="00DF4B2D"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The general financial performance of Vodafone at the time period under consideration was diversified. The growth in revenue was minimal as EUR36, 717 million of 2024 got to EUR37,448 million of 2025, whereas the gross profit margin was at approximately 33.4 in 2024 and 2025. It indicates that the company continued to have a reasonable direct service and operating expense control at the gross profit level. The performance however, dwindled at operating profit level. The operating profit margin decreased by 9.98 to -1.10 percent in 2024 and 2025, respectively, and the ROCE went down to 3.11 to -0.38. Such developments show that there is a significant decline in operating performance in 2025.</w:t>
      </w:r>
    </w:p>
    <w:p w:rsidR="00DF4B2D" w:rsidRPr="00B24EDF" w:rsidRDefault="00DF4B2D"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There was an improved liquidity in the same period. The current ratio went up by 0.92 to 1.26 and the quick ratio went up by 0.89 to 1.23 that showed that Vodafone was in better liquidity position in the short term in 2025 than it was in 2024. Conversely, debt-to-equity ratio increased by 93.42 per cent to 98.57 indicating that the degree of financial leverage was also high in comparison to shareholders funds. There were also certain weaknesses in efficiency ratios as the inventory turnover dropped to 40.40 times, and the receivables turnover dropped to 3.98 times. Lastly, the ratio of the return on equity shifted to negative 6.95 in 2025, which represents a net loss incurred by the company during 2025. Vodafone was operationally sound and liquid in the overall, although profitability and shareholder returns worsened significantly in 2025.</w:t>
      </w:r>
    </w:p>
    <w:p w:rsidR="00DF4B2D" w:rsidRPr="00B24EDF" w:rsidRDefault="00DF4B2D" w:rsidP="00102FBB">
      <w:pPr>
        <w:pStyle w:val="Heading1"/>
        <w:rPr>
          <w:rFonts w:ascii="Times New Roman" w:hAnsi="Times New Roman" w:cs="Times New Roman"/>
          <w:color w:val="auto"/>
        </w:rPr>
      </w:pPr>
      <w:bookmarkStart w:id="6" w:name="_Toc227526803"/>
      <w:r w:rsidRPr="00B24EDF">
        <w:rPr>
          <w:rFonts w:ascii="Times New Roman" w:hAnsi="Times New Roman" w:cs="Times New Roman"/>
          <w:color w:val="auto"/>
        </w:rPr>
        <w:t>Company Background and Report Objectives</w:t>
      </w:r>
      <w:bookmarkEnd w:id="5"/>
      <w:bookmarkEnd w:id="6"/>
    </w:p>
    <w:p w:rsidR="00DF4B2D" w:rsidRPr="00B24EDF" w:rsidRDefault="00DF4B2D" w:rsidP="00102FBB">
      <w:pPr>
        <w:spacing w:line="276" w:lineRule="auto"/>
        <w:jc w:val="both"/>
        <w:rPr>
          <w:rFonts w:ascii="Times New Roman" w:hAnsi="Times New Roman" w:cs="Times New Roman"/>
          <w:sz w:val="24"/>
          <w:szCs w:val="24"/>
        </w:rPr>
      </w:pPr>
      <w:bookmarkStart w:id="7" w:name="_Toc224253802"/>
      <w:r w:rsidRPr="00B24EDF">
        <w:rPr>
          <w:rFonts w:ascii="Times New Roman" w:hAnsi="Times New Roman" w:cs="Times New Roman"/>
          <w:sz w:val="24"/>
          <w:szCs w:val="24"/>
        </w:rPr>
        <w:t>Vodafone Group PLC is a group of telecommunications companies that offer mobile, broadband and digital services to millions of customers in various markets in the world (Vodafone, 2024). The telecommunications industry is not similar to most other industries since it involves extremely high costs of capital expenditure, long-term infrastructure investments and constant investment in new technologies 5G and fibre networks (Mclaney, 2017).</w:t>
      </w:r>
    </w:p>
    <w:p w:rsidR="00DF4B2D" w:rsidRPr="00B24EDF" w:rsidRDefault="00DF4B2D"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The external operating environment in telecom companies is growing to be more demanding. The stiff competition, regulatory measures, high energy demand and constant technological changes put pressure on the companies in this sector. Meanwhile, the telecom markets of many European countries are already saturated, and it is hard to raise the prices substantially and retain the market share (Tataru, Fleaca and Fleaca, 2020; Sharma, 2020).</w:t>
      </w:r>
    </w:p>
    <w:p w:rsidR="00DF4B2D" w:rsidRPr="00B24EDF" w:rsidRDefault="00DF4B2D"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 xml:space="preserve">This report aims to evaluate the financial performance of Vodafone in the 2024 and 2025 financial years by analyzing the ratios. The report gives emphasis on five key areas namely profitability, liquidity, gearing, efficiency and investor returns. When accounting data are </w:t>
      </w:r>
      <w:r w:rsidRPr="00B24EDF">
        <w:rPr>
          <w:rFonts w:ascii="Times New Roman" w:hAnsi="Times New Roman" w:cs="Times New Roman"/>
          <w:sz w:val="24"/>
          <w:szCs w:val="24"/>
        </w:rPr>
        <w:lastRenderedPageBreak/>
        <w:t>transformed into comparative ratios, it is simpler to assess the performance of the management and point out certain strengths, weaknesses and financial risks (Horngren et al., 2012; Kogan et al., 2011). The report also identifies the weaknesses of the ratio analysis and ends with the recommendations aimed at enhancing the financial performance and the long-term stability (Gbambil</w:t>
      </w:r>
      <w:r w:rsidR="00F121D9">
        <w:rPr>
          <w:rFonts w:ascii="Times New Roman" w:hAnsi="Times New Roman" w:cs="Times New Roman"/>
          <w:sz w:val="24"/>
          <w:szCs w:val="24"/>
        </w:rPr>
        <w:t xml:space="preserve"> </w:t>
      </w:r>
      <w:r w:rsidRPr="00B24EDF">
        <w:rPr>
          <w:rFonts w:ascii="Times New Roman" w:hAnsi="Times New Roman" w:cs="Times New Roman"/>
          <w:sz w:val="24"/>
          <w:szCs w:val="24"/>
        </w:rPr>
        <w:t>Tobazaa and Gatsi, n.d.).</w:t>
      </w:r>
    </w:p>
    <w:p w:rsidR="00DF4B2D" w:rsidRPr="00B24EDF" w:rsidRDefault="00DF4B2D" w:rsidP="00102FBB">
      <w:pPr>
        <w:pStyle w:val="Heading1"/>
        <w:rPr>
          <w:rFonts w:ascii="Times New Roman" w:hAnsi="Times New Roman" w:cs="Times New Roman"/>
          <w:color w:val="auto"/>
        </w:rPr>
      </w:pPr>
      <w:bookmarkStart w:id="8" w:name="_Toc227526804"/>
      <w:r w:rsidRPr="00B24EDF">
        <w:rPr>
          <w:rFonts w:ascii="Times New Roman" w:hAnsi="Times New Roman" w:cs="Times New Roman"/>
          <w:color w:val="auto"/>
        </w:rPr>
        <w:t>Comparative Ratio Analysis and Interpretation</w:t>
      </w:r>
      <w:bookmarkEnd w:id="7"/>
      <w:bookmarkEnd w:id="8"/>
    </w:p>
    <w:p w:rsidR="00DF4B2D" w:rsidRPr="00B24EDF" w:rsidRDefault="00DF4B2D" w:rsidP="00102FBB">
      <w:pPr>
        <w:spacing w:line="276" w:lineRule="auto"/>
        <w:jc w:val="both"/>
        <w:rPr>
          <w:rFonts w:ascii="Times New Roman" w:hAnsi="Times New Roman" w:cs="Times New Roman"/>
          <w:sz w:val="24"/>
          <w:szCs w:val="24"/>
        </w:rPr>
      </w:pPr>
      <w:bookmarkStart w:id="9" w:name="_Toc224253803"/>
      <w:r w:rsidRPr="00B24EDF">
        <w:rPr>
          <w:rFonts w:ascii="Times New Roman" w:hAnsi="Times New Roman" w:cs="Times New Roman"/>
          <w:sz w:val="24"/>
          <w:szCs w:val="24"/>
        </w:rPr>
        <w:t>Financial ratio analysis is a systematic way of understanding the accounting data and business performance. In a capital-intensive industry like that of telecommunications, ratios prove to be quite handy since big absolute values of revenue, debt and assets alone are not sufficient to determine whether the company is operating efficiently or is generating enough value to its investors. The analysis presented below provides an evaluation of the performance of Vodafone during the two-year period based on the ratio figures provided in the appendix B (Vincent et al., 2025).</w:t>
      </w:r>
    </w:p>
    <w:p w:rsidR="00DF4B2D" w:rsidRPr="00B24EDF" w:rsidRDefault="00DF4B2D" w:rsidP="00102FBB">
      <w:pPr>
        <w:pStyle w:val="Heading2"/>
        <w:spacing w:line="276" w:lineRule="auto"/>
        <w:jc w:val="both"/>
        <w:rPr>
          <w:rFonts w:ascii="Times New Roman" w:hAnsi="Times New Roman" w:cs="Times New Roman"/>
          <w:color w:val="auto"/>
          <w:sz w:val="24"/>
          <w:szCs w:val="24"/>
        </w:rPr>
      </w:pPr>
      <w:bookmarkStart w:id="10" w:name="_Toc227526805"/>
      <w:r w:rsidRPr="00B24EDF">
        <w:rPr>
          <w:rFonts w:ascii="Times New Roman" w:hAnsi="Times New Roman" w:cs="Times New Roman"/>
          <w:color w:val="auto"/>
          <w:sz w:val="24"/>
          <w:szCs w:val="24"/>
        </w:rPr>
        <w:t>Profitability Trends</w:t>
      </w:r>
      <w:bookmarkEnd w:id="9"/>
      <w:bookmarkEnd w:id="10"/>
    </w:p>
    <w:p w:rsidR="00DF4B2D" w:rsidRPr="00B24EDF" w:rsidRDefault="00DF4B2D"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The profitability ratios help to determine the level at which the company can generate profits out of the sales made as well as out of the capital invested in the business.</w:t>
      </w:r>
    </w:p>
    <w:p w:rsidR="00DF4B2D" w:rsidRPr="00B24EDF" w:rsidRDefault="00DF4B2D" w:rsidP="00102FBB">
      <w:pPr>
        <w:spacing w:line="276" w:lineRule="auto"/>
        <w:jc w:val="both"/>
        <w:rPr>
          <w:rFonts w:ascii="Times New Roman" w:hAnsi="Times New Roman" w:cs="Times New Roman"/>
          <w:b/>
          <w:bCs/>
          <w:sz w:val="24"/>
          <w:szCs w:val="24"/>
        </w:rPr>
      </w:pPr>
      <w:r w:rsidRPr="00B24EDF">
        <w:rPr>
          <w:rFonts w:ascii="Times New Roman" w:hAnsi="Times New Roman" w:cs="Times New Roman"/>
          <w:b/>
          <w:bCs/>
          <w:sz w:val="24"/>
          <w:szCs w:val="24"/>
        </w:rPr>
        <w:t>Gross Profit Margin:</w:t>
      </w:r>
    </w:p>
    <w:p w:rsidR="00DF4B2D" w:rsidRPr="00B24EDF" w:rsidRDefault="00DF4B2D"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o</w:t>
      </w:r>
      <w:r w:rsidRPr="00B24EDF">
        <w:rPr>
          <w:rFonts w:ascii="Times New Roman" w:hAnsi="Times New Roman" w:cs="Times New Roman"/>
          <w:sz w:val="24"/>
          <w:szCs w:val="24"/>
        </w:rPr>
        <w:tab/>
        <w:t>2024 Calculation: (EUR12,258m / EUR36,717m)  100 = 33.39%</w:t>
      </w:r>
    </w:p>
    <w:p w:rsidR="00DF4B2D" w:rsidRPr="00B24EDF" w:rsidRDefault="00DF4B2D"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o</w:t>
      </w:r>
      <w:r w:rsidRPr="00B24EDF">
        <w:rPr>
          <w:rFonts w:ascii="Times New Roman" w:hAnsi="Times New Roman" w:cs="Times New Roman"/>
          <w:sz w:val="24"/>
          <w:szCs w:val="24"/>
        </w:rPr>
        <w:tab/>
        <w:t>2025 Calculation: (EUR12,519m / EUR37,448m)  100 = 33.43%</w:t>
      </w:r>
    </w:p>
    <w:p w:rsidR="00DF4B2D" w:rsidRPr="00B24EDF" w:rsidRDefault="00DF4B2D"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Gross profit margin of Vodafone was 33.39 in 2024 and 33.43 in 2025. This indicates that the gross margin of the company was constant over the two years. The minimal increase is also an indication that Vodafone was generally successful in managing direct costs against revenue despite being in a competitive environment and pressure of inflationary costs. The fact that the gross margin has been stable is a good indicator as this means that the basic service operations of the company were still profitable.</w:t>
      </w:r>
    </w:p>
    <w:p w:rsidR="00DF4B2D" w:rsidRPr="00B24EDF" w:rsidRDefault="00DF4B2D" w:rsidP="00102FBB">
      <w:pPr>
        <w:spacing w:line="276" w:lineRule="auto"/>
        <w:jc w:val="both"/>
        <w:rPr>
          <w:rFonts w:ascii="Times New Roman" w:hAnsi="Times New Roman" w:cs="Times New Roman"/>
          <w:b/>
          <w:bCs/>
          <w:sz w:val="24"/>
          <w:szCs w:val="24"/>
        </w:rPr>
      </w:pPr>
      <w:r w:rsidRPr="00B24EDF">
        <w:rPr>
          <w:rFonts w:ascii="Times New Roman" w:hAnsi="Times New Roman" w:cs="Times New Roman"/>
          <w:b/>
          <w:bCs/>
          <w:sz w:val="24"/>
          <w:szCs w:val="24"/>
        </w:rPr>
        <w:t>Operating Profit Margin:</w:t>
      </w:r>
    </w:p>
    <w:p w:rsidR="00DF4B2D" w:rsidRPr="00B24EDF" w:rsidRDefault="00DF4B2D"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o</w:t>
      </w:r>
      <w:r w:rsidRPr="00B24EDF">
        <w:rPr>
          <w:rFonts w:ascii="Times New Roman" w:hAnsi="Times New Roman" w:cs="Times New Roman"/>
          <w:sz w:val="24"/>
          <w:szCs w:val="24"/>
        </w:rPr>
        <w:tab/>
        <w:t>2024 Calculation: (EUR3,665m / EUR36,717m)  100 = 9.98%</w:t>
      </w:r>
    </w:p>
    <w:p w:rsidR="00DF4B2D" w:rsidRPr="00B24EDF" w:rsidRDefault="00DF4B2D"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o</w:t>
      </w:r>
      <w:r w:rsidRPr="00B24EDF">
        <w:rPr>
          <w:rFonts w:ascii="Times New Roman" w:hAnsi="Times New Roman" w:cs="Times New Roman"/>
          <w:sz w:val="24"/>
          <w:szCs w:val="24"/>
        </w:rPr>
        <w:tab/>
        <w:t>2025 Calculation: (-EUR411m / EUR37,448m)  100 = -1.10%</w:t>
      </w:r>
    </w:p>
    <w:p w:rsidR="00DF4B2D" w:rsidRPr="00B24EDF" w:rsidRDefault="00DF4B2D"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Operating profit margin has dropped drastically in 2025 by 9.98 per cent in 2024 to -1.10 per cent in 2025. This is among the most important changes in the analysis as well as evidence of a significant decline in operating performance. The negative margin indicates that the cost of operating the business and the other operating expenses were more than the profit made on the usual running of the business. According to the numbers in the report, this decrease was strongly affected by significant impairment charge that will be recognised in 2025. The management would be concerned about such an outcome as it undermines the quality of earnings and makes it less flexible to invest in the future (Kumar, 2018).</w:t>
      </w:r>
    </w:p>
    <w:p w:rsidR="00DF4B2D" w:rsidRPr="00B24EDF" w:rsidRDefault="00DF4B2D" w:rsidP="00102FBB">
      <w:pPr>
        <w:spacing w:line="276" w:lineRule="auto"/>
        <w:jc w:val="both"/>
        <w:rPr>
          <w:rFonts w:ascii="Times New Roman" w:hAnsi="Times New Roman" w:cs="Times New Roman"/>
          <w:b/>
          <w:bCs/>
          <w:sz w:val="24"/>
          <w:szCs w:val="24"/>
        </w:rPr>
      </w:pPr>
      <w:r w:rsidRPr="00B24EDF">
        <w:rPr>
          <w:rFonts w:ascii="Times New Roman" w:hAnsi="Times New Roman" w:cs="Times New Roman"/>
          <w:b/>
          <w:bCs/>
          <w:sz w:val="24"/>
          <w:szCs w:val="24"/>
        </w:rPr>
        <w:t>Return on Capital Employed (ROCE):</w:t>
      </w:r>
    </w:p>
    <w:p w:rsidR="00DF4B2D" w:rsidRPr="00B24EDF" w:rsidRDefault="00DF4B2D"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o</w:t>
      </w:r>
      <w:r w:rsidRPr="00B24EDF">
        <w:rPr>
          <w:rFonts w:ascii="Times New Roman" w:hAnsi="Times New Roman" w:cs="Times New Roman"/>
          <w:sz w:val="24"/>
          <w:szCs w:val="24"/>
        </w:rPr>
        <w:tab/>
        <w:t>2024 Calculation: (EUR3,665m / EUR117,985m)  100 = 3.11%</w:t>
      </w:r>
    </w:p>
    <w:p w:rsidR="00DF4B2D" w:rsidRPr="00B24EDF" w:rsidRDefault="00DF4B2D"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o</w:t>
      </w:r>
      <w:r w:rsidRPr="00B24EDF">
        <w:rPr>
          <w:rFonts w:ascii="Times New Roman" w:hAnsi="Times New Roman" w:cs="Times New Roman"/>
          <w:sz w:val="24"/>
          <w:szCs w:val="24"/>
        </w:rPr>
        <w:tab/>
        <w:t>2025 Calculation: (-EUR411m / EUR107,059m) * 100 = -0.38%</w:t>
      </w:r>
    </w:p>
    <w:p w:rsidR="00DF4B2D" w:rsidRPr="00B24EDF" w:rsidRDefault="00DF4B2D"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(Note: Capital Employed = Total Equity + Total Debt)</w:t>
      </w:r>
    </w:p>
    <w:p w:rsidR="00DF4B2D" w:rsidRPr="00B24EDF" w:rsidRDefault="00DF4B2D" w:rsidP="00102FBB">
      <w:pPr>
        <w:spacing w:line="276" w:lineRule="auto"/>
        <w:jc w:val="both"/>
        <w:rPr>
          <w:rFonts w:ascii="Times New Roman" w:eastAsiaTheme="minorHAnsi" w:hAnsi="Times New Roman" w:cs="Times New Roman"/>
          <w:sz w:val="24"/>
          <w:szCs w:val="24"/>
        </w:rPr>
      </w:pPr>
      <w:bookmarkStart w:id="11" w:name="_Toc224253804"/>
      <w:r w:rsidRPr="00B24EDF">
        <w:rPr>
          <w:rFonts w:ascii="Times New Roman" w:eastAsiaTheme="minorHAnsi" w:hAnsi="Times New Roman" w:cs="Times New Roman"/>
          <w:sz w:val="24"/>
          <w:szCs w:val="24"/>
        </w:rPr>
        <w:t xml:space="preserve">ROCE fell from 3.11% in 2024 to -0.38% in 2025. This shows that Vodafone is making a negative payback on the amount of capital it has used in the business in 2025. This ratio is of </w:t>
      </w:r>
      <w:r w:rsidRPr="00B24EDF">
        <w:rPr>
          <w:rFonts w:ascii="Times New Roman" w:eastAsiaTheme="minorHAnsi" w:hAnsi="Times New Roman" w:cs="Times New Roman"/>
          <w:sz w:val="24"/>
          <w:szCs w:val="24"/>
        </w:rPr>
        <w:lastRenderedPageBreak/>
        <w:t>significance to a telecommunications company especially, since the business relies on extremely huge investments in networks, spectrum permits and digital infrastructure. A low ROCE indicates that the firm was not generating a satisfactory amount of returns on these resources in the year in question. This undermines financial viability of future capital growth unless profitability will be enhanced in later periods (Ratni and Purnamayasa, 2026).</w:t>
      </w:r>
    </w:p>
    <w:p w:rsidR="00DF4B2D" w:rsidRPr="00B24EDF" w:rsidRDefault="00DF4B2D"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By and large, the profitability analysis indicates that Vodafone did not make any significant changes in gross performance, however, it suffered a severe decrease in operating and capital efficiency in 2025.</w:t>
      </w:r>
    </w:p>
    <w:p w:rsidR="00DF4B2D" w:rsidRPr="00B24EDF" w:rsidRDefault="00DF4B2D" w:rsidP="00102FBB">
      <w:pPr>
        <w:pStyle w:val="Heading2"/>
        <w:spacing w:line="276" w:lineRule="auto"/>
        <w:jc w:val="both"/>
        <w:rPr>
          <w:rFonts w:ascii="Times New Roman" w:hAnsi="Times New Roman" w:cs="Times New Roman"/>
          <w:color w:val="auto"/>
          <w:sz w:val="24"/>
          <w:szCs w:val="24"/>
        </w:rPr>
      </w:pPr>
      <w:bookmarkStart w:id="12" w:name="_Toc227526806"/>
      <w:r w:rsidRPr="00B24EDF">
        <w:rPr>
          <w:rFonts w:ascii="Times New Roman" w:hAnsi="Times New Roman" w:cs="Times New Roman"/>
          <w:color w:val="auto"/>
          <w:sz w:val="24"/>
          <w:szCs w:val="24"/>
        </w:rPr>
        <w:t>Liquidity Ratios</w:t>
      </w:r>
      <w:bookmarkEnd w:id="11"/>
      <w:bookmarkEnd w:id="12"/>
    </w:p>
    <w:p w:rsidR="00DF4B2D" w:rsidRPr="00B24EDF" w:rsidRDefault="00DF4B2D"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Liquidity ratios determine the capability of the company to pay off short term commitments by using the current assets.</w:t>
      </w:r>
    </w:p>
    <w:p w:rsidR="00DF4B2D" w:rsidRPr="00B24EDF" w:rsidRDefault="00DF4B2D" w:rsidP="00102FBB">
      <w:pPr>
        <w:spacing w:line="276" w:lineRule="auto"/>
        <w:jc w:val="both"/>
        <w:rPr>
          <w:rFonts w:ascii="Times New Roman" w:hAnsi="Times New Roman" w:cs="Times New Roman"/>
          <w:b/>
          <w:bCs/>
          <w:sz w:val="24"/>
          <w:szCs w:val="24"/>
        </w:rPr>
      </w:pPr>
      <w:r w:rsidRPr="00B24EDF">
        <w:rPr>
          <w:rFonts w:ascii="Times New Roman" w:hAnsi="Times New Roman" w:cs="Times New Roman"/>
          <w:b/>
          <w:bCs/>
          <w:sz w:val="24"/>
          <w:szCs w:val="24"/>
        </w:rPr>
        <w:t>Current Ratio:</w:t>
      </w:r>
    </w:p>
    <w:p w:rsidR="00DF4B2D" w:rsidRPr="00B24EDF" w:rsidRDefault="00DF4B2D"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o</w:t>
      </w:r>
      <w:r w:rsidRPr="00B24EDF">
        <w:rPr>
          <w:rFonts w:ascii="Times New Roman" w:hAnsi="Times New Roman" w:cs="Times New Roman"/>
          <w:sz w:val="24"/>
          <w:szCs w:val="24"/>
        </w:rPr>
        <w:tab/>
        <w:t>2024 Calculation: EUR20,513m / EUR22,352m = 0.92</w:t>
      </w:r>
    </w:p>
    <w:p w:rsidR="00DF4B2D" w:rsidRPr="00B24EDF" w:rsidRDefault="00DF4B2D"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o</w:t>
      </w:r>
      <w:r w:rsidRPr="00B24EDF">
        <w:rPr>
          <w:rFonts w:ascii="Times New Roman" w:hAnsi="Times New Roman" w:cs="Times New Roman"/>
          <w:sz w:val="24"/>
          <w:szCs w:val="24"/>
        </w:rPr>
        <w:tab/>
        <w:t>2025 Calculation: EUR28,620m / EUR22,754m = 1.26</w:t>
      </w:r>
    </w:p>
    <w:p w:rsidR="00DF4B2D" w:rsidRPr="00B24EDF" w:rsidRDefault="00DF4B2D"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There was an increase in the current ratio that stood at 0.92 in 2024 to 1.26 in 2025. This implies that the liquidity position of Vodafone improved significantly in the year. Current assets and current liabilities were also below each other in 2024 and this denoted a relatively limited liquidity position. By 2025, though, current assets were adequate enough to meet current liabilities. This enhancement implies a greater short-term liquidity cushion and less liquidity risk (Ying and Chan, 2025).</w:t>
      </w:r>
    </w:p>
    <w:p w:rsidR="00DF4B2D" w:rsidRPr="00B24EDF" w:rsidRDefault="00DF4B2D" w:rsidP="00102FBB">
      <w:pPr>
        <w:spacing w:line="276" w:lineRule="auto"/>
        <w:jc w:val="both"/>
        <w:rPr>
          <w:rFonts w:ascii="Times New Roman" w:hAnsi="Times New Roman" w:cs="Times New Roman"/>
          <w:b/>
          <w:bCs/>
          <w:sz w:val="24"/>
          <w:szCs w:val="24"/>
        </w:rPr>
      </w:pPr>
      <w:r w:rsidRPr="00B24EDF">
        <w:rPr>
          <w:rFonts w:ascii="Times New Roman" w:hAnsi="Times New Roman" w:cs="Times New Roman"/>
          <w:b/>
          <w:bCs/>
          <w:sz w:val="24"/>
          <w:szCs w:val="24"/>
        </w:rPr>
        <w:t>Quick Ratio (Acid Test):</w:t>
      </w:r>
    </w:p>
    <w:p w:rsidR="00DF4B2D" w:rsidRPr="00B24EDF" w:rsidRDefault="00DF4B2D"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o</w:t>
      </w:r>
      <w:r w:rsidRPr="00B24EDF">
        <w:rPr>
          <w:rFonts w:ascii="Times New Roman" w:hAnsi="Times New Roman" w:cs="Times New Roman"/>
          <w:sz w:val="24"/>
          <w:szCs w:val="24"/>
        </w:rPr>
        <w:tab/>
        <w:t>2024 Calculation: (EUR20,513m - EUR568m) / EUR22,352m = 0.89</w:t>
      </w:r>
    </w:p>
    <w:p w:rsidR="00DF4B2D" w:rsidRPr="00B24EDF" w:rsidRDefault="00DF4B2D"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o</w:t>
      </w:r>
      <w:r w:rsidRPr="00B24EDF">
        <w:rPr>
          <w:rFonts w:ascii="Times New Roman" w:hAnsi="Times New Roman" w:cs="Times New Roman"/>
          <w:sz w:val="24"/>
          <w:szCs w:val="24"/>
        </w:rPr>
        <w:tab/>
        <w:t>2025 Calculation: (EUR28,620m - EUR617m) / EUR22,754m = 1.23</w:t>
      </w:r>
    </w:p>
    <w:p w:rsidR="00DF4B2D" w:rsidRPr="00B24EDF" w:rsidRDefault="00DF4B2D" w:rsidP="00102FBB">
      <w:pPr>
        <w:spacing w:line="276" w:lineRule="auto"/>
        <w:jc w:val="both"/>
        <w:rPr>
          <w:rFonts w:ascii="Times New Roman" w:eastAsiaTheme="minorHAnsi" w:hAnsi="Times New Roman" w:cs="Times New Roman"/>
          <w:sz w:val="24"/>
          <w:szCs w:val="24"/>
        </w:rPr>
      </w:pPr>
      <w:bookmarkStart w:id="13" w:name="_Toc224253807"/>
      <w:r w:rsidRPr="00B24EDF">
        <w:rPr>
          <w:rFonts w:ascii="Times New Roman" w:eastAsiaTheme="minorHAnsi" w:hAnsi="Times New Roman" w:cs="Times New Roman"/>
          <w:sz w:val="24"/>
          <w:szCs w:val="24"/>
        </w:rPr>
        <w:t>The quick ratio also went better and climbed to 1.23 in 2025 compared to a 0.89 in 2024. Vodafone has a relatively low inventory, in comparison with manufacturing and retail business, so the quick ratio gives a very convenient measure of solvency in the short term. The ratio in 2025 is greater than 1, meaning that the company contained sufficient liquid assets (not including inventory) to pay its present obligations. This is a positive trend in the working capital management and indicates that Vodafone began the year 2025 in a more comfortable liquidity stand than it was in the preceding year (Saha, 2020).</w:t>
      </w:r>
    </w:p>
    <w:p w:rsidR="00DF4B2D" w:rsidRPr="00B24EDF" w:rsidRDefault="00DF4B2D" w:rsidP="00102FBB">
      <w:pPr>
        <w:pStyle w:val="Heading2"/>
        <w:spacing w:line="276" w:lineRule="auto"/>
        <w:jc w:val="both"/>
        <w:rPr>
          <w:rFonts w:ascii="Times New Roman" w:hAnsi="Times New Roman" w:cs="Times New Roman"/>
          <w:color w:val="auto"/>
          <w:sz w:val="24"/>
          <w:szCs w:val="24"/>
        </w:rPr>
      </w:pPr>
      <w:bookmarkStart w:id="14" w:name="_Toc227526807"/>
      <w:r w:rsidRPr="00B24EDF">
        <w:rPr>
          <w:rFonts w:ascii="Times New Roman" w:hAnsi="Times New Roman" w:cs="Times New Roman"/>
          <w:color w:val="auto"/>
          <w:sz w:val="24"/>
          <w:szCs w:val="24"/>
        </w:rPr>
        <w:t>Gearing Ratios</w:t>
      </w:r>
      <w:bookmarkEnd w:id="13"/>
      <w:bookmarkEnd w:id="14"/>
    </w:p>
    <w:p w:rsidR="00DF4B2D" w:rsidRPr="00B24EDF" w:rsidRDefault="00DF4B2D"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The gearing ratios indicate how much the company is dependent on borrowed capital as compared to the equity of the shareholders.</w:t>
      </w:r>
    </w:p>
    <w:p w:rsidR="00DF4B2D" w:rsidRPr="00B24EDF" w:rsidRDefault="00DF4B2D"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Debt to Equity Ratio:</w:t>
      </w:r>
    </w:p>
    <w:p w:rsidR="00DF4B2D" w:rsidRPr="00B24EDF" w:rsidRDefault="00DF4B2D"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o</w:t>
      </w:r>
      <w:r w:rsidRPr="00B24EDF">
        <w:rPr>
          <w:rFonts w:ascii="Times New Roman" w:hAnsi="Times New Roman" w:cs="Times New Roman"/>
          <w:sz w:val="24"/>
          <w:szCs w:val="24"/>
        </w:rPr>
        <w:tab/>
        <w:t>2024 Calculation: (EUR56,987m / EUR60,998m) * 100 = 93.42%</w:t>
      </w:r>
    </w:p>
    <w:p w:rsidR="00DF4B2D" w:rsidRPr="00B24EDF" w:rsidRDefault="00DF4B2D"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o</w:t>
      </w:r>
      <w:r w:rsidRPr="00B24EDF">
        <w:rPr>
          <w:rFonts w:ascii="Times New Roman" w:hAnsi="Times New Roman" w:cs="Times New Roman"/>
          <w:sz w:val="24"/>
          <w:szCs w:val="24"/>
        </w:rPr>
        <w:tab/>
        <w:t>2025 Calculation: (EUR53,143m / EUR53,916m) * 100 = 98.57%</w:t>
      </w:r>
    </w:p>
    <w:p w:rsidR="00DF4B2D" w:rsidRPr="00B24EDF" w:rsidRDefault="00DF4B2D" w:rsidP="00102FBB">
      <w:pPr>
        <w:spacing w:line="276" w:lineRule="auto"/>
        <w:jc w:val="both"/>
        <w:rPr>
          <w:rFonts w:ascii="Times New Roman" w:hAnsi="Times New Roman" w:cs="Times New Roman"/>
          <w:sz w:val="24"/>
          <w:szCs w:val="24"/>
        </w:rPr>
      </w:pPr>
      <w:bookmarkStart w:id="15" w:name="_Toc224253809"/>
      <w:r w:rsidRPr="00B24EDF">
        <w:rPr>
          <w:rFonts w:ascii="Times New Roman" w:hAnsi="Times New Roman" w:cs="Times New Roman"/>
          <w:sz w:val="24"/>
          <w:szCs w:val="24"/>
        </w:rPr>
        <w:t>The debt to equity ratio of Vodafone rose to 98.57 in 2025 as compared to the 93.42 in 2024. This implies that the company was very leveraged and debt financing came so close to the overall equity base. Even though there was a decrease of total debt in absolute terms, the total equity decreased and this led to the increase in the ratio. A gearing of nearly 100 per cent indicates that Vodafone still experiences significant financial risk especially in a setting of fluctuating interest rates and huge capital obligations (Raju and Madhuri, 2020).</w:t>
      </w:r>
    </w:p>
    <w:p w:rsidR="00DF4B2D" w:rsidRPr="00B24EDF" w:rsidRDefault="00DF4B2D" w:rsidP="00102FBB">
      <w:pPr>
        <w:pStyle w:val="Heading2"/>
        <w:spacing w:line="276" w:lineRule="auto"/>
        <w:jc w:val="both"/>
        <w:rPr>
          <w:rFonts w:ascii="Times New Roman" w:hAnsi="Times New Roman" w:cs="Times New Roman"/>
          <w:color w:val="auto"/>
          <w:sz w:val="24"/>
          <w:szCs w:val="24"/>
        </w:rPr>
      </w:pPr>
      <w:bookmarkStart w:id="16" w:name="_Toc227526808"/>
      <w:r w:rsidRPr="00B24EDF">
        <w:rPr>
          <w:rFonts w:ascii="Times New Roman" w:hAnsi="Times New Roman" w:cs="Times New Roman"/>
          <w:color w:val="auto"/>
          <w:sz w:val="24"/>
          <w:szCs w:val="24"/>
        </w:rPr>
        <w:lastRenderedPageBreak/>
        <w:t>Efficiency Metrics</w:t>
      </w:r>
      <w:bookmarkEnd w:id="15"/>
      <w:bookmarkEnd w:id="16"/>
    </w:p>
    <w:p w:rsidR="00DF4B2D" w:rsidRPr="00B24EDF" w:rsidRDefault="00DF4B2D"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Efficiency ratios involve determining how the company manages its resources to make an income</w:t>
      </w:r>
    </w:p>
    <w:p w:rsidR="00DF4B2D" w:rsidRPr="00B24EDF" w:rsidRDefault="00DF4B2D" w:rsidP="00102FBB">
      <w:pPr>
        <w:spacing w:line="276" w:lineRule="auto"/>
        <w:jc w:val="both"/>
        <w:rPr>
          <w:rFonts w:ascii="Times New Roman" w:hAnsi="Times New Roman" w:cs="Times New Roman"/>
          <w:b/>
          <w:bCs/>
          <w:sz w:val="24"/>
          <w:szCs w:val="24"/>
        </w:rPr>
      </w:pPr>
      <w:r w:rsidRPr="00B24EDF">
        <w:rPr>
          <w:rFonts w:ascii="Times New Roman" w:hAnsi="Times New Roman" w:cs="Times New Roman"/>
          <w:b/>
          <w:bCs/>
          <w:sz w:val="24"/>
          <w:szCs w:val="24"/>
        </w:rPr>
        <w:t>Inventory Turnover:</w:t>
      </w:r>
    </w:p>
    <w:p w:rsidR="00DF4B2D" w:rsidRPr="00B24EDF" w:rsidRDefault="00DF4B2D"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o</w:t>
      </w:r>
      <w:r w:rsidRPr="00B24EDF">
        <w:rPr>
          <w:rFonts w:ascii="Times New Roman" w:hAnsi="Times New Roman" w:cs="Times New Roman"/>
          <w:sz w:val="24"/>
          <w:szCs w:val="24"/>
        </w:rPr>
        <w:tab/>
        <w:t>2024 Calculation: EUR24,459m/ EUR568m= 43.06 times.</w:t>
      </w:r>
    </w:p>
    <w:p w:rsidR="00DF4B2D" w:rsidRPr="00B24EDF" w:rsidRDefault="00DF4B2D"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o</w:t>
      </w:r>
      <w:r w:rsidRPr="00B24EDF">
        <w:rPr>
          <w:rFonts w:ascii="Times New Roman" w:hAnsi="Times New Roman" w:cs="Times New Roman"/>
          <w:sz w:val="24"/>
          <w:szCs w:val="24"/>
        </w:rPr>
        <w:tab/>
        <w:t>2025 Calculation: EUR24,929m/ EUR617m = 40.40times</w:t>
      </w:r>
    </w:p>
    <w:p w:rsidR="00DF4B2D" w:rsidRPr="00B24EDF" w:rsidRDefault="00DF4B2D"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The inventory turnover decreased as 43.06 times in 2024 to 40.40 times in 2025. This is still a high turnover rate but this is normal in the telecommunications industry as the value of inventory is relatively low, the decrease indicates that inventory was a bit slower in 2025. This can be an indication of poor stock effectiveness or a slight rise in inventory as opposed to cost of sales. Nevertheless, the ratio is good as compared to most of the other industries and the business does not seem to be having too much inventory risk.</w:t>
      </w:r>
    </w:p>
    <w:p w:rsidR="00DF4B2D" w:rsidRPr="00B24EDF" w:rsidRDefault="00DF4B2D"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Receivables Turnover:</w:t>
      </w:r>
    </w:p>
    <w:p w:rsidR="00DF4B2D" w:rsidRPr="00B24EDF" w:rsidRDefault="00DF4B2D"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o</w:t>
      </w:r>
      <w:r w:rsidRPr="00B24EDF">
        <w:rPr>
          <w:rFonts w:ascii="Times New Roman" w:hAnsi="Times New Roman" w:cs="Times New Roman"/>
          <w:sz w:val="24"/>
          <w:szCs w:val="24"/>
        </w:rPr>
        <w:tab/>
        <w:t>2024 Calculation: EUR36,717m/ EUR8,594m= 4.27 times.</w:t>
      </w:r>
    </w:p>
    <w:p w:rsidR="00DF4B2D" w:rsidRPr="00B24EDF" w:rsidRDefault="00DF4B2D"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o</w:t>
      </w:r>
      <w:r w:rsidRPr="00B24EDF">
        <w:rPr>
          <w:rFonts w:ascii="Times New Roman" w:hAnsi="Times New Roman" w:cs="Times New Roman"/>
          <w:sz w:val="24"/>
          <w:szCs w:val="24"/>
        </w:rPr>
        <w:tab/>
        <w:t>2025 Calculation: EUR37,448m/ EUR9,404m = 3.98 times.</w:t>
      </w:r>
    </w:p>
    <w:p w:rsidR="00DF4B2D" w:rsidRPr="00B24EDF" w:rsidRDefault="00DF4B2D" w:rsidP="00102FBB">
      <w:pPr>
        <w:spacing w:line="276" w:lineRule="auto"/>
        <w:jc w:val="both"/>
        <w:rPr>
          <w:rFonts w:ascii="Times New Roman" w:eastAsiaTheme="minorHAnsi" w:hAnsi="Times New Roman" w:cs="Times New Roman"/>
          <w:sz w:val="24"/>
          <w:szCs w:val="24"/>
        </w:rPr>
      </w:pPr>
      <w:bookmarkStart w:id="17" w:name="_Toc224253812"/>
      <w:r w:rsidRPr="00B24EDF">
        <w:rPr>
          <w:rFonts w:ascii="Times New Roman" w:eastAsiaTheme="minorHAnsi" w:hAnsi="Times New Roman" w:cs="Times New Roman"/>
          <w:sz w:val="24"/>
          <w:szCs w:val="24"/>
        </w:rPr>
        <w:t>The turnover of receivables also decreased since 4.27 times in 2024 dropped to 3.98 times in 2025. This implies that the collection speed of receivables in 2025 was lower than in the last year. A decreased receivables turnover will in general mean that the collection period will increase and it may strain the working capital and cash flow. This is possibly in part true in the case of Vodafone where the nature of larger business and government clients can be extended payment terms. Nevertheless, the downturn still indicates that credit management and collection efficiency are to be paid attention to.</w:t>
      </w:r>
    </w:p>
    <w:p w:rsidR="00DF4B2D" w:rsidRPr="00B24EDF" w:rsidRDefault="00DF4B2D"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Investor Ratios</w:t>
      </w:r>
      <w:bookmarkEnd w:id="17"/>
    </w:p>
    <w:p w:rsidR="00DF4B2D" w:rsidRPr="00B24EDF" w:rsidRDefault="00DF4B2D"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Return on Equity (ROE):</w:t>
      </w:r>
    </w:p>
    <w:p w:rsidR="00DF4B2D" w:rsidRPr="00B24EDF" w:rsidRDefault="00DF4B2D"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o</w:t>
      </w:r>
      <w:r w:rsidRPr="00B24EDF">
        <w:rPr>
          <w:rFonts w:ascii="Times New Roman" w:hAnsi="Times New Roman" w:cs="Times New Roman"/>
          <w:sz w:val="24"/>
          <w:szCs w:val="24"/>
        </w:rPr>
        <w:tab/>
        <w:t>2024 Calculation: (EUR1,505m / EUR60,998m) * 100 = 2.47%</w:t>
      </w:r>
    </w:p>
    <w:p w:rsidR="00DF4B2D" w:rsidRPr="00B24EDF" w:rsidRDefault="00DF4B2D"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o</w:t>
      </w:r>
      <w:r w:rsidRPr="00B24EDF">
        <w:rPr>
          <w:rFonts w:ascii="Times New Roman" w:hAnsi="Times New Roman" w:cs="Times New Roman"/>
          <w:sz w:val="24"/>
          <w:szCs w:val="24"/>
        </w:rPr>
        <w:tab/>
        <w:t>2025 Calculation: (-EUR3,746m / EUR53,916m) * 100 = -6.95%</w:t>
      </w:r>
    </w:p>
    <w:p w:rsidR="00DF4B2D" w:rsidRPr="00B24EDF" w:rsidRDefault="00DF4B2D" w:rsidP="00102FBB">
      <w:pPr>
        <w:spacing w:line="276" w:lineRule="auto"/>
        <w:jc w:val="both"/>
        <w:rPr>
          <w:rFonts w:ascii="Times New Roman" w:hAnsi="Times New Roman" w:cs="Times New Roman"/>
          <w:sz w:val="24"/>
          <w:szCs w:val="24"/>
        </w:rPr>
      </w:pPr>
      <w:bookmarkStart w:id="18" w:name="_Toc224253814"/>
      <w:r w:rsidRPr="00B24EDF">
        <w:rPr>
          <w:rFonts w:ascii="Times New Roman" w:hAnsi="Times New Roman" w:cs="Times New Roman"/>
          <w:sz w:val="24"/>
          <w:szCs w:val="24"/>
        </w:rPr>
        <w:t>Return on Equity decreased to -6.95% in 2025 as compared to 2.47 in 2024. This implies that Vodafone has transitioned between a small positive payoff on the capital of the shareholders to an</w:t>
      </w:r>
      <w:r w:rsidR="00384942">
        <w:rPr>
          <w:rFonts w:ascii="Times New Roman" w:hAnsi="Times New Roman" w:cs="Times New Roman"/>
          <w:sz w:val="24"/>
          <w:szCs w:val="24"/>
        </w:rPr>
        <w:t xml:space="preserve"> unfavorable payoff in 2025(Mr. </w:t>
      </w:r>
      <w:r w:rsidRPr="00B24EDF">
        <w:rPr>
          <w:rFonts w:ascii="Times New Roman" w:hAnsi="Times New Roman" w:cs="Times New Roman"/>
          <w:sz w:val="24"/>
          <w:szCs w:val="24"/>
        </w:rPr>
        <w:t>Pampari Manikanta, Mrs. P. Prasanna and Dr. Chokkamreddy Prakash, 2024). The change represents the net decrease in value in the year and shows that the creation of shareholder value deteriorated significantly during the period. A negative ROE is a great warning as it indicates that the business has made no profit with the amount of capital invested by the shareholders. A single year loss does not automatically define the performance in the long-term but it would definitely raise the eyebrows of the investors and may hit the confidence of the market in case the profitability does not go up (Fernandez and Arana, 2010).</w:t>
      </w:r>
    </w:p>
    <w:p w:rsidR="00DF4B2D" w:rsidRPr="00B24EDF" w:rsidRDefault="00DF4B2D" w:rsidP="00102FBB">
      <w:pPr>
        <w:pStyle w:val="Heading1"/>
        <w:rPr>
          <w:rFonts w:ascii="Times New Roman" w:hAnsi="Times New Roman" w:cs="Times New Roman"/>
          <w:color w:val="auto"/>
        </w:rPr>
      </w:pPr>
      <w:bookmarkStart w:id="19" w:name="_Toc227526809"/>
      <w:r w:rsidRPr="00B24EDF">
        <w:rPr>
          <w:rFonts w:ascii="Times New Roman" w:hAnsi="Times New Roman" w:cs="Times New Roman"/>
          <w:color w:val="auto"/>
        </w:rPr>
        <w:t>Critical Evaluation of Accounting Ratios</w:t>
      </w:r>
      <w:bookmarkStart w:id="20" w:name="_Toc224253815"/>
      <w:bookmarkEnd w:id="18"/>
      <w:bookmarkEnd w:id="19"/>
    </w:p>
    <w:bookmarkEnd w:id="20"/>
    <w:p w:rsidR="00DF4B2D" w:rsidRPr="00B24EDF" w:rsidRDefault="00DF4B2D"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Ratio analysis can also be an effective way of studying financial performance, which should not be regarded as a full basis of strategic decision-making. Despite the fact that ratios are used to simplify the main financial relationships, they do not give a comprehensive picture of the overall status of a company (Grover and Saeed, 2003).</w:t>
      </w:r>
    </w:p>
    <w:p w:rsidR="00DF4B2D" w:rsidRPr="00B24EDF" w:rsidRDefault="00DF4B2D"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 xml:space="preserve">A significant weakness is that ratios are based on past financial reports. They rely on the previous outcomes and thus indicate what has already occurred as opposed to what should </w:t>
      </w:r>
      <w:r w:rsidRPr="00B24EDF">
        <w:rPr>
          <w:rFonts w:ascii="Times New Roman" w:hAnsi="Times New Roman" w:cs="Times New Roman"/>
          <w:sz w:val="24"/>
          <w:szCs w:val="24"/>
        </w:rPr>
        <w:lastRenderedPageBreak/>
        <w:t>occur in future (Vaghela and Sodha, 2025). This is more so in the telecommunications sector where companies are in an environment that is characterized by the fast pace of development of technologies, shifting regulations, and aggressive competition in the market. Consequently, the usefulness of past ratios can be minimal when circumstances are rapidly evolving (Singh, 2019; Madura, 2021).</w:t>
      </w:r>
    </w:p>
    <w:p w:rsidR="00DF4B2D" w:rsidRPr="00B24EDF" w:rsidRDefault="00DF4B2D"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Another weakness is that the ratios may be affected by accounting policies and procedures. Depreciation, impairment losses and asset valuation procedures are some of the items that can largely influence the reported profits and the capital values. This can also have a significant impact on ratios such as ROCE and ROE in capital-intensive industries such as telecommunications, where the underlying cash-generating power of the company has not also changed at the same rate (Drew and Dollery, 2015; Cernius and Birskyte, 2020).</w:t>
      </w:r>
    </w:p>
    <w:p w:rsidR="00DF4B2D" w:rsidRPr="00B24EDF" w:rsidRDefault="00DF4B2D"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On the whole, the ratio analysis is a significant instrument that can be employed to evaluate the performance of Vodafone, although it is necessary to employ other types of analysis to make a more balanced and credible decision regarding the financial health of this company.</w:t>
      </w:r>
    </w:p>
    <w:p w:rsidR="00DF4B2D" w:rsidRPr="00B24EDF" w:rsidRDefault="00DF4B2D" w:rsidP="00102FBB">
      <w:pPr>
        <w:pStyle w:val="Heading1"/>
        <w:rPr>
          <w:rFonts w:ascii="Times New Roman" w:hAnsi="Times New Roman" w:cs="Times New Roman"/>
          <w:color w:val="auto"/>
        </w:rPr>
      </w:pPr>
      <w:bookmarkStart w:id="21" w:name="_Toc227526810"/>
      <w:r w:rsidRPr="00B24EDF">
        <w:rPr>
          <w:rFonts w:ascii="Times New Roman" w:hAnsi="Times New Roman" w:cs="Times New Roman"/>
          <w:color w:val="auto"/>
        </w:rPr>
        <w:t>Summary of Findings</w:t>
      </w:r>
      <w:bookmarkEnd w:id="21"/>
    </w:p>
    <w:p w:rsidR="00DF4B2D" w:rsidRPr="00B24EDF" w:rsidRDefault="00DF4B2D"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The analysis indicates that the financial position of Vodafone in the year 2025 was varied. On the upside, there was a slight growth in revenue, gross profit margin was maintained and current ratio as well as quick ratio improved substantially. Such developments indicate that the company was having a consistent gross trading position and improved its short-term liquidity.</w:t>
      </w:r>
    </w:p>
    <w:p w:rsidR="00DF4B2D" w:rsidRPr="00B24EDF" w:rsidRDefault="00DF4B2D"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Nevertheless, the less powerful areas of performance were greater. Operating profit margin went negative, ROCE went negative, debt-to-equity ratio was higher, the turnover of receivables became lower and ROE went negative with a sharp margin. These developments imply reduced profitability, returns on capital and value creation to shareholders. On the whole, Vodafone seems to have been in the liquid state but its profitability and efficiency in terms of investment have deteriorated significantly over the period of review.</w:t>
      </w:r>
    </w:p>
    <w:p w:rsidR="00DF4B2D" w:rsidRPr="00B24EDF" w:rsidRDefault="00DF4B2D" w:rsidP="00102FBB">
      <w:pPr>
        <w:pStyle w:val="Heading1"/>
        <w:rPr>
          <w:rFonts w:ascii="Times New Roman" w:hAnsi="Times New Roman" w:cs="Times New Roman"/>
          <w:color w:val="auto"/>
        </w:rPr>
      </w:pPr>
      <w:bookmarkStart w:id="22" w:name="_Toc227526811"/>
      <w:r w:rsidRPr="00B24EDF">
        <w:rPr>
          <w:rFonts w:ascii="Times New Roman" w:hAnsi="Times New Roman" w:cs="Times New Roman"/>
          <w:color w:val="auto"/>
        </w:rPr>
        <w:t>Strategic Recommendations</w:t>
      </w:r>
      <w:bookmarkStart w:id="23" w:name="_Toc224253817"/>
      <w:bookmarkEnd w:id="22"/>
    </w:p>
    <w:p w:rsidR="00DF4B2D" w:rsidRPr="00B24EDF" w:rsidRDefault="00DF4B2D"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The three steps that would facilitate financial management in the firm will be as follows:</w:t>
      </w:r>
      <w:bookmarkEnd w:id="23"/>
    </w:p>
    <w:p w:rsidR="00DF4B2D" w:rsidRPr="00B24EDF" w:rsidRDefault="00DF4B2D"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Enhance operating profitability by becoming more cost-controlled and managing the mix of services.</w:t>
      </w:r>
    </w:p>
    <w:p w:rsidR="00DF4B2D" w:rsidRPr="00B24EDF" w:rsidRDefault="00DF4B2D"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Vodafone ought to analyze operating costs particularly administrative, restructuring and network costs. Because the gross margin did not change but the operating margin became negative, the management should concentrate on the overheads and increasing the profitability of the service segments of higher values. The increased focus on business services, digital and recurrent service revenues could be used to improve operating margins in the long run.</w:t>
      </w:r>
    </w:p>
    <w:p w:rsidR="00DF4B2D" w:rsidRPr="00B24EDF" w:rsidRDefault="00DF4B2D" w:rsidP="00102FBB">
      <w:pPr>
        <w:spacing w:line="276" w:lineRule="auto"/>
        <w:jc w:val="both"/>
        <w:rPr>
          <w:rFonts w:ascii="Times New Roman" w:hAnsi="Times New Roman" w:cs="Times New Roman"/>
          <w:sz w:val="24"/>
          <w:szCs w:val="24"/>
        </w:rPr>
      </w:pPr>
    </w:p>
    <w:p w:rsidR="00DF4B2D" w:rsidRPr="00B24EDF" w:rsidRDefault="00DF4B2D"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Enhance returns on invested capital and increase capital discipline.</w:t>
      </w:r>
    </w:p>
    <w:p w:rsidR="00DF4B2D" w:rsidRPr="00B24EDF" w:rsidRDefault="00DF4B2D"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The negative value of ROCE in 2025 shows that capital used was not giving a sufficient return. The management must then consider decisions made in allocating capital carefully and ensure that they focus on projects that have better and more quantifiable returns. Stricter investment checks and choice of infrastructure partnerships, post-investment reviews can be used to enhance capital efficiency.</w:t>
      </w:r>
    </w:p>
    <w:p w:rsidR="00DF4B2D" w:rsidRPr="00B24EDF" w:rsidRDefault="00DF4B2D"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lastRenderedPageBreak/>
        <w:t>Maintain improvements in liquidity and improve its receivables management.</w:t>
      </w:r>
    </w:p>
    <w:p w:rsidR="00DF4B2D" w:rsidRPr="00B24EDF" w:rsidRDefault="00DF4B2D"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The increase in the two liquidity ratios is positive and it should be maintained. Nevertheless, the decrease in the turnover of the receivables implies slower customer collection. Vodafone ought to tighten the control of receivables, assess credit policies where they are required and enhance collection procedures, in particular, business and public-sector accounts. An improvement in the control of receivables would help in cash flow and alleviate working capital pressure.</w:t>
      </w:r>
    </w:p>
    <w:p w:rsidR="006A6658" w:rsidRPr="00B24EDF" w:rsidRDefault="006A6658" w:rsidP="00102FBB">
      <w:pPr>
        <w:spacing w:line="276" w:lineRule="auto"/>
        <w:jc w:val="both"/>
        <w:rPr>
          <w:rFonts w:ascii="Times New Roman" w:hAnsi="Times New Roman" w:cs="Times New Roman"/>
          <w:sz w:val="24"/>
          <w:szCs w:val="24"/>
        </w:rPr>
      </w:pPr>
    </w:p>
    <w:p w:rsidR="00102FBB" w:rsidRPr="00B24EDF" w:rsidRDefault="00102FBB" w:rsidP="00102FBB">
      <w:pPr>
        <w:spacing w:line="276" w:lineRule="auto"/>
        <w:jc w:val="both"/>
        <w:rPr>
          <w:rFonts w:ascii="Times New Roman" w:hAnsi="Times New Roman" w:cs="Times New Roman"/>
          <w:b/>
          <w:bCs/>
          <w:sz w:val="24"/>
          <w:szCs w:val="24"/>
        </w:rPr>
      </w:pPr>
      <w:bookmarkStart w:id="24" w:name="_Toc227444146"/>
    </w:p>
    <w:p w:rsidR="00102FBB" w:rsidRPr="00B24EDF" w:rsidRDefault="00102FBB" w:rsidP="00102FBB">
      <w:pPr>
        <w:spacing w:line="276" w:lineRule="auto"/>
        <w:jc w:val="both"/>
        <w:rPr>
          <w:rFonts w:ascii="Times New Roman" w:hAnsi="Times New Roman" w:cs="Times New Roman"/>
          <w:b/>
          <w:bCs/>
          <w:sz w:val="24"/>
          <w:szCs w:val="24"/>
        </w:rPr>
      </w:pPr>
    </w:p>
    <w:p w:rsidR="006A6658" w:rsidRPr="00B24EDF" w:rsidRDefault="00393497" w:rsidP="00102FBB">
      <w:pPr>
        <w:pStyle w:val="Heading1"/>
        <w:rPr>
          <w:rFonts w:ascii="Times New Roman" w:hAnsi="Times New Roman" w:cs="Times New Roman"/>
          <w:color w:val="auto"/>
        </w:rPr>
      </w:pPr>
      <w:bookmarkStart w:id="25" w:name="_Toc227526812"/>
      <w:r w:rsidRPr="00B24EDF">
        <w:rPr>
          <w:rFonts w:ascii="Times New Roman" w:hAnsi="Times New Roman" w:cs="Times New Roman"/>
          <w:color w:val="auto"/>
        </w:rPr>
        <w:t xml:space="preserve">Part 2: Capital Investment Appraisal </w:t>
      </w:r>
      <w:r w:rsidR="00102FBB" w:rsidRPr="00B24EDF">
        <w:rPr>
          <w:rFonts w:ascii="Times New Roman" w:hAnsi="Times New Roman" w:cs="Times New Roman"/>
          <w:color w:val="auto"/>
        </w:rPr>
        <w:t>-</w:t>
      </w:r>
      <w:r w:rsidRPr="00B24EDF">
        <w:rPr>
          <w:rFonts w:ascii="Times New Roman" w:hAnsi="Times New Roman" w:cs="Times New Roman"/>
          <w:color w:val="auto"/>
        </w:rPr>
        <w:t xml:space="preserve"> Westward Plc</w:t>
      </w:r>
      <w:bookmarkEnd w:id="24"/>
      <w:bookmarkEnd w:id="25"/>
    </w:p>
    <w:p w:rsidR="006A6658" w:rsidRPr="00B24EDF" w:rsidRDefault="00393497" w:rsidP="00102FBB">
      <w:pPr>
        <w:pStyle w:val="Heading1"/>
        <w:rPr>
          <w:rFonts w:ascii="Times New Roman" w:hAnsi="Times New Roman" w:cs="Times New Roman"/>
          <w:color w:val="auto"/>
        </w:rPr>
      </w:pPr>
      <w:bookmarkStart w:id="26" w:name="_Toc227444147"/>
      <w:bookmarkStart w:id="27" w:name="_Toc227526813"/>
      <w:r w:rsidRPr="00B24EDF">
        <w:rPr>
          <w:rFonts w:ascii="Times New Roman" w:hAnsi="Times New Roman" w:cs="Times New Roman"/>
          <w:color w:val="auto"/>
        </w:rPr>
        <w:t>I.   Introduction and Operating Assumptions</w:t>
      </w:r>
      <w:bookmarkEnd w:id="26"/>
      <w:bookmarkEnd w:id="27"/>
    </w:p>
    <w:p w:rsidR="00774339" w:rsidRPr="00B24EDF" w:rsidRDefault="0077433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Westward Plc is a manufacture of high quality curtains and window furnishings based in the United Kingdom. The Board of Directors of the company has realized three candidate investment options by which the business can be strategically grown within a four year planning period. These choices are mutually exclusive in the first analysis, but are divisible in the case of capital rationing discussed in Section V.</w:t>
      </w:r>
    </w:p>
    <w:p w:rsidR="00774339" w:rsidRPr="00B24EDF" w:rsidRDefault="0077433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The three investment opportunities are listed as follows:</w:t>
      </w:r>
    </w:p>
    <w:p w:rsidR="00774339" w:rsidRPr="00B24EDF" w:rsidRDefault="0077433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Option A - The current retail outlet should be extended to include all the products.  Initial capital outlay: £600,000.</w:t>
      </w:r>
    </w:p>
    <w:p w:rsidR="00774339" w:rsidRPr="00B24EDF" w:rsidRDefault="0077433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Alternative B - 1 - Creation of an online direct-to-consumer sales platform.  Initial capital outlay: £1,000,000.</w:t>
      </w:r>
    </w:p>
    <w:p w:rsidR="00774339" w:rsidRPr="00B24EDF" w:rsidRDefault="0077433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Option C - Diversification in manufacturing wooden blinds and Roman blinds.  Initial capital outlay: £1,600,000.</w:t>
      </w:r>
    </w:p>
    <w:p w:rsidR="00774339" w:rsidRPr="00B24EDF" w:rsidRDefault="00774339" w:rsidP="00102FBB">
      <w:pPr>
        <w:spacing w:line="276" w:lineRule="auto"/>
        <w:jc w:val="both"/>
        <w:rPr>
          <w:rFonts w:ascii="Times New Roman" w:hAnsi="Times New Roman" w:cs="Times New Roman"/>
          <w:sz w:val="24"/>
          <w:szCs w:val="24"/>
        </w:rPr>
      </w:pPr>
    </w:p>
    <w:p w:rsidR="006A6658" w:rsidRPr="00B24EDF" w:rsidRDefault="0077433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In this appraisal, the following assumptions are used consistently: corporation tax is paid on 25% of the taxable profit during the year that they are incurred; capital allowances are granted on a straight-line basis at 20 of the initial capital outlay per annum, giving rise to annual allowances of £120,000 (Option A), £200,000 (Option B) and £3 Details of full after-tax workings are to be found in Appendix C.</w:t>
      </w:r>
    </w:p>
    <w:p w:rsidR="00774339" w:rsidRPr="00B24EDF" w:rsidRDefault="00774339" w:rsidP="00102FBB">
      <w:pPr>
        <w:spacing w:line="276" w:lineRule="auto"/>
        <w:jc w:val="both"/>
        <w:rPr>
          <w:rFonts w:ascii="Times New Roman" w:hAnsi="Times New Roman" w:cs="Times New Roman"/>
          <w:sz w:val="24"/>
          <w:szCs w:val="24"/>
        </w:rPr>
      </w:pPr>
    </w:p>
    <w:p w:rsidR="006A6658" w:rsidRPr="00B24EDF" w:rsidRDefault="00393497" w:rsidP="00102FBB">
      <w:pPr>
        <w:pStyle w:val="Heading1"/>
        <w:rPr>
          <w:rFonts w:ascii="Times New Roman" w:hAnsi="Times New Roman" w:cs="Times New Roman"/>
          <w:color w:val="auto"/>
        </w:rPr>
      </w:pPr>
      <w:bookmarkStart w:id="28" w:name="_Toc227444148"/>
      <w:bookmarkStart w:id="29" w:name="_Toc227526814"/>
      <w:r w:rsidRPr="00B24EDF">
        <w:rPr>
          <w:rFonts w:ascii="Times New Roman" w:hAnsi="Times New Roman" w:cs="Times New Roman"/>
          <w:color w:val="auto"/>
        </w:rPr>
        <w:t>II.   Net Present Value Analysis</w:t>
      </w:r>
      <w:bookmarkEnd w:id="28"/>
      <w:bookmarkEnd w:id="29"/>
    </w:p>
    <w:p w:rsidR="006A6658" w:rsidRPr="00B24EDF" w:rsidRDefault="00393497" w:rsidP="00102FBB">
      <w:pPr>
        <w:spacing w:line="276" w:lineRule="auto"/>
        <w:jc w:val="both"/>
        <w:rPr>
          <w:rFonts w:ascii="Times New Roman" w:hAnsi="Times New Roman" w:cs="Times New Roman"/>
          <w:sz w:val="24"/>
          <w:szCs w:val="24"/>
        </w:rPr>
      </w:pPr>
      <w:bookmarkStart w:id="30" w:name="_Toc227444149"/>
      <w:r w:rsidRPr="00B24EDF">
        <w:rPr>
          <w:rFonts w:ascii="Times New Roman" w:hAnsi="Times New Roman" w:cs="Times New Roman"/>
          <w:b/>
          <w:bCs/>
          <w:sz w:val="24"/>
          <w:szCs w:val="24"/>
          <w:u w:val="single" w:color="9E7C0A"/>
        </w:rPr>
        <w:t>Methodology</w:t>
      </w:r>
      <w:bookmarkEnd w:id="30"/>
    </w:p>
    <w:p w:rsidR="00774339" w:rsidRPr="00B24EDF" w:rsidRDefault="0077433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The theoretically best method of judging capital investment decisions is Net Present Value. It values all the estimated after-tax cash flows at the cost of capital of the firm and subtracts the initial amount. A positive NPV indicates that a project will yield returns at rates higher than those that the investors need; the project that yields the highest positive NPV will provide the best increment in shareholder wealth and is t</w:t>
      </w:r>
      <w:r w:rsidR="00E70B59">
        <w:rPr>
          <w:rFonts w:ascii="Times New Roman" w:hAnsi="Times New Roman" w:cs="Times New Roman"/>
          <w:sz w:val="24"/>
          <w:szCs w:val="24"/>
        </w:rPr>
        <w:t>he one they should recommend (Apri</w:t>
      </w:r>
      <w:r w:rsidRPr="00B24EDF">
        <w:rPr>
          <w:rFonts w:ascii="Times New Roman" w:hAnsi="Times New Roman" w:cs="Times New Roman"/>
          <w:sz w:val="24"/>
          <w:szCs w:val="24"/>
        </w:rPr>
        <w:t>l, 2020; Mclaney, 2017).</w:t>
      </w:r>
    </w:p>
    <w:p w:rsidR="006A6658" w:rsidRPr="00B24EDF" w:rsidRDefault="0077433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lastRenderedPageBreak/>
        <w:t>The conversion of pre-tax to after tax cash flows is in the following order: The taxable profit is calculated as the difference between the pre-tax cash flow and the annual capital allowance; corporation tax at 25% is then applied to the taxable profit; the resultant tax charge is then subtracted out of the pre-tax cash flow to obtain the after tax cash flow. The 6% discount factors are: Year 1 = 0.9434; Year 2 = 0.8900; Year 3 = 0.8396; Year 4 = 0.7921.</w:t>
      </w:r>
    </w:p>
    <w:p w:rsidR="006A6658" w:rsidRPr="00B24EDF" w:rsidRDefault="00393497" w:rsidP="00102FBB">
      <w:pPr>
        <w:spacing w:line="276" w:lineRule="auto"/>
        <w:jc w:val="both"/>
        <w:rPr>
          <w:rFonts w:ascii="Times New Roman" w:hAnsi="Times New Roman" w:cs="Times New Roman"/>
          <w:sz w:val="24"/>
          <w:szCs w:val="24"/>
        </w:rPr>
      </w:pPr>
      <w:bookmarkStart w:id="31" w:name="_Toc227444150"/>
      <w:r w:rsidRPr="00B24EDF">
        <w:rPr>
          <w:rFonts w:ascii="Times New Roman" w:hAnsi="Times New Roman" w:cs="Times New Roman"/>
          <w:b/>
          <w:bCs/>
          <w:sz w:val="24"/>
          <w:szCs w:val="24"/>
          <w:u w:val="single" w:color="9E7C0A"/>
        </w:rPr>
        <w:t>NPV Calculation Table — All Three Options</w:t>
      </w:r>
      <w:bookmarkEnd w:id="31"/>
    </w:p>
    <w:p w:rsidR="006A6658" w:rsidRPr="00B24EDF" w:rsidRDefault="006A6658" w:rsidP="00102FBB">
      <w:pPr>
        <w:spacing w:line="276" w:lineRule="auto"/>
        <w:jc w:val="both"/>
        <w:rPr>
          <w:rFonts w:ascii="Times New Roman" w:hAnsi="Times New Roman" w:cs="Times New Roman"/>
          <w:sz w:val="24"/>
          <w:szCs w:val="24"/>
        </w:rPr>
      </w:pPr>
    </w:p>
    <w:tbl>
      <w:tblPr>
        <w:tblStyle w:val="TableGrid"/>
        <w:tblW w:w="8918" w:type="dxa"/>
        <w:tblInd w:w="108" w:type="dxa"/>
        <w:tblLook w:val="04A0"/>
      </w:tblPr>
      <w:tblGrid>
        <w:gridCol w:w="2792"/>
        <w:gridCol w:w="2042"/>
        <w:gridCol w:w="2042"/>
        <w:gridCol w:w="2042"/>
      </w:tblGrid>
      <w:tr w:rsidR="009D1A31" w:rsidRPr="00B24EDF" w:rsidTr="00E70B59">
        <w:tc>
          <w:tcPr>
            <w:tcW w:w="2792" w:type="dxa"/>
          </w:tcPr>
          <w:p w:rsidR="006A6658" w:rsidRPr="00B24EDF" w:rsidRDefault="00393497" w:rsidP="00102FBB">
            <w:pPr>
              <w:spacing w:line="276" w:lineRule="auto"/>
              <w:rPr>
                <w:rFonts w:ascii="Times New Roman" w:hAnsi="Times New Roman" w:cs="Times New Roman"/>
                <w:sz w:val="24"/>
                <w:szCs w:val="24"/>
              </w:rPr>
            </w:pPr>
            <w:r w:rsidRPr="00B24EDF">
              <w:rPr>
                <w:rFonts w:ascii="Times New Roman" w:hAnsi="Times New Roman" w:cs="Times New Roman"/>
                <w:b/>
                <w:bCs/>
                <w:sz w:val="24"/>
                <w:szCs w:val="24"/>
              </w:rPr>
              <w:t>Item</w:t>
            </w:r>
          </w:p>
        </w:tc>
        <w:tc>
          <w:tcPr>
            <w:tcW w:w="2042" w:type="dxa"/>
          </w:tcPr>
          <w:p w:rsidR="006A6658" w:rsidRPr="00B24EDF" w:rsidRDefault="00393497" w:rsidP="00102FBB">
            <w:pPr>
              <w:spacing w:line="276" w:lineRule="auto"/>
              <w:rPr>
                <w:rFonts w:ascii="Times New Roman" w:hAnsi="Times New Roman" w:cs="Times New Roman"/>
                <w:sz w:val="24"/>
                <w:szCs w:val="24"/>
              </w:rPr>
            </w:pPr>
            <w:r w:rsidRPr="00B24EDF">
              <w:rPr>
                <w:rFonts w:ascii="Times New Roman" w:hAnsi="Times New Roman" w:cs="Times New Roman"/>
                <w:b/>
                <w:bCs/>
                <w:sz w:val="24"/>
                <w:szCs w:val="24"/>
              </w:rPr>
              <w:t xml:space="preserve">Option A </w:t>
            </w:r>
            <w:r w:rsidR="00BF6AB1" w:rsidRPr="00B24EDF">
              <w:rPr>
                <w:rFonts w:ascii="Times New Roman" w:hAnsi="Times New Roman" w:cs="Times New Roman"/>
                <w:b/>
                <w:bCs/>
                <w:sz w:val="24"/>
                <w:szCs w:val="24"/>
              </w:rPr>
              <w:t>-</w:t>
            </w:r>
            <w:r w:rsidRPr="00B24EDF">
              <w:rPr>
                <w:rFonts w:ascii="Times New Roman" w:hAnsi="Times New Roman" w:cs="Times New Roman"/>
                <w:b/>
                <w:bCs/>
                <w:sz w:val="24"/>
                <w:szCs w:val="24"/>
              </w:rPr>
              <w:t xml:space="preserve"> Retail (£600k)</w:t>
            </w:r>
          </w:p>
        </w:tc>
        <w:tc>
          <w:tcPr>
            <w:tcW w:w="2042" w:type="dxa"/>
          </w:tcPr>
          <w:p w:rsidR="006A6658" w:rsidRPr="00B24EDF" w:rsidRDefault="00393497" w:rsidP="00102FBB">
            <w:pPr>
              <w:spacing w:line="276" w:lineRule="auto"/>
              <w:rPr>
                <w:rFonts w:ascii="Times New Roman" w:hAnsi="Times New Roman" w:cs="Times New Roman"/>
                <w:sz w:val="24"/>
                <w:szCs w:val="24"/>
              </w:rPr>
            </w:pPr>
            <w:r w:rsidRPr="00B24EDF">
              <w:rPr>
                <w:rFonts w:ascii="Times New Roman" w:hAnsi="Times New Roman" w:cs="Times New Roman"/>
                <w:b/>
                <w:bCs/>
                <w:sz w:val="24"/>
                <w:szCs w:val="24"/>
              </w:rPr>
              <w:t>Option</w:t>
            </w:r>
            <w:r w:rsidR="00F94E80">
              <w:rPr>
                <w:rFonts w:ascii="Times New Roman" w:hAnsi="Times New Roman" w:cs="Times New Roman"/>
                <w:b/>
                <w:bCs/>
                <w:sz w:val="24"/>
                <w:szCs w:val="24"/>
              </w:rPr>
              <w:t xml:space="preserve"> </w:t>
            </w:r>
            <w:r w:rsidRPr="00B24EDF">
              <w:rPr>
                <w:rFonts w:ascii="Times New Roman" w:hAnsi="Times New Roman" w:cs="Times New Roman"/>
                <w:b/>
                <w:bCs/>
                <w:sz w:val="24"/>
                <w:szCs w:val="24"/>
              </w:rPr>
              <w:t>B</w:t>
            </w:r>
            <w:r w:rsidR="00BF6AB1" w:rsidRPr="00B24EDF">
              <w:rPr>
                <w:rFonts w:ascii="Times New Roman" w:hAnsi="Times New Roman" w:cs="Times New Roman"/>
                <w:b/>
                <w:bCs/>
                <w:sz w:val="24"/>
                <w:szCs w:val="24"/>
              </w:rPr>
              <w:t xml:space="preserve"> -</w:t>
            </w:r>
            <w:r w:rsidRPr="00B24EDF">
              <w:rPr>
                <w:rFonts w:ascii="Times New Roman" w:hAnsi="Times New Roman" w:cs="Times New Roman"/>
                <w:b/>
                <w:bCs/>
                <w:sz w:val="24"/>
                <w:szCs w:val="24"/>
              </w:rPr>
              <w:t xml:space="preserve"> Internet (£1,000k)</w:t>
            </w:r>
          </w:p>
        </w:tc>
        <w:tc>
          <w:tcPr>
            <w:tcW w:w="2042" w:type="dxa"/>
          </w:tcPr>
          <w:p w:rsidR="006A6658" w:rsidRPr="00B24EDF" w:rsidRDefault="00393497" w:rsidP="00102FBB">
            <w:pPr>
              <w:spacing w:line="276" w:lineRule="auto"/>
              <w:rPr>
                <w:rFonts w:ascii="Times New Roman" w:hAnsi="Times New Roman" w:cs="Times New Roman"/>
                <w:sz w:val="24"/>
                <w:szCs w:val="24"/>
              </w:rPr>
            </w:pPr>
            <w:r w:rsidRPr="00B24EDF">
              <w:rPr>
                <w:rFonts w:ascii="Times New Roman" w:hAnsi="Times New Roman" w:cs="Times New Roman"/>
                <w:b/>
                <w:bCs/>
                <w:sz w:val="24"/>
                <w:szCs w:val="24"/>
              </w:rPr>
              <w:t xml:space="preserve">Option C </w:t>
            </w:r>
            <w:r w:rsidR="00BF6AB1" w:rsidRPr="00B24EDF">
              <w:rPr>
                <w:rFonts w:ascii="Times New Roman" w:hAnsi="Times New Roman" w:cs="Times New Roman"/>
                <w:b/>
                <w:bCs/>
                <w:sz w:val="24"/>
                <w:szCs w:val="24"/>
              </w:rPr>
              <w:t>-</w:t>
            </w:r>
            <w:r w:rsidRPr="00B24EDF">
              <w:rPr>
                <w:rFonts w:ascii="Times New Roman" w:hAnsi="Times New Roman" w:cs="Times New Roman"/>
                <w:b/>
                <w:bCs/>
                <w:sz w:val="24"/>
                <w:szCs w:val="24"/>
              </w:rPr>
              <w:t xml:space="preserve"> Blinds (£1,600k)</w:t>
            </w:r>
          </w:p>
        </w:tc>
      </w:tr>
      <w:tr w:rsidR="009D1A31" w:rsidRPr="00B24EDF" w:rsidTr="00E70B59">
        <w:tc>
          <w:tcPr>
            <w:tcW w:w="2792"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Initial Outlay (£000)</w:t>
            </w:r>
          </w:p>
        </w:tc>
        <w:tc>
          <w:tcPr>
            <w:tcW w:w="2042"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-600</w:t>
            </w:r>
          </w:p>
        </w:tc>
        <w:tc>
          <w:tcPr>
            <w:tcW w:w="2042"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-1,000</w:t>
            </w:r>
          </w:p>
        </w:tc>
        <w:tc>
          <w:tcPr>
            <w:tcW w:w="2042"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-1,600</w:t>
            </w:r>
          </w:p>
        </w:tc>
      </w:tr>
      <w:tr w:rsidR="009D1A31" w:rsidRPr="00B24EDF" w:rsidTr="00E70B59">
        <w:tc>
          <w:tcPr>
            <w:tcW w:w="2792"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Capital Allowance p.a. (£000)</w:t>
            </w:r>
          </w:p>
        </w:tc>
        <w:tc>
          <w:tcPr>
            <w:tcW w:w="2042"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120</w:t>
            </w:r>
          </w:p>
        </w:tc>
        <w:tc>
          <w:tcPr>
            <w:tcW w:w="2042"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200</w:t>
            </w:r>
          </w:p>
        </w:tc>
        <w:tc>
          <w:tcPr>
            <w:tcW w:w="2042"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320</w:t>
            </w:r>
          </w:p>
        </w:tc>
      </w:tr>
      <w:tr w:rsidR="009D1A31" w:rsidRPr="00B24EDF" w:rsidTr="00E70B59">
        <w:tc>
          <w:tcPr>
            <w:tcW w:w="2792" w:type="dxa"/>
          </w:tcPr>
          <w:p w:rsidR="006A6658" w:rsidRPr="00B24EDF" w:rsidRDefault="006A6658" w:rsidP="00102FBB">
            <w:pPr>
              <w:spacing w:line="276" w:lineRule="auto"/>
              <w:jc w:val="both"/>
              <w:rPr>
                <w:rFonts w:ascii="Times New Roman" w:hAnsi="Times New Roman" w:cs="Times New Roman"/>
                <w:sz w:val="24"/>
                <w:szCs w:val="24"/>
              </w:rPr>
            </w:pPr>
          </w:p>
        </w:tc>
        <w:tc>
          <w:tcPr>
            <w:tcW w:w="2042" w:type="dxa"/>
          </w:tcPr>
          <w:p w:rsidR="006A6658" w:rsidRPr="00B24EDF" w:rsidRDefault="006A6658" w:rsidP="00102FBB">
            <w:pPr>
              <w:spacing w:line="276" w:lineRule="auto"/>
              <w:jc w:val="both"/>
              <w:rPr>
                <w:rFonts w:ascii="Times New Roman" w:hAnsi="Times New Roman" w:cs="Times New Roman"/>
                <w:sz w:val="24"/>
                <w:szCs w:val="24"/>
              </w:rPr>
            </w:pPr>
          </w:p>
        </w:tc>
        <w:tc>
          <w:tcPr>
            <w:tcW w:w="2042" w:type="dxa"/>
          </w:tcPr>
          <w:p w:rsidR="006A6658" w:rsidRPr="00B24EDF" w:rsidRDefault="006A6658" w:rsidP="00102FBB">
            <w:pPr>
              <w:spacing w:line="276" w:lineRule="auto"/>
              <w:jc w:val="both"/>
              <w:rPr>
                <w:rFonts w:ascii="Times New Roman" w:hAnsi="Times New Roman" w:cs="Times New Roman"/>
                <w:sz w:val="24"/>
                <w:szCs w:val="24"/>
              </w:rPr>
            </w:pPr>
          </w:p>
        </w:tc>
        <w:tc>
          <w:tcPr>
            <w:tcW w:w="2042" w:type="dxa"/>
          </w:tcPr>
          <w:p w:rsidR="006A6658" w:rsidRPr="00B24EDF" w:rsidRDefault="006A6658" w:rsidP="00102FBB">
            <w:pPr>
              <w:spacing w:line="276" w:lineRule="auto"/>
              <w:jc w:val="both"/>
              <w:rPr>
                <w:rFonts w:ascii="Times New Roman" w:hAnsi="Times New Roman" w:cs="Times New Roman"/>
                <w:sz w:val="24"/>
                <w:szCs w:val="24"/>
              </w:rPr>
            </w:pPr>
          </w:p>
        </w:tc>
      </w:tr>
      <w:tr w:rsidR="009D1A31" w:rsidRPr="00B24EDF" w:rsidTr="00E70B59">
        <w:tc>
          <w:tcPr>
            <w:tcW w:w="2792"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Year 1: Pre-tax CF (£000)</w:t>
            </w:r>
          </w:p>
        </w:tc>
        <w:tc>
          <w:tcPr>
            <w:tcW w:w="2042"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200</w:t>
            </w:r>
          </w:p>
        </w:tc>
        <w:tc>
          <w:tcPr>
            <w:tcW w:w="2042"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400</w:t>
            </w:r>
          </w:p>
        </w:tc>
        <w:tc>
          <w:tcPr>
            <w:tcW w:w="2042"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450</w:t>
            </w:r>
          </w:p>
        </w:tc>
      </w:tr>
      <w:tr w:rsidR="009D1A31" w:rsidRPr="00B24EDF" w:rsidTr="00E70B59">
        <w:tc>
          <w:tcPr>
            <w:tcW w:w="2792"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Year 2: Pre-tax CF (£000)</w:t>
            </w:r>
          </w:p>
        </w:tc>
        <w:tc>
          <w:tcPr>
            <w:tcW w:w="2042"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400</w:t>
            </w:r>
          </w:p>
        </w:tc>
        <w:tc>
          <w:tcPr>
            <w:tcW w:w="2042"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450</w:t>
            </w:r>
          </w:p>
        </w:tc>
        <w:tc>
          <w:tcPr>
            <w:tcW w:w="2042"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700</w:t>
            </w:r>
          </w:p>
        </w:tc>
      </w:tr>
      <w:tr w:rsidR="009D1A31" w:rsidRPr="00B24EDF" w:rsidTr="00E70B59">
        <w:tc>
          <w:tcPr>
            <w:tcW w:w="2792"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Year 3: Pre-tax CF (£000)</w:t>
            </w:r>
          </w:p>
        </w:tc>
        <w:tc>
          <w:tcPr>
            <w:tcW w:w="2042"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500</w:t>
            </w:r>
          </w:p>
        </w:tc>
        <w:tc>
          <w:tcPr>
            <w:tcW w:w="2042"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720</w:t>
            </w:r>
          </w:p>
        </w:tc>
        <w:tc>
          <w:tcPr>
            <w:tcW w:w="2042"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900</w:t>
            </w:r>
          </w:p>
        </w:tc>
      </w:tr>
      <w:tr w:rsidR="009D1A31" w:rsidRPr="00B24EDF" w:rsidTr="00E70B59">
        <w:tc>
          <w:tcPr>
            <w:tcW w:w="2792"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Year 4: Pre-tax CF (£000)</w:t>
            </w:r>
          </w:p>
        </w:tc>
        <w:tc>
          <w:tcPr>
            <w:tcW w:w="2042"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700</w:t>
            </w:r>
          </w:p>
        </w:tc>
        <w:tc>
          <w:tcPr>
            <w:tcW w:w="2042"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980</w:t>
            </w:r>
          </w:p>
        </w:tc>
        <w:tc>
          <w:tcPr>
            <w:tcW w:w="2042"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1200</w:t>
            </w:r>
          </w:p>
        </w:tc>
      </w:tr>
      <w:tr w:rsidR="009D1A31" w:rsidRPr="00B24EDF" w:rsidTr="00E70B59">
        <w:tc>
          <w:tcPr>
            <w:tcW w:w="2792" w:type="dxa"/>
          </w:tcPr>
          <w:p w:rsidR="006A6658" w:rsidRPr="00B24EDF" w:rsidRDefault="006A6658" w:rsidP="00102FBB">
            <w:pPr>
              <w:spacing w:line="276" w:lineRule="auto"/>
              <w:jc w:val="both"/>
              <w:rPr>
                <w:rFonts w:ascii="Times New Roman" w:hAnsi="Times New Roman" w:cs="Times New Roman"/>
                <w:sz w:val="24"/>
                <w:szCs w:val="24"/>
              </w:rPr>
            </w:pPr>
          </w:p>
        </w:tc>
        <w:tc>
          <w:tcPr>
            <w:tcW w:w="2042" w:type="dxa"/>
          </w:tcPr>
          <w:p w:rsidR="006A6658" w:rsidRPr="00B24EDF" w:rsidRDefault="006A6658" w:rsidP="00102FBB">
            <w:pPr>
              <w:spacing w:line="276" w:lineRule="auto"/>
              <w:jc w:val="both"/>
              <w:rPr>
                <w:rFonts w:ascii="Times New Roman" w:hAnsi="Times New Roman" w:cs="Times New Roman"/>
                <w:sz w:val="24"/>
                <w:szCs w:val="24"/>
              </w:rPr>
            </w:pPr>
          </w:p>
        </w:tc>
        <w:tc>
          <w:tcPr>
            <w:tcW w:w="2042" w:type="dxa"/>
          </w:tcPr>
          <w:p w:rsidR="006A6658" w:rsidRPr="00B24EDF" w:rsidRDefault="006A6658" w:rsidP="00102FBB">
            <w:pPr>
              <w:spacing w:line="276" w:lineRule="auto"/>
              <w:jc w:val="both"/>
              <w:rPr>
                <w:rFonts w:ascii="Times New Roman" w:hAnsi="Times New Roman" w:cs="Times New Roman"/>
                <w:sz w:val="24"/>
                <w:szCs w:val="24"/>
              </w:rPr>
            </w:pPr>
          </w:p>
        </w:tc>
        <w:tc>
          <w:tcPr>
            <w:tcW w:w="2042" w:type="dxa"/>
          </w:tcPr>
          <w:p w:rsidR="006A6658" w:rsidRPr="00B24EDF" w:rsidRDefault="006A6658" w:rsidP="00102FBB">
            <w:pPr>
              <w:spacing w:line="276" w:lineRule="auto"/>
              <w:jc w:val="both"/>
              <w:rPr>
                <w:rFonts w:ascii="Times New Roman" w:hAnsi="Times New Roman" w:cs="Times New Roman"/>
                <w:sz w:val="24"/>
                <w:szCs w:val="24"/>
              </w:rPr>
            </w:pPr>
          </w:p>
        </w:tc>
      </w:tr>
      <w:tr w:rsidR="009D1A31" w:rsidRPr="00B24EDF" w:rsidTr="00E70B59">
        <w:tc>
          <w:tcPr>
            <w:tcW w:w="2792"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Year 1: After-tax CF (£000)</w:t>
            </w:r>
          </w:p>
        </w:tc>
        <w:tc>
          <w:tcPr>
            <w:tcW w:w="2042"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180.0</w:t>
            </w:r>
          </w:p>
        </w:tc>
        <w:tc>
          <w:tcPr>
            <w:tcW w:w="2042"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350.0</w:t>
            </w:r>
          </w:p>
        </w:tc>
        <w:tc>
          <w:tcPr>
            <w:tcW w:w="2042"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417.5</w:t>
            </w:r>
          </w:p>
        </w:tc>
      </w:tr>
      <w:tr w:rsidR="009D1A31" w:rsidRPr="00B24EDF" w:rsidTr="00E70B59">
        <w:tc>
          <w:tcPr>
            <w:tcW w:w="2792"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Year 2: After-tax CF (£000)</w:t>
            </w:r>
          </w:p>
        </w:tc>
        <w:tc>
          <w:tcPr>
            <w:tcW w:w="2042"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330.0</w:t>
            </w:r>
          </w:p>
        </w:tc>
        <w:tc>
          <w:tcPr>
            <w:tcW w:w="2042"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387.5</w:t>
            </w:r>
          </w:p>
        </w:tc>
        <w:tc>
          <w:tcPr>
            <w:tcW w:w="2042"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605.0</w:t>
            </w:r>
          </w:p>
        </w:tc>
      </w:tr>
      <w:tr w:rsidR="009D1A31" w:rsidRPr="00B24EDF" w:rsidTr="00E70B59">
        <w:tc>
          <w:tcPr>
            <w:tcW w:w="2792"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Year 3: After-tax CF (£000)</w:t>
            </w:r>
          </w:p>
        </w:tc>
        <w:tc>
          <w:tcPr>
            <w:tcW w:w="2042"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405.0</w:t>
            </w:r>
          </w:p>
        </w:tc>
        <w:tc>
          <w:tcPr>
            <w:tcW w:w="2042"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590.0</w:t>
            </w:r>
          </w:p>
        </w:tc>
        <w:tc>
          <w:tcPr>
            <w:tcW w:w="2042"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755.0</w:t>
            </w:r>
          </w:p>
        </w:tc>
      </w:tr>
      <w:tr w:rsidR="009D1A31" w:rsidRPr="00B24EDF" w:rsidTr="00E70B59">
        <w:tc>
          <w:tcPr>
            <w:tcW w:w="2792"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Year 4: After-tax CF (£000)</w:t>
            </w:r>
          </w:p>
        </w:tc>
        <w:tc>
          <w:tcPr>
            <w:tcW w:w="2042"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555.0</w:t>
            </w:r>
          </w:p>
        </w:tc>
        <w:tc>
          <w:tcPr>
            <w:tcW w:w="2042"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785.0</w:t>
            </w:r>
          </w:p>
        </w:tc>
        <w:tc>
          <w:tcPr>
            <w:tcW w:w="2042"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980.0</w:t>
            </w:r>
          </w:p>
        </w:tc>
      </w:tr>
      <w:tr w:rsidR="009D1A31" w:rsidRPr="00B24EDF" w:rsidTr="00E70B59">
        <w:tc>
          <w:tcPr>
            <w:tcW w:w="2792" w:type="dxa"/>
          </w:tcPr>
          <w:p w:rsidR="006A6658" w:rsidRPr="00B24EDF" w:rsidRDefault="006A6658" w:rsidP="00102FBB">
            <w:pPr>
              <w:spacing w:line="276" w:lineRule="auto"/>
              <w:jc w:val="both"/>
              <w:rPr>
                <w:rFonts w:ascii="Times New Roman" w:hAnsi="Times New Roman" w:cs="Times New Roman"/>
                <w:sz w:val="24"/>
                <w:szCs w:val="24"/>
              </w:rPr>
            </w:pPr>
          </w:p>
        </w:tc>
        <w:tc>
          <w:tcPr>
            <w:tcW w:w="2042" w:type="dxa"/>
          </w:tcPr>
          <w:p w:rsidR="006A6658" w:rsidRPr="00B24EDF" w:rsidRDefault="006A6658" w:rsidP="00102FBB">
            <w:pPr>
              <w:spacing w:line="276" w:lineRule="auto"/>
              <w:jc w:val="both"/>
              <w:rPr>
                <w:rFonts w:ascii="Times New Roman" w:hAnsi="Times New Roman" w:cs="Times New Roman"/>
                <w:sz w:val="24"/>
                <w:szCs w:val="24"/>
              </w:rPr>
            </w:pPr>
          </w:p>
        </w:tc>
        <w:tc>
          <w:tcPr>
            <w:tcW w:w="2042" w:type="dxa"/>
          </w:tcPr>
          <w:p w:rsidR="006A6658" w:rsidRPr="00B24EDF" w:rsidRDefault="006A6658" w:rsidP="00102FBB">
            <w:pPr>
              <w:spacing w:line="276" w:lineRule="auto"/>
              <w:jc w:val="both"/>
              <w:rPr>
                <w:rFonts w:ascii="Times New Roman" w:hAnsi="Times New Roman" w:cs="Times New Roman"/>
                <w:sz w:val="24"/>
                <w:szCs w:val="24"/>
              </w:rPr>
            </w:pPr>
          </w:p>
        </w:tc>
        <w:tc>
          <w:tcPr>
            <w:tcW w:w="2042" w:type="dxa"/>
          </w:tcPr>
          <w:p w:rsidR="006A6658" w:rsidRPr="00B24EDF" w:rsidRDefault="006A6658" w:rsidP="00102FBB">
            <w:pPr>
              <w:spacing w:line="276" w:lineRule="auto"/>
              <w:jc w:val="both"/>
              <w:rPr>
                <w:rFonts w:ascii="Times New Roman" w:hAnsi="Times New Roman" w:cs="Times New Roman"/>
                <w:sz w:val="24"/>
                <w:szCs w:val="24"/>
              </w:rPr>
            </w:pPr>
          </w:p>
        </w:tc>
      </w:tr>
      <w:tr w:rsidR="009D1A31" w:rsidRPr="00B24EDF" w:rsidTr="00E70B59">
        <w:tc>
          <w:tcPr>
            <w:tcW w:w="2792"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Year 1: PV (DF @6% = 0.9434)</w:t>
            </w:r>
          </w:p>
        </w:tc>
        <w:tc>
          <w:tcPr>
            <w:tcW w:w="2042"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169.81</w:t>
            </w:r>
          </w:p>
        </w:tc>
        <w:tc>
          <w:tcPr>
            <w:tcW w:w="2042"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330.19</w:t>
            </w:r>
          </w:p>
        </w:tc>
        <w:tc>
          <w:tcPr>
            <w:tcW w:w="2042"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393.87</w:t>
            </w:r>
          </w:p>
        </w:tc>
      </w:tr>
      <w:tr w:rsidR="009D1A31" w:rsidRPr="00B24EDF" w:rsidTr="00E70B59">
        <w:tc>
          <w:tcPr>
            <w:tcW w:w="2792"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Year 2: PV (DF @6% = 0.89)</w:t>
            </w:r>
          </w:p>
        </w:tc>
        <w:tc>
          <w:tcPr>
            <w:tcW w:w="2042"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293.70</w:t>
            </w:r>
          </w:p>
        </w:tc>
        <w:tc>
          <w:tcPr>
            <w:tcW w:w="2042"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344.88</w:t>
            </w:r>
          </w:p>
        </w:tc>
        <w:tc>
          <w:tcPr>
            <w:tcW w:w="2042"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538.45</w:t>
            </w:r>
          </w:p>
        </w:tc>
      </w:tr>
      <w:tr w:rsidR="009D1A31" w:rsidRPr="00B24EDF" w:rsidTr="00E70B59">
        <w:tc>
          <w:tcPr>
            <w:tcW w:w="2792"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Year 3: PV (DF @6% = 0.8396)</w:t>
            </w:r>
          </w:p>
        </w:tc>
        <w:tc>
          <w:tcPr>
            <w:tcW w:w="2042"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340.04</w:t>
            </w:r>
          </w:p>
        </w:tc>
        <w:tc>
          <w:tcPr>
            <w:tcW w:w="2042"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495.36</w:t>
            </w:r>
          </w:p>
        </w:tc>
        <w:tc>
          <w:tcPr>
            <w:tcW w:w="2042"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633.90</w:t>
            </w:r>
          </w:p>
        </w:tc>
      </w:tr>
      <w:tr w:rsidR="009D1A31" w:rsidRPr="00B24EDF" w:rsidTr="00E70B59">
        <w:tc>
          <w:tcPr>
            <w:tcW w:w="2792"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Year 4: PV (DF @6% = 0.7921)</w:t>
            </w:r>
          </w:p>
        </w:tc>
        <w:tc>
          <w:tcPr>
            <w:tcW w:w="2042"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439.62</w:t>
            </w:r>
          </w:p>
        </w:tc>
        <w:tc>
          <w:tcPr>
            <w:tcW w:w="2042"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621.80</w:t>
            </w:r>
          </w:p>
        </w:tc>
        <w:tc>
          <w:tcPr>
            <w:tcW w:w="2042"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776.26</w:t>
            </w:r>
          </w:p>
        </w:tc>
      </w:tr>
      <w:tr w:rsidR="009D1A31" w:rsidRPr="00B24EDF" w:rsidTr="00E70B59">
        <w:tc>
          <w:tcPr>
            <w:tcW w:w="2792" w:type="dxa"/>
          </w:tcPr>
          <w:p w:rsidR="006A6658" w:rsidRPr="00B24EDF" w:rsidRDefault="006A6658" w:rsidP="00102FBB">
            <w:pPr>
              <w:spacing w:line="276" w:lineRule="auto"/>
              <w:jc w:val="both"/>
              <w:rPr>
                <w:rFonts w:ascii="Times New Roman" w:hAnsi="Times New Roman" w:cs="Times New Roman"/>
                <w:sz w:val="24"/>
                <w:szCs w:val="24"/>
              </w:rPr>
            </w:pPr>
          </w:p>
        </w:tc>
        <w:tc>
          <w:tcPr>
            <w:tcW w:w="2042" w:type="dxa"/>
          </w:tcPr>
          <w:p w:rsidR="006A6658" w:rsidRPr="00B24EDF" w:rsidRDefault="006A6658" w:rsidP="00102FBB">
            <w:pPr>
              <w:spacing w:line="276" w:lineRule="auto"/>
              <w:jc w:val="both"/>
              <w:rPr>
                <w:rFonts w:ascii="Times New Roman" w:hAnsi="Times New Roman" w:cs="Times New Roman"/>
                <w:sz w:val="24"/>
                <w:szCs w:val="24"/>
              </w:rPr>
            </w:pPr>
          </w:p>
        </w:tc>
        <w:tc>
          <w:tcPr>
            <w:tcW w:w="2042" w:type="dxa"/>
          </w:tcPr>
          <w:p w:rsidR="006A6658" w:rsidRPr="00B24EDF" w:rsidRDefault="006A6658" w:rsidP="00102FBB">
            <w:pPr>
              <w:spacing w:line="276" w:lineRule="auto"/>
              <w:jc w:val="both"/>
              <w:rPr>
                <w:rFonts w:ascii="Times New Roman" w:hAnsi="Times New Roman" w:cs="Times New Roman"/>
                <w:sz w:val="24"/>
                <w:szCs w:val="24"/>
              </w:rPr>
            </w:pPr>
          </w:p>
        </w:tc>
        <w:tc>
          <w:tcPr>
            <w:tcW w:w="2042" w:type="dxa"/>
          </w:tcPr>
          <w:p w:rsidR="006A6658" w:rsidRPr="00B24EDF" w:rsidRDefault="006A6658" w:rsidP="00102FBB">
            <w:pPr>
              <w:spacing w:line="276" w:lineRule="auto"/>
              <w:jc w:val="both"/>
              <w:rPr>
                <w:rFonts w:ascii="Times New Roman" w:hAnsi="Times New Roman" w:cs="Times New Roman"/>
                <w:sz w:val="24"/>
                <w:szCs w:val="24"/>
              </w:rPr>
            </w:pPr>
          </w:p>
        </w:tc>
      </w:tr>
      <w:tr w:rsidR="009D1A31" w:rsidRPr="00B24EDF" w:rsidTr="00E70B59">
        <w:tc>
          <w:tcPr>
            <w:tcW w:w="2792"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b/>
                <w:bCs/>
                <w:sz w:val="24"/>
                <w:szCs w:val="24"/>
              </w:rPr>
              <w:t>Total Present Value (£000)</w:t>
            </w:r>
          </w:p>
        </w:tc>
        <w:tc>
          <w:tcPr>
            <w:tcW w:w="2042"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b/>
                <w:bCs/>
                <w:sz w:val="24"/>
                <w:szCs w:val="24"/>
              </w:rPr>
              <w:t>1243.17</w:t>
            </w:r>
          </w:p>
        </w:tc>
        <w:tc>
          <w:tcPr>
            <w:tcW w:w="2042"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b/>
                <w:bCs/>
                <w:sz w:val="24"/>
                <w:szCs w:val="24"/>
              </w:rPr>
              <w:t>1792.23</w:t>
            </w:r>
          </w:p>
        </w:tc>
        <w:tc>
          <w:tcPr>
            <w:tcW w:w="2042"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b/>
                <w:bCs/>
                <w:sz w:val="24"/>
                <w:szCs w:val="24"/>
              </w:rPr>
              <w:t>2342.48</w:t>
            </w:r>
          </w:p>
        </w:tc>
      </w:tr>
      <w:tr w:rsidR="009D1A31" w:rsidRPr="00B24EDF" w:rsidTr="00E70B59">
        <w:tc>
          <w:tcPr>
            <w:tcW w:w="2792"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Less: Initial Investment (£000)</w:t>
            </w:r>
          </w:p>
        </w:tc>
        <w:tc>
          <w:tcPr>
            <w:tcW w:w="2042"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-600.00</w:t>
            </w:r>
          </w:p>
        </w:tc>
        <w:tc>
          <w:tcPr>
            <w:tcW w:w="2042"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-1,000.00</w:t>
            </w:r>
          </w:p>
        </w:tc>
        <w:tc>
          <w:tcPr>
            <w:tcW w:w="2042"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-1,600.00</w:t>
            </w:r>
          </w:p>
        </w:tc>
      </w:tr>
      <w:tr w:rsidR="009D1A31" w:rsidRPr="00B24EDF" w:rsidTr="00E70B59">
        <w:tc>
          <w:tcPr>
            <w:tcW w:w="2792"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b/>
                <w:bCs/>
                <w:sz w:val="24"/>
                <w:szCs w:val="24"/>
              </w:rPr>
              <w:t>NET PRESENT VALUE (£000)</w:t>
            </w:r>
          </w:p>
        </w:tc>
        <w:tc>
          <w:tcPr>
            <w:tcW w:w="2042"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b/>
                <w:bCs/>
                <w:sz w:val="24"/>
                <w:szCs w:val="24"/>
              </w:rPr>
              <w:t>643.17</w:t>
            </w:r>
          </w:p>
        </w:tc>
        <w:tc>
          <w:tcPr>
            <w:tcW w:w="2042"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b/>
                <w:bCs/>
                <w:sz w:val="24"/>
                <w:szCs w:val="24"/>
              </w:rPr>
              <w:t>792.23</w:t>
            </w:r>
          </w:p>
        </w:tc>
        <w:tc>
          <w:tcPr>
            <w:tcW w:w="2042"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b/>
                <w:bCs/>
                <w:sz w:val="24"/>
                <w:szCs w:val="24"/>
              </w:rPr>
              <w:t>742.48</w:t>
            </w:r>
          </w:p>
        </w:tc>
      </w:tr>
    </w:tbl>
    <w:p w:rsidR="006A6658" w:rsidRPr="00B24EDF" w:rsidRDefault="006A6658" w:rsidP="00102FBB">
      <w:pPr>
        <w:spacing w:line="276" w:lineRule="auto"/>
        <w:jc w:val="both"/>
        <w:rPr>
          <w:rFonts w:ascii="Times New Roman" w:hAnsi="Times New Roman" w:cs="Times New Roman"/>
          <w:sz w:val="24"/>
          <w:szCs w:val="24"/>
        </w:rPr>
      </w:pPr>
    </w:p>
    <w:p w:rsidR="006A6658" w:rsidRPr="00B24EDF" w:rsidRDefault="00393497" w:rsidP="00102FBB">
      <w:pPr>
        <w:spacing w:line="276" w:lineRule="auto"/>
        <w:jc w:val="both"/>
        <w:rPr>
          <w:rFonts w:ascii="Times New Roman" w:hAnsi="Times New Roman" w:cs="Times New Roman"/>
          <w:sz w:val="24"/>
          <w:szCs w:val="24"/>
        </w:rPr>
      </w:pPr>
      <w:bookmarkStart w:id="32" w:name="_Toc227444151"/>
      <w:r w:rsidRPr="00B24EDF">
        <w:rPr>
          <w:rFonts w:ascii="Times New Roman" w:hAnsi="Times New Roman" w:cs="Times New Roman"/>
          <w:b/>
          <w:bCs/>
          <w:sz w:val="24"/>
          <w:szCs w:val="24"/>
          <w:u w:val="single" w:color="9E7C0A"/>
        </w:rPr>
        <w:lastRenderedPageBreak/>
        <w:t>Results and Board Recommendation</w:t>
      </w:r>
      <w:bookmarkEnd w:id="32"/>
    </w:p>
    <w:p w:rsidR="00774339" w:rsidRPr="00B24EDF" w:rsidRDefault="0077433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The NPV analysis gives the following results when analyzing the three options:</w:t>
      </w:r>
    </w:p>
    <w:p w:rsidR="00774339" w:rsidRPr="00B24EDF" w:rsidRDefault="0077433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Option A (Retail Expansion, £600k):          NPV = £643.17k</w:t>
      </w:r>
    </w:p>
    <w:p w:rsidR="00774339" w:rsidRPr="00B24EDF" w:rsidRDefault="0077433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Option B (Internet Sales, £1,000k):          NPV = £792.23k (RECOMMENDED)</w:t>
      </w:r>
    </w:p>
    <w:p w:rsidR="00774339" w:rsidRPr="00B24EDF" w:rsidRDefault="0077433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Option C (Blinds Production, £1,600k):       NPV = £742.48k</w:t>
      </w:r>
    </w:p>
    <w:p w:rsidR="00774339" w:rsidRPr="00B24EDF" w:rsidRDefault="00774339" w:rsidP="00102FBB">
      <w:pPr>
        <w:spacing w:line="276" w:lineRule="auto"/>
        <w:jc w:val="both"/>
        <w:rPr>
          <w:rFonts w:ascii="Times New Roman" w:hAnsi="Times New Roman" w:cs="Times New Roman"/>
          <w:sz w:val="24"/>
          <w:szCs w:val="24"/>
        </w:rPr>
      </w:pPr>
    </w:p>
    <w:p w:rsidR="00774339" w:rsidRPr="00B24EDF" w:rsidRDefault="0077433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Alternative B - creation of internet sales channel is the investment that is to be suggested. It has the largest Net Present Value of £792.23k which is the highest growth in shareholder wealth in present-value terms, adjusted wholly to reflect the time value of money, a 6 percent cost of capital, corporation tax and capital allowances. Despite the second-highest initial investment of £1,000,000, its after-tax cash flow projection over the four-year period is much more than is warranted by this commitment.</w:t>
      </w:r>
    </w:p>
    <w:p w:rsidR="006A6658" w:rsidRPr="00B24EDF" w:rsidRDefault="0077433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Although the absolute pre-tax revenues are highest in this case, option C has the highest initial investment of £1,600,000 which makes its NPV to be lower compared to the other two at only 742.48k; this is because the initial investment of this option is lower than that of the other two. The NPV order of rank is B, C, A. It is further recommended that the Board should go ahead and pursue the B option that will be in line with the structural change towards online retailing in the UK home furnishing market and will provide a growth channel with low fixed costs that can be scaled up as compared to the other options.</w:t>
      </w:r>
    </w:p>
    <w:p w:rsidR="006A6658" w:rsidRPr="00B24EDF" w:rsidRDefault="006A6658" w:rsidP="00102FBB">
      <w:pPr>
        <w:spacing w:line="276" w:lineRule="auto"/>
        <w:jc w:val="both"/>
        <w:rPr>
          <w:rFonts w:ascii="Times New Roman" w:hAnsi="Times New Roman" w:cs="Times New Roman"/>
          <w:sz w:val="24"/>
          <w:szCs w:val="24"/>
        </w:rPr>
      </w:pPr>
    </w:p>
    <w:p w:rsidR="006A6658" w:rsidRPr="00B24EDF" w:rsidRDefault="00393497" w:rsidP="009D1A31">
      <w:pPr>
        <w:pStyle w:val="Heading1"/>
        <w:rPr>
          <w:rFonts w:ascii="Times New Roman" w:hAnsi="Times New Roman" w:cs="Times New Roman"/>
          <w:color w:val="auto"/>
        </w:rPr>
      </w:pPr>
      <w:bookmarkStart w:id="33" w:name="_Toc227444152"/>
      <w:bookmarkStart w:id="34" w:name="_Toc227526815"/>
      <w:r w:rsidRPr="00B24EDF">
        <w:rPr>
          <w:rFonts w:ascii="Times New Roman" w:hAnsi="Times New Roman" w:cs="Times New Roman"/>
          <w:color w:val="auto"/>
        </w:rPr>
        <w:t xml:space="preserve">III.   Internal Rate of Return </w:t>
      </w:r>
      <w:r w:rsidR="00102FBB" w:rsidRPr="00B24EDF">
        <w:rPr>
          <w:rFonts w:ascii="Times New Roman" w:hAnsi="Times New Roman" w:cs="Times New Roman"/>
          <w:color w:val="auto"/>
        </w:rPr>
        <w:t>-</w:t>
      </w:r>
      <w:r w:rsidRPr="00B24EDF">
        <w:rPr>
          <w:rFonts w:ascii="Times New Roman" w:hAnsi="Times New Roman" w:cs="Times New Roman"/>
          <w:color w:val="auto"/>
        </w:rPr>
        <w:t xml:space="preserve"> Option B</w:t>
      </w:r>
      <w:bookmarkEnd w:id="33"/>
      <w:bookmarkEnd w:id="34"/>
    </w:p>
    <w:p w:rsidR="006A6658" w:rsidRPr="00B24EDF" w:rsidRDefault="00393497" w:rsidP="00102FBB">
      <w:pPr>
        <w:spacing w:line="276" w:lineRule="auto"/>
        <w:jc w:val="both"/>
        <w:rPr>
          <w:rFonts w:ascii="Times New Roman" w:hAnsi="Times New Roman" w:cs="Times New Roman"/>
          <w:sz w:val="24"/>
          <w:szCs w:val="24"/>
        </w:rPr>
      </w:pPr>
      <w:bookmarkStart w:id="35" w:name="_Toc227444153"/>
      <w:r w:rsidRPr="00B24EDF">
        <w:rPr>
          <w:rFonts w:ascii="Times New Roman" w:hAnsi="Times New Roman" w:cs="Times New Roman"/>
          <w:b/>
          <w:bCs/>
          <w:sz w:val="24"/>
          <w:szCs w:val="24"/>
          <w:u w:val="single" w:color="9E7C0A"/>
        </w:rPr>
        <w:t>Calculation Method</w:t>
      </w:r>
      <w:bookmarkEnd w:id="35"/>
    </w:p>
    <w:p w:rsidR="006A6658" w:rsidRPr="00B24EDF" w:rsidRDefault="0077433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The discount rate where the Net Present Value of a project is zero, is known as the Internal Rate of Return, the expected annualised rate of return on the invested capital. It is estimated by linear interpolation between 30 and 35 percent trial rates, which range around the sign change in the NPV profile of the Option B. These rates are chosen after initial trials that verify that NPV is nearing positive at 30% and negative at 35.</w:t>
      </w:r>
    </w:p>
    <w:tbl>
      <w:tblPr>
        <w:tblW w:w="8826" w:type="dxa"/>
        <w:tblInd w:w="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tblPr>
      <w:tblGrid>
        <w:gridCol w:w="8826"/>
      </w:tblGrid>
      <w:tr w:rsidR="009D1A31" w:rsidRPr="00B24EDF" w:rsidTr="00384942">
        <w:tc>
          <w:tcPr>
            <w:tcW w:w="8826" w:type="dxa"/>
            <w:tcBorders>
              <w:top w:val="single" w:sz="3" w:space="0" w:color="9E7C0A"/>
              <w:left w:val="thick" w:sz="8" w:space="0" w:color="9E7C0A"/>
              <w:bottom w:val="single" w:sz="3" w:space="0" w:color="9E7C0A"/>
              <w:right w:val="nil"/>
            </w:tcBorders>
            <w:shd w:val="clear" w:color="auto" w:fill="auto"/>
            <w:tcMar>
              <w:top w:w="100" w:type="dxa"/>
              <w:left w:w="200" w:type="dxa"/>
              <w:bottom w:w="100" w:type="dxa"/>
              <w:right w:w="200" w:type="dxa"/>
            </w:tcMar>
          </w:tcPr>
          <w:p w:rsidR="006A6658" w:rsidRPr="00B24EDF" w:rsidRDefault="00393497" w:rsidP="00102FBB">
            <w:pPr>
              <w:spacing w:line="276" w:lineRule="auto"/>
              <w:rPr>
                <w:rFonts w:ascii="Times New Roman" w:hAnsi="Times New Roman" w:cs="Times New Roman"/>
              </w:rPr>
            </w:pPr>
            <w:r w:rsidRPr="00B24EDF">
              <w:rPr>
                <w:rFonts w:ascii="Times New Roman" w:hAnsi="Times New Roman" w:cs="Times New Roman"/>
              </w:rPr>
              <w:t>IRR  ≈  r₁  +  [ NPV(r₁) / (NPV(r₁) – NPV(r₂)) ]  ×  (r₂ – r₁)</w:t>
            </w:r>
          </w:p>
        </w:tc>
      </w:tr>
    </w:tbl>
    <w:p w:rsidR="006A6658" w:rsidRPr="00B24EDF" w:rsidRDefault="006A6658" w:rsidP="00102FBB">
      <w:pPr>
        <w:spacing w:line="276" w:lineRule="auto"/>
        <w:jc w:val="both"/>
        <w:rPr>
          <w:rFonts w:ascii="Times New Roman" w:hAnsi="Times New Roman" w:cs="Times New Roman"/>
          <w:sz w:val="24"/>
          <w:szCs w:val="24"/>
        </w:rPr>
      </w:pPr>
    </w:p>
    <w:p w:rsidR="006A6658" w:rsidRPr="00B24EDF" w:rsidRDefault="00393497" w:rsidP="00102FBB">
      <w:pPr>
        <w:spacing w:line="276" w:lineRule="auto"/>
        <w:jc w:val="both"/>
        <w:rPr>
          <w:rFonts w:ascii="Times New Roman" w:hAnsi="Times New Roman" w:cs="Times New Roman"/>
          <w:sz w:val="24"/>
          <w:szCs w:val="24"/>
        </w:rPr>
      </w:pPr>
      <w:bookmarkStart w:id="36" w:name="_Toc227444154"/>
      <w:r w:rsidRPr="00B24EDF">
        <w:rPr>
          <w:rFonts w:ascii="Times New Roman" w:hAnsi="Times New Roman" w:cs="Times New Roman"/>
          <w:b/>
          <w:bCs/>
          <w:sz w:val="24"/>
          <w:szCs w:val="24"/>
          <w:u w:val="single" w:color="9E7C0A"/>
        </w:rPr>
        <w:t>IRR Calculation Table — Option B</w:t>
      </w:r>
      <w:bookmarkEnd w:id="36"/>
    </w:p>
    <w:p w:rsidR="006A6658" w:rsidRPr="00B24EDF" w:rsidRDefault="006A6658" w:rsidP="00102FBB">
      <w:pPr>
        <w:spacing w:line="276" w:lineRule="auto"/>
        <w:jc w:val="both"/>
        <w:rPr>
          <w:rFonts w:ascii="Times New Roman" w:hAnsi="Times New Roman" w:cs="Times New Roman"/>
          <w:sz w:val="24"/>
          <w:szCs w:val="24"/>
        </w:rPr>
      </w:pPr>
    </w:p>
    <w:tbl>
      <w:tblPr>
        <w:tblStyle w:val="TableGrid"/>
        <w:tblW w:w="8918" w:type="dxa"/>
        <w:tblInd w:w="108" w:type="dxa"/>
        <w:tblLook w:val="04A0"/>
      </w:tblPr>
      <w:tblGrid>
        <w:gridCol w:w="1392"/>
        <w:gridCol w:w="1700"/>
        <w:gridCol w:w="1200"/>
        <w:gridCol w:w="1713"/>
        <w:gridCol w:w="1200"/>
        <w:gridCol w:w="1713"/>
      </w:tblGrid>
      <w:tr w:rsidR="009D1A31" w:rsidRPr="00B24EDF" w:rsidTr="00384942">
        <w:tc>
          <w:tcPr>
            <w:tcW w:w="1392"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b/>
                <w:bCs/>
                <w:sz w:val="24"/>
                <w:szCs w:val="24"/>
              </w:rPr>
              <w:t>Year</w:t>
            </w:r>
          </w:p>
        </w:tc>
        <w:tc>
          <w:tcPr>
            <w:tcW w:w="1700"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b/>
                <w:bCs/>
                <w:sz w:val="24"/>
                <w:szCs w:val="24"/>
              </w:rPr>
              <w:t>After-tax CF (£000)</w:t>
            </w:r>
          </w:p>
        </w:tc>
        <w:tc>
          <w:tcPr>
            <w:tcW w:w="1200"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b/>
                <w:bCs/>
                <w:sz w:val="24"/>
                <w:szCs w:val="24"/>
              </w:rPr>
              <w:t>DF @ 30%</w:t>
            </w:r>
          </w:p>
        </w:tc>
        <w:tc>
          <w:tcPr>
            <w:tcW w:w="1713"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b/>
                <w:bCs/>
                <w:sz w:val="24"/>
                <w:szCs w:val="24"/>
              </w:rPr>
              <w:t>PV @ 30% (£000)</w:t>
            </w:r>
          </w:p>
        </w:tc>
        <w:tc>
          <w:tcPr>
            <w:tcW w:w="1200"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b/>
                <w:bCs/>
                <w:sz w:val="24"/>
                <w:szCs w:val="24"/>
              </w:rPr>
              <w:t>DF @ 35%</w:t>
            </w:r>
          </w:p>
        </w:tc>
        <w:tc>
          <w:tcPr>
            <w:tcW w:w="1713"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b/>
                <w:bCs/>
                <w:sz w:val="24"/>
                <w:szCs w:val="24"/>
              </w:rPr>
              <w:t>PV @ 35% (£000)</w:t>
            </w:r>
          </w:p>
        </w:tc>
      </w:tr>
      <w:tr w:rsidR="009D1A31" w:rsidRPr="00B24EDF" w:rsidTr="00384942">
        <w:tc>
          <w:tcPr>
            <w:tcW w:w="1392"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Year 1</w:t>
            </w:r>
          </w:p>
        </w:tc>
        <w:tc>
          <w:tcPr>
            <w:tcW w:w="1700"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350.0</w:t>
            </w:r>
          </w:p>
        </w:tc>
        <w:tc>
          <w:tcPr>
            <w:tcW w:w="1200"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0.7692</w:t>
            </w:r>
          </w:p>
        </w:tc>
        <w:tc>
          <w:tcPr>
            <w:tcW w:w="1713"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269.22</w:t>
            </w:r>
          </w:p>
        </w:tc>
        <w:tc>
          <w:tcPr>
            <w:tcW w:w="1200"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0.7407</w:t>
            </w:r>
          </w:p>
        </w:tc>
        <w:tc>
          <w:tcPr>
            <w:tcW w:w="1713"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259.25</w:t>
            </w:r>
          </w:p>
        </w:tc>
      </w:tr>
      <w:tr w:rsidR="009D1A31" w:rsidRPr="00B24EDF" w:rsidTr="00384942">
        <w:tc>
          <w:tcPr>
            <w:tcW w:w="1392"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Year 2</w:t>
            </w:r>
          </w:p>
        </w:tc>
        <w:tc>
          <w:tcPr>
            <w:tcW w:w="1700"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387.5</w:t>
            </w:r>
          </w:p>
        </w:tc>
        <w:tc>
          <w:tcPr>
            <w:tcW w:w="1200"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0.5917</w:t>
            </w:r>
          </w:p>
        </w:tc>
        <w:tc>
          <w:tcPr>
            <w:tcW w:w="1713"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229.28</w:t>
            </w:r>
          </w:p>
        </w:tc>
        <w:tc>
          <w:tcPr>
            <w:tcW w:w="1200"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0.5487</w:t>
            </w:r>
          </w:p>
        </w:tc>
        <w:tc>
          <w:tcPr>
            <w:tcW w:w="1713"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212.62</w:t>
            </w:r>
          </w:p>
        </w:tc>
      </w:tr>
      <w:tr w:rsidR="009D1A31" w:rsidRPr="00B24EDF" w:rsidTr="00384942">
        <w:tc>
          <w:tcPr>
            <w:tcW w:w="1392"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Year 3</w:t>
            </w:r>
          </w:p>
        </w:tc>
        <w:tc>
          <w:tcPr>
            <w:tcW w:w="1700"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590.0</w:t>
            </w:r>
          </w:p>
        </w:tc>
        <w:tc>
          <w:tcPr>
            <w:tcW w:w="1200"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0.4552</w:t>
            </w:r>
          </w:p>
        </w:tc>
        <w:tc>
          <w:tcPr>
            <w:tcW w:w="1713"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268.57</w:t>
            </w:r>
          </w:p>
        </w:tc>
        <w:tc>
          <w:tcPr>
            <w:tcW w:w="1200"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0.4064</w:t>
            </w:r>
          </w:p>
        </w:tc>
        <w:tc>
          <w:tcPr>
            <w:tcW w:w="1713"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239.78</w:t>
            </w:r>
          </w:p>
        </w:tc>
      </w:tr>
      <w:tr w:rsidR="009D1A31" w:rsidRPr="00B24EDF" w:rsidTr="00384942">
        <w:tc>
          <w:tcPr>
            <w:tcW w:w="1392"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Year 4</w:t>
            </w:r>
          </w:p>
        </w:tc>
        <w:tc>
          <w:tcPr>
            <w:tcW w:w="1700"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785.0</w:t>
            </w:r>
          </w:p>
        </w:tc>
        <w:tc>
          <w:tcPr>
            <w:tcW w:w="1200"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0.3501</w:t>
            </w:r>
          </w:p>
        </w:tc>
        <w:tc>
          <w:tcPr>
            <w:tcW w:w="1713"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274.83</w:t>
            </w:r>
          </w:p>
        </w:tc>
        <w:tc>
          <w:tcPr>
            <w:tcW w:w="1200"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0.3011</w:t>
            </w:r>
          </w:p>
        </w:tc>
        <w:tc>
          <w:tcPr>
            <w:tcW w:w="1713"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236.36</w:t>
            </w:r>
          </w:p>
        </w:tc>
      </w:tr>
      <w:tr w:rsidR="009D1A31" w:rsidRPr="00B24EDF" w:rsidTr="00384942">
        <w:tc>
          <w:tcPr>
            <w:tcW w:w="1392"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b/>
                <w:bCs/>
                <w:sz w:val="24"/>
                <w:szCs w:val="24"/>
              </w:rPr>
              <w:t>Total PV</w:t>
            </w:r>
          </w:p>
        </w:tc>
        <w:tc>
          <w:tcPr>
            <w:tcW w:w="1700" w:type="dxa"/>
          </w:tcPr>
          <w:p w:rsidR="006A6658" w:rsidRPr="00B24EDF" w:rsidRDefault="006A6658" w:rsidP="00102FBB">
            <w:pPr>
              <w:spacing w:line="276" w:lineRule="auto"/>
              <w:jc w:val="both"/>
              <w:rPr>
                <w:rFonts w:ascii="Times New Roman" w:hAnsi="Times New Roman" w:cs="Times New Roman"/>
                <w:sz w:val="24"/>
                <w:szCs w:val="24"/>
              </w:rPr>
            </w:pPr>
          </w:p>
        </w:tc>
        <w:tc>
          <w:tcPr>
            <w:tcW w:w="1200" w:type="dxa"/>
          </w:tcPr>
          <w:p w:rsidR="006A6658" w:rsidRPr="00B24EDF" w:rsidRDefault="006A6658" w:rsidP="00102FBB">
            <w:pPr>
              <w:spacing w:line="276" w:lineRule="auto"/>
              <w:jc w:val="both"/>
              <w:rPr>
                <w:rFonts w:ascii="Times New Roman" w:hAnsi="Times New Roman" w:cs="Times New Roman"/>
                <w:sz w:val="24"/>
                <w:szCs w:val="24"/>
              </w:rPr>
            </w:pPr>
          </w:p>
        </w:tc>
        <w:tc>
          <w:tcPr>
            <w:tcW w:w="1713"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b/>
                <w:bCs/>
                <w:sz w:val="24"/>
                <w:szCs w:val="24"/>
              </w:rPr>
              <w:t>1041.90</w:t>
            </w:r>
          </w:p>
        </w:tc>
        <w:tc>
          <w:tcPr>
            <w:tcW w:w="1200" w:type="dxa"/>
          </w:tcPr>
          <w:p w:rsidR="006A6658" w:rsidRPr="00B24EDF" w:rsidRDefault="006A6658" w:rsidP="00102FBB">
            <w:pPr>
              <w:spacing w:line="276" w:lineRule="auto"/>
              <w:jc w:val="both"/>
              <w:rPr>
                <w:rFonts w:ascii="Times New Roman" w:hAnsi="Times New Roman" w:cs="Times New Roman"/>
                <w:sz w:val="24"/>
                <w:szCs w:val="24"/>
              </w:rPr>
            </w:pPr>
          </w:p>
        </w:tc>
        <w:tc>
          <w:tcPr>
            <w:tcW w:w="1713"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b/>
                <w:bCs/>
                <w:sz w:val="24"/>
                <w:szCs w:val="24"/>
              </w:rPr>
              <w:t>948.01</w:t>
            </w:r>
          </w:p>
        </w:tc>
      </w:tr>
      <w:tr w:rsidR="009D1A31" w:rsidRPr="00B24EDF" w:rsidTr="00384942">
        <w:tc>
          <w:tcPr>
            <w:tcW w:w="1392"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b/>
                <w:bCs/>
                <w:sz w:val="24"/>
                <w:szCs w:val="24"/>
              </w:rPr>
              <w:t>NPV</w:t>
            </w:r>
          </w:p>
        </w:tc>
        <w:tc>
          <w:tcPr>
            <w:tcW w:w="1700" w:type="dxa"/>
          </w:tcPr>
          <w:p w:rsidR="006A6658" w:rsidRPr="00B24EDF" w:rsidRDefault="006A6658" w:rsidP="00102FBB">
            <w:pPr>
              <w:spacing w:line="276" w:lineRule="auto"/>
              <w:jc w:val="both"/>
              <w:rPr>
                <w:rFonts w:ascii="Times New Roman" w:hAnsi="Times New Roman" w:cs="Times New Roman"/>
                <w:sz w:val="24"/>
                <w:szCs w:val="24"/>
              </w:rPr>
            </w:pPr>
          </w:p>
        </w:tc>
        <w:tc>
          <w:tcPr>
            <w:tcW w:w="1200" w:type="dxa"/>
          </w:tcPr>
          <w:p w:rsidR="006A6658" w:rsidRPr="00B24EDF" w:rsidRDefault="006A6658" w:rsidP="00102FBB">
            <w:pPr>
              <w:spacing w:line="276" w:lineRule="auto"/>
              <w:jc w:val="both"/>
              <w:rPr>
                <w:rFonts w:ascii="Times New Roman" w:hAnsi="Times New Roman" w:cs="Times New Roman"/>
                <w:sz w:val="24"/>
                <w:szCs w:val="24"/>
              </w:rPr>
            </w:pPr>
          </w:p>
        </w:tc>
        <w:tc>
          <w:tcPr>
            <w:tcW w:w="1713"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b/>
                <w:bCs/>
                <w:sz w:val="24"/>
                <w:szCs w:val="24"/>
              </w:rPr>
              <w:t>41.90</w:t>
            </w:r>
          </w:p>
        </w:tc>
        <w:tc>
          <w:tcPr>
            <w:tcW w:w="1200" w:type="dxa"/>
          </w:tcPr>
          <w:p w:rsidR="006A6658" w:rsidRPr="00B24EDF" w:rsidRDefault="006A6658" w:rsidP="00102FBB">
            <w:pPr>
              <w:spacing w:line="276" w:lineRule="auto"/>
              <w:jc w:val="both"/>
              <w:rPr>
                <w:rFonts w:ascii="Times New Roman" w:hAnsi="Times New Roman" w:cs="Times New Roman"/>
                <w:sz w:val="24"/>
                <w:szCs w:val="24"/>
              </w:rPr>
            </w:pPr>
          </w:p>
        </w:tc>
        <w:tc>
          <w:tcPr>
            <w:tcW w:w="1713"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b/>
                <w:bCs/>
                <w:sz w:val="24"/>
                <w:szCs w:val="24"/>
              </w:rPr>
              <w:t>-51.99</w:t>
            </w:r>
          </w:p>
        </w:tc>
      </w:tr>
    </w:tbl>
    <w:p w:rsidR="006A6658" w:rsidRPr="00B24EDF" w:rsidRDefault="006A6658" w:rsidP="00102FBB">
      <w:pPr>
        <w:spacing w:line="276" w:lineRule="auto"/>
        <w:jc w:val="both"/>
        <w:rPr>
          <w:rFonts w:ascii="Times New Roman" w:hAnsi="Times New Roman" w:cs="Times New Roman"/>
          <w:sz w:val="24"/>
          <w:szCs w:val="24"/>
        </w:rPr>
      </w:pPr>
    </w:p>
    <w:p w:rsidR="006A6658" w:rsidRPr="00B24EDF" w:rsidRDefault="00393497" w:rsidP="00102FBB">
      <w:pPr>
        <w:spacing w:line="276" w:lineRule="auto"/>
        <w:jc w:val="both"/>
        <w:rPr>
          <w:rFonts w:ascii="Times New Roman" w:hAnsi="Times New Roman" w:cs="Times New Roman"/>
          <w:sz w:val="24"/>
          <w:szCs w:val="24"/>
        </w:rPr>
      </w:pPr>
      <w:bookmarkStart w:id="37" w:name="_Toc227444155"/>
      <w:r w:rsidRPr="00B24EDF">
        <w:rPr>
          <w:rFonts w:ascii="Times New Roman" w:hAnsi="Times New Roman" w:cs="Times New Roman"/>
          <w:b/>
          <w:bCs/>
          <w:sz w:val="24"/>
          <w:szCs w:val="24"/>
          <w:u w:val="single" w:color="9E7C0A"/>
        </w:rPr>
        <w:t>Result and Interpretation</w:t>
      </w:r>
      <w:bookmarkEnd w:id="37"/>
    </w:p>
    <w:p w:rsidR="00774339" w:rsidRPr="00B24EDF" w:rsidRDefault="0077433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Applying the formula:   IRR  ≈  30%  +  [ 41.90  /  ( 41.90 – -51.99 ) ]  ×  5%  ≈  32.23%</w:t>
      </w:r>
    </w:p>
    <w:p w:rsidR="006A6658" w:rsidRPr="00B24EDF" w:rsidRDefault="0077433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lastRenderedPageBreak/>
        <w:t>The approximate IRR of Option B is 32.23. This is more than the 6 percentage rate cost of capital by 26.23 percentage points thus proving that Option B easily passes the minimum hurdle rate to pay investors the risk undertaken. The size of the spread over the cost of capital gives a wide margin of safety: although real cash flows might have been significantly lower than projected, the investment would still yield a positive NPV. This finding supports the advice to go with Option B.</w:t>
      </w:r>
    </w:p>
    <w:p w:rsidR="006A6658" w:rsidRPr="00B24EDF" w:rsidRDefault="006A6658" w:rsidP="00102FBB">
      <w:pPr>
        <w:spacing w:line="276" w:lineRule="auto"/>
        <w:jc w:val="both"/>
        <w:rPr>
          <w:rFonts w:ascii="Times New Roman" w:hAnsi="Times New Roman" w:cs="Times New Roman"/>
          <w:sz w:val="24"/>
          <w:szCs w:val="24"/>
        </w:rPr>
      </w:pPr>
    </w:p>
    <w:p w:rsidR="006A6658" w:rsidRPr="00B24EDF" w:rsidRDefault="00393497" w:rsidP="009D1A31">
      <w:pPr>
        <w:pStyle w:val="Heading1"/>
        <w:rPr>
          <w:rFonts w:ascii="Times New Roman" w:hAnsi="Times New Roman" w:cs="Times New Roman"/>
          <w:color w:val="auto"/>
        </w:rPr>
      </w:pPr>
      <w:bookmarkStart w:id="38" w:name="_Toc227444156"/>
      <w:bookmarkStart w:id="39" w:name="_Toc227526816"/>
      <w:r w:rsidRPr="00B24EDF">
        <w:rPr>
          <w:rFonts w:ascii="Times New Roman" w:hAnsi="Times New Roman" w:cs="Times New Roman"/>
          <w:color w:val="auto"/>
        </w:rPr>
        <w:t>IV.   Interpretation and Theoretical Discussion</w:t>
      </w:r>
      <w:bookmarkEnd w:id="38"/>
      <w:bookmarkEnd w:id="39"/>
    </w:p>
    <w:p w:rsidR="006A6658" w:rsidRPr="00B24EDF" w:rsidRDefault="00393497" w:rsidP="00102FBB">
      <w:pPr>
        <w:spacing w:line="276" w:lineRule="auto"/>
        <w:jc w:val="both"/>
        <w:rPr>
          <w:rFonts w:ascii="Times New Roman" w:hAnsi="Times New Roman" w:cs="Times New Roman"/>
          <w:sz w:val="24"/>
          <w:szCs w:val="24"/>
        </w:rPr>
      </w:pPr>
      <w:bookmarkStart w:id="40" w:name="_Toc227444157"/>
      <w:r w:rsidRPr="00B24EDF">
        <w:rPr>
          <w:rFonts w:ascii="Times New Roman" w:hAnsi="Times New Roman" w:cs="Times New Roman"/>
          <w:b/>
          <w:bCs/>
          <w:sz w:val="24"/>
          <w:szCs w:val="24"/>
          <w:u w:val="single" w:color="9E7C0A"/>
        </w:rPr>
        <w:t>Why NPV is the Superior Appraisal Method</w:t>
      </w:r>
      <w:bookmarkEnd w:id="40"/>
    </w:p>
    <w:p w:rsidR="00774339" w:rsidRPr="00B24EDF" w:rsidRDefault="00774339" w:rsidP="00102FBB">
      <w:pPr>
        <w:spacing w:line="276" w:lineRule="auto"/>
        <w:jc w:val="both"/>
        <w:rPr>
          <w:rFonts w:ascii="Times New Roman" w:hAnsi="Times New Roman" w:cs="Times New Roman"/>
          <w:sz w:val="24"/>
          <w:szCs w:val="24"/>
        </w:rPr>
      </w:pPr>
      <w:bookmarkStart w:id="41" w:name="_Toc227444158"/>
      <w:r w:rsidRPr="00B24EDF">
        <w:rPr>
          <w:rFonts w:ascii="Times New Roman" w:hAnsi="Times New Roman" w:cs="Times New Roman"/>
          <w:sz w:val="24"/>
          <w:szCs w:val="24"/>
        </w:rPr>
        <w:t>Net Present Value is considered theoretically the best investment appraisal technique that is well proven in the academic lit</w:t>
      </w:r>
      <w:r w:rsidR="00384942">
        <w:rPr>
          <w:rFonts w:ascii="Times New Roman" w:hAnsi="Times New Roman" w:cs="Times New Roman"/>
          <w:sz w:val="24"/>
          <w:szCs w:val="24"/>
        </w:rPr>
        <w:t>erature of corporate finance (Apri</w:t>
      </w:r>
      <w:r w:rsidRPr="00B24EDF">
        <w:rPr>
          <w:rFonts w:ascii="Times New Roman" w:hAnsi="Times New Roman" w:cs="Times New Roman"/>
          <w:sz w:val="24"/>
          <w:szCs w:val="24"/>
        </w:rPr>
        <w:t>l, 2020; Mclaney, 2017). The main reasons why it should be considered the primary one are the following:</w:t>
      </w:r>
    </w:p>
    <w:p w:rsidR="00774339" w:rsidRPr="00B24EDF" w:rsidRDefault="0077433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Time value of money: NPV directly discounts future cash flows using the cost of capital, as it identifies the opportunity cost of funds invested in a project as later cash flows are worth less than earlier cash flows. It is a financial reality that is basic and cannot be avoided and it is what a non-discounting methodology does not take into account.</w:t>
      </w:r>
    </w:p>
    <w:p w:rsidR="00774339" w:rsidRPr="00B24EDF" w:rsidRDefault="0077433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Direct measure of wealth creation by shareholders: NPV is a monetary amount (as opposed to Payback Period (a time period) or ARR (a percentage on book values)) that directly reflects the main goal of the primary objective of the board maximisation of shareholder wealth.</w:t>
      </w:r>
    </w:p>
    <w:p w:rsidR="00774339" w:rsidRPr="00B24EDF" w:rsidRDefault="0077433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Risk-adjusted acceptance criterion: the discount rate of NPV is the weighted a</w:t>
      </w:r>
      <w:r w:rsidR="00403A5F">
        <w:rPr>
          <w:rFonts w:ascii="Times New Roman" w:hAnsi="Times New Roman" w:cs="Times New Roman"/>
          <w:sz w:val="24"/>
          <w:szCs w:val="24"/>
        </w:rPr>
        <w:t>verage cost of capital, which are</w:t>
      </w:r>
      <w:r w:rsidRPr="00B24EDF">
        <w:rPr>
          <w:rFonts w:ascii="Times New Roman" w:hAnsi="Times New Roman" w:cs="Times New Roman"/>
          <w:sz w:val="24"/>
          <w:szCs w:val="24"/>
        </w:rPr>
        <w:t xml:space="preserve"> the risk-adjusted minimum returns needed by debt and equity investors. This is a theoretically accurate standard that will only allow truly value-creating projects to be taken.</w:t>
      </w:r>
    </w:p>
    <w:p w:rsidR="00774339" w:rsidRPr="00B24EDF" w:rsidRDefault="0077433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Additive property: NPVs of independent projects are additive, so that effects on firm value of a combination of portfolio projects can be determined, and that multi-project capital budgeting can be coherent. IRR does not possess this property.</w:t>
      </w:r>
    </w:p>
    <w:p w:rsidR="00774339" w:rsidRDefault="0077433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Unique one-to-one answer: NPV provides a unique answer, no matter the cash flow pattern. IRR may give two or more solutions when cash flows switch sign more than once to cause analytical ambiguity as NPV does not.</w:t>
      </w:r>
    </w:p>
    <w:p w:rsidR="00B9004B" w:rsidRPr="00B24EDF" w:rsidRDefault="00B9004B" w:rsidP="00102FBB">
      <w:pPr>
        <w:spacing w:line="276" w:lineRule="auto"/>
        <w:jc w:val="both"/>
        <w:rPr>
          <w:rFonts w:ascii="Times New Roman" w:hAnsi="Times New Roman" w:cs="Times New Roman"/>
          <w:sz w:val="24"/>
          <w:szCs w:val="24"/>
        </w:rPr>
      </w:pPr>
    </w:p>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b/>
          <w:bCs/>
          <w:sz w:val="24"/>
          <w:szCs w:val="24"/>
          <w:u w:val="single" w:color="9E7C0A"/>
        </w:rPr>
        <w:t>The Persistence of Non-Discounting Methods</w:t>
      </w:r>
      <w:bookmarkEnd w:id="41"/>
    </w:p>
    <w:p w:rsidR="00774339" w:rsidRPr="00B24EDF" w:rsidRDefault="00774339" w:rsidP="00102FBB">
      <w:pPr>
        <w:spacing w:line="276" w:lineRule="auto"/>
        <w:jc w:val="both"/>
        <w:rPr>
          <w:rFonts w:ascii="Times New Roman" w:hAnsi="Times New Roman" w:cs="Times New Roman"/>
          <w:sz w:val="24"/>
          <w:szCs w:val="24"/>
        </w:rPr>
      </w:pPr>
      <w:bookmarkStart w:id="42" w:name="_Toc227444159"/>
      <w:r w:rsidRPr="00B24EDF">
        <w:rPr>
          <w:rFonts w:ascii="Times New Roman" w:hAnsi="Times New Roman" w:cs="Times New Roman"/>
          <w:sz w:val="24"/>
          <w:szCs w:val="24"/>
        </w:rPr>
        <w:t>Although NPV should be pre-eminent in theory, non-discounting techniques, especially the Payback Period and Accounting Rate of Return, are widely applied in practice, es</w:t>
      </w:r>
      <w:r w:rsidR="00384942">
        <w:rPr>
          <w:rFonts w:ascii="Times New Roman" w:hAnsi="Times New Roman" w:cs="Times New Roman"/>
          <w:sz w:val="24"/>
          <w:szCs w:val="24"/>
        </w:rPr>
        <w:t>pecially in micro-businesses (Apri</w:t>
      </w:r>
      <w:r w:rsidRPr="00B24EDF">
        <w:rPr>
          <w:rFonts w:ascii="Times New Roman" w:hAnsi="Times New Roman" w:cs="Times New Roman"/>
          <w:sz w:val="24"/>
          <w:szCs w:val="24"/>
        </w:rPr>
        <w:t>l, 2020). They insist on it because of a number of practical reasons:</w:t>
      </w:r>
    </w:p>
    <w:p w:rsidR="00774339" w:rsidRPr="00B24EDF" w:rsidRDefault="0077433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Intuitive simplicity: the Payback Period does not need any knowledge of discounting or present value tables. An outlay of two years and four months is immediately grasped by non-financial directors and business owners without any special training.</w:t>
      </w:r>
    </w:p>
    <w:p w:rsidR="00774339" w:rsidRPr="00B24EDF" w:rsidRDefault="0077433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Liquidity protection: the Payback Period gives a priority to those investments that recoup the capital in the shortest possible time, a mechanism that can serve as a hedge to businesses which are sensitive to cash flow pressure or have low access to external financing.</w:t>
      </w:r>
    </w:p>
    <w:p w:rsidR="00774339" w:rsidRPr="00B24EDF" w:rsidRDefault="0077433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Risk proxy: when cash flows are far in the future, they are less predictable than when they are near. A smaller payback is less time to predict error in forecast and unexpected market dynamics, which gives an informal yet valuable proxy of project risk.</w:t>
      </w:r>
    </w:p>
    <w:p w:rsidR="00774339" w:rsidRDefault="0077433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lastRenderedPageBreak/>
        <w:t>Incentive alignment: Accounting Rate of Return is given in accounting profit measures, and is naturally aligned with periodic performance measures in management remuneration programs, providing a bridge between investment appraisal and performance evaluation.</w:t>
      </w:r>
    </w:p>
    <w:p w:rsidR="00B9004B" w:rsidRPr="00B24EDF" w:rsidRDefault="00B9004B" w:rsidP="00102FBB">
      <w:pPr>
        <w:spacing w:line="276" w:lineRule="auto"/>
        <w:jc w:val="both"/>
        <w:rPr>
          <w:rFonts w:ascii="Times New Roman" w:hAnsi="Times New Roman" w:cs="Times New Roman"/>
          <w:sz w:val="24"/>
          <w:szCs w:val="24"/>
        </w:rPr>
      </w:pPr>
    </w:p>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b/>
          <w:bCs/>
          <w:sz w:val="24"/>
          <w:szCs w:val="24"/>
          <w:u w:val="single" w:color="9E7C0A"/>
        </w:rPr>
        <w:t>Other Factors for Board Consideration</w:t>
      </w:r>
      <w:bookmarkEnd w:id="42"/>
    </w:p>
    <w:p w:rsidR="00774339" w:rsidRPr="00B24EDF" w:rsidRDefault="00774339" w:rsidP="00102FBB">
      <w:pPr>
        <w:spacing w:line="276" w:lineRule="auto"/>
        <w:jc w:val="both"/>
        <w:rPr>
          <w:rFonts w:ascii="Times New Roman" w:hAnsi="Times New Roman" w:cs="Times New Roman"/>
          <w:sz w:val="24"/>
          <w:szCs w:val="24"/>
        </w:rPr>
      </w:pPr>
      <w:bookmarkStart w:id="43" w:name="_Toc227444160"/>
      <w:r w:rsidRPr="00B24EDF">
        <w:rPr>
          <w:rFonts w:ascii="Times New Roman" w:hAnsi="Times New Roman" w:cs="Times New Roman"/>
          <w:sz w:val="24"/>
          <w:szCs w:val="24"/>
        </w:rPr>
        <w:t>The conditions required to result in a final investment commitment are a positive NPV and a favourable IRR but not sufficient. The Board ought to also evaluate:</w:t>
      </w:r>
    </w:p>
    <w:p w:rsidR="00774339" w:rsidRPr="00B24EDF" w:rsidRDefault="0077433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Market and competitive environment: the online UK home furnishings market is expanding yet getting competitive. Capital commitment should be preceded by a diligent market analysis and competitive positioning study.</w:t>
      </w:r>
    </w:p>
    <w:p w:rsidR="00774339" w:rsidRPr="00B24EDF" w:rsidRDefault="0077433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Operational and digital ability: e-commerce demands web development, digital marketing, logistic, and customer service competencies. The Board should determine whether they are in-house or can be bought at a cost that is cost effective.</w:t>
      </w:r>
    </w:p>
    <w:p w:rsidR="00774339" w:rsidRPr="00B24EDF" w:rsidRDefault="0077433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Brand integrity: The premium brand positioning of Westward plc has to be ensured on the digital platform. An inappropriately constructed online presence might water down perceived quality and hurt online and offline sales.</w:t>
      </w:r>
    </w:p>
    <w:p w:rsidR="00774339" w:rsidRPr="00B24EDF" w:rsidRDefault="0077433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Sensitivity of projections: a form</w:t>
      </w:r>
      <w:r w:rsidR="00205B6A">
        <w:rPr>
          <w:rFonts w:ascii="Times New Roman" w:hAnsi="Times New Roman" w:cs="Times New Roman"/>
          <w:sz w:val="24"/>
          <w:szCs w:val="24"/>
        </w:rPr>
        <w:t xml:space="preserve">al sensitivity analysis - how a </w:t>
      </w:r>
      <w:r w:rsidRPr="00B24EDF">
        <w:rPr>
          <w:rFonts w:ascii="Times New Roman" w:hAnsi="Times New Roman" w:cs="Times New Roman"/>
          <w:sz w:val="24"/>
          <w:szCs w:val="24"/>
        </w:rPr>
        <w:t>1020% downiness in revenues would impact the NPV recommendation - would show the margin of safety in the NPV recommendation before capital is committed.</w:t>
      </w:r>
    </w:p>
    <w:p w:rsidR="00774339" w:rsidRPr="00B24EDF" w:rsidRDefault="0077433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Regulatory and tax environment: any change in corporate tax rates, capital allowance or regulation of digital commerce in future may impact post-tax returns and must always be tracked.</w:t>
      </w:r>
    </w:p>
    <w:p w:rsidR="006A6658" w:rsidRPr="00B24EDF" w:rsidRDefault="00393497" w:rsidP="009D1A31">
      <w:pPr>
        <w:pStyle w:val="Heading1"/>
        <w:rPr>
          <w:rFonts w:ascii="Times New Roman" w:hAnsi="Times New Roman" w:cs="Times New Roman"/>
          <w:color w:val="auto"/>
        </w:rPr>
      </w:pPr>
      <w:bookmarkStart w:id="44" w:name="_Toc227526817"/>
      <w:r w:rsidRPr="00B24EDF">
        <w:rPr>
          <w:rFonts w:ascii="Times New Roman" w:hAnsi="Times New Roman" w:cs="Times New Roman"/>
          <w:color w:val="auto"/>
        </w:rPr>
        <w:t xml:space="preserve">V.   Capital Rationing </w:t>
      </w:r>
      <w:r w:rsidR="009D1A31" w:rsidRPr="00B24EDF">
        <w:rPr>
          <w:rFonts w:ascii="Times New Roman" w:hAnsi="Times New Roman" w:cs="Times New Roman"/>
          <w:color w:val="auto"/>
        </w:rPr>
        <w:t>-</w:t>
      </w:r>
      <w:r w:rsidRPr="00B24EDF">
        <w:rPr>
          <w:rFonts w:ascii="Times New Roman" w:hAnsi="Times New Roman" w:cs="Times New Roman"/>
          <w:color w:val="auto"/>
        </w:rPr>
        <w:t xml:space="preserve"> Optimal Investment Policy</w:t>
      </w:r>
      <w:bookmarkEnd w:id="43"/>
      <w:bookmarkEnd w:id="44"/>
    </w:p>
    <w:p w:rsidR="006A6658" w:rsidRPr="00B24EDF" w:rsidRDefault="00393497" w:rsidP="00102FBB">
      <w:pPr>
        <w:spacing w:line="276" w:lineRule="auto"/>
        <w:jc w:val="both"/>
        <w:rPr>
          <w:rFonts w:ascii="Times New Roman" w:hAnsi="Times New Roman" w:cs="Times New Roman"/>
          <w:sz w:val="24"/>
          <w:szCs w:val="24"/>
        </w:rPr>
      </w:pPr>
      <w:bookmarkStart w:id="45" w:name="_Toc227444161"/>
      <w:r w:rsidRPr="00B24EDF">
        <w:rPr>
          <w:rFonts w:ascii="Times New Roman" w:hAnsi="Times New Roman" w:cs="Times New Roman"/>
          <w:b/>
          <w:bCs/>
          <w:sz w:val="24"/>
          <w:szCs w:val="24"/>
          <w:u w:val="single" w:color="9E7C0A"/>
        </w:rPr>
        <w:t>Framework</w:t>
      </w:r>
      <w:bookmarkEnd w:id="45"/>
    </w:p>
    <w:p w:rsidR="006A6658" w:rsidRPr="00B24EDF" w:rsidRDefault="0077433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The concept of capital rationing occurs when the investment budget at hand is inadequate to finance all the positive-NPV projects at full capacity at the same time. Here, Westward Plc's budget is £2,500,000, against total full-scale project costs of £3,200,000 — a shortfall of £700,000. As the projects can be divided, the best allocation is identified by the Profitability Index (PI), with the projects ranked according to the amount of NPV made per pound of capital invested and allocating the amount in the descending order of</w:t>
      </w:r>
      <w:r w:rsidR="00384942">
        <w:rPr>
          <w:rFonts w:ascii="Times New Roman" w:hAnsi="Times New Roman" w:cs="Times New Roman"/>
          <w:sz w:val="24"/>
          <w:szCs w:val="24"/>
        </w:rPr>
        <w:t xml:space="preserve"> PI until there is none left (Apri</w:t>
      </w:r>
      <w:r w:rsidRPr="00B24EDF">
        <w:rPr>
          <w:rFonts w:ascii="Times New Roman" w:hAnsi="Times New Roman" w:cs="Times New Roman"/>
          <w:sz w:val="24"/>
          <w:szCs w:val="24"/>
        </w:rPr>
        <w:t>l, 2020).</w:t>
      </w:r>
    </w:p>
    <w:tbl>
      <w:tblPr>
        <w:tblW w:w="8826" w:type="dxa"/>
        <w:tblInd w:w="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tblPr>
      <w:tblGrid>
        <w:gridCol w:w="8826"/>
      </w:tblGrid>
      <w:tr w:rsidR="009D1A31" w:rsidRPr="00B24EDF" w:rsidTr="00384942">
        <w:tc>
          <w:tcPr>
            <w:tcW w:w="8826" w:type="dxa"/>
            <w:tcBorders>
              <w:top w:val="single" w:sz="3" w:space="0" w:color="9E7C0A"/>
              <w:left w:val="thick" w:sz="8" w:space="0" w:color="9E7C0A"/>
              <w:bottom w:val="single" w:sz="3" w:space="0" w:color="9E7C0A"/>
              <w:right w:val="nil"/>
            </w:tcBorders>
            <w:shd w:val="clear" w:color="auto" w:fill="auto"/>
            <w:tcMar>
              <w:top w:w="100" w:type="dxa"/>
              <w:left w:w="200" w:type="dxa"/>
              <w:bottom w:w="100" w:type="dxa"/>
              <w:right w:w="200" w:type="dxa"/>
            </w:tcMar>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eastAsia="Courier New" w:hAnsi="Times New Roman" w:cs="Times New Roman"/>
                <w:b/>
                <w:bCs/>
                <w:sz w:val="24"/>
                <w:szCs w:val="24"/>
              </w:rPr>
              <w:t>Profitability Index (PI) = NPV  ÷  Initial Capital Outlay</w:t>
            </w:r>
          </w:p>
        </w:tc>
      </w:tr>
    </w:tbl>
    <w:p w:rsidR="006A6658" w:rsidRPr="00B24EDF" w:rsidRDefault="006A6658" w:rsidP="00102FBB">
      <w:pPr>
        <w:spacing w:line="276" w:lineRule="auto"/>
        <w:jc w:val="both"/>
        <w:rPr>
          <w:rFonts w:ascii="Times New Roman" w:hAnsi="Times New Roman" w:cs="Times New Roman"/>
          <w:sz w:val="24"/>
          <w:szCs w:val="24"/>
        </w:rPr>
      </w:pPr>
    </w:p>
    <w:p w:rsidR="006A6658" w:rsidRPr="00B24EDF" w:rsidRDefault="00393497" w:rsidP="00102FBB">
      <w:pPr>
        <w:spacing w:line="276" w:lineRule="auto"/>
        <w:jc w:val="both"/>
        <w:rPr>
          <w:rFonts w:ascii="Times New Roman" w:hAnsi="Times New Roman" w:cs="Times New Roman"/>
          <w:sz w:val="24"/>
          <w:szCs w:val="24"/>
        </w:rPr>
      </w:pPr>
      <w:bookmarkStart w:id="46" w:name="_Toc227444162"/>
      <w:r w:rsidRPr="00B24EDF">
        <w:rPr>
          <w:rFonts w:ascii="Times New Roman" w:hAnsi="Times New Roman" w:cs="Times New Roman"/>
          <w:b/>
          <w:bCs/>
          <w:sz w:val="24"/>
          <w:szCs w:val="24"/>
          <w:u w:val="single" w:color="9E7C0A"/>
        </w:rPr>
        <w:t>Optimal Allocation Table</w:t>
      </w:r>
      <w:bookmarkEnd w:id="46"/>
    </w:p>
    <w:p w:rsidR="006A6658" w:rsidRPr="00B24EDF" w:rsidRDefault="006A6658" w:rsidP="00102FBB">
      <w:pPr>
        <w:spacing w:line="276" w:lineRule="auto"/>
        <w:jc w:val="both"/>
        <w:rPr>
          <w:rFonts w:ascii="Times New Roman" w:hAnsi="Times New Roman" w:cs="Times New Roman"/>
          <w:sz w:val="24"/>
          <w:szCs w:val="24"/>
        </w:rPr>
      </w:pPr>
    </w:p>
    <w:tbl>
      <w:tblPr>
        <w:tblStyle w:val="TableGrid"/>
        <w:tblW w:w="8918" w:type="dxa"/>
        <w:tblInd w:w="108" w:type="dxa"/>
        <w:tblLook w:val="04A0"/>
      </w:tblPr>
      <w:tblGrid>
        <w:gridCol w:w="1677"/>
        <w:gridCol w:w="1486"/>
        <w:gridCol w:w="1487"/>
        <w:gridCol w:w="1585"/>
        <w:gridCol w:w="1587"/>
        <w:gridCol w:w="1096"/>
      </w:tblGrid>
      <w:tr w:rsidR="009D1A31" w:rsidRPr="00B24EDF" w:rsidTr="00E70B59">
        <w:tc>
          <w:tcPr>
            <w:tcW w:w="1677"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b/>
                <w:bCs/>
                <w:sz w:val="24"/>
                <w:szCs w:val="24"/>
              </w:rPr>
              <w:t>Project</w:t>
            </w:r>
          </w:p>
        </w:tc>
        <w:tc>
          <w:tcPr>
            <w:tcW w:w="1486"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b/>
                <w:bCs/>
                <w:sz w:val="24"/>
                <w:szCs w:val="24"/>
              </w:rPr>
              <w:t>Cost (£000)</w:t>
            </w:r>
          </w:p>
        </w:tc>
        <w:tc>
          <w:tcPr>
            <w:tcW w:w="1487"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b/>
                <w:bCs/>
                <w:sz w:val="24"/>
                <w:szCs w:val="24"/>
              </w:rPr>
              <w:t>NPV (£000)</w:t>
            </w:r>
          </w:p>
        </w:tc>
        <w:tc>
          <w:tcPr>
            <w:tcW w:w="1585"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b/>
                <w:bCs/>
                <w:sz w:val="24"/>
                <w:szCs w:val="24"/>
              </w:rPr>
              <w:t>PI = NPV / Cost</w:t>
            </w:r>
          </w:p>
        </w:tc>
        <w:tc>
          <w:tcPr>
            <w:tcW w:w="1587"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b/>
                <w:bCs/>
                <w:sz w:val="24"/>
                <w:szCs w:val="24"/>
              </w:rPr>
              <w:t>NPV Earned (£000)</w:t>
            </w:r>
          </w:p>
        </w:tc>
        <w:tc>
          <w:tcPr>
            <w:tcW w:w="1096"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b/>
                <w:bCs/>
                <w:sz w:val="24"/>
                <w:szCs w:val="24"/>
              </w:rPr>
              <w:t>Fraction</w:t>
            </w:r>
          </w:p>
        </w:tc>
      </w:tr>
      <w:tr w:rsidR="009D1A31" w:rsidRPr="00B24EDF" w:rsidTr="00E70B59">
        <w:tc>
          <w:tcPr>
            <w:tcW w:w="1677"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Option A</w:t>
            </w:r>
          </w:p>
        </w:tc>
        <w:tc>
          <w:tcPr>
            <w:tcW w:w="1486"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600</w:t>
            </w:r>
          </w:p>
        </w:tc>
        <w:tc>
          <w:tcPr>
            <w:tcW w:w="1487"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643.17</w:t>
            </w:r>
          </w:p>
        </w:tc>
        <w:tc>
          <w:tcPr>
            <w:tcW w:w="1585"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1.0719</w:t>
            </w:r>
          </w:p>
        </w:tc>
        <w:tc>
          <w:tcPr>
            <w:tcW w:w="1587"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643.17</w:t>
            </w:r>
          </w:p>
        </w:tc>
        <w:tc>
          <w:tcPr>
            <w:tcW w:w="1096"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100%</w:t>
            </w:r>
          </w:p>
        </w:tc>
      </w:tr>
      <w:tr w:rsidR="009D1A31" w:rsidRPr="00B24EDF" w:rsidTr="00E70B59">
        <w:tc>
          <w:tcPr>
            <w:tcW w:w="1677"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Option B</w:t>
            </w:r>
          </w:p>
        </w:tc>
        <w:tc>
          <w:tcPr>
            <w:tcW w:w="1486"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1000</w:t>
            </w:r>
          </w:p>
        </w:tc>
        <w:tc>
          <w:tcPr>
            <w:tcW w:w="1487"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792.23</w:t>
            </w:r>
          </w:p>
        </w:tc>
        <w:tc>
          <w:tcPr>
            <w:tcW w:w="1585"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0.7922</w:t>
            </w:r>
          </w:p>
        </w:tc>
        <w:tc>
          <w:tcPr>
            <w:tcW w:w="1587"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792.23</w:t>
            </w:r>
          </w:p>
        </w:tc>
        <w:tc>
          <w:tcPr>
            <w:tcW w:w="1096"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100%</w:t>
            </w:r>
          </w:p>
        </w:tc>
      </w:tr>
      <w:tr w:rsidR="009D1A31" w:rsidRPr="00B24EDF" w:rsidTr="00E70B59">
        <w:tc>
          <w:tcPr>
            <w:tcW w:w="1677"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Option C</w:t>
            </w:r>
          </w:p>
        </w:tc>
        <w:tc>
          <w:tcPr>
            <w:tcW w:w="1486"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1600</w:t>
            </w:r>
          </w:p>
        </w:tc>
        <w:tc>
          <w:tcPr>
            <w:tcW w:w="1487"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742.48</w:t>
            </w:r>
          </w:p>
        </w:tc>
        <w:tc>
          <w:tcPr>
            <w:tcW w:w="1585"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0.4641</w:t>
            </w:r>
          </w:p>
        </w:tc>
        <w:tc>
          <w:tcPr>
            <w:tcW w:w="1587"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417.64</w:t>
            </w:r>
          </w:p>
        </w:tc>
        <w:tc>
          <w:tcPr>
            <w:tcW w:w="1096"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56.3%</w:t>
            </w:r>
          </w:p>
        </w:tc>
      </w:tr>
      <w:tr w:rsidR="009D1A31" w:rsidRPr="00B24EDF" w:rsidTr="00E70B59">
        <w:tc>
          <w:tcPr>
            <w:tcW w:w="1677"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b/>
                <w:bCs/>
                <w:sz w:val="24"/>
                <w:szCs w:val="24"/>
              </w:rPr>
              <w:t>TOTAL</w:t>
            </w:r>
          </w:p>
        </w:tc>
        <w:tc>
          <w:tcPr>
            <w:tcW w:w="1486"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b/>
                <w:bCs/>
                <w:sz w:val="24"/>
                <w:szCs w:val="24"/>
              </w:rPr>
              <w:t>2,500</w:t>
            </w:r>
          </w:p>
        </w:tc>
        <w:tc>
          <w:tcPr>
            <w:tcW w:w="1487" w:type="dxa"/>
          </w:tcPr>
          <w:p w:rsidR="006A6658" w:rsidRPr="00B24EDF" w:rsidRDefault="006A6658" w:rsidP="00102FBB">
            <w:pPr>
              <w:spacing w:line="276" w:lineRule="auto"/>
              <w:jc w:val="both"/>
              <w:rPr>
                <w:rFonts w:ascii="Times New Roman" w:hAnsi="Times New Roman" w:cs="Times New Roman"/>
                <w:sz w:val="24"/>
                <w:szCs w:val="24"/>
              </w:rPr>
            </w:pPr>
          </w:p>
        </w:tc>
        <w:tc>
          <w:tcPr>
            <w:tcW w:w="1585" w:type="dxa"/>
          </w:tcPr>
          <w:p w:rsidR="006A6658" w:rsidRPr="00B24EDF" w:rsidRDefault="006A6658" w:rsidP="00102FBB">
            <w:pPr>
              <w:spacing w:line="276" w:lineRule="auto"/>
              <w:jc w:val="both"/>
              <w:rPr>
                <w:rFonts w:ascii="Times New Roman" w:hAnsi="Times New Roman" w:cs="Times New Roman"/>
                <w:sz w:val="24"/>
                <w:szCs w:val="24"/>
              </w:rPr>
            </w:pPr>
          </w:p>
        </w:tc>
        <w:tc>
          <w:tcPr>
            <w:tcW w:w="1587"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b/>
                <w:bCs/>
                <w:sz w:val="24"/>
                <w:szCs w:val="24"/>
              </w:rPr>
              <w:t>1853.04</w:t>
            </w:r>
          </w:p>
        </w:tc>
        <w:tc>
          <w:tcPr>
            <w:tcW w:w="1096" w:type="dxa"/>
          </w:tcPr>
          <w:p w:rsidR="006A6658" w:rsidRPr="00B24EDF" w:rsidRDefault="006A6658" w:rsidP="00102FBB">
            <w:pPr>
              <w:spacing w:line="276" w:lineRule="auto"/>
              <w:jc w:val="both"/>
              <w:rPr>
                <w:rFonts w:ascii="Times New Roman" w:hAnsi="Times New Roman" w:cs="Times New Roman"/>
                <w:sz w:val="24"/>
                <w:szCs w:val="24"/>
              </w:rPr>
            </w:pPr>
          </w:p>
        </w:tc>
      </w:tr>
    </w:tbl>
    <w:p w:rsidR="006A6658" w:rsidRPr="00B24EDF" w:rsidRDefault="006A6658" w:rsidP="00102FBB">
      <w:pPr>
        <w:spacing w:line="276" w:lineRule="auto"/>
        <w:jc w:val="both"/>
        <w:rPr>
          <w:rFonts w:ascii="Times New Roman" w:hAnsi="Times New Roman" w:cs="Times New Roman"/>
          <w:sz w:val="24"/>
          <w:szCs w:val="24"/>
        </w:rPr>
      </w:pPr>
    </w:p>
    <w:p w:rsidR="006A6658" w:rsidRPr="00B24EDF" w:rsidRDefault="00393497" w:rsidP="00102FBB">
      <w:pPr>
        <w:spacing w:line="276" w:lineRule="auto"/>
        <w:jc w:val="both"/>
        <w:rPr>
          <w:rFonts w:ascii="Times New Roman" w:hAnsi="Times New Roman" w:cs="Times New Roman"/>
          <w:sz w:val="24"/>
          <w:szCs w:val="24"/>
        </w:rPr>
      </w:pPr>
      <w:bookmarkStart w:id="47" w:name="_Toc227444163"/>
      <w:r w:rsidRPr="00B24EDF">
        <w:rPr>
          <w:rFonts w:ascii="Times New Roman" w:hAnsi="Times New Roman" w:cs="Times New Roman"/>
          <w:b/>
          <w:bCs/>
          <w:sz w:val="24"/>
          <w:szCs w:val="24"/>
          <w:u w:val="single" w:color="9E7C0A"/>
        </w:rPr>
        <w:lastRenderedPageBreak/>
        <w:t>Conclusion on Capital Rationing</w:t>
      </w:r>
      <w:bookmarkEnd w:id="47"/>
    </w:p>
    <w:p w:rsidR="00774339" w:rsidRPr="00B24EDF" w:rsidRDefault="00774339" w:rsidP="00102FBB">
      <w:pPr>
        <w:spacing w:line="276" w:lineRule="auto"/>
        <w:jc w:val="both"/>
        <w:rPr>
          <w:rFonts w:ascii="Times New Roman" w:hAnsi="Times New Roman" w:cs="Times New Roman"/>
          <w:sz w:val="24"/>
          <w:szCs w:val="24"/>
        </w:rPr>
      </w:pPr>
      <w:bookmarkStart w:id="48" w:name="_Toc227444164"/>
      <w:r w:rsidRPr="00B24EDF">
        <w:rPr>
          <w:rFonts w:ascii="Times New Roman" w:hAnsi="Times New Roman" w:cs="Times New Roman"/>
          <w:sz w:val="24"/>
          <w:szCs w:val="24"/>
        </w:rPr>
        <w:t>The PI ranking is: Option A (1.0719) &gt; Option B (0.7922) &gt; Option C (0.4641). The optimal policy therefore allocates: 100% to Option A (£600k, NPV earned £643.17k); 100% to Option B (£1,000k, NPV earned £792.23k); and 56.3% of Option C (£900k, NPV earned £417.64k) with the remaining budget. Total NPV realised: £1853.04k - mathematically optimal result of the constraint of 2,500,000. The Board is to observe that due to the practical divizibility of the manufacturing expansion of Option C, it might necessitate a close structuring of operations on a proportional level.</w:t>
      </w:r>
    </w:p>
    <w:p w:rsidR="006A6658" w:rsidRPr="00B24EDF" w:rsidRDefault="00393497" w:rsidP="009D1A31">
      <w:pPr>
        <w:pStyle w:val="Heading1"/>
        <w:rPr>
          <w:rFonts w:ascii="Times New Roman" w:hAnsi="Times New Roman" w:cs="Times New Roman"/>
          <w:color w:val="auto"/>
        </w:rPr>
      </w:pPr>
      <w:bookmarkStart w:id="49" w:name="_Toc227526818"/>
      <w:r w:rsidRPr="00B24EDF">
        <w:rPr>
          <w:rFonts w:ascii="Times New Roman" w:hAnsi="Times New Roman" w:cs="Times New Roman"/>
          <w:color w:val="auto"/>
        </w:rPr>
        <w:t>VI.   Financing the Investment Programme</w:t>
      </w:r>
      <w:bookmarkEnd w:id="48"/>
      <w:bookmarkEnd w:id="49"/>
    </w:p>
    <w:p w:rsidR="00774339" w:rsidRPr="00B24EDF" w:rsidRDefault="00774339" w:rsidP="00102FBB">
      <w:pPr>
        <w:spacing w:line="276" w:lineRule="auto"/>
        <w:jc w:val="both"/>
        <w:rPr>
          <w:rFonts w:ascii="Times New Roman" w:hAnsi="Times New Roman" w:cs="Times New Roman"/>
          <w:sz w:val="24"/>
          <w:szCs w:val="24"/>
        </w:rPr>
      </w:pPr>
      <w:bookmarkStart w:id="50" w:name="_Toc227444165"/>
      <w:r w:rsidRPr="00B24EDF">
        <w:rPr>
          <w:rFonts w:ascii="Times New Roman" w:hAnsi="Times New Roman" w:cs="Times New Roman"/>
          <w:sz w:val="24"/>
          <w:szCs w:val="24"/>
        </w:rPr>
        <w:t>To accomplish this, the Board has to determine the optimal combination of financing tools with which to finance the proposed investment. The main resources that Westward Plc has are critically evaluated below.</w:t>
      </w:r>
    </w:p>
    <w:p w:rsidR="006A6658" w:rsidRPr="00B24EDF" w:rsidRDefault="00403A5F" w:rsidP="00102FBB">
      <w:pPr>
        <w:spacing w:line="276" w:lineRule="auto"/>
        <w:jc w:val="both"/>
        <w:rPr>
          <w:rFonts w:ascii="Times New Roman" w:hAnsi="Times New Roman" w:cs="Times New Roman"/>
          <w:sz w:val="24"/>
          <w:szCs w:val="24"/>
        </w:rPr>
      </w:pPr>
      <w:r>
        <w:rPr>
          <w:rFonts w:ascii="Times New Roman" w:hAnsi="Times New Roman" w:cs="Times New Roman"/>
          <w:b/>
          <w:bCs/>
          <w:sz w:val="24"/>
          <w:szCs w:val="24"/>
        </w:rPr>
        <w:t>i.</w:t>
      </w:r>
      <w:r w:rsidR="00393497" w:rsidRPr="00B24EDF">
        <w:rPr>
          <w:rFonts w:ascii="Times New Roman" w:hAnsi="Times New Roman" w:cs="Times New Roman"/>
          <w:b/>
          <w:bCs/>
          <w:sz w:val="24"/>
          <w:szCs w:val="24"/>
        </w:rPr>
        <w:t xml:space="preserve"> Retained Earnings</w:t>
      </w:r>
      <w:bookmarkEnd w:id="50"/>
    </w:p>
    <w:p w:rsidR="00774339" w:rsidRPr="00B24EDF" w:rsidRDefault="00774339" w:rsidP="00102FBB">
      <w:pPr>
        <w:spacing w:line="276" w:lineRule="auto"/>
        <w:jc w:val="both"/>
        <w:rPr>
          <w:rFonts w:ascii="Times New Roman" w:hAnsi="Times New Roman" w:cs="Times New Roman"/>
          <w:sz w:val="24"/>
          <w:szCs w:val="24"/>
        </w:rPr>
      </w:pPr>
      <w:bookmarkStart w:id="51" w:name="_Toc227444166"/>
      <w:r w:rsidRPr="00B24EDF">
        <w:rPr>
          <w:rFonts w:ascii="Times New Roman" w:hAnsi="Times New Roman" w:cs="Times New Roman"/>
          <w:sz w:val="24"/>
          <w:szCs w:val="24"/>
        </w:rPr>
        <w:t>The most affordable source of investment finance is the internally generated post-tax profits. Their utilization is free of dilution of ownership, transaction costs, or the expected repayment. An implicit opportunity cost is the lost dividend yield to shareholders, which is a real economic cost to be recognised. The main limitation is the limited amount of quantum at any one moment that might necessitate additional external funding in t</w:t>
      </w:r>
      <w:r w:rsidR="00E70B59">
        <w:rPr>
          <w:rFonts w:ascii="Times New Roman" w:hAnsi="Times New Roman" w:cs="Times New Roman"/>
          <w:sz w:val="24"/>
          <w:szCs w:val="24"/>
        </w:rPr>
        <w:t>he case of bigger programmes (Apri</w:t>
      </w:r>
      <w:r w:rsidRPr="00B24EDF">
        <w:rPr>
          <w:rFonts w:ascii="Times New Roman" w:hAnsi="Times New Roman" w:cs="Times New Roman"/>
          <w:sz w:val="24"/>
          <w:szCs w:val="24"/>
        </w:rPr>
        <w:t>l, 2020).</w:t>
      </w:r>
    </w:p>
    <w:p w:rsidR="006A6658" w:rsidRPr="00B24EDF" w:rsidRDefault="00403A5F" w:rsidP="00102FBB">
      <w:pPr>
        <w:spacing w:line="276" w:lineRule="auto"/>
        <w:jc w:val="both"/>
        <w:rPr>
          <w:rFonts w:ascii="Times New Roman" w:hAnsi="Times New Roman" w:cs="Times New Roman"/>
          <w:sz w:val="24"/>
          <w:szCs w:val="24"/>
        </w:rPr>
      </w:pPr>
      <w:r>
        <w:rPr>
          <w:rFonts w:ascii="Times New Roman" w:hAnsi="Times New Roman" w:cs="Times New Roman"/>
          <w:b/>
          <w:bCs/>
          <w:sz w:val="24"/>
          <w:szCs w:val="24"/>
        </w:rPr>
        <w:t>ii.</w:t>
      </w:r>
      <w:r w:rsidR="00393497" w:rsidRPr="00B24EDF">
        <w:rPr>
          <w:rFonts w:ascii="Times New Roman" w:hAnsi="Times New Roman" w:cs="Times New Roman"/>
          <w:b/>
          <w:bCs/>
          <w:sz w:val="24"/>
          <w:szCs w:val="24"/>
        </w:rPr>
        <w:t xml:space="preserve"> Bank Term Loan</w:t>
      </w:r>
      <w:bookmarkEnd w:id="51"/>
    </w:p>
    <w:p w:rsidR="00774339" w:rsidRPr="00B24EDF" w:rsidRDefault="00774339" w:rsidP="00102FBB">
      <w:pPr>
        <w:spacing w:line="276" w:lineRule="auto"/>
        <w:jc w:val="both"/>
        <w:rPr>
          <w:rFonts w:ascii="Times New Roman" w:hAnsi="Times New Roman" w:cs="Times New Roman"/>
          <w:sz w:val="24"/>
          <w:szCs w:val="24"/>
        </w:rPr>
      </w:pPr>
      <w:bookmarkStart w:id="52" w:name="_Toc227444167"/>
      <w:r w:rsidRPr="00B24EDF">
        <w:rPr>
          <w:rFonts w:ascii="Times New Roman" w:hAnsi="Times New Roman" w:cs="Times New Roman"/>
          <w:sz w:val="24"/>
          <w:szCs w:val="24"/>
        </w:rPr>
        <w:t>Secured medium term bank loan is a structured debt financing in either a fixed or variable interest. The interest is deductible, thus lowering the after-tax cost of debt. Limitations are that there is compulsory debt service irrespective of trading performance, security of assets and restrictive lender covenants may be imposed. The investment values considered are probably normal in the UK commercial lending (Mclaney, 2017).</w:t>
      </w:r>
    </w:p>
    <w:p w:rsidR="006A6658" w:rsidRPr="00B24EDF" w:rsidRDefault="00403A5F" w:rsidP="00102FBB">
      <w:pPr>
        <w:spacing w:line="276" w:lineRule="auto"/>
        <w:jc w:val="both"/>
        <w:rPr>
          <w:rFonts w:ascii="Times New Roman" w:hAnsi="Times New Roman" w:cs="Times New Roman"/>
          <w:sz w:val="24"/>
          <w:szCs w:val="24"/>
        </w:rPr>
      </w:pPr>
      <w:r>
        <w:rPr>
          <w:rFonts w:ascii="Times New Roman" w:hAnsi="Times New Roman" w:cs="Times New Roman"/>
          <w:b/>
          <w:bCs/>
          <w:sz w:val="24"/>
          <w:szCs w:val="24"/>
        </w:rPr>
        <w:t>iii.</w:t>
      </w:r>
      <w:r w:rsidR="00393497" w:rsidRPr="00B24EDF">
        <w:rPr>
          <w:rFonts w:ascii="Times New Roman" w:hAnsi="Times New Roman" w:cs="Times New Roman"/>
          <w:b/>
          <w:bCs/>
          <w:sz w:val="24"/>
          <w:szCs w:val="24"/>
        </w:rPr>
        <w:t xml:space="preserve"> Equity Finance</w:t>
      </w:r>
      <w:bookmarkEnd w:id="52"/>
    </w:p>
    <w:p w:rsidR="00774339" w:rsidRPr="00B24EDF" w:rsidRDefault="00774339" w:rsidP="00102FBB">
      <w:pPr>
        <w:spacing w:line="276" w:lineRule="auto"/>
        <w:jc w:val="both"/>
        <w:rPr>
          <w:rFonts w:ascii="Times New Roman" w:hAnsi="Times New Roman" w:cs="Times New Roman"/>
          <w:sz w:val="24"/>
          <w:szCs w:val="24"/>
        </w:rPr>
      </w:pPr>
      <w:bookmarkStart w:id="53" w:name="_Toc227444168"/>
      <w:r w:rsidRPr="00B24EDF">
        <w:rPr>
          <w:rFonts w:ascii="Times New Roman" w:hAnsi="Times New Roman" w:cs="Times New Roman"/>
          <w:sz w:val="24"/>
          <w:szCs w:val="24"/>
        </w:rPr>
        <w:t>Permanent capital is supplied by new equity by private investors, business angels or private equity funds and is not repaid through a set amount. But equity funders demand a share of ownership, board privileges, and exit rights, limiting managerial discretion. Equity is often the most costly source of capital in terms of the rate of return required by investors as it represents the greater risk assumed by investors compared to the secured creditors (Ross, Westerfield and Jordan, 2011).</w:t>
      </w:r>
    </w:p>
    <w:p w:rsidR="006A6658" w:rsidRPr="00B24EDF" w:rsidRDefault="00403A5F" w:rsidP="00102FBB">
      <w:p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iv. </w:t>
      </w:r>
      <w:r w:rsidR="00393497" w:rsidRPr="00B24EDF">
        <w:rPr>
          <w:rFonts w:ascii="Times New Roman" w:hAnsi="Times New Roman" w:cs="Times New Roman"/>
          <w:b/>
          <w:bCs/>
          <w:sz w:val="24"/>
          <w:szCs w:val="24"/>
        </w:rPr>
        <w:t>Asset Finance and Leasing</w:t>
      </w:r>
      <w:bookmarkEnd w:id="53"/>
    </w:p>
    <w:p w:rsidR="00774339" w:rsidRPr="00B24EDF" w:rsidRDefault="00774339" w:rsidP="00102FBB">
      <w:pPr>
        <w:spacing w:line="276" w:lineRule="auto"/>
        <w:jc w:val="both"/>
        <w:rPr>
          <w:rFonts w:ascii="Times New Roman" w:hAnsi="Times New Roman" w:cs="Times New Roman"/>
          <w:sz w:val="24"/>
          <w:szCs w:val="24"/>
        </w:rPr>
      </w:pPr>
      <w:bookmarkStart w:id="54" w:name="_Toc227444169"/>
      <w:r w:rsidRPr="00B24EDF">
        <w:rPr>
          <w:rFonts w:ascii="Times New Roman" w:hAnsi="Times New Roman" w:cs="Times New Roman"/>
          <w:sz w:val="24"/>
          <w:szCs w:val="24"/>
        </w:rPr>
        <w:t>In cases where the investment is in physical terms, such as IT infrastructure, warehouse equipment, or retail fit-out, leasing can be used to share the cost of the capital over the useful life of the asset, avoiding significant initial cost outlay. The overall cost of the entire life of leasing is usually higher as compared to outright purchase because the margin and financing costs incurred by the lessor are factored in rental schedules. With the IFRS 16 all leases are recorded in the balance sheet which influences</w:t>
      </w:r>
      <w:r w:rsidR="00E70B59">
        <w:rPr>
          <w:rFonts w:ascii="Times New Roman" w:hAnsi="Times New Roman" w:cs="Times New Roman"/>
          <w:sz w:val="24"/>
          <w:szCs w:val="24"/>
        </w:rPr>
        <w:t xml:space="preserve"> the reported gearing ratios (Apri</w:t>
      </w:r>
      <w:r w:rsidRPr="00B24EDF">
        <w:rPr>
          <w:rFonts w:ascii="Times New Roman" w:hAnsi="Times New Roman" w:cs="Times New Roman"/>
          <w:sz w:val="24"/>
          <w:szCs w:val="24"/>
        </w:rPr>
        <w:t>l, 2020).</w:t>
      </w:r>
    </w:p>
    <w:p w:rsidR="006A6658" w:rsidRPr="00B24EDF" w:rsidRDefault="00403A5F" w:rsidP="00102FBB">
      <w:pPr>
        <w:spacing w:line="276" w:lineRule="auto"/>
        <w:jc w:val="both"/>
        <w:rPr>
          <w:rFonts w:ascii="Times New Roman" w:hAnsi="Times New Roman" w:cs="Times New Roman"/>
          <w:sz w:val="24"/>
          <w:szCs w:val="24"/>
        </w:rPr>
      </w:pPr>
      <w:r>
        <w:rPr>
          <w:rFonts w:ascii="Times New Roman" w:hAnsi="Times New Roman" w:cs="Times New Roman"/>
          <w:b/>
          <w:bCs/>
          <w:sz w:val="24"/>
          <w:szCs w:val="24"/>
        </w:rPr>
        <w:t>v.</w:t>
      </w:r>
      <w:r w:rsidR="00393497" w:rsidRPr="00B24EDF">
        <w:rPr>
          <w:rFonts w:ascii="Times New Roman" w:hAnsi="Times New Roman" w:cs="Times New Roman"/>
          <w:b/>
          <w:bCs/>
          <w:sz w:val="24"/>
          <w:szCs w:val="24"/>
        </w:rPr>
        <w:t xml:space="preserve"> Government Enterprise Schemes</w:t>
      </w:r>
      <w:bookmarkEnd w:id="54"/>
    </w:p>
    <w:p w:rsidR="00F338ED" w:rsidRPr="00B24EDF" w:rsidRDefault="00F338ED"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 xml:space="preserve">Westward Plc can take advantage of UK government-sponsored schemes - like the Enterprise Finance Guarantee of the British Business Bank, or regional growth grants - especially when the investment will generate jobs or help manufacturing. These plans may provide </w:t>
      </w:r>
      <w:r w:rsidRPr="00B24EDF">
        <w:rPr>
          <w:rFonts w:ascii="Times New Roman" w:hAnsi="Times New Roman" w:cs="Times New Roman"/>
          <w:sz w:val="24"/>
          <w:szCs w:val="24"/>
        </w:rPr>
        <w:lastRenderedPageBreak/>
        <w:t>concessional rates, or non-repayable grants but are also subject to eligibility requirements and application deadlines that might not coincide with the investment schedule.</w:t>
      </w:r>
    </w:p>
    <w:p w:rsidR="00F338ED" w:rsidRPr="00B24EDF" w:rsidRDefault="00F338ED" w:rsidP="00102FBB">
      <w:pPr>
        <w:spacing w:line="276" w:lineRule="auto"/>
        <w:jc w:val="both"/>
        <w:rPr>
          <w:rFonts w:ascii="Times New Roman" w:hAnsi="Times New Roman" w:cs="Times New Roman"/>
          <w:sz w:val="24"/>
          <w:szCs w:val="24"/>
        </w:rPr>
      </w:pPr>
    </w:p>
    <w:p w:rsidR="006A6658" w:rsidRPr="00B24EDF" w:rsidRDefault="00F338ED"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Recommended solution: a mix between the available retained earnings and a structured bank term loan is the most worthy solution to be adopted by the Westward Plc. Retained earnings reduce cost and eliminate ownership; the term loan adds on the remaining capital requirement and repayment is designed to match the projected cash flow of Option B. The Board must ensure that the liquidity reserve is sufficient during the investment term, it must not over-leverage and it needs to consider whether it can be enrolled in the government schemes to limit the net borrowing requirement.</w:t>
      </w:r>
      <w:r w:rsidR="00393497" w:rsidRPr="00B24EDF">
        <w:rPr>
          <w:rFonts w:ascii="Times New Roman" w:hAnsi="Times New Roman" w:cs="Times New Roman"/>
          <w:sz w:val="24"/>
          <w:szCs w:val="24"/>
        </w:rPr>
        <w:br w:type="page"/>
      </w:r>
    </w:p>
    <w:p w:rsidR="006A6658" w:rsidRPr="00B24EDF" w:rsidRDefault="00393497" w:rsidP="009D1A31">
      <w:pPr>
        <w:pStyle w:val="Heading1"/>
        <w:rPr>
          <w:rFonts w:ascii="Times New Roman" w:hAnsi="Times New Roman" w:cs="Times New Roman"/>
          <w:color w:val="auto"/>
        </w:rPr>
      </w:pPr>
      <w:bookmarkStart w:id="55" w:name="_Toc227444170"/>
      <w:bookmarkStart w:id="56" w:name="_Toc227526819"/>
      <w:r w:rsidRPr="00B24EDF">
        <w:rPr>
          <w:rFonts w:ascii="Times New Roman" w:hAnsi="Times New Roman" w:cs="Times New Roman"/>
          <w:color w:val="auto"/>
        </w:rPr>
        <w:lastRenderedPageBreak/>
        <w:t>References</w:t>
      </w:r>
      <w:bookmarkEnd w:id="55"/>
      <w:bookmarkEnd w:id="56"/>
    </w:p>
    <w:p w:rsidR="006A6658" w:rsidRPr="00B24EDF" w:rsidRDefault="00E70B59" w:rsidP="00102FBB">
      <w:pPr>
        <w:spacing w:line="276" w:lineRule="auto"/>
        <w:jc w:val="both"/>
        <w:rPr>
          <w:rFonts w:ascii="Times New Roman" w:hAnsi="Times New Roman" w:cs="Times New Roman"/>
          <w:sz w:val="24"/>
          <w:szCs w:val="24"/>
        </w:rPr>
      </w:pPr>
      <w:r>
        <w:rPr>
          <w:rFonts w:ascii="Times New Roman" w:hAnsi="Times New Roman" w:cs="Times New Roman"/>
          <w:sz w:val="24"/>
          <w:szCs w:val="24"/>
        </w:rPr>
        <w:t>April, P. (2020)</w:t>
      </w:r>
      <w:r w:rsidR="00393497" w:rsidRPr="00B24EDF">
        <w:rPr>
          <w:rFonts w:ascii="Times New Roman" w:hAnsi="Times New Roman" w:cs="Times New Roman"/>
          <w:sz w:val="24"/>
          <w:szCs w:val="24"/>
        </w:rPr>
        <w:t xml:space="preserve"> Financial Management for Decision Makers. 9th edn. Harlow: Pearson.</w:t>
      </w:r>
    </w:p>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Cameron, A.B. and Stephens, L. (1991). The Treatment of Non-Recurring Items in the Income Statement and their Consistency with FASB Concept Statements. Abacus, 27(2), pp.81–96. https://doi.org/10.1111/j.1467-6281.1991.tb00260.x</w:t>
      </w:r>
    </w:p>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Černius, G. and Birškytė, L. (2020). Financial Information and Management Decisions: Impact of Accounting Policy on Financial Indicators of the Firm. Business: Theory and Practice, 21(1), pp.48–57. https://doi.org/10.3846/btp.2020.9959</w:t>
      </w:r>
    </w:p>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Drew, J. and Dollery, B. (2015). Inconsistent Depreciation Practice and Public Policymaking: Local Government Reform in New South Wales. Australian Accounting Review, 25(1), pp.28–37. https://doi.org/10.1111/auar.12072</w:t>
      </w:r>
    </w:p>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Fernandez, F.S. and Arana, M.M.C. (2010). Effects of Comprehensive Income on ROE in a Context of Crisis: Empirical Evidence for IBEX-35 Listed Companies (2004-2008). International Business &amp; Economics Research Journal, 9(1). https://doi.org/10.19030/iber.v9i1.513</w:t>
      </w:r>
    </w:p>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GbambilTobazaa, S. and Gatsi, J. (n.d.). The Impact of Working Capital Management on Profitability: Empirical Evidence from Vodafone Ghana. International Journal of Scientific and Management Research, 8. https://doi.org/10.37502/IJSMR.2025.8706</w:t>
      </w:r>
    </w:p>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Grover, V. and Saeed, K. (2003). The Telecommunication Industry Revisited. Communications of the ACM, 46(7), pp.119–125. https://doi.org/10.1145/792704.792709</w:t>
      </w:r>
    </w:p>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Horngren, C., Harrison, W., Oliver, S., Best, P., Fraser, D. and Tan, R. (2012). Financial Accounting. Harlow: Pearson Higher Education.</w:t>
      </w:r>
    </w:p>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Kogan, L., Ross, S.A., Wang, J. and Westerfield, M.M. (2011). Market Selection. SSRN Electronic Journal. https://doi.org/10.2139/ssrn.1108682</w:t>
      </w:r>
    </w:p>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Kumar, B.R. (2018). Vodafone Acquisition of Mannesmann. In: Wealth Creation in the World's Largest Mergers and Acquisitions. pp.17–29. https://doi.org/10.1007/978-3-030-02363-8_2</w:t>
      </w:r>
    </w:p>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Madura, J. (2021). International Financial Management. 14th edn. South Melbourne: Cengage Learning Australia.</w:t>
      </w:r>
    </w:p>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Mclaney, E. (2017). Business Finance: Theory and Practice. 11th edn. Harlow: Pearson.</w:t>
      </w:r>
    </w:p>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Mr. Pampari Manikanta, Mrs. P. Prasanna and Dr. Chokkamreddy Prakash (2024). Evaluating Risk and Return in Indian Telecommunications: A Comparative Analysis of Bharti Airtel and Vodafone Idea. International Journal of Advanced Research in Science, Communication and Technology, pp.330–341. https://doi.org/10.48175/ijarsct-19344</w:t>
      </w:r>
    </w:p>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Raju, R. and Madhuri, G. (2020). Vodafone and Idea Merger: A Shareholder's Dilemma. Global Business Review, 25(1). https://doi.org/10.1177/0972150920934256</w:t>
      </w:r>
    </w:p>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Ratni, K.I. and Purnamayasa, I.K.W. (2026). Pengaruh TATO, CR, dan DER terhadap ROA pada PT Telekomunikasi Indonesia Tbk. Jurnal Alwatzikhoebillah, 12(1), pp.221–233. https://doi.org/10.37567/alwatzikhoebillah.v12i1.4817</w:t>
      </w:r>
    </w:p>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Ross, S.A., Westerfield, R. and Jordan, B.D. (2011). Essentials of Corporate Finance. 8th edn. New York: McGraw-Hill Irwin.</w:t>
      </w:r>
    </w:p>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Saha, P. (2020). A Study of Indian Automobile Company's Financial Performance and the Impact of Working Capital Management. TEST Engineering &amp; Management, 82, pp.18055–18067.</w:t>
      </w:r>
    </w:p>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lastRenderedPageBreak/>
        <w:t>Sharma, V. (2020). The Role of Zero-Emission Telecom Infrastructure in Sustainable Network Modernization. International Journal For Multidisciplinary Research, 2(5). https://doi.org/10.36948/ijfmr.2020.v02i05.54991</w:t>
      </w:r>
    </w:p>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Singh, P. (2019). Vistaar Financial Services Private Limited. Vikalpa, 44(1), pp.53–54. https://doi.org/10.1177/0256090919839541</w:t>
      </w:r>
    </w:p>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Tătaru, I.-M., Fleacă, E. and Fleacă, B. (2020). Insights on the Impact of Telecommunication Companies on the Environment. Proceedings of the International Conference on Business Excellence, 14(1), pp.202–213. https://doi.org/10.2478/picbe-2020-0019</w:t>
      </w:r>
    </w:p>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Vaghela, J. and Sodha, S. (2025). Beyond Ratios: A Dynamic Framework for Financial Health Evaluation. International Journal of Management, Public Policy and Research, 4(3), pp.38–49. https://doi.org/10.55829/fb214f89</w:t>
      </w:r>
    </w:p>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Vincent, A., Kuriakose, A., K B, A.K. and Antony, A. (2025). Evaluating Stocks from Telecommunication Sectors Using Fundamental Criteria. Shanlax International Journal of Arts, Science and Humanities, 12(S1-June), pp.8–18. https://doi.org/10.34293/sijash.v12is1-june.9109</w:t>
      </w:r>
    </w:p>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Vodafone (2024). Annual Report 2024. Available at: https://reports.investors.vodafone.com/view/197179846/6/</w:t>
      </w:r>
    </w:p>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Vodafone (2025). Annual Report 2025. Available at: https://reports.investors.vodafone.com/view/897876789/</w:t>
      </w:r>
    </w:p>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Ying, Z. and Chan, S.-K. (2025). Exploring the Interplay Between Current Ratio, Working Capital Management, and ROA. Journal of Economics, Finance and Management Studies, 8(8). https://doi.org/10.47191/jefms/v8-i8-30</w:t>
      </w:r>
    </w:p>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br w:type="page"/>
      </w:r>
    </w:p>
    <w:p w:rsidR="006A6658" w:rsidRPr="00B24EDF" w:rsidRDefault="00393497" w:rsidP="009D1A31">
      <w:pPr>
        <w:pStyle w:val="Heading1"/>
        <w:rPr>
          <w:rFonts w:ascii="Times New Roman" w:hAnsi="Times New Roman" w:cs="Times New Roman"/>
          <w:color w:val="auto"/>
        </w:rPr>
      </w:pPr>
      <w:bookmarkStart w:id="57" w:name="_Toc227444171"/>
      <w:bookmarkStart w:id="58" w:name="_Toc227526820"/>
      <w:r w:rsidRPr="00B24EDF">
        <w:rPr>
          <w:rFonts w:ascii="Times New Roman" w:hAnsi="Times New Roman" w:cs="Times New Roman"/>
          <w:color w:val="auto"/>
        </w:rPr>
        <w:lastRenderedPageBreak/>
        <w:t>Appendices</w:t>
      </w:r>
      <w:bookmarkEnd w:id="57"/>
      <w:bookmarkEnd w:id="58"/>
    </w:p>
    <w:p w:rsidR="006A6658" w:rsidRPr="00B24EDF" w:rsidRDefault="00393497" w:rsidP="009D1A31">
      <w:pPr>
        <w:pStyle w:val="Heading2"/>
        <w:rPr>
          <w:rFonts w:ascii="Times New Roman" w:hAnsi="Times New Roman" w:cs="Times New Roman"/>
          <w:color w:val="auto"/>
        </w:rPr>
      </w:pPr>
      <w:bookmarkStart w:id="59" w:name="_Toc227444172"/>
      <w:bookmarkStart w:id="60" w:name="_Toc227526821"/>
      <w:r w:rsidRPr="00B24EDF">
        <w:rPr>
          <w:rFonts w:ascii="Times New Roman" w:hAnsi="Times New Roman" w:cs="Times New Roman"/>
          <w:color w:val="auto"/>
        </w:rPr>
        <w:t>Appendix A — Vodafone Group PLC: Annual Reports</w:t>
      </w:r>
      <w:bookmarkEnd w:id="59"/>
      <w:bookmarkEnd w:id="60"/>
    </w:p>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b/>
          <w:bCs/>
          <w:sz w:val="24"/>
          <w:szCs w:val="24"/>
        </w:rPr>
        <w:t>Vodafone Group PLC Annual Report 2024:</w:t>
      </w:r>
    </w:p>
    <w:p w:rsidR="008E6E59" w:rsidRPr="00B24EDF" w:rsidRDefault="008E6E59" w:rsidP="00102FBB">
      <w:pPr>
        <w:numPr>
          <w:ilvl w:val="0"/>
          <w:numId w:val="4"/>
        </w:numPr>
        <w:spacing w:after="160" w:line="276" w:lineRule="auto"/>
        <w:jc w:val="both"/>
        <w:rPr>
          <w:rFonts w:ascii="Times New Roman" w:hAnsi="Times New Roman" w:cs="Times New Roman"/>
          <w:sz w:val="24"/>
          <w:szCs w:val="24"/>
        </w:rPr>
      </w:pPr>
      <w:r w:rsidRPr="00B24EDF">
        <w:rPr>
          <w:rFonts w:ascii="Times New Roman" w:hAnsi="Times New Roman" w:cs="Times New Roman"/>
          <w:sz w:val="24"/>
          <w:szCs w:val="24"/>
        </w:rPr>
        <w:t xml:space="preserve">Link: </w:t>
      </w:r>
      <w:hyperlink r:id="rId11" w:tgtFrame="_blank" w:history="1">
        <w:r w:rsidRPr="00B24EDF">
          <w:rPr>
            <w:rStyle w:val="Hyperlink"/>
            <w:rFonts w:ascii="Times New Roman" w:hAnsi="Times New Roman" w:cs="Times New Roman"/>
            <w:color w:val="auto"/>
            <w:sz w:val="24"/>
            <w:szCs w:val="24"/>
          </w:rPr>
          <w:t>https://reports.investors.vodafone.com/view/197179846/6/</w:t>
        </w:r>
      </w:hyperlink>
    </w:p>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b/>
          <w:bCs/>
          <w:sz w:val="24"/>
          <w:szCs w:val="24"/>
        </w:rPr>
        <w:t>Vodafone Group PLC Annual Report 2025:</w:t>
      </w:r>
    </w:p>
    <w:p w:rsidR="006A6658" w:rsidRPr="00B24EDF" w:rsidRDefault="008E6E59" w:rsidP="00102FBB">
      <w:pPr>
        <w:numPr>
          <w:ilvl w:val="0"/>
          <w:numId w:val="5"/>
        </w:numPr>
        <w:spacing w:after="160" w:line="276" w:lineRule="auto"/>
        <w:jc w:val="both"/>
        <w:rPr>
          <w:rFonts w:ascii="Times New Roman" w:hAnsi="Times New Roman" w:cs="Times New Roman"/>
          <w:sz w:val="24"/>
          <w:szCs w:val="24"/>
        </w:rPr>
      </w:pPr>
      <w:r w:rsidRPr="00B24EDF">
        <w:rPr>
          <w:rFonts w:ascii="Times New Roman" w:hAnsi="Times New Roman" w:cs="Times New Roman"/>
          <w:sz w:val="24"/>
          <w:szCs w:val="24"/>
        </w:rPr>
        <w:t xml:space="preserve">Link: </w:t>
      </w:r>
      <w:hyperlink r:id="rId12" w:tgtFrame="_blank" w:history="1">
        <w:r w:rsidRPr="00B24EDF">
          <w:rPr>
            <w:rStyle w:val="Hyperlink"/>
            <w:rFonts w:ascii="Times New Roman" w:hAnsi="Times New Roman" w:cs="Times New Roman"/>
            <w:color w:val="auto"/>
            <w:sz w:val="24"/>
            <w:szCs w:val="24"/>
          </w:rPr>
          <w:t>https://reports.investors.vodafone.com/view/897876789/</w:t>
        </w:r>
      </w:hyperlink>
    </w:p>
    <w:p w:rsidR="006A6658" w:rsidRPr="00B24EDF" w:rsidRDefault="006A6658" w:rsidP="00102FBB">
      <w:pPr>
        <w:spacing w:line="276" w:lineRule="auto"/>
        <w:jc w:val="both"/>
        <w:rPr>
          <w:rFonts w:ascii="Times New Roman" w:hAnsi="Times New Roman" w:cs="Times New Roman"/>
          <w:sz w:val="24"/>
          <w:szCs w:val="24"/>
        </w:rPr>
      </w:pPr>
    </w:p>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noProof/>
          <w:sz w:val="24"/>
          <w:szCs w:val="24"/>
        </w:rPr>
        <w:drawing>
          <wp:inline distT="0" distB="0" distL="0" distR="0">
            <wp:extent cx="4525006" cy="4020111"/>
            <wp:effectExtent l="0" t="0" r="9525" b="0"/>
            <wp:docPr id="8542723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272357" name=""/>
                    <pic:cNvPicPr/>
                  </pic:nvPicPr>
                  <pic:blipFill>
                    <a:blip r:embed="rId13"/>
                    <a:stretch>
                      <a:fillRect/>
                    </a:stretch>
                  </pic:blipFill>
                  <pic:spPr>
                    <a:xfrm>
                      <a:off x="0" y="0"/>
                      <a:ext cx="4525006" cy="4020111"/>
                    </a:xfrm>
                    <a:prstGeom prst="rect">
                      <a:avLst/>
                    </a:prstGeom>
                  </pic:spPr>
                </pic:pic>
              </a:graphicData>
            </a:graphic>
          </wp:inline>
        </w:drawing>
      </w:r>
    </w:p>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noProof/>
          <w:sz w:val="24"/>
          <w:szCs w:val="24"/>
        </w:rPr>
        <w:lastRenderedPageBreak/>
        <w:drawing>
          <wp:inline distT="0" distB="0" distL="0" distR="0">
            <wp:extent cx="5591955" cy="4315427"/>
            <wp:effectExtent l="0" t="0" r="8890" b="9525"/>
            <wp:docPr id="21423012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301280" name=""/>
                    <pic:cNvPicPr/>
                  </pic:nvPicPr>
                  <pic:blipFill>
                    <a:blip r:embed="rId14"/>
                    <a:stretch>
                      <a:fillRect/>
                    </a:stretch>
                  </pic:blipFill>
                  <pic:spPr>
                    <a:xfrm>
                      <a:off x="0" y="0"/>
                      <a:ext cx="5591955" cy="4315427"/>
                    </a:xfrm>
                    <a:prstGeom prst="rect">
                      <a:avLst/>
                    </a:prstGeom>
                  </pic:spPr>
                </pic:pic>
              </a:graphicData>
            </a:graphic>
          </wp:inline>
        </w:drawing>
      </w:r>
    </w:p>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noProof/>
          <w:sz w:val="24"/>
          <w:szCs w:val="24"/>
        </w:rPr>
        <w:lastRenderedPageBreak/>
        <w:drawing>
          <wp:inline distT="0" distB="0" distL="0" distR="0">
            <wp:extent cx="4267796" cy="5315692"/>
            <wp:effectExtent l="0" t="0" r="0" b="0"/>
            <wp:docPr id="11049092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909263" name=""/>
                    <pic:cNvPicPr/>
                  </pic:nvPicPr>
                  <pic:blipFill>
                    <a:blip r:embed="rId15"/>
                    <a:stretch>
                      <a:fillRect/>
                    </a:stretch>
                  </pic:blipFill>
                  <pic:spPr>
                    <a:xfrm>
                      <a:off x="0" y="0"/>
                      <a:ext cx="4267796" cy="5315692"/>
                    </a:xfrm>
                    <a:prstGeom prst="rect">
                      <a:avLst/>
                    </a:prstGeom>
                  </pic:spPr>
                </pic:pic>
              </a:graphicData>
            </a:graphic>
          </wp:inline>
        </w:drawing>
      </w:r>
    </w:p>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noProof/>
          <w:sz w:val="24"/>
          <w:szCs w:val="24"/>
        </w:rPr>
        <w:lastRenderedPageBreak/>
        <w:drawing>
          <wp:inline distT="0" distB="0" distL="0" distR="0">
            <wp:extent cx="4010585" cy="5487166"/>
            <wp:effectExtent l="0" t="0" r="9525" b="0"/>
            <wp:docPr id="5653237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323735" name=""/>
                    <pic:cNvPicPr/>
                  </pic:nvPicPr>
                  <pic:blipFill>
                    <a:blip r:embed="rId16"/>
                    <a:stretch>
                      <a:fillRect/>
                    </a:stretch>
                  </pic:blipFill>
                  <pic:spPr>
                    <a:xfrm>
                      <a:off x="0" y="0"/>
                      <a:ext cx="4010585" cy="5487166"/>
                    </a:xfrm>
                    <a:prstGeom prst="rect">
                      <a:avLst/>
                    </a:prstGeom>
                  </pic:spPr>
                </pic:pic>
              </a:graphicData>
            </a:graphic>
          </wp:inline>
        </w:drawing>
      </w:r>
    </w:p>
    <w:p w:rsidR="008E6E59" w:rsidRPr="00B24EDF" w:rsidRDefault="008E6E59" w:rsidP="00102FBB">
      <w:pPr>
        <w:spacing w:line="276" w:lineRule="auto"/>
        <w:jc w:val="both"/>
        <w:rPr>
          <w:rFonts w:ascii="Times New Roman" w:hAnsi="Times New Roman" w:cs="Times New Roman"/>
          <w:sz w:val="24"/>
          <w:szCs w:val="24"/>
        </w:rPr>
      </w:pPr>
    </w:p>
    <w:p w:rsidR="008E6E59" w:rsidRPr="00B24EDF" w:rsidRDefault="008E6E59" w:rsidP="00102FBB">
      <w:pPr>
        <w:spacing w:line="276" w:lineRule="auto"/>
        <w:jc w:val="both"/>
        <w:rPr>
          <w:rFonts w:ascii="Times New Roman" w:hAnsi="Times New Roman" w:cs="Times New Roman"/>
          <w:sz w:val="24"/>
          <w:szCs w:val="24"/>
        </w:rPr>
      </w:pPr>
    </w:p>
    <w:p w:rsidR="008E6E59" w:rsidRPr="00B24EDF" w:rsidRDefault="008E6E59" w:rsidP="00102FBB">
      <w:pPr>
        <w:spacing w:line="276" w:lineRule="auto"/>
        <w:jc w:val="both"/>
        <w:rPr>
          <w:rFonts w:ascii="Times New Roman" w:hAnsi="Times New Roman" w:cs="Times New Roman"/>
          <w:sz w:val="24"/>
          <w:szCs w:val="24"/>
        </w:rPr>
      </w:pPr>
    </w:p>
    <w:p w:rsidR="008E6E59" w:rsidRPr="00B24EDF" w:rsidRDefault="008E6E59" w:rsidP="00102FBB">
      <w:pPr>
        <w:spacing w:line="276" w:lineRule="auto"/>
        <w:jc w:val="both"/>
        <w:rPr>
          <w:rStyle w:val="Heading3Char"/>
          <w:rFonts w:ascii="Times New Roman" w:hAnsi="Times New Roman" w:cs="Times New Roman"/>
          <w:color w:val="auto"/>
          <w:sz w:val="24"/>
          <w:szCs w:val="24"/>
        </w:rPr>
      </w:pPr>
      <w:bookmarkStart w:id="61" w:name="_Toc224253820"/>
    </w:p>
    <w:p w:rsidR="008E6E59" w:rsidRPr="00B24EDF" w:rsidRDefault="008E6E59" w:rsidP="00102FBB">
      <w:pPr>
        <w:spacing w:line="276" w:lineRule="auto"/>
        <w:jc w:val="both"/>
        <w:rPr>
          <w:rFonts w:ascii="Times New Roman" w:hAnsi="Times New Roman" w:cs="Times New Roman"/>
          <w:sz w:val="24"/>
          <w:szCs w:val="24"/>
        </w:rPr>
      </w:pPr>
      <w:bookmarkStart w:id="62" w:name="_Toc227526822"/>
      <w:r w:rsidRPr="00B24EDF">
        <w:rPr>
          <w:rStyle w:val="Heading3Char"/>
          <w:rFonts w:ascii="Times New Roman" w:hAnsi="Times New Roman" w:cs="Times New Roman"/>
          <w:color w:val="auto"/>
          <w:sz w:val="24"/>
          <w:szCs w:val="24"/>
        </w:rPr>
        <w:t>Appendix B:</w:t>
      </w:r>
      <w:bookmarkEnd w:id="61"/>
      <w:bookmarkEnd w:id="62"/>
      <w:r w:rsidRPr="00B24EDF">
        <w:rPr>
          <w:rFonts w:ascii="Times New Roman" w:hAnsi="Times New Roman" w:cs="Times New Roman"/>
          <w:b/>
          <w:bCs/>
          <w:sz w:val="24"/>
          <w:szCs w:val="24"/>
        </w:rPr>
        <w:t xml:space="preserve"> Raw Financial Data and Ratio Calculation Matrix</w:t>
      </w:r>
    </w:p>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The following table presents the extracted raw data (in € millions) and the step-by-step calculations used to derive the financial ratios analysed in Section 3 of this report.</w:t>
      </w:r>
    </w:p>
    <w:tbl>
      <w:tblPr>
        <w:tblW w:w="5971" w:type="dxa"/>
        <w:tblCellMar>
          <w:left w:w="0" w:type="dxa"/>
          <w:right w:w="0" w:type="dxa"/>
        </w:tblCellMar>
        <w:tblLook w:val="04A0"/>
      </w:tblPr>
      <w:tblGrid>
        <w:gridCol w:w="2457"/>
        <w:gridCol w:w="1757"/>
        <w:gridCol w:w="1757"/>
      </w:tblGrid>
      <w:tr w:rsidR="009D1A31" w:rsidRPr="00B24EDF" w:rsidTr="00E70B59">
        <w:trPr>
          <w:trHeight w:val="315"/>
        </w:trPr>
        <w:tc>
          <w:tcPr>
            <w:tcW w:w="245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Financial Items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2024 (€ millions)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2025 (€ millions)</w:t>
            </w:r>
          </w:p>
        </w:tc>
      </w:tr>
      <w:tr w:rsidR="009D1A31" w:rsidRPr="00B24EDF" w:rsidTr="00E70B59">
        <w:trPr>
          <w:trHeight w:val="315"/>
        </w:trPr>
        <w:tc>
          <w:tcPr>
            <w:tcW w:w="245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Revenue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36,717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37,448</w:t>
            </w:r>
          </w:p>
        </w:tc>
      </w:tr>
      <w:tr w:rsidR="009D1A31" w:rsidRPr="00B24EDF" w:rsidTr="00E70B59">
        <w:trPr>
          <w:trHeight w:val="315"/>
        </w:trPr>
        <w:tc>
          <w:tcPr>
            <w:tcW w:w="245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Cost of Sales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24,459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24,929</w:t>
            </w:r>
          </w:p>
        </w:tc>
      </w:tr>
      <w:tr w:rsidR="009D1A31" w:rsidRPr="00B24EDF" w:rsidTr="00E70B59">
        <w:trPr>
          <w:trHeight w:val="315"/>
        </w:trPr>
        <w:tc>
          <w:tcPr>
            <w:tcW w:w="245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Gross Profit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12,258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12,519</w:t>
            </w:r>
          </w:p>
        </w:tc>
      </w:tr>
      <w:tr w:rsidR="009D1A31" w:rsidRPr="00B24EDF" w:rsidTr="00E70B59">
        <w:trPr>
          <w:trHeight w:val="315"/>
        </w:trPr>
        <w:tc>
          <w:tcPr>
            <w:tcW w:w="245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Operating Profit / (Loss)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3,665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-411</w:t>
            </w:r>
          </w:p>
        </w:tc>
      </w:tr>
      <w:tr w:rsidR="009D1A31" w:rsidRPr="00B24EDF" w:rsidTr="00E70B59">
        <w:trPr>
          <w:trHeight w:val="315"/>
        </w:trPr>
        <w:tc>
          <w:tcPr>
            <w:tcW w:w="245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Net Income / (Loss)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1,505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-3,746</w:t>
            </w:r>
          </w:p>
        </w:tc>
      </w:tr>
      <w:tr w:rsidR="009D1A31" w:rsidRPr="00B24EDF" w:rsidTr="00E70B59">
        <w:trPr>
          <w:trHeight w:val="315"/>
        </w:trPr>
        <w:tc>
          <w:tcPr>
            <w:tcW w:w="245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Current Assets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20,513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28,620</w:t>
            </w:r>
          </w:p>
        </w:tc>
      </w:tr>
      <w:tr w:rsidR="009D1A31" w:rsidRPr="00B24EDF" w:rsidTr="00E70B59">
        <w:trPr>
          <w:trHeight w:val="315"/>
        </w:trPr>
        <w:tc>
          <w:tcPr>
            <w:tcW w:w="245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Inventory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568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617</w:t>
            </w:r>
          </w:p>
        </w:tc>
      </w:tr>
      <w:tr w:rsidR="009D1A31" w:rsidRPr="00B24EDF" w:rsidTr="00E70B59">
        <w:trPr>
          <w:trHeight w:val="315"/>
        </w:trPr>
        <w:tc>
          <w:tcPr>
            <w:tcW w:w="245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lastRenderedPageBreak/>
              <w:t>Trade Receivables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8,594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9,404</w:t>
            </w:r>
          </w:p>
        </w:tc>
      </w:tr>
      <w:tr w:rsidR="009D1A31" w:rsidRPr="00B24EDF" w:rsidTr="00E70B59">
        <w:trPr>
          <w:trHeight w:val="315"/>
        </w:trPr>
        <w:tc>
          <w:tcPr>
            <w:tcW w:w="245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Current Liabilities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22,352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22,754</w:t>
            </w:r>
          </w:p>
        </w:tc>
      </w:tr>
      <w:tr w:rsidR="009D1A31" w:rsidRPr="00B24EDF" w:rsidTr="00E70B59">
        <w:trPr>
          <w:trHeight w:val="315"/>
        </w:trPr>
        <w:tc>
          <w:tcPr>
            <w:tcW w:w="245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Total Equity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60,998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53,916</w:t>
            </w:r>
          </w:p>
        </w:tc>
      </w:tr>
      <w:tr w:rsidR="009D1A31" w:rsidRPr="00B24EDF" w:rsidTr="00E70B59">
        <w:trPr>
          <w:trHeight w:val="315"/>
        </w:trPr>
        <w:tc>
          <w:tcPr>
            <w:tcW w:w="245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Total Debt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56,987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53,143</w:t>
            </w:r>
          </w:p>
        </w:tc>
      </w:tr>
      <w:tr w:rsidR="009D1A31" w:rsidRPr="00B24EDF" w:rsidTr="00E70B59">
        <w:trPr>
          <w:trHeight w:val="315"/>
        </w:trPr>
        <w:tc>
          <w:tcPr>
            <w:tcW w:w="245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Capital Employed</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117,985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107,059</w:t>
            </w:r>
          </w:p>
        </w:tc>
      </w:tr>
    </w:tbl>
    <w:p w:rsidR="008E6E59" w:rsidRPr="00B24EDF" w:rsidRDefault="008E6E59" w:rsidP="00102FBB">
      <w:pPr>
        <w:spacing w:line="276" w:lineRule="auto"/>
        <w:jc w:val="both"/>
        <w:rPr>
          <w:rFonts w:ascii="Times New Roman" w:hAnsi="Times New Roman" w:cs="Times New Roman"/>
          <w:sz w:val="24"/>
          <w:szCs w:val="24"/>
        </w:rPr>
      </w:pPr>
    </w:p>
    <w:tbl>
      <w:tblPr>
        <w:tblW w:w="0" w:type="dxa"/>
        <w:tblCellMar>
          <w:left w:w="0" w:type="dxa"/>
          <w:right w:w="0" w:type="dxa"/>
        </w:tblCellMar>
        <w:tblLook w:val="04A0"/>
      </w:tblPr>
      <w:tblGrid>
        <w:gridCol w:w="2842"/>
        <w:gridCol w:w="4754"/>
        <w:gridCol w:w="830"/>
        <w:gridCol w:w="830"/>
      </w:tblGrid>
      <w:tr w:rsidR="009D1A31" w:rsidRPr="00B24EDF" w:rsidTr="00707B1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b/>
                <w:bCs/>
                <w:sz w:val="24"/>
                <w:szCs w:val="24"/>
              </w:rPr>
            </w:pPr>
            <w:r w:rsidRPr="00B24EDF">
              <w:rPr>
                <w:rFonts w:ascii="Times New Roman" w:hAnsi="Times New Roman" w:cs="Times New Roman"/>
                <w:b/>
                <w:bCs/>
                <w:sz w:val="24"/>
                <w:szCs w:val="24"/>
              </w:rPr>
              <w:t>Ratios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b/>
                <w:bCs/>
                <w:sz w:val="24"/>
                <w:szCs w:val="24"/>
              </w:rPr>
            </w:pPr>
            <w:r w:rsidRPr="00B24EDF">
              <w:rPr>
                <w:rFonts w:ascii="Times New Roman" w:hAnsi="Times New Roman" w:cs="Times New Roman"/>
                <w:b/>
                <w:bCs/>
                <w:sz w:val="24"/>
                <w:szCs w:val="24"/>
              </w:rPr>
              <w:t>Formulas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b/>
                <w:bCs/>
                <w:sz w:val="24"/>
                <w:szCs w:val="24"/>
              </w:rPr>
            </w:pPr>
            <w:r w:rsidRPr="00B24EDF">
              <w:rPr>
                <w:rFonts w:ascii="Times New Roman" w:hAnsi="Times New Roman" w:cs="Times New Roman"/>
                <w:b/>
                <w:bCs/>
                <w:sz w:val="24"/>
                <w:szCs w:val="24"/>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b/>
                <w:bCs/>
                <w:sz w:val="24"/>
                <w:szCs w:val="24"/>
              </w:rPr>
            </w:pPr>
            <w:r w:rsidRPr="00B24EDF">
              <w:rPr>
                <w:rFonts w:ascii="Times New Roman" w:hAnsi="Times New Roman" w:cs="Times New Roman"/>
                <w:b/>
                <w:bCs/>
                <w:sz w:val="24"/>
                <w:szCs w:val="24"/>
              </w:rPr>
              <w:t>2025</w:t>
            </w:r>
          </w:p>
        </w:tc>
      </w:tr>
      <w:tr w:rsidR="009D1A31" w:rsidRPr="00B24EDF" w:rsidTr="00707B1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Profitability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p>
        </w:tc>
      </w:tr>
      <w:tr w:rsidR="009D1A31" w:rsidRPr="00B24EDF" w:rsidTr="00707B1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Gross Profit Margin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(Gross profit / Revenue) * 100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33.39%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33.43%</w:t>
            </w:r>
          </w:p>
        </w:tc>
      </w:tr>
      <w:tr w:rsidR="009D1A31" w:rsidRPr="00B24EDF" w:rsidTr="00707B1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Operating Profit Margin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(Operating profit / Revenue) * 100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9.98%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-1.10%</w:t>
            </w:r>
          </w:p>
        </w:tc>
      </w:tr>
      <w:tr w:rsidR="009D1A31" w:rsidRPr="00B24EDF" w:rsidTr="00707B1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Return on Capital Employed</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(Operating profit / Capital employed) * 100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3.11%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-0.38%</w:t>
            </w:r>
          </w:p>
        </w:tc>
      </w:tr>
      <w:tr w:rsidR="009D1A31" w:rsidRPr="00B24EDF" w:rsidTr="00707B1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Liquidity Ratios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p>
        </w:tc>
      </w:tr>
      <w:tr w:rsidR="009D1A31" w:rsidRPr="00B24EDF" w:rsidTr="00707B1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Current Ratio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Current Assets / Current Liabilities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0.92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1.26</w:t>
            </w:r>
          </w:p>
        </w:tc>
      </w:tr>
      <w:tr w:rsidR="009D1A31" w:rsidRPr="00B24EDF" w:rsidTr="00707B1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Quick Ratio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(Current Assets - Inventory) / Current Liabilities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0.89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1.23</w:t>
            </w:r>
          </w:p>
        </w:tc>
      </w:tr>
      <w:tr w:rsidR="009D1A31" w:rsidRPr="00B24EDF" w:rsidTr="00707B1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Gearing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p>
        </w:tc>
      </w:tr>
      <w:tr w:rsidR="009D1A31" w:rsidRPr="00B24EDF" w:rsidTr="00707B1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Debt to Equity Ratio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(Total Debt / Total Equity) * 100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93.42%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98.57%</w:t>
            </w:r>
          </w:p>
        </w:tc>
      </w:tr>
      <w:tr w:rsidR="009D1A31" w:rsidRPr="00B24EDF" w:rsidTr="00707B1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Efficiency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p>
        </w:tc>
      </w:tr>
      <w:tr w:rsidR="009D1A31" w:rsidRPr="00B24EDF" w:rsidTr="00707B1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Inventory Turnover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Cost of Sales / Inventory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43.06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40.4</w:t>
            </w:r>
          </w:p>
        </w:tc>
      </w:tr>
      <w:tr w:rsidR="009D1A31" w:rsidRPr="00B24EDF" w:rsidTr="00707B1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Receivables Turnover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Revenue / Trade Receivables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4.27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3.98</w:t>
            </w:r>
          </w:p>
        </w:tc>
      </w:tr>
      <w:tr w:rsidR="009D1A31" w:rsidRPr="00B24EDF" w:rsidTr="00707B1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Investor Ratios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p>
        </w:tc>
      </w:tr>
      <w:tr w:rsidR="009D1A31" w:rsidRPr="00B24EDF" w:rsidTr="00707B1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Return on Equity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(Net Income / Total Equity) * 100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2.47%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8E6E59" w:rsidRPr="00B24EDF" w:rsidRDefault="008E6E59"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-6.95%</w:t>
            </w:r>
          </w:p>
        </w:tc>
      </w:tr>
    </w:tbl>
    <w:p w:rsidR="006A6658" w:rsidRPr="00B24EDF" w:rsidRDefault="006A6658" w:rsidP="00102FBB">
      <w:pPr>
        <w:spacing w:line="276" w:lineRule="auto"/>
        <w:jc w:val="both"/>
        <w:rPr>
          <w:rFonts w:ascii="Times New Roman" w:hAnsi="Times New Roman" w:cs="Times New Roman"/>
          <w:sz w:val="24"/>
          <w:szCs w:val="24"/>
        </w:rPr>
      </w:pPr>
    </w:p>
    <w:p w:rsidR="006A6658" w:rsidRPr="00B24EDF" w:rsidRDefault="00393497" w:rsidP="00102FBB">
      <w:pPr>
        <w:spacing w:line="276" w:lineRule="auto"/>
        <w:jc w:val="both"/>
        <w:rPr>
          <w:rFonts w:ascii="Times New Roman" w:hAnsi="Times New Roman" w:cs="Times New Roman"/>
          <w:sz w:val="24"/>
          <w:szCs w:val="24"/>
        </w:rPr>
      </w:pPr>
      <w:bookmarkStart w:id="63" w:name="_Toc227444174"/>
      <w:r w:rsidRPr="00B24EDF">
        <w:rPr>
          <w:rFonts w:ascii="Times New Roman" w:hAnsi="Times New Roman" w:cs="Times New Roman"/>
          <w:b/>
          <w:bCs/>
          <w:sz w:val="24"/>
          <w:szCs w:val="24"/>
        </w:rPr>
        <w:t>Appendix C — Westward Plc: After-Tax Cash Flow Workings</w:t>
      </w:r>
      <w:bookmarkEnd w:id="63"/>
    </w:p>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Corporation tax at 25% is applied to taxable profit. Taxable profit = pre-tax cash flow less annual capital allowance (20% straight-line of initial investment). Option A: £120,000 p.a.; Option B: £200,000 p.a.; Option C: £320,000 p.a. All figures in £000.</w:t>
      </w:r>
    </w:p>
    <w:p w:rsidR="006A6658" w:rsidRPr="00B24EDF" w:rsidRDefault="006A6658" w:rsidP="00102FBB">
      <w:pPr>
        <w:spacing w:line="276" w:lineRule="auto"/>
        <w:jc w:val="both"/>
        <w:rPr>
          <w:rFonts w:ascii="Times New Roman" w:hAnsi="Times New Roman" w:cs="Times New Roman"/>
          <w:sz w:val="24"/>
          <w:szCs w:val="24"/>
        </w:rPr>
      </w:pPr>
    </w:p>
    <w:tbl>
      <w:tblPr>
        <w:tblStyle w:val="TableGrid"/>
        <w:tblW w:w="8918" w:type="dxa"/>
        <w:tblInd w:w="108" w:type="dxa"/>
        <w:tblLook w:val="04A0"/>
      </w:tblPr>
      <w:tblGrid>
        <w:gridCol w:w="1292"/>
        <w:gridCol w:w="980"/>
        <w:gridCol w:w="1100"/>
        <w:gridCol w:w="1200"/>
        <w:gridCol w:w="1200"/>
        <w:gridCol w:w="1200"/>
        <w:gridCol w:w="1946"/>
      </w:tblGrid>
      <w:tr w:rsidR="009D1A31" w:rsidRPr="00B24EDF" w:rsidTr="00E70B59">
        <w:tc>
          <w:tcPr>
            <w:tcW w:w="1292"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b/>
                <w:bCs/>
                <w:sz w:val="24"/>
                <w:szCs w:val="24"/>
              </w:rPr>
              <w:t>Option</w:t>
            </w:r>
          </w:p>
        </w:tc>
        <w:tc>
          <w:tcPr>
            <w:tcW w:w="980"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b/>
                <w:bCs/>
                <w:sz w:val="24"/>
                <w:szCs w:val="24"/>
              </w:rPr>
              <w:t>Year</w:t>
            </w:r>
          </w:p>
        </w:tc>
        <w:tc>
          <w:tcPr>
            <w:tcW w:w="1100"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b/>
                <w:bCs/>
                <w:sz w:val="24"/>
                <w:szCs w:val="24"/>
              </w:rPr>
              <w:t>Pre-tax CF</w:t>
            </w:r>
          </w:p>
        </w:tc>
        <w:tc>
          <w:tcPr>
            <w:tcW w:w="1200"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b/>
                <w:bCs/>
                <w:sz w:val="24"/>
                <w:szCs w:val="24"/>
              </w:rPr>
              <w:t>Cap Allow.</w:t>
            </w:r>
          </w:p>
        </w:tc>
        <w:tc>
          <w:tcPr>
            <w:tcW w:w="1200"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b/>
                <w:bCs/>
                <w:sz w:val="24"/>
                <w:szCs w:val="24"/>
              </w:rPr>
              <w:t>Taxable Profit</w:t>
            </w:r>
          </w:p>
        </w:tc>
        <w:tc>
          <w:tcPr>
            <w:tcW w:w="1200"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b/>
                <w:bCs/>
                <w:sz w:val="24"/>
                <w:szCs w:val="24"/>
              </w:rPr>
              <w:t>Tax @25%</w:t>
            </w:r>
          </w:p>
        </w:tc>
        <w:tc>
          <w:tcPr>
            <w:tcW w:w="1946"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b/>
                <w:bCs/>
                <w:sz w:val="24"/>
                <w:szCs w:val="24"/>
              </w:rPr>
              <w:t>After-tax CF</w:t>
            </w:r>
          </w:p>
        </w:tc>
      </w:tr>
      <w:tr w:rsidR="009D1A31" w:rsidRPr="00B24EDF" w:rsidTr="00E70B59">
        <w:tc>
          <w:tcPr>
            <w:tcW w:w="1292"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b/>
                <w:bCs/>
                <w:sz w:val="24"/>
                <w:szCs w:val="24"/>
              </w:rPr>
              <w:t>Option A (£600k)</w:t>
            </w:r>
          </w:p>
        </w:tc>
        <w:tc>
          <w:tcPr>
            <w:tcW w:w="980"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Year 1</w:t>
            </w:r>
          </w:p>
        </w:tc>
        <w:tc>
          <w:tcPr>
            <w:tcW w:w="1100"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£200k</w:t>
            </w:r>
          </w:p>
        </w:tc>
        <w:tc>
          <w:tcPr>
            <w:tcW w:w="1200"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£120k</w:t>
            </w:r>
          </w:p>
        </w:tc>
        <w:tc>
          <w:tcPr>
            <w:tcW w:w="1200"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£80k</w:t>
            </w:r>
          </w:p>
        </w:tc>
        <w:tc>
          <w:tcPr>
            <w:tcW w:w="1200"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£20k</w:t>
            </w:r>
          </w:p>
        </w:tc>
        <w:tc>
          <w:tcPr>
            <w:tcW w:w="1946"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£180.0k</w:t>
            </w:r>
          </w:p>
        </w:tc>
      </w:tr>
      <w:tr w:rsidR="009D1A31" w:rsidRPr="00B24EDF" w:rsidTr="00E70B59">
        <w:tc>
          <w:tcPr>
            <w:tcW w:w="1292" w:type="dxa"/>
          </w:tcPr>
          <w:p w:rsidR="006A6658" w:rsidRPr="00B24EDF" w:rsidRDefault="006A6658" w:rsidP="00102FBB">
            <w:pPr>
              <w:spacing w:line="276" w:lineRule="auto"/>
              <w:jc w:val="both"/>
              <w:rPr>
                <w:rFonts w:ascii="Times New Roman" w:hAnsi="Times New Roman" w:cs="Times New Roman"/>
                <w:sz w:val="24"/>
                <w:szCs w:val="24"/>
              </w:rPr>
            </w:pPr>
          </w:p>
        </w:tc>
        <w:tc>
          <w:tcPr>
            <w:tcW w:w="980"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Year 2</w:t>
            </w:r>
          </w:p>
        </w:tc>
        <w:tc>
          <w:tcPr>
            <w:tcW w:w="1100"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£400k</w:t>
            </w:r>
          </w:p>
        </w:tc>
        <w:tc>
          <w:tcPr>
            <w:tcW w:w="1200"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£120k</w:t>
            </w:r>
          </w:p>
        </w:tc>
        <w:tc>
          <w:tcPr>
            <w:tcW w:w="1200"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£280k</w:t>
            </w:r>
          </w:p>
        </w:tc>
        <w:tc>
          <w:tcPr>
            <w:tcW w:w="1200"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£70k</w:t>
            </w:r>
          </w:p>
        </w:tc>
        <w:tc>
          <w:tcPr>
            <w:tcW w:w="1946"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£330.0k</w:t>
            </w:r>
          </w:p>
        </w:tc>
      </w:tr>
      <w:tr w:rsidR="009D1A31" w:rsidRPr="00B24EDF" w:rsidTr="00E70B59">
        <w:tc>
          <w:tcPr>
            <w:tcW w:w="1292" w:type="dxa"/>
          </w:tcPr>
          <w:p w:rsidR="006A6658" w:rsidRPr="00B24EDF" w:rsidRDefault="006A6658" w:rsidP="00102FBB">
            <w:pPr>
              <w:spacing w:line="276" w:lineRule="auto"/>
              <w:jc w:val="both"/>
              <w:rPr>
                <w:rFonts w:ascii="Times New Roman" w:hAnsi="Times New Roman" w:cs="Times New Roman"/>
                <w:sz w:val="24"/>
                <w:szCs w:val="24"/>
              </w:rPr>
            </w:pPr>
          </w:p>
        </w:tc>
        <w:tc>
          <w:tcPr>
            <w:tcW w:w="980"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Year 3</w:t>
            </w:r>
          </w:p>
        </w:tc>
        <w:tc>
          <w:tcPr>
            <w:tcW w:w="1100"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£500k</w:t>
            </w:r>
          </w:p>
        </w:tc>
        <w:tc>
          <w:tcPr>
            <w:tcW w:w="1200"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£120k</w:t>
            </w:r>
          </w:p>
        </w:tc>
        <w:tc>
          <w:tcPr>
            <w:tcW w:w="1200"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£380k</w:t>
            </w:r>
          </w:p>
        </w:tc>
        <w:tc>
          <w:tcPr>
            <w:tcW w:w="1200"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£95k</w:t>
            </w:r>
          </w:p>
        </w:tc>
        <w:tc>
          <w:tcPr>
            <w:tcW w:w="1946"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£405.0k</w:t>
            </w:r>
          </w:p>
        </w:tc>
      </w:tr>
      <w:tr w:rsidR="009D1A31" w:rsidRPr="00B24EDF" w:rsidTr="00E70B59">
        <w:tc>
          <w:tcPr>
            <w:tcW w:w="1292" w:type="dxa"/>
          </w:tcPr>
          <w:p w:rsidR="006A6658" w:rsidRPr="00B24EDF" w:rsidRDefault="006A6658" w:rsidP="00102FBB">
            <w:pPr>
              <w:spacing w:line="276" w:lineRule="auto"/>
              <w:jc w:val="both"/>
              <w:rPr>
                <w:rFonts w:ascii="Times New Roman" w:hAnsi="Times New Roman" w:cs="Times New Roman"/>
                <w:sz w:val="24"/>
                <w:szCs w:val="24"/>
              </w:rPr>
            </w:pPr>
          </w:p>
        </w:tc>
        <w:tc>
          <w:tcPr>
            <w:tcW w:w="980"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Year 4</w:t>
            </w:r>
          </w:p>
        </w:tc>
        <w:tc>
          <w:tcPr>
            <w:tcW w:w="1100"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£700k</w:t>
            </w:r>
          </w:p>
        </w:tc>
        <w:tc>
          <w:tcPr>
            <w:tcW w:w="1200"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£120k</w:t>
            </w:r>
          </w:p>
        </w:tc>
        <w:tc>
          <w:tcPr>
            <w:tcW w:w="1200"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£580k</w:t>
            </w:r>
          </w:p>
        </w:tc>
        <w:tc>
          <w:tcPr>
            <w:tcW w:w="1200"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£145k</w:t>
            </w:r>
          </w:p>
        </w:tc>
        <w:tc>
          <w:tcPr>
            <w:tcW w:w="1946"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£555.0k</w:t>
            </w:r>
          </w:p>
        </w:tc>
      </w:tr>
      <w:tr w:rsidR="009D1A31" w:rsidRPr="00B24EDF" w:rsidTr="00E70B59">
        <w:tc>
          <w:tcPr>
            <w:tcW w:w="1292"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b/>
                <w:bCs/>
                <w:sz w:val="24"/>
                <w:szCs w:val="24"/>
              </w:rPr>
              <w:t>Option B (£1,000k)</w:t>
            </w:r>
          </w:p>
        </w:tc>
        <w:tc>
          <w:tcPr>
            <w:tcW w:w="980"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Year 1</w:t>
            </w:r>
          </w:p>
        </w:tc>
        <w:tc>
          <w:tcPr>
            <w:tcW w:w="1100"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£400k</w:t>
            </w:r>
          </w:p>
        </w:tc>
        <w:tc>
          <w:tcPr>
            <w:tcW w:w="1200"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£200k</w:t>
            </w:r>
          </w:p>
        </w:tc>
        <w:tc>
          <w:tcPr>
            <w:tcW w:w="1200"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£200k</w:t>
            </w:r>
          </w:p>
        </w:tc>
        <w:tc>
          <w:tcPr>
            <w:tcW w:w="1200"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£50k</w:t>
            </w:r>
          </w:p>
        </w:tc>
        <w:tc>
          <w:tcPr>
            <w:tcW w:w="1946"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£350.0k</w:t>
            </w:r>
          </w:p>
        </w:tc>
      </w:tr>
      <w:tr w:rsidR="009D1A31" w:rsidRPr="00B24EDF" w:rsidTr="00E70B59">
        <w:tc>
          <w:tcPr>
            <w:tcW w:w="1292" w:type="dxa"/>
          </w:tcPr>
          <w:p w:rsidR="006A6658" w:rsidRPr="00B24EDF" w:rsidRDefault="006A6658" w:rsidP="00102FBB">
            <w:pPr>
              <w:spacing w:line="276" w:lineRule="auto"/>
              <w:jc w:val="both"/>
              <w:rPr>
                <w:rFonts w:ascii="Times New Roman" w:hAnsi="Times New Roman" w:cs="Times New Roman"/>
                <w:sz w:val="24"/>
                <w:szCs w:val="24"/>
              </w:rPr>
            </w:pPr>
          </w:p>
        </w:tc>
        <w:tc>
          <w:tcPr>
            <w:tcW w:w="980"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Year 2</w:t>
            </w:r>
          </w:p>
        </w:tc>
        <w:tc>
          <w:tcPr>
            <w:tcW w:w="1100"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£450k</w:t>
            </w:r>
          </w:p>
        </w:tc>
        <w:tc>
          <w:tcPr>
            <w:tcW w:w="1200"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£200k</w:t>
            </w:r>
          </w:p>
        </w:tc>
        <w:tc>
          <w:tcPr>
            <w:tcW w:w="1200"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£250k</w:t>
            </w:r>
          </w:p>
        </w:tc>
        <w:tc>
          <w:tcPr>
            <w:tcW w:w="1200"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£63k</w:t>
            </w:r>
          </w:p>
        </w:tc>
        <w:tc>
          <w:tcPr>
            <w:tcW w:w="1946"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£387.5k</w:t>
            </w:r>
          </w:p>
        </w:tc>
      </w:tr>
      <w:tr w:rsidR="009D1A31" w:rsidRPr="00B24EDF" w:rsidTr="00E70B59">
        <w:tc>
          <w:tcPr>
            <w:tcW w:w="1292" w:type="dxa"/>
          </w:tcPr>
          <w:p w:rsidR="006A6658" w:rsidRPr="00B24EDF" w:rsidRDefault="006A6658" w:rsidP="00102FBB">
            <w:pPr>
              <w:spacing w:line="276" w:lineRule="auto"/>
              <w:jc w:val="both"/>
              <w:rPr>
                <w:rFonts w:ascii="Times New Roman" w:hAnsi="Times New Roman" w:cs="Times New Roman"/>
                <w:sz w:val="24"/>
                <w:szCs w:val="24"/>
              </w:rPr>
            </w:pPr>
          </w:p>
        </w:tc>
        <w:tc>
          <w:tcPr>
            <w:tcW w:w="980"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Year 3</w:t>
            </w:r>
          </w:p>
        </w:tc>
        <w:tc>
          <w:tcPr>
            <w:tcW w:w="1100"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£720k</w:t>
            </w:r>
          </w:p>
        </w:tc>
        <w:tc>
          <w:tcPr>
            <w:tcW w:w="1200"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£200k</w:t>
            </w:r>
          </w:p>
        </w:tc>
        <w:tc>
          <w:tcPr>
            <w:tcW w:w="1200"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£520k</w:t>
            </w:r>
          </w:p>
        </w:tc>
        <w:tc>
          <w:tcPr>
            <w:tcW w:w="1200"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£130k</w:t>
            </w:r>
          </w:p>
        </w:tc>
        <w:tc>
          <w:tcPr>
            <w:tcW w:w="1946"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£590.0k</w:t>
            </w:r>
          </w:p>
        </w:tc>
      </w:tr>
      <w:tr w:rsidR="009D1A31" w:rsidRPr="00B24EDF" w:rsidTr="00E70B59">
        <w:tc>
          <w:tcPr>
            <w:tcW w:w="1292" w:type="dxa"/>
          </w:tcPr>
          <w:p w:rsidR="006A6658" w:rsidRPr="00B24EDF" w:rsidRDefault="006A6658" w:rsidP="00102FBB">
            <w:pPr>
              <w:spacing w:line="276" w:lineRule="auto"/>
              <w:jc w:val="both"/>
              <w:rPr>
                <w:rFonts w:ascii="Times New Roman" w:hAnsi="Times New Roman" w:cs="Times New Roman"/>
                <w:sz w:val="24"/>
                <w:szCs w:val="24"/>
              </w:rPr>
            </w:pPr>
          </w:p>
        </w:tc>
        <w:tc>
          <w:tcPr>
            <w:tcW w:w="980"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Year 4</w:t>
            </w:r>
          </w:p>
        </w:tc>
        <w:tc>
          <w:tcPr>
            <w:tcW w:w="1100"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£980k</w:t>
            </w:r>
          </w:p>
        </w:tc>
        <w:tc>
          <w:tcPr>
            <w:tcW w:w="1200"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£200k</w:t>
            </w:r>
          </w:p>
        </w:tc>
        <w:tc>
          <w:tcPr>
            <w:tcW w:w="1200"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£780k</w:t>
            </w:r>
          </w:p>
        </w:tc>
        <w:tc>
          <w:tcPr>
            <w:tcW w:w="1200"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£195k</w:t>
            </w:r>
          </w:p>
        </w:tc>
        <w:tc>
          <w:tcPr>
            <w:tcW w:w="1946"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£785.0k</w:t>
            </w:r>
          </w:p>
        </w:tc>
      </w:tr>
      <w:tr w:rsidR="009D1A31" w:rsidRPr="00B24EDF" w:rsidTr="00E70B59">
        <w:tc>
          <w:tcPr>
            <w:tcW w:w="1292"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b/>
                <w:bCs/>
                <w:sz w:val="24"/>
                <w:szCs w:val="24"/>
              </w:rPr>
              <w:t>Option C (£1,600k)</w:t>
            </w:r>
          </w:p>
        </w:tc>
        <w:tc>
          <w:tcPr>
            <w:tcW w:w="980"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Year 1</w:t>
            </w:r>
          </w:p>
        </w:tc>
        <w:tc>
          <w:tcPr>
            <w:tcW w:w="1100"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£450k</w:t>
            </w:r>
          </w:p>
        </w:tc>
        <w:tc>
          <w:tcPr>
            <w:tcW w:w="1200"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£320k</w:t>
            </w:r>
          </w:p>
        </w:tc>
        <w:tc>
          <w:tcPr>
            <w:tcW w:w="1200"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£130k</w:t>
            </w:r>
          </w:p>
        </w:tc>
        <w:tc>
          <w:tcPr>
            <w:tcW w:w="1200"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£33k</w:t>
            </w:r>
          </w:p>
        </w:tc>
        <w:tc>
          <w:tcPr>
            <w:tcW w:w="1946"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£417.5k</w:t>
            </w:r>
          </w:p>
        </w:tc>
      </w:tr>
      <w:tr w:rsidR="009D1A31" w:rsidRPr="00B24EDF" w:rsidTr="00E70B59">
        <w:tc>
          <w:tcPr>
            <w:tcW w:w="1292" w:type="dxa"/>
          </w:tcPr>
          <w:p w:rsidR="006A6658" w:rsidRPr="00B24EDF" w:rsidRDefault="006A6658" w:rsidP="00102FBB">
            <w:pPr>
              <w:spacing w:line="276" w:lineRule="auto"/>
              <w:jc w:val="both"/>
              <w:rPr>
                <w:rFonts w:ascii="Times New Roman" w:hAnsi="Times New Roman" w:cs="Times New Roman"/>
                <w:sz w:val="24"/>
                <w:szCs w:val="24"/>
              </w:rPr>
            </w:pPr>
          </w:p>
        </w:tc>
        <w:tc>
          <w:tcPr>
            <w:tcW w:w="980"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Year 2</w:t>
            </w:r>
          </w:p>
        </w:tc>
        <w:tc>
          <w:tcPr>
            <w:tcW w:w="1100"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£700k</w:t>
            </w:r>
          </w:p>
        </w:tc>
        <w:tc>
          <w:tcPr>
            <w:tcW w:w="1200"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£320k</w:t>
            </w:r>
          </w:p>
        </w:tc>
        <w:tc>
          <w:tcPr>
            <w:tcW w:w="1200"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£380k</w:t>
            </w:r>
          </w:p>
        </w:tc>
        <w:tc>
          <w:tcPr>
            <w:tcW w:w="1200"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£95k</w:t>
            </w:r>
          </w:p>
        </w:tc>
        <w:tc>
          <w:tcPr>
            <w:tcW w:w="1946"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£605.0k</w:t>
            </w:r>
          </w:p>
        </w:tc>
      </w:tr>
      <w:tr w:rsidR="009D1A31" w:rsidRPr="00B24EDF" w:rsidTr="00E70B59">
        <w:tc>
          <w:tcPr>
            <w:tcW w:w="1292" w:type="dxa"/>
          </w:tcPr>
          <w:p w:rsidR="006A6658" w:rsidRPr="00B24EDF" w:rsidRDefault="006A6658" w:rsidP="00102FBB">
            <w:pPr>
              <w:spacing w:line="276" w:lineRule="auto"/>
              <w:jc w:val="both"/>
              <w:rPr>
                <w:rFonts w:ascii="Times New Roman" w:hAnsi="Times New Roman" w:cs="Times New Roman"/>
                <w:sz w:val="24"/>
                <w:szCs w:val="24"/>
              </w:rPr>
            </w:pPr>
          </w:p>
        </w:tc>
        <w:tc>
          <w:tcPr>
            <w:tcW w:w="980"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Year 3</w:t>
            </w:r>
          </w:p>
        </w:tc>
        <w:tc>
          <w:tcPr>
            <w:tcW w:w="1100"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£900k</w:t>
            </w:r>
          </w:p>
        </w:tc>
        <w:tc>
          <w:tcPr>
            <w:tcW w:w="1200"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£320k</w:t>
            </w:r>
          </w:p>
        </w:tc>
        <w:tc>
          <w:tcPr>
            <w:tcW w:w="1200"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£580k</w:t>
            </w:r>
          </w:p>
        </w:tc>
        <w:tc>
          <w:tcPr>
            <w:tcW w:w="1200"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£145k</w:t>
            </w:r>
          </w:p>
        </w:tc>
        <w:tc>
          <w:tcPr>
            <w:tcW w:w="1946"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£755.0k</w:t>
            </w:r>
          </w:p>
        </w:tc>
      </w:tr>
      <w:tr w:rsidR="009D1A31" w:rsidRPr="00B24EDF" w:rsidTr="00E70B59">
        <w:tc>
          <w:tcPr>
            <w:tcW w:w="1292" w:type="dxa"/>
          </w:tcPr>
          <w:p w:rsidR="006A6658" w:rsidRPr="00B24EDF" w:rsidRDefault="006A6658" w:rsidP="00102FBB">
            <w:pPr>
              <w:spacing w:line="276" w:lineRule="auto"/>
              <w:jc w:val="both"/>
              <w:rPr>
                <w:rFonts w:ascii="Times New Roman" w:hAnsi="Times New Roman" w:cs="Times New Roman"/>
                <w:sz w:val="24"/>
                <w:szCs w:val="24"/>
              </w:rPr>
            </w:pPr>
          </w:p>
        </w:tc>
        <w:tc>
          <w:tcPr>
            <w:tcW w:w="980"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Year 4</w:t>
            </w:r>
          </w:p>
        </w:tc>
        <w:tc>
          <w:tcPr>
            <w:tcW w:w="1100"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£1200k</w:t>
            </w:r>
          </w:p>
        </w:tc>
        <w:tc>
          <w:tcPr>
            <w:tcW w:w="1200"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£320k</w:t>
            </w:r>
          </w:p>
        </w:tc>
        <w:tc>
          <w:tcPr>
            <w:tcW w:w="1200"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£880k</w:t>
            </w:r>
          </w:p>
        </w:tc>
        <w:tc>
          <w:tcPr>
            <w:tcW w:w="1200"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£220k</w:t>
            </w:r>
          </w:p>
        </w:tc>
        <w:tc>
          <w:tcPr>
            <w:tcW w:w="1946" w:type="dxa"/>
          </w:tcPr>
          <w:p w:rsidR="006A6658" w:rsidRPr="00B24EDF" w:rsidRDefault="00393497" w:rsidP="00102FBB">
            <w:pPr>
              <w:spacing w:line="276" w:lineRule="auto"/>
              <w:jc w:val="both"/>
              <w:rPr>
                <w:rFonts w:ascii="Times New Roman" w:hAnsi="Times New Roman" w:cs="Times New Roman"/>
                <w:sz w:val="24"/>
                <w:szCs w:val="24"/>
              </w:rPr>
            </w:pPr>
            <w:r w:rsidRPr="00B24EDF">
              <w:rPr>
                <w:rFonts w:ascii="Times New Roman" w:hAnsi="Times New Roman" w:cs="Times New Roman"/>
                <w:sz w:val="24"/>
                <w:szCs w:val="24"/>
              </w:rPr>
              <w:t>£980.0k</w:t>
            </w:r>
          </w:p>
        </w:tc>
      </w:tr>
    </w:tbl>
    <w:p w:rsidR="00393497" w:rsidRPr="00B24EDF" w:rsidRDefault="00393497" w:rsidP="00102FBB">
      <w:pPr>
        <w:spacing w:line="276" w:lineRule="auto"/>
        <w:jc w:val="both"/>
        <w:rPr>
          <w:rFonts w:ascii="Times New Roman" w:hAnsi="Times New Roman" w:cs="Times New Roman"/>
          <w:sz w:val="24"/>
          <w:szCs w:val="24"/>
        </w:rPr>
      </w:pPr>
    </w:p>
    <w:sectPr w:rsidR="00393497" w:rsidRPr="00B24EDF" w:rsidSect="003E3F46">
      <w:headerReference w:type="default" r:id="rId17"/>
      <w:pgSz w:w="11906" w:h="16838"/>
      <w:pgMar w:top="1300" w:right="1300" w:bottom="1300" w:left="1440" w:header="708" w:footer="708"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836E8" w:rsidRDefault="008836E8">
      <w:r>
        <w:separator/>
      </w:r>
    </w:p>
  </w:endnote>
  <w:endnote w:type="continuationSeparator" w:id="1">
    <w:p w:rsidR="008836E8" w:rsidRDefault="008836E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836E8" w:rsidRDefault="008836E8">
      <w:r>
        <w:separator/>
      </w:r>
    </w:p>
  </w:footnote>
  <w:footnote w:type="continuationSeparator" w:id="1">
    <w:p w:rsidR="008836E8" w:rsidRDefault="008836E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21583386"/>
      <w:docPartObj>
        <w:docPartGallery w:val="Page Numbers (Top of Page)"/>
        <w:docPartUnique/>
      </w:docPartObj>
    </w:sdtPr>
    <w:sdtEndPr>
      <w:rPr>
        <w:noProof/>
      </w:rPr>
    </w:sdtEndPr>
    <w:sdtContent>
      <w:p w:rsidR="00707B13" w:rsidRDefault="00ED3C0B">
        <w:pPr>
          <w:pStyle w:val="Header"/>
          <w:jc w:val="right"/>
        </w:pPr>
        <w:r>
          <w:fldChar w:fldCharType="begin"/>
        </w:r>
        <w:r w:rsidR="003D4419">
          <w:instrText xml:space="preserve"> PAGE   \* MERGEFORMAT </w:instrText>
        </w:r>
        <w:r>
          <w:fldChar w:fldCharType="separate"/>
        </w:r>
        <w:r w:rsidR="00CA500E">
          <w:rPr>
            <w:noProof/>
          </w:rPr>
          <w:t>1</w:t>
        </w:r>
        <w:r>
          <w:rPr>
            <w:noProof/>
          </w:rPr>
          <w:fldChar w:fldCharType="end"/>
        </w:r>
      </w:p>
    </w:sdtContent>
  </w:sdt>
  <w:p w:rsidR="00707B13" w:rsidRDefault="00707B1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E55714"/>
    <w:multiLevelType w:val="hybridMultilevel"/>
    <w:tmpl w:val="C798AB2C"/>
    <w:lvl w:ilvl="0" w:tplc="31D04588">
      <w:start w:val="1"/>
      <w:numFmt w:val="bullet"/>
      <w:lvlText w:val="▪"/>
      <w:lvlJc w:val="left"/>
      <w:pPr>
        <w:ind w:left="720" w:hanging="360"/>
      </w:pPr>
    </w:lvl>
    <w:lvl w:ilvl="1" w:tplc="C6A066E0">
      <w:numFmt w:val="decimal"/>
      <w:lvlText w:val=""/>
      <w:lvlJc w:val="left"/>
    </w:lvl>
    <w:lvl w:ilvl="2" w:tplc="19E0195E">
      <w:numFmt w:val="decimal"/>
      <w:lvlText w:val=""/>
      <w:lvlJc w:val="left"/>
    </w:lvl>
    <w:lvl w:ilvl="3" w:tplc="89D649A0">
      <w:numFmt w:val="decimal"/>
      <w:lvlText w:val=""/>
      <w:lvlJc w:val="left"/>
    </w:lvl>
    <w:lvl w:ilvl="4" w:tplc="F4806458">
      <w:numFmt w:val="decimal"/>
      <w:lvlText w:val=""/>
      <w:lvlJc w:val="left"/>
    </w:lvl>
    <w:lvl w:ilvl="5" w:tplc="E72C17DE">
      <w:numFmt w:val="decimal"/>
      <w:lvlText w:val=""/>
      <w:lvlJc w:val="left"/>
    </w:lvl>
    <w:lvl w:ilvl="6" w:tplc="13DE8D28">
      <w:numFmt w:val="decimal"/>
      <w:lvlText w:val=""/>
      <w:lvlJc w:val="left"/>
    </w:lvl>
    <w:lvl w:ilvl="7" w:tplc="CD5601F6">
      <w:numFmt w:val="decimal"/>
      <w:lvlText w:val=""/>
      <w:lvlJc w:val="left"/>
    </w:lvl>
    <w:lvl w:ilvl="8" w:tplc="8FDEB96A">
      <w:numFmt w:val="decimal"/>
      <w:lvlText w:val=""/>
      <w:lvlJc w:val="left"/>
    </w:lvl>
  </w:abstractNum>
  <w:abstractNum w:abstractNumId="1">
    <w:nsid w:val="3596093E"/>
    <w:multiLevelType w:val="hybridMultilevel"/>
    <w:tmpl w:val="366AE2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7C37EEA"/>
    <w:multiLevelType w:val="hybridMultilevel"/>
    <w:tmpl w:val="43C89EA4"/>
    <w:lvl w:ilvl="0" w:tplc="853E3C7C">
      <w:start w:val="1"/>
      <w:numFmt w:val="bullet"/>
      <w:lvlText w:val="●"/>
      <w:lvlJc w:val="left"/>
      <w:pPr>
        <w:ind w:left="720" w:hanging="360"/>
      </w:pPr>
    </w:lvl>
    <w:lvl w:ilvl="1" w:tplc="CF66F9C4">
      <w:start w:val="1"/>
      <w:numFmt w:val="bullet"/>
      <w:lvlText w:val="○"/>
      <w:lvlJc w:val="left"/>
      <w:pPr>
        <w:ind w:left="1440" w:hanging="360"/>
      </w:pPr>
    </w:lvl>
    <w:lvl w:ilvl="2" w:tplc="672EB00A">
      <w:start w:val="1"/>
      <w:numFmt w:val="bullet"/>
      <w:lvlText w:val="■"/>
      <w:lvlJc w:val="left"/>
      <w:pPr>
        <w:ind w:left="2160" w:hanging="360"/>
      </w:pPr>
    </w:lvl>
    <w:lvl w:ilvl="3" w:tplc="FE6C2714">
      <w:start w:val="1"/>
      <w:numFmt w:val="bullet"/>
      <w:lvlText w:val="●"/>
      <w:lvlJc w:val="left"/>
      <w:pPr>
        <w:ind w:left="2880" w:hanging="360"/>
      </w:pPr>
    </w:lvl>
    <w:lvl w:ilvl="4" w:tplc="A9A8FBE2">
      <w:start w:val="1"/>
      <w:numFmt w:val="bullet"/>
      <w:lvlText w:val="○"/>
      <w:lvlJc w:val="left"/>
      <w:pPr>
        <w:ind w:left="3600" w:hanging="360"/>
      </w:pPr>
    </w:lvl>
    <w:lvl w:ilvl="5" w:tplc="9A649A12">
      <w:start w:val="1"/>
      <w:numFmt w:val="bullet"/>
      <w:lvlText w:val="■"/>
      <w:lvlJc w:val="left"/>
      <w:pPr>
        <w:ind w:left="4320" w:hanging="360"/>
      </w:pPr>
    </w:lvl>
    <w:lvl w:ilvl="6" w:tplc="1C8A3DB8">
      <w:start w:val="1"/>
      <w:numFmt w:val="bullet"/>
      <w:lvlText w:val="●"/>
      <w:lvlJc w:val="left"/>
      <w:pPr>
        <w:ind w:left="5040" w:hanging="360"/>
      </w:pPr>
    </w:lvl>
    <w:lvl w:ilvl="7" w:tplc="3A60D078">
      <w:start w:val="1"/>
      <w:numFmt w:val="bullet"/>
      <w:lvlText w:val="●"/>
      <w:lvlJc w:val="left"/>
      <w:pPr>
        <w:ind w:left="5760" w:hanging="360"/>
      </w:pPr>
    </w:lvl>
    <w:lvl w:ilvl="8" w:tplc="09F206D2">
      <w:start w:val="1"/>
      <w:numFmt w:val="bullet"/>
      <w:lvlText w:val="●"/>
      <w:lvlJc w:val="left"/>
      <w:pPr>
        <w:ind w:left="6480" w:hanging="360"/>
      </w:pPr>
    </w:lvl>
  </w:abstractNum>
  <w:abstractNum w:abstractNumId="3">
    <w:nsid w:val="3D7D296E"/>
    <w:multiLevelType w:val="multilevel"/>
    <w:tmpl w:val="4B64A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4A6FB6"/>
    <w:multiLevelType w:val="hybridMultilevel"/>
    <w:tmpl w:val="D88ACFA4"/>
    <w:lvl w:ilvl="0" w:tplc="67E40930">
      <w:start w:val="1"/>
      <w:numFmt w:val="lowerLetter"/>
      <w:lvlText w:val="(%1)"/>
      <w:lvlJc w:val="left"/>
      <w:pPr>
        <w:ind w:left="720" w:hanging="360"/>
      </w:pPr>
    </w:lvl>
    <w:lvl w:ilvl="1" w:tplc="F1A86EFE">
      <w:numFmt w:val="decimal"/>
      <w:lvlText w:val=""/>
      <w:lvlJc w:val="left"/>
    </w:lvl>
    <w:lvl w:ilvl="2" w:tplc="92F2C390">
      <w:numFmt w:val="decimal"/>
      <w:lvlText w:val=""/>
      <w:lvlJc w:val="left"/>
    </w:lvl>
    <w:lvl w:ilvl="3" w:tplc="0F0EEA7E">
      <w:numFmt w:val="decimal"/>
      <w:lvlText w:val=""/>
      <w:lvlJc w:val="left"/>
    </w:lvl>
    <w:lvl w:ilvl="4" w:tplc="A6DCE7EA">
      <w:numFmt w:val="decimal"/>
      <w:lvlText w:val=""/>
      <w:lvlJc w:val="left"/>
    </w:lvl>
    <w:lvl w:ilvl="5" w:tplc="9B8E2C3C">
      <w:numFmt w:val="decimal"/>
      <w:lvlText w:val=""/>
      <w:lvlJc w:val="left"/>
    </w:lvl>
    <w:lvl w:ilvl="6" w:tplc="493CE878">
      <w:numFmt w:val="decimal"/>
      <w:lvlText w:val=""/>
      <w:lvlJc w:val="left"/>
    </w:lvl>
    <w:lvl w:ilvl="7" w:tplc="DABA9BA4">
      <w:numFmt w:val="decimal"/>
      <w:lvlText w:val=""/>
      <w:lvlJc w:val="left"/>
    </w:lvl>
    <w:lvl w:ilvl="8" w:tplc="513A6E84">
      <w:numFmt w:val="decimal"/>
      <w:lvlText w:val=""/>
      <w:lvlJc w:val="left"/>
    </w:lvl>
  </w:abstractNum>
  <w:abstractNum w:abstractNumId="5">
    <w:nsid w:val="658914DC"/>
    <w:multiLevelType w:val="hybridMultilevel"/>
    <w:tmpl w:val="FEB6201C"/>
    <w:lvl w:ilvl="0" w:tplc="57C221FA">
      <w:start w:val="1"/>
      <w:numFmt w:val="lowerRoman"/>
      <w:lvlText w:val="%1."/>
      <w:lvlJc w:val="left"/>
      <w:pPr>
        <w:ind w:left="720" w:hanging="360"/>
      </w:pPr>
    </w:lvl>
    <w:lvl w:ilvl="1" w:tplc="CB1EE47E">
      <w:numFmt w:val="decimal"/>
      <w:lvlText w:val=""/>
      <w:lvlJc w:val="left"/>
    </w:lvl>
    <w:lvl w:ilvl="2" w:tplc="64F0DA1C">
      <w:numFmt w:val="decimal"/>
      <w:lvlText w:val=""/>
      <w:lvlJc w:val="left"/>
    </w:lvl>
    <w:lvl w:ilvl="3" w:tplc="14600548">
      <w:numFmt w:val="decimal"/>
      <w:lvlText w:val=""/>
      <w:lvlJc w:val="left"/>
    </w:lvl>
    <w:lvl w:ilvl="4" w:tplc="E480C064">
      <w:numFmt w:val="decimal"/>
      <w:lvlText w:val=""/>
      <w:lvlJc w:val="left"/>
    </w:lvl>
    <w:lvl w:ilvl="5" w:tplc="437EC39C">
      <w:numFmt w:val="decimal"/>
      <w:lvlText w:val=""/>
      <w:lvlJc w:val="left"/>
    </w:lvl>
    <w:lvl w:ilvl="6" w:tplc="A98E1C0E">
      <w:numFmt w:val="decimal"/>
      <w:lvlText w:val=""/>
      <w:lvlJc w:val="left"/>
    </w:lvl>
    <w:lvl w:ilvl="7" w:tplc="B530AAE8">
      <w:numFmt w:val="decimal"/>
      <w:lvlText w:val=""/>
      <w:lvlJc w:val="left"/>
    </w:lvl>
    <w:lvl w:ilvl="8" w:tplc="2716DF3C">
      <w:numFmt w:val="decimal"/>
      <w:lvlText w:val=""/>
      <w:lvlJc w:val="left"/>
    </w:lvl>
  </w:abstractNum>
  <w:abstractNum w:abstractNumId="6">
    <w:nsid w:val="73F55DB4"/>
    <w:multiLevelType w:val="multilevel"/>
    <w:tmpl w:val="2DAEE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lvlOverride w:ilvl="0">
      <w:startOverride w:val="1"/>
    </w:lvlOverride>
  </w:num>
  <w:num w:numId="2">
    <w:abstractNumId w:val="0"/>
    <w:lvlOverride w:ilvl="0">
      <w:startOverride w:val="1"/>
    </w:lvlOverride>
  </w:num>
  <w:num w:numId="3">
    <w:abstractNumId w:val="5"/>
    <w:lvlOverride w:ilvl="0">
      <w:startOverride w:val="1"/>
    </w:lvlOverride>
  </w:num>
  <w:num w:numId="4">
    <w:abstractNumId w:val="6"/>
  </w:num>
  <w:num w:numId="5">
    <w:abstractNumId w:val="3"/>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defaultTabStop w:val="720"/>
  <w:characterSpacingControl w:val="doNotCompress"/>
  <w:footnotePr>
    <w:footnote w:id="0"/>
    <w:footnote w:id="1"/>
  </w:footnotePr>
  <w:endnotePr>
    <w:endnote w:id="0"/>
    <w:endnote w:id="1"/>
  </w:endnotePr>
  <w:compat/>
  <w:rsids>
    <w:rsidRoot w:val="006A6658"/>
    <w:rsid w:val="000C1E0B"/>
    <w:rsid w:val="00102FBB"/>
    <w:rsid w:val="00205B6A"/>
    <w:rsid w:val="00384942"/>
    <w:rsid w:val="00393497"/>
    <w:rsid w:val="003D4419"/>
    <w:rsid w:val="003E3F46"/>
    <w:rsid w:val="00403A5F"/>
    <w:rsid w:val="00473F31"/>
    <w:rsid w:val="004B6020"/>
    <w:rsid w:val="0051268B"/>
    <w:rsid w:val="00537878"/>
    <w:rsid w:val="005B5F0D"/>
    <w:rsid w:val="005E1603"/>
    <w:rsid w:val="006A6658"/>
    <w:rsid w:val="00707B13"/>
    <w:rsid w:val="00713AD1"/>
    <w:rsid w:val="00774339"/>
    <w:rsid w:val="008836E8"/>
    <w:rsid w:val="008C7237"/>
    <w:rsid w:val="008E6E59"/>
    <w:rsid w:val="00925C56"/>
    <w:rsid w:val="0095790B"/>
    <w:rsid w:val="00966BF5"/>
    <w:rsid w:val="009D1A31"/>
    <w:rsid w:val="00B24EDF"/>
    <w:rsid w:val="00B9004B"/>
    <w:rsid w:val="00BF6AB1"/>
    <w:rsid w:val="00C73A5F"/>
    <w:rsid w:val="00CA500E"/>
    <w:rsid w:val="00DE589D"/>
    <w:rsid w:val="00DF4B2D"/>
    <w:rsid w:val="00E421FA"/>
    <w:rsid w:val="00E70B59"/>
    <w:rsid w:val="00ED3C0B"/>
    <w:rsid w:val="00F121D9"/>
    <w:rsid w:val="00F338ED"/>
    <w:rsid w:val="00F94E8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rebuchet MS" w:eastAsia="Trebuchet MS" w:hAnsi="Trebuchet MS" w:cs="Trebuchet MS"/>
        <w:sz w:val="21"/>
        <w:szCs w:val="21"/>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3F46"/>
  </w:style>
  <w:style w:type="paragraph" w:styleId="Heading1">
    <w:name w:val="heading 1"/>
    <w:link w:val="Heading1Char"/>
    <w:uiPriority w:val="9"/>
    <w:qFormat/>
    <w:rsid w:val="003E3F46"/>
    <w:pPr>
      <w:spacing w:before="360" w:after="120"/>
      <w:outlineLvl w:val="0"/>
    </w:pPr>
    <w:rPr>
      <w:b/>
      <w:bCs/>
      <w:color w:val="3B1F6E"/>
      <w:sz w:val="28"/>
      <w:szCs w:val="28"/>
    </w:rPr>
  </w:style>
  <w:style w:type="paragraph" w:styleId="Heading2">
    <w:name w:val="heading 2"/>
    <w:uiPriority w:val="9"/>
    <w:unhideWhenUsed/>
    <w:qFormat/>
    <w:rsid w:val="003E3F46"/>
    <w:pPr>
      <w:spacing w:before="240" w:after="80"/>
      <w:outlineLvl w:val="1"/>
    </w:pPr>
    <w:rPr>
      <w:b/>
      <w:bCs/>
      <w:color w:val="5C3399"/>
      <w:sz w:val="23"/>
      <w:szCs w:val="23"/>
    </w:rPr>
  </w:style>
  <w:style w:type="paragraph" w:styleId="Heading3">
    <w:name w:val="heading 3"/>
    <w:link w:val="Heading3Char"/>
    <w:uiPriority w:val="9"/>
    <w:unhideWhenUsed/>
    <w:qFormat/>
    <w:rsid w:val="003E3F46"/>
    <w:pPr>
      <w:spacing w:before="180" w:after="60"/>
      <w:outlineLvl w:val="2"/>
    </w:pPr>
    <w:rPr>
      <w:b/>
      <w:bCs/>
      <w:color w:val="9E7C0A"/>
    </w:rPr>
  </w:style>
  <w:style w:type="paragraph" w:styleId="Heading4">
    <w:name w:val="heading 4"/>
    <w:uiPriority w:val="9"/>
    <w:semiHidden/>
    <w:unhideWhenUsed/>
    <w:qFormat/>
    <w:rsid w:val="003E3F46"/>
    <w:pPr>
      <w:outlineLvl w:val="3"/>
    </w:pPr>
    <w:rPr>
      <w:i/>
      <w:iCs/>
      <w:color w:val="2E74B5"/>
    </w:rPr>
  </w:style>
  <w:style w:type="paragraph" w:styleId="Heading5">
    <w:name w:val="heading 5"/>
    <w:uiPriority w:val="9"/>
    <w:semiHidden/>
    <w:unhideWhenUsed/>
    <w:qFormat/>
    <w:rsid w:val="003E3F46"/>
    <w:pPr>
      <w:outlineLvl w:val="4"/>
    </w:pPr>
    <w:rPr>
      <w:color w:val="2E74B5"/>
    </w:rPr>
  </w:style>
  <w:style w:type="paragraph" w:styleId="Heading6">
    <w:name w:val="heading 6"/>
    <w:uiPriority w:val="9"/>
    <w:semiHidden/>
    <w:unhideWhenUsed/>
    <w:qFormat/>
    <w:rsid w:val="003E3F46"/>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sid w:val="003E3F46"/>
    <w:rPr>
      <w:sz w:val="56"/>
      <w:szCs w:val="56"/>
    </w:rPr>
  </w:style>
  <w:style w:type="paragraph" w:customStyle="1" w:styleId="Strong1">
    <w:name w:val="Strong1"/>
    <w:qFormat/>
    <w:rsid w:val="003E3F46"/>
    <w:rPr>
      <w:b/>
      <w:bCs/>
    </w:rPr>
  </w:style>
  <w:style w:type="paragraph" w:styleId="ListParagraph">
    <w:name w:val="List Paragraph"/>
    <w:uiPriority w:val="34"/>
    <w:qFormat/>
    <w:rsid w:val="003E3F46"/>
  </w:style>
  <w:style w:type="character" w:styleId="Hyperlink">
    <w:name w:val="Hyperlink"/>
    <w:uiPriority w:val="99"/>
    <w:unhideWhenUsed/>
    <w:rsid w:val="003E3F46"/>
    <w:rPr>
      <w:color w:val="0563C1"/>
      <w:u w:val="single"/>
    </w:rPr>
  </w:style>
  <w:style w:type="character" w:styleId="FootnoteReference">
    <w:name w:val="footnote reference"/>
    <w:uiPriority w:val="99"/>
    <w:semiHidden/>
    <w:unhideWhenUsed/>
    <w:rsid w:val="003E3F46"/>
    <w:rPr>
      <w:vertAlign w:val="superscript"/>
    </w:rPr>
  </w:style>
  <w:style w:type="paragraph" w:styleId="FootnoteText">
    <w:name w:val="footnote text"/>
    <w:link w:val="FootnoteTextChar"/>
    <w:uiPriority w:val="99"/>
    <w:semiHidden/>
    <w:unhideWhenUsed/>
    <w:rsid w:val="003E3F46"/>
    <w:rPr>
      <w:sz w:val="20"/>
      <w:szCs w:val="20"/>
    </w:rPr>
  </w:style>
  <w:style w:type="character" w:customStyle="1" w:styleId="FootnoteTextChar">
    <w:name w:val="Footnote Text Char"/>
    <w:link w:val="FootnoteText"/>
    <w:uiPriority w:val="99"/>
    <w:semiHidden/>
    <w:unhideWhenUsed/>
    <w:rsid w:val="003E3F46"/>
    <w:rPr>
      <w:sz w:val="20"/>
      <w:szCs w:val="20"/>
    </w:rPr>
  </w:style>
  <w:style w:type="character" w:styleId="EndnoteReference">
    <w:name w:val="endnote reference"/>
    <w:uiPriority w:val="99"/>
    <w:semiHidden/>
    <w:unhideWhenUsed/>
    <w:rsid w:val="003E3F46"/>
    <w:rPr>
      <w:vertAlign w:val="superscript"/>
    </w:rPr>
  </w:style>
  <w:style w:type="paragraph" w:styleId="EndnoteText">
    <w:name w:val="endnote text"/>
    <w:link w:val="EndnoteTextChar"/>
    <w:uiPriority w:val="99"/>
    <w:semiHidden/>
    <w:unhideWhenUsed/>
    <w:rsid w:val="003E3F46"/>
    <w:rPr>
      <w:sz w:val="20"/>
      <w:szCs w:val="20"/>
    </w:rPr>
  </w:style>
  <w:style w:type="character" w:customStyle="1" w:styleId="EndnoteTextChar">
    <w:name w:val="Endnote Text Char"/>
    <w:link w:val="EndnoteText"/>
    <w:uiPriority w:val="99"/>
    <w:semiHidden/>
    <w:unhideWhenUsed/>
    <w:rsid w:val="003E3F46"/>
    <w:rPr>
      <w:sz w:val="20"/>
      <w:szCs w:val="20"/>
    </w:rPr>
  </w:style>
  <w:style w:type="paragraph" w:styleId="TOC1">
    <w:name w:val="toc 1"/>
    <w:basedOn w:val="Normal"/>
    <w:next w:val="Normal"/>
    <w:autoRedefine/>
    <w:uiPriority w:val="39"/>
    <w:unhideWhenUsed/>
    <w:rsid w:val="008E6E59"/>
    <w:pPr>
      <w:spacing w:after="100"/>
    </w:pPr>
  </w:style>
  <w:style w:type="paragraph" w:styleId="TOC2">
    <w:name w:val="toc 2"/>
    <w:basedOn w:val="Normal"/>
    <w:next w:val="Normal"/>
    <w:autoRedefine/>
    <w:uiPriority w:val="39"/>
    <w:unhideWhenUsed/>
    <w:rsid w:val="008E6E59"/>
    <w:pPr>
      <w:spacing w:after="100"/>
      <w:ind w:left="210"/>
    </w:pPr>
  </w:style>
  <w:style w:type="paragraph" w:styleId="TOC3">
    <w:name w:val="toc 3"/>
    <w:basedOn w:val="Normal"/>
    <w:next w:val="Normal"/>
    <w:autoRedefine/>
    <w:uiPriority w:val="39"/>
    <w:unhideWhenUsed/>
    <w:rsid w:val="008E6E59"/>
    <w:pPr>
      <w:spacing w:after="100"/>
      <w:ind w:left="420"/>
    </w:pPr>
  </w:style>
  <w:style w:type="character" w:customStyle="1" w:styleId="Heading3Char">
    <w:name w:val="Heading 3 Char"/>
    <w:basedOn w:val="DefaultParagraphFont"/>
    <w:link w:val="Heading3"/>
    <w:uiPriority w:val="9"/>
    <w:rsid w:val="008E6E59"/>
    <w:rPr>
      <w:b/>
      <w:bCs/>
      <w:color w:val="9E7C0A"/>
    </w:rPr>
  </w:style>
  <w:style w:type="paragraph" w:styleId="Header">
    <w:name w:val="header"/>
    <w:basedOn w:val="Normal"/>
    <w:link w:val="HeaderChar"/>
    <w:uiPriority w:val="99"/>
    <w:unhideWhenUsed/>
    <w:rsid w:val="008E6E59"/>
    <w:pPr>
      <w:tabs>
        <w:tab w:val="center" w:pos="4680"/>
        <w:tab w:val="right" w:pos="9360"/>
      </w:tabs>
    </w:pPr>
  </w:style>
  <w:style w:type="character" w:customStyle="1" w:styleId="HeaderChar">
    <w:name w:val="Header Char"/>
    <w:basedOn w:val="DefaultParagraphFont"/>
    <w:link w:val="Header"/>
    <w:uiPriority w:val="99"/>
    <w:rsid w:val="008E6E59"/>
  </w:style>
  <w:style w:type="paragraph" w:styleId="Footer">
    <w:name w:val="footer"/>
    <w:basedOn w:val="Normal"/>
    <w:link w:val="FooterChar"/>
    <w:uiPriority w:val="99"/>
    <w:unhideWhenUsed/>
    <w:rsid w:val="008E6E59"/>
    <w:pPr>
      <w:tabs>
        <w:tab w:val="center" w:pos="4680"/>
        <w:tab w:val="right" w:pos="9360"/>
      </w:tabs>
    </w:pPr>
  </w:style>
  <w:style w:type="character" w:customStyle="1" w:styleId="FooterChar">
    <w:name w:val="Footer Char"/>
    <w:basedOn w:val="DefaultParagraphFont"/>
    <w:link w:val="Footer"/>
    <w:uiPriority w:val="99"/>
    <w:rsid w:val="008E6E59"/>
  </w:style>
  <w:style w:type="table" w:styleId="TableGrid">
    <w:name w:val="Table Grid"/>
    <w:basedOn w:val="TableNormal"/>
    <w:uiPriority w:val="39"/>
    <w:rsid w:val="005E16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Light1">
    <w:name w:val="Table Grid Light1"/>
    <w:basedOn w:val="TableNormal"/>
    <w:uiPriority w:val="40"/>
    <w:rsid w:val="008C7237"/>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102FBB"/>
    <w:pPr>
      <w:keepNext/>
      <w:keepLines/>
      <w:spacing w:before="240" w:after="0" w:line="259" w:lineRule="auto"/>
      <w:outlineLvl w:val="9"/>
    </w:pPr>
    <w:rPr>
      <w:rFonts w:asciiTheme="majorHAnsi" w:eastAsiaTheme="majorEastAsia" w:hAnsiTheme="majorHAnsi" w:cstheme="majorBidi"/>
      <w:b w:val="0"/>
      <w:bCs w:val="0"/>
      <w:color w:val="2F5496" w:themeColor="accent1" w:themeShade="BF"/>
      <w:sz w:val="32"/>
      <w:szCs w:val="32"/>
    </w:rPr>
  </w:style>
  <w:style w:type="paragraph" w:styleId="BalloonText">
    <w:name w:val="Balloon Text"/>
    <w:basedOn w:val="Normal"/>
    <w:link w:val="BalloonTextChar"/>
    <w:uiPriority w:val="99"/>
    <w:semiHidden/>
    <w:unhideWhenUsed/>
    <w:rsid w:val="00707B13"/>
    <w:rPr>
      <w:rFonts w:ascii="Tahoma" w:hAnsi="Tahoma" w:cs="Tahoma"/>
      <w:sz w:val="16"/>
      <w:szCs w:val="16"/>
    </w:rPr>
  </w:style>
  <w:style w:type="character" w:customStyle="1" w:styleId="BalloonTextChar">
    <w:name w:val="Balloon Text Char"/>
    <w:basedOn w:val="DefaultParagraphFont"/>
    <w:link w:val="BalloonText"/>
    <w:uiPriority w:val="99"/>
    <w:semiHidden/>
    <w:rsid w:val="00707B13"/>
    <w:rPr>
      <w:rFonts w:ascii="Tahoma" w:hAnsi="Tahoma" w:cs="Tahoma"/>
      <w:sz w:val="16"/>
      <w:szCs w:val="16"/>
    </w:rPr>
  </w:style>
  <w:style w:type="paragraph" w:styleId="NoSpacing">
    <w:name w:val="No Spacing"/>
    <w:link w:val="NoSpacingChar"/>
    <w:uiPriority w:val="1"/>
    <w:qFormat/>
    <w:rsid w:val="00925C56"/>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925C56"/>
    <w:rPr>
      <w:rFonts w:asciiTheme="minorHAnsi" w:eastAsiaTheme="minorEastAsia" w:hAnsiTheme="minorHAnsi" w:cstheme="minorBidi"/>
      <w:sz w:val="22"/>
      <w:szCs w:val="22"/>
    </w:rPr>
  </w:style>
  <w:style w:type="paragraph" w:customStyle="1" w:styleId="aupe">
    <w:name w:val="_aupe"/>
    <w:basedOn w:val="Normal"/>
    <w:rsid w:val="00925C56"/>
    <w:pPr>
      <w:spacing w:before="100" w:beforeAutospacing="1" w:after="100" w:afterAutospacing="1"/>
    </w:pPr>
    <w:rPr>
      <w:rFonts w:ascii="Times New Roman" w:eastAsia="Times New Roman" w:hAnsi="Times New Roman" w:cs="Times New Roman"/>
      <w:sz w:val="24"/>
      <w:szCs w:val="24"/>
    </w:rPr>
  </w:style>
  <w:style w:type="character" w:customStyle="1" w:styleId="aupe1">
    <w:name w:val="_aupe1"/>
    <w:basedOn w:val="DefaultParagraphFont"/>
    <w:rsid w:val="00925C56"/>
  </w:style>
  <w:style w:type="character" w:customStyle="1" w:styleId="Heading1Char">
    <w:name w:val="Heading 1 Char"/>
    <w:basedOn w:val="DefaultParagraphFont"/>
    <w:link w:val="Heading1"/>
    <w:uiPriority w:val="9"/>
    <w:rsid w:val="0095790B"/>
    <w:rPr>
      <w:b/>
      <w:bCs/>
      <w:color w:val="3B1F6E"/>
      <w:sz w:val="28"/>
      <w:szCs w:val="28"/>
    </w:rPr>
  </w:style>
</w:styles>
</file>

<file path=word/webSettings.xml><?xml version="1.0" encoding="utf-8"?>
<w:webSettings xmlns:r="http://schemas.openxmlformats.org/officeDocument/2006/relationships" xmlns:w="http://schemas.openxmlformats.org/wordprocessingml/2006/main">
  <w:divs>
    <w:div w:id="807011152">
      <w:bodyDiv w:val="1"/>
      <w:marLeft w:val="0"/>
      <w:marRight w:val="0"/>
      <w:marTop w:val="0"/>
      <w:marBottom w:val="0"/>
      <w:divBdr>
        <w:top w:val="none" w:sz="0" w:space="0" w:color="auto"/>
        <w:left w:val="none" w:sz="0" w:space="0" w:color="auto"/>
        <w:bottom w:val="none" w:sz="0" w:space="0" w:color="auto"/>
        <w:right w:val="none" w:sz="0" w:space="0" w:color="auto"/>
      </w:divBdr>
    </w:div>
    <w:div w:id="9194808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reports.investors.vodafone.com/view/897876789/"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eports.investors.vodafone.com/view/197179846/6/" TargetMode="External"/><Relationship Id="rId5" Type="http://schemas.openxmlformats.org/officeDocument/2006/relationships/settings" Target="settings.xml"/><Relationship Id="rId15" Type="http://schemas.openxmlformats.org/officeDocument/2006/relationships/image" Target="media/image5.png"/><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EC70DBB6516E447CBC7EABCE87335DF4"/>
        <w:category>
          <w:name w:val="General"/>
          <w:gallery w:val="placeholder"/>
        </w:category>
        <w:types>
          <w:type w:val="bbPlcHdr"/>
        </w:types>
        <w:behaviors>
          <w:behavior w:val="content"/>
        </w:behaviors>
        <w:guid w:val="{C1AF8B8D-EF21-4F24-897F-7BACDB84138C}"/>
      </w:docPartPr>
      <w:docPartBody>
        <w:p w:rsidR="00B21F12" w:rsidRDefault="000B3CDD" w:rsidP="000B3CDD">
          <w:pPr>
            <w:pStyle w:val="EC70DBB6516E447CBC7EABCE87335DF4"/>
          </w:pPr>
          <w:r>
            <w:rPr>
              <w:rFonts w:asciiTheme="majorHAnsi" w:eastAsiaTheme="majorEastAsia" w:hAnsiTheme="majorHAnsi" w:cstheme="majorBidi"/>
              <w:caps/>
              <w:color w:val="4F81BD" w:themeColor="accent1"/>
              <w:sz w:val="80"/>
              <w:szCs w:val="80"/>
            </w:rPr>
            <w:t>[Document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0B3CDD"/>
    <w:rsid w:val="000B3CDD"/>
    <w:rsid w:val="004801E8"/>
    <w:rsid w:val="009F2879"/>
    <w:rsid w:val="00B21F1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1F1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C70DBB6516E447CBC7EABCE87335DF4">
    <w:name w:val="EC70DBB6516E447CBC7EABCE87335DF4"/>
    <w:rsid w:val="000B3CDD"/>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CAF296F-54CE-4431-BB41-2FE7AFC10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23</Pages>
  <Words>6518</Words>
  <Characters>37157</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Strategic Financial Performance Review: Vodafone Group PLC &amp; Capital Investment Appraisal for Westward PLC</dc:title>
  <dc:creator>Un-named</dc:creator>
  <cp:lastModifiedBy>Hasibul  Islam</cp:lastModifiedBy>
  <cp:revision>8</cp:revision>
  <dcterms:created xsi:type="dcterms:W3CDTF">2026-04-19T15:34:00Z</dcterms:created>
  <dcterms:modified xsi:type="dcterms:W3CDTF">2026-04-20T01:40:00Z</dcterms:modified>
</cp:coreProperties>
</file>