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7A75" w:rsidRDefault="003C3193" w:rsidP="00612307">
      <w:pPr>
        <w:tabs>
          <w:tab w:val="left" w:pos="3024"/>
        </w:tabs>
      </w:pPr>
      <w:r>
        <w:t xml:space="preserve">We all face defamation everyday even if we are not aware of it. People say things about us that are not true </w:t>
      </w:r>
      <w:r w:rsidR="006D5F45">
        <w:t>and may hurt</w:t>
      </w:r>
      <w:r>
        <w:t xml:space="preserve"> us.</w:t>
      </w:r>
      <w:r w:rsidR="006D5F45">
        <w:t xml:space="preserve"> Defamation is saying something that impacts negatively on another person character or reputation. The goal of making a case in court is to correct the</w:t>
      </w:r>
      <w:r w:rsidR="007E37FE">
        <w:t xml:space="preserve"> </w:t>
      </w:r>
      <w:r w:rsidR="006D5F45">
        <w:t>false allegations and get compensation.</w:t>
      </w:r>
      <w:r w:rsidR="007E37FE">
        <w:t xml:space="preserve"> </w:t>
      </w:r>
      <w:r w:rsidR="006D5F45">
        <w:t>Development overtime has evolved and made defamation to include publication of untrue</w:t>
      </w:r>
      <w:r w:rsidR="007E37FE">
        <w:t xml:space="preserve"> statement</w:t>
      </w:r>
      <w:r w:rsidR="00F17A75">
        <w:t>s</w:t>
      </w:r>
      <w:r w:rsidR="007E37FE">
        <w:t>. Black Law Dictionary (1990) defined Defamation as ‘an intentional false communication</w:t>
      </w:r>
      <w:r w:rsidR="00F17A75">
        <w:t>’</w:t>
      </w:r>
      <w:r w:rsidR="007E37FE">
        <w:t xml:space="preserve"> which could be in form of publication or verbally spoken</w:t>
      </w:r>
      <w:r w:rsidR="00F17A75">
        <w:t xml:space="preserve"> words</w:t>
      </w:r>
      <w:r w:rsidR="007E37FE">
        <w:t xml:space="preserve"> that aim</w:t>
      </w:r>
      <w:r w:rsidR="00F17A75">
        <w:t>s</w:t>
      </w:r>
      <w:r w:rsidR="007E37FE">
        <w:t xml:space="preserve"> that tarnishing someone’s reputation.</w:t>
      </w:r>
      <w:r w:rsidR="00F17A75">
        <w:t xml:space="preserve"> The A.C.T Community Law Reform Committee (1966) defines Defamation as ‘the publication of words or images that damages the reputation of another ‘slander’ if spoken words and ‘libel’ if written words or image’’. </w:t>
      </w:r>
      <w:r w:rsidR="00F17A75">
        <w:t>(</w:t>
      </w:r>
      <w:proofErr w:type="spellStart"/>
      <w:r w:rsidR="00F17A75">
        <w:t>Magalla</w:t>
      </w:r>
      <w:proofErr w:type="spellEnd"/>
      <w:r w:rsidR="00F17A75">
        <w:t xml:space="preserve"> 2018, p 4)</w:t>
      </w:r>
      <w:r w:rsidR="00B74E8A">
        <w:t>.</w:t>
      </w:r>
    </w:p>
    <w:p w:rsidR="00B74E8A" w:rsidRDefault="00612307" w:rsidP="00612307">
      <w:pPr>
        <w:tabs>
          <w:tab w:val="left" w:pos="3024"/>
        </w:tabs>
      </w:pPr>
      <w:r>
        <w:t xml:space="preserve"> </w:t>
      </w:r>
      <w:proofErr w:type="spellStart"/>
      <w:r>
        <w:t>Tiersma</w:t>
      </w:r>
      <w:proofErr w:type="spellEnd"/>
      <w:r>
        <w:t xml:space="preserve"> (</w:t>
      </w:r>
      <w:r w:rsidR="00B74E8A">
        <w:t>1987</w:t>
      </w:r>
      <w:r>
        <w:t xml:space="preserve">) </w:t>
      </w:r>
      <w:r w:rsidR="00FB7B86">
        <w:t xml:space="preserve">noted that </w:t>
      </w:r>
      <w:r>
        <w:t>the intention of the speaker/writer and the effect the speech had on the hearer</w:t>
      </w:r>
      <w:r w:rsidR="00B74E8A">
        <w:t>/reader</w:t>
      </w:r>
      <w:r w:rsidR="00FB7B86">
        <w:t xml:space="preserve"> is what mattered.</w:t>
      </w:r>
      <w:r>
        <w:t xml:space="preserve"> He argues rather than focusing on the traditional definition which focuses on the person that published the content, the focus should be on what the person intended to communicate. </w:t>
      </w:r>
      <w:r w:rsidR="00B74E8A">
        <w:t>The Law of Defamation focuses on both the spoken attack slander and the written attacks</w:t>
      </w:r>
      <w:r w:rsidR="00CA002B">
        <w:t xml:space="preserve"> (common with the press)</w:t>
      </w:r>
      <w:r w:rsidR="00B74E8A">
        <w:t>.</w:t>
      </w:r>
      <w:r w:rsidR="00FB7B86" w:rsidRPr="00FB7B86">
        <w:t xml:space="preserve"> </w:t>
      </w:r>
      <w:r w:rsidR="00FB7B86">
        <w:t xml:space="preserve">Based on </w:t>
      </w:r>
      <w:r w:rsidR="00FB7B86">
        <w:t>these definitions</w:t>
      </w:r>
      <w:r w:rsidR="00FB7B86">
        <w:t>, we have been able to establish that Defamation includes the spoken words and the written words</w:t>
      </w:r>
      <w:r w:rsidR="00B74E8A">
        <w:t xml:space="preserve"> </w:t>
      </w:r>
      <w:r w:rsidR="00FB7B86">
        <w:t>(</w:t>
      </w:r>
      <w:r w:rsidR="00CA002B">
        <w:t>Cooke v MGM (2014)</w:t>
      </w:r>
      <w:r w:rsidR="00FB7B86">
        <w:t>).</w:t>
      </w:r>
      <w:r w:rsidR="00CA002B">
        <w:t xml:space="preserve"> </w:t>
      </w:r>
      <w:r w:rsidR="00B74E8A">
        <w:t>Only when the intention deliberately tarnishes the image of another can it then be said to be defamation.</w:t>
      </w:r>
      <w:r w:rsidR="00B74E8A">
        <w:t xml:space="preserve"> The court is to decide whether it is an accusation or a report is meant to merely inform</w:t>
      </w:r>
      <w:r w:rsidR="00CA002B">
        <w:t xml:space="preserve"> </w:t>
      </w:r>
      <w:proofErr w:type="spellStart"/>
      <w:r w:rsidR="00CA002B">
        <w:t>Tiersma</w:t>
      </w:r>
      <w:proofErr w:type="spellEnd"/>
      <w:r w:rsidR="00CA002B">
        <w:t xml:space="preserve"> (1</w:t>
      </w:r>
      <w:r w:rsidR="00E66F38">
        <w:t>9</w:t>
      </w:r>
      <w:r w:rsidR="00CA002B">
        <w:t>87).</w:t>
      </w:r>
      <w:r w:rsidR="008B7AB7">
        <w:t xml:space="preserve"> This is what this essay seeks to examine.</w:t>
      </w:r>
    </w:p>
    <w:p w:rsidR="00612307" w:rsidRDefault="00CA002B" w:rsidP="00612307">
      <w:r>
        <w:t>The Law u</w:t>
      </w:r>
      <w:r w:rsidR="00612307">
        <w:t xml:space="preserve">nder s. 10 </w:t>
      </w:r>
      <w:r>
        <w:t xml:space="preserve"> of the </w:t>
      </w:r>
      <w:r w:rsidR="00612307">
        <w:t>Contempt of Court Act (1981) states that ‘’No court may require a person to disclose, nor is a person guilty of contempt of court for refusing to disclose, the source of information contained in a publication for which he is responsible, unless it be established to the satisfaction of the court that disclosure is necessary in the interests of Justice or national security or for the prevention of disorder or crime’</w:t>
      </w:r>
      <w:r>
        <w:t xml:space="preserve">. </w:t>
      </w:r>
      <w:r w:rsidR="00612307">
        <w:t>This means that no one is obligated or under any obligation to disclose the source of any information except it is in the interest of the public or a threat to the nation’s security</w:t>
      </w:r>
      <w:r>
        <w:t xml:space="preserve"> </w:t>
      </w:r>
      <w:r>
        <w:t>(legislation.gov.uk)</w:t>
      </w:r>
      <w:r>
        <w:t>.</w:t>
      </w:r>
    </w:p>
    <w:p w:rsidR="00612307" w:rsidRDefault="00612307" w:rsidP="00612307">
      <w:r>
        <w:t>T</w:t>
      </w:r>
      <w:r w:rsidR="00CA002B">
        <w:t>he</w:t>
      </w:r>
      <w:r>
        <w:t xml:space="preserve"> law is to strike a balance between protecting an individual’s reputation and allowing freedom of expression by the press</w:t>
      </w:r>
      <w:r w:rsidR="008B7AB7">
        <w:t xml:space="preserve"> (Article 10 Human Rights Act 1998).</w:t>
      </w:r>
      <w:r w:rsidR="00BE35DB">
        <w:t xml:space="preserve"> </w:t>
      </w:r>
      <w:r w:rsidR="00BE35DB">
        <w:t>In the case, Richard v British Broadcasting Corporation (BBC) and another (2017), the judge ordered the journalist to disclose his source of information while in this case, Goodwin v The United Kingdom 1996, the judge ruled that an order for a journalist to reveal his source was a breach of his right of free expression in a democracy society. Investigative journalism within the professional code of conduct is allowed and will benefit the public. Also, the position the press in the society as checks and balances will not be undermined.</w:t>
      </w:r>
    </w:p>
    <w:p w:rsidR="00612307" w:rsidRDefault="00612307" w:rsidP="00612307">
      <w:pPr>
        <w:tabs>
          <w:tab w:val="left" w:pos="3024"/>
        </w:tabs>
      </w:pPr>
      <w:r>
        <w:t>The defence of defamation should be such that it should be proven beyond a reasonable doubt that the statement is derogatory so as to upheld the freedom of speech of article 10 of ECHR. This is therefore what the court seeks to balance. While the court of law allows for freedom of speech to protect individuals, derogatory statement about another person is unacceptable and against the law. The case Reynolds v Times Newspapers Ltd (2001) is the landmark case on defamation. The Respondent, A former Prime Minister of Ireland won the case against the Appellants, a Newspaper in Britain that published a derogatory article about his political career/ while he was a sitting Prime Minister. ‘The Newspaper pleaded the defence of qualified privilege at common law’ but it was quashed by the Court of Appeal which held that ‘Publication of defamatory political information not subject to general qualified privilege’. Though it established a new</w:t>
      </w:r>
      <w:r w:rsidR="003462DD">
        <w:t xml:space="preserve"> common law</w:t>
      </w:r>
      <w:r>
        <w:t xml:space="preserve"> defence that the case is in the public interest and the journalist acted responsibly when doing their investigative journalism. The judged in Reynolds were able to create a balance in the judgement between the </w:t>
      </w:r>
      <w:r>
        <w:lastRenderedPageBreak/>
        <w:t>rights of individuals and the freedom of expression. That we supposed was the intention of parliament in this piece of legislation</w:t>
      </w:r>
      <w:r w:rsidR="000C65F7">
        <w:t xml:space="preserve"> (Reynolds v Times Newspaper Ltd 2001).</w:t>
      </w:r>
    </w:p>
    <w:p w:rsidR="00D43BA1" w:rsidRDefault="00D43BA1" w:rsidP="00F31112">
      <w:proofErr w:type="spellStart"/>
      <w:r>
        <w:t>Interbrew</w:t>
      </w:r>
      <w:proofErr w:type="spellEnd"/>
      <w:r>
        <w:t xml:space="preserve"> SA v </w:t>
      </w:r>
      <w:proofErr w:type="spellStart"/>
      <w:r>
        <w:t>Finacial</w:t>
      </w:r>
      <w:proofErr w:type="spellEnd"/>
      <w:r>
        <w:t xml:space="preserve"> Times Ltd (2002) - Claimant applied for a Norwich </w:t>
      </w:r>
      <w:proofErr w:type="spellStart"/>
      <w:r>
        <w:t>Pharmacal</w:t>
      </w:r>
      <w:proofErr w:type="spellEnd"/>
      <w:r>
        <w:t xml:space="preserve"> order requiring the defendant to deliver up the copies of the documents in order to track down the source. The Defendants refused, since they wished to protect the identity of their source, and relied on s10, Contempt of </w:t>
      </w:r>
      <w:r w:rsidR="00FB7B86">
        <w:t>C</w:t>
      </w:r>
      <w:r>
        <w:t xml:space="preserve">ourt Act 1981. The defendant </w:t>
      </w:r>
      <w:r w:rsidR="00FB7B86">
        <w:t>appealed</w:t>
      </w:r>
      <w:r>
        <w:t xml:space="preserve">. The issue was whether it was necessary in the interest of justice under s10 Contempt of Court Act 1981, to order delivery of the copies of the documents. </w:t>
      </w:r>
      <w:r w:rsidR="00FB7B86">
        <w:t>It was held. D</w:t>
      </w:r>
      <w:r>
        <w:t xml:space="preserve">isclosure was necessary under s10 because the Claimant needed to identify the source, detection of crime is not a proper object of the Norwich </w:t>
      </w:r>
      <w:proofErr w:type="spellStart"/>
      <w:r>
        <w:t>Pharmacal</w:t>
      </w:r>
      <w:proofErr w:type="spellEnd"/>
      <w:r>
        <w:t xml:space="preserve"> jurisdiction.</w:t>
      </w:r>
      <w:r w:rsidR="00F31112">
        <w:t xml:space="preserve"> </w:t>
      </w:r>
    </w:p>
    <w:p w:rsidR="000C65F7" w:rsidRDefault="00D43BA1" w:rsidP="00D43BA1">
      <w:r>
        <w:t>Following the judgement above</w:t>
      </w:r>
      <w:r>
        <w:t xml:space="preserve">, </w:t>
      </w:r>
      <w:r>
        <w:t xml:space="preserve">the financial times appealed to the </w:t>
      </w:r>
      <w:r>
        <w:t>H</w:t>
      </w:r>
      <w:r>
        <w:t xml:space="preserve">ouse of </w:t>
      </w:r>
      <w:r>
        <w:t>L</w:t>
      </w:r>
      <w:r>
        <w:t xml:space="preserve">ords. The </w:t>
      </w:r>
      <w:r>
        <w:t>H</w:t>
      </w:r>
      <w:r>
        <w:t>ouse refused the applicants leave to appeal. The applicants complained that the decision of the domestic courts violated their Article 10 right to freedom as their journalistic sources might be identified.</w:t>
      </w:r>
      <w:r w:rsidR="00FB7B86">
        <w:t xml:space="preserve"> The issue was w</w:t>
      </w:r>
      <w:r>
        <w:t>hether the order for delivery up of the leaked document constituted an unjustified interference with Article 10 ECHR</w:t>
      </w:r>
    </w:p>
    <w:p w:rsidR="0068187F" w:rsidRDefault="003462DD" w:rsidP="0068187F">
      <w:pPr>
        <w:tabs>
          <w:tab w:val="left" w:pos="3024"/>
        </w:tabs>
      </w:pPr>
      <w:r>
        <w:t xml:space="preserve">Parliament </w:t>
      </w:r>
      <w:r>
        <w:t>reformed the</w:t>
      </w:r>
      <w:r>
        <w:t xml:space="preserve"> legislation of Contempt to Court Act (1981) in 2013 refer</w:t>
      </w:r>
      <w:r>
        <w:t>r</w:t>
      </w:r>
      <w:r>
        <w:t>ed to as the Defamation Act (2013) and also to establish the defences available but not limited to</w:t>
      </w:r>
      <w:r w:rsidR="00FB7B86">
        <w:t>:</w:t>
      </w:r>
    </w:p>
    <w:p w:rsidR="0068187F" w:rsidRDefault="00E66F38" w:rsidP="0068187F">
      <w:pPr>
        <w:tabs>
          <w:tab w:val="left" w:pos="3024"/>
        </w:tabs>
      </w:pPr>
      <w:r w:rsidRPr="00E66F38">
        <w:t>s. 1</w:t>
      </w:r>
      <w:r>
        <w:rPr>
          <w:b/>
        </w:rPr>
        <w:t xml:space="preserve"> </w:t>
      </w:r>
      <w:r w:rsidR="0068187F" w:rsidRPr="0068187F">
        <w:rPr>
          <w:b/>
        </w:rPr>
        <w:t>Serious harm</w:t>
      </w:r>
      <w:r w:rsidR="0068187F">
        <w:t xml:space="preserve">, the statement can only be said to be derogatory if it has caused serious harm or likely to cause significant harm to the claimant (Thornton v Telegraph Media Group Limited). </w:t>
      </w:r>
      <w:r>
        <w:t>F</w:t>
      </w:r>
      <w:r>
        <w:t>or Defamation to be established, it must be proven that the words are defamatory-tarnishes the image of the claimants or could lead to racism, hate speech or negative tolls (</w:t>
      </w:r>
      <w:proofErr w:type="spellStart"/>
      <w:r>
        <w:t>Youssoupoff</w:t>
      </w:r>
      <w:proofErr w:type="spellEnd"/>
      <w:r>
        <w:t xml:space="preserve"> v MGM (1934), John v Guardian News Media Ltd (2008</w:t>
      </w:r>
      <w:proofErr w:type="gramStart"/>
      <w:r>
        <w:t>) )</w:t>
      </w:r>
      <w:proofErr w:type="gramEnd"/>
      <w:r>
        <w:t xml:space="preserve"> ,the words have been published and the as a result, a significant harm has taken place or is likely to take place. In the case of the latter case law, the judge noted that the statement John claimed were defamatory were not intended to mean what he claimed. This is a balance between protecting the reputation of a person and freedom of speech.</w:t>
      </w:r>
    </w:p>
    <w:p w:rsidR="00E66F38" w:rsidRDefault="00E66F38" w:rsidP="00E66F38">
      <w:r w:rsidRPr="00E66F38">
        <w:t>s. 2</w:t>
      </w:r>
      <w:r>
        <w:rPr>
          <w:b/>
        </w:rPr>
        <w:t xml:space="preserve"> </w:t>
      </w:r>
      <w:r w:rsidR="0068187F" w:rsidRPr="0068187F">
        <w:rPr>
          <w:b/>
        </w:rPr>
        <w:t>Truth</w:t>
      </w:r>
      <w:r w:rsidR="0068187F">
        <w:t xml:space="preserve"> replaces the defence of </w:t>
      </w:r>
      <w:proofErr w:type="spellStart"/>
      <w:r w:rsidR="0068187F">
        <w:t>Justification</w:t>
      </w:r>
      <w:r>
        <w:t>.</w:t>
      </w:r>
      <w:r w:rsidR="0068187F">
        <w:t>The</w:t>
      </w:r>
      <w:proofErr w:type="spellEnd"/>
      <w:r w:rsidR="0068187F">
        <w:t xml:space="preserve"> defendant has to prove that what is published is substantially true (Chase v News Group Newspaper Ltd).</w:t>
      </w:r>
      <w:r w:rsidR="0068187F">
        <w:t xml:space="preserve"> </w:t>
      </w:r>
      <w:r w:rsidR="0068187F">
        <w:t xml:space="preserve">In the old law, the claimant must prove the publication was false- justification. The 2013 </w:t>
      </w:r>
      <w:r>
        <w:t>A</w:t>
      </w:r>
      <w:r w:rsidR="0068187F">
        <w:t xml:space="preserve">ct changed justification to truth. That means that the defendant must prove without any doubt that what they have published is the truth. </w:t>
      </w:r>
      <w:r w:rsidR="0068187F">
        <w:t xml:space="preserve">In the case, </w:t>
      </w:r>
      <w:r w:rsidR="0068187F">
        <w:t>Robert Dee v the Daily Telegraph 2010. The judge noted the facts were true and so the paper won the case on the basis of justification.</w:t>
      </w:r>
      <w:r>
        <w:t xml:space="preserve"> </w:t>
      </w:r>
    </w:p>
    <w:p w:rsidR="0068187F" w:rsidRDefault="00E66F38" w:rsidP="00E66F38">
      <w:r>
        <w:t>s. 3</w:t>
      </w:r>
      <w:r w:rsidR="0068187F">
        <w:t xml:space="preserve"> </w:t>
      </w:r>
      <w:r w:rsidR="0068187F" w:rsidRPr="0068187F">
        <w:rPr>
          <w:b/>
        </w:rPr>
        <w:t>Honest Opinion</w:t>
      </w:r>
      <w:r w:rsidR="0068187F">
        <w:t>- Replaces the common law defence of fair comment with a law of defence of honest opinion. The defendant can prove that the statement complained of was of honest opinion (Spiller v Joseph (2010).</w:t>
      </w:r>
      <w:r w:rsidR="003462DD">
        <w:t xml:space="preserve"> </w:t>
      </w:r>
    </w:p>
    <w:p w:rsidR="0068187F" w:rsidRDefault="00E66F38" w:rsidP="0068187F">
      <w:pPr>
        <w:tabs>
          <w:tab w:val="left" w:pos="3024"/>
        </w:tabs>
      </w:pPr>
      <w:r w:rsidRPr="00E66F38">
        <w:t>s. 4</w:t>
      </w:r>
      <w:r>
        <w:rPr>
          <w:b/>
        </w:rPr>
        <w:t xml:space="preserve"> </w:t>
      </w:r>
      <w:r w:rsidR="0068187F" w:rsidRPr="0068187F">
        <w:rPr>
          <w:b/>
        </w:rPr>
        <w:t>Responsible publication on matter of public interest.</w:t>
      </w:r>
      <w:r w:rsidR="0068187F">
        <w:t xml:space="preserve"> The defendant must be able to prove that the publication </w:t>
      </w:r>
      <w:r w:rsidR="0068187F">
        <w:t>is a</w:t>
      </w:r>
      <w:r w:rsidR="0068187F">
        <w:t xml:space="preserve"> matter of public interest</w:t>
      </w:r>
      <w:r w:rsidR="000C65F7">
        <w:t xml:space="preserve"> ( </w:t>
      </w:r>
      <w:hyperlink r:id="rId5" w:history="1">
        <w:r w:rsidR="000C65F7" w:rsidRPr="00765B71">
          <w:rPr>
            <w:rStyle w:val="Hyperlink"/>
          </w:rPr>
          <w:t>www.parliament.uk</w:t>
        </w:r>
      </w:hyperlink>
      <w:r w:rsidR="000C65F7">
        <w:t xml:space="preserve"> Defamation Bill Explanatory Notes 2012)</w:t>
      </w:r>
    </w:p>
    <w:p w:rsidR="00543F7D" w:rsidRDefault="000C65F7" w:rsidP="000C65F7">
      <w:r>
        <w:t>‘Flood v Times Newspapers Limited 2012, summary libel-Reynolds privilege-Public Interest- responsible journalism. The Claimant sued for libel. The defendant used the defence of Truth, s. 2 of the Defamation Act 2013 and s. 4. They succeeded because the journalists had reasonable satisfied themselves that the supporting facts set out in the article were true and that there was a serious possibility that the Claimant had been guilty of the corruption of which he was suspected. The publication of such information was in the public interest. This judgement represented a significant further movement of the law of defamation in favour of defendants.</w:t>
      </w:r>
    </w:p>
    <w:p w:rsidR="00612307" w:rsidRDefault="00612307" w:rsidP="00612307"/>
    <w:p w:rsidR="00612307" w:rsidRDefault="00612307" w:rsidP="00612307">
      <w:proofErr w:type="spellStart"/>
      <w:r>
        <w:t>Loutchansky</w:t>
      </w:r>
      <w:proofErr w:type="spellEnd"/>
      <w:r>
        <w:t xml:space="preserve"> v Times Newspapers Ltd (2002). ‘The Respondent </w:t>
      </w:r>
      <w:proofErr w:type="spellStart"/>
      <w:r>
        <w:t>Loutchansky</w:t>
      </w:r>
      <w:proofErr w:type="spellEnd"/>
      <w:r>
        <w:t xml:space="preserve"> sued the defendant Times Newspaper for defamation</w:t>
      </w:r>
      <w:r w:rsidR="00543F7D">
        <w:t>.</w:t>
      </w:r>
      <w:r>
        <w:t xml:space="preserve"> Times Newspaper pleaded the defence of qualified privilege. The Court of Appeal quashed the appeal </w:t>
      </w:r>
      <w:r w:rsidR="003462DD">
        <w:t>of</w:t>
      </w:r>
      <w:r>
        <w:t xml:space="preserve"> qualified privilege </w:t>
      </w:r>
      <w:r w:rsidR="003462DD">
        <w:t>matter</w:t>
      </w:r>
      <w:r>
        <w:t xml:space="preserve"> of public interest that even though the newspaper has the privilege of freedom of speech</w:t>
      </w:r>
      <w:r w:rsidR="003462DD">
        <w:t xml:space="preserve"> and they</w:t>
      </w:r>
      <w:r>
        <w:t xml:space="preserve"> ha</w:t>
      </w:r>
      <w:r w:rsidR="003462DD">
        <w:t xml:space="preserve">ve </w:t>
      </w:r>
      <w:r>
        <w:t xml:space="preserve">a duty to keep the public informed, journalist </w:t>
      </w:r>
      <w:r w:rsidR="003462DD">
        <w:t xml:space="preserve">didn’t </w:t>
      </w:r>
      <w:r>
        <w:t xml:space="preserve">act responsibly within his professional ethics and the matter </w:t>
      </w:r>
      <w:r w:rsidR="003462DD">
        <w:t xml:space="preserve">could </w:t>
      </w:r>
      <w:r>
        <w:t>misle</w:t>
      </w:r>
      <w:r w:rsidR="003462DD">
        <w:t xml:space="preserve">ad </w:t>
      </w:r>
      <w:r>
        <w:t>the public with an untrue publication</w:t>
      </w:r>
      <w:r w:rsidR="003462DD">
        <w:t>.</w:t>
      </w:r>
    </w:p>
    <w:p w:rsidR="00612307" w:rsidRDefault="00612307" w:rsidP="00612307">
      <w:r>
        <w:t>John Depp v Sun Newspaper</w:t>
      </w:r>
      <w:r w:rsidR="00D43BA1">
        <w:t xml:space="preserve"> (2020)</w:t>
      </w:r>
      <w:r>
        <w:t xml:space="preserve"> was the latest case on Defamation-libel. The case was decided in the favour of the Newspaper.</w:t>
      </w:r>
      <w:r w:rsidR="003462DD">
        <w:t xml:space="preserve"> </w:t>
      </w:r>
      <w:r>
        <w:t xml:space="preserve">The Judge </w:t>
      </w:r>
      <w:r w:rsidR="003462DD">
        <w:t xml:space="preserve">based on evidences before him judged that </w:t>
      </w:r>
      <w:r>
        <w:t>the newspaper claim that John was abusive towards wife was substantially true.</w:t>
      </w:r>
    </w:p>
    <w:p w:rsidR="00F31112" w:rsidRDefault="00F31112" w:rsidP="00612307">
      <w:r>
        <w:t xml:space="preserve">The </w:t>
      </w:r>
      <w:r w:rsidR="00954141">
        <w:t>provisions of the</w:t>
      </w:r>
      <w:r>
        <w:t xml:space="preserve"> Defamation Bill 2013 </w:t>
      </w:r>
      <w:r w:rsidR="00954141">
        <w:t xml:space="preserve">are compatible with the Convention rights. Article 10 and Article 8 which is to protect the right to freedom of expression and Article 10 (2) subject to restrictions where necessary in a democratic society for the protection of the reputation of others.  Article 8 recognises a right to respect one’s private and family life (Article 8 and 10 of the European Convention on Human Rights). The government through this reform have attempted to strike a fair balance between the two Article 10 and 8. The court based on the case laws presented in this essay try to ensure that </w:t>
      </w:r>
      <w:r w:rsidR="00573E8D">
        <w:t>Convention</w:t>
      </w:r>
      <w:r w:rsidR="00954141">
        <w:t xml:space="preserve"> rights are respected according to the extent </w:t>
      </w:r>
      <w:r w:rsidR="00573E8D">
        <w:t>to which the relevant rights are in play.</w:t>
      </w:r>
    </w:p>
    <w:p w:rsidR="00612307" w:rsidRDefault="00612307" w:rsidP="00612307"/>
    <w:p w:rsidR="00612307" w:rsidRDefault="00612307" w:rsidP="00612307"/>
    <w:p w:rsidR="00612307" w:rsidRDefault="00612307" w:rsidP="00612307"/>
    <w:p w:rsidR="00612307" w:rsidRDefault="00612307" w:rsidP="00612307"/>
    <w:p w:rsidR="00612307" w:rsidRPr="00656DC4" w:rsidRDefault="00612307" w:rsidP="00612307"/>
    <w:p w:rsidR="00612307" w:rsidRPr="00656DC4" w:rsidRDefault="00612307" w:rsidP="00612307"/>
    <w:p w:rsidR="00612307" w:rsidRPr="00656DC4" w:rsidRDefault="00612307" w:rsidP="00612307"/>
    <w:p w:rsidR="00612307" w:rsidRPr="00656DC4" w:rsidRDefault="00612307" w:rsidP="00612307"/>
    <w:p w:rsidR="00612307" w:rsidRDefault="00612307" w:rsidP="00612307">
      <w:pPr>
        <w:tabs>
          <w:tab w:val="left" w:pos="3024"/>
        </w:tabs>
      </w:pPr>
    </w:p>
    <w:p w:rsidR="009D1C85" w:rsidRDefault="009D1C85" w:rsidP="009D1C85"/>
    <w:p w:rsidR="009D1C85" w:rsidRDefault="009D1C85" w:rsidP="009D1C85"/>
    <w:p w:rsidR="009D1C85" w:rsidRPr="008A7A68" w:rsidRDefault="009D1C85" w:rsidP="009D1C85"/>
    <w:p w:rsidR="009D1C85" w:rsidRDefault="009D1C85" w:rsidP="009D1C85"/>
    <w:p w:rsidR="009D1C85" w:rsidRDefault="009D1C85" w:rsidP="009D1C85"/>
    <w:p w:rsidR="00612307" w:rsidRDefault="00612307" w:rsidP="00612307">
      <w:pPr>
        <w:tabs>
          <w:tab w:val="left" w:pos="3024"/>
        </w:tabs>
      </w:pPr>
    </w:p>
    <w:p w:rsidR="00A105E7" w:rsidRDefault="00A105E7" w:rsidP="00A105E7">
      <w:pPr>
        <w:tabs>
          <w:tab w:val="left" w:pos="3024"/>
        </w:tabs>
      </w:pPr>
    </w:p>
    <w:p w:rsidR="00A105E7" w:rsidRDefault="00A105E7" w:rsidP="00A105E7">
      <w:pPr>
        <w:tabs>
          <w:tab w:val="left" w:pos="3024"/>
        </w:tabs>
      </w:pPr>
    </w:p>
    <w:p w:rsidR="00A105E7" w:rsidRDefault="00A105E7" w:rsidP="00A105E7">
      <w:pPr>
        <w:tabs>
          <w:tab w:val="left" w:pos="3024"/>
        </w:tabs>
      </w:pPr>
    </w:p>
    <w:p w:rsidR="00A105E7" w:rsidRDefault="00A105E7" w:rsidP="00A105E7">
      <w:pPr>
        <w:tabs>
          <w:tab w:val="left" w:pos="3024"/>
        </w:tabs>
      </w:pPr>
      <w:r>
        <w:lastRenderedPageBreak/>
        <w:t>TASK 2</w:t>
      </w:r>
    </w:p>
    <w:p w:rsidR="00A105E7" w:rsidRPr="00021A81" w:rsidRDefault="00A105E7" w:rsidP="00A105E7">
      <w:pPr>
        <w:rPr>
          <w:b/>
        </w:rPr>
      </w:pPr>
      <w:r w:rsidRPr="00021A81">
        <w:rPr>
          <w:b/>
        </w:rPr>
        <w:t>Amenability/Eligibility</w:t>
      </w:r>
    </w:p>
    <w:p w:rsidR="00A105E7" w:rsidRDefault="00A105E7" w:rsidP="00A105E7">
      <w:r>
        <w:t xml:space="preserve">Parliament passed the ‘Environmental Protection Act’. The purpose of the Act is to promote the recycling plastics. The Act created the ‘Plastic Regulatory Authority’ (PRA) who regulated the number and standard of plastic recycling plants within a certain area. </w:t>
      </w:r>
    </w:p>
    <w:p w:rsidR="00A105E7" w:rsidRDefault="00A105E7" w:rsidP="00A105E7">
      <w:r>
        <w:t>Plastic Regulatory Authority (PRA) is a statutory body created under the Act ‘Environmental Protection Act’. Any business who wants wishes to operate a plastic recycling plant must contact the ‘Plastic Regulatory Authority’ and apply for a licence. ‘Norton Solutions plc’ had done the right thing and applied to the PRA for a licence to open a new recycling plant in the Mumbles, Swansea but based on the PRA policy to regulate the number, only one licence can be granted to one recycling plant within an area. That explained why they refused Norton’s application because it had already granted to ‘</w:t>
      </w:r>
      <w:proofErr w:type="spellStart"/>
      <w:r>
        <w:t>Westcross</w:t>
      </w:r>
      <w:proofErr w:type="spellEnd"/>
      <w:r>
        <w:t xml:space="preserve"> plc’. Also, they regulate the standard of plastic recycling plants and since Norton Solution plc has evidence suggesting ‘</w:t>
      </w:r>
      <w:proofErr w:type="spellStart"/>
      <w:r>
        <w:t>Westcross</w:t>
      </w:r>
      <w:proofErr w:type="spellEnd"/>
      <w:r>
        <w:t xml:space="preserve"> plc’ will not be able to meet the local demand for plastic recycling, then the standard may be compromised. Therefore the ‘Plastic Regulatory Authority is amenable to judicial reviews. ‘Norton Solutions plc’ is directly affected by the decision, as their application for a licence has been rejected (Greenpeace (Inspectorate of Pollution and Another, ex </w:t>
      </w:r>
      <w:proofErr w:type="spellStart"/>
      <w:r>
        <w:t>parte</w:t>
      </w:r>
      <w:proofErr w:type="spellEnd"/>
      <w:r>
        <w:t xml:space="preserve"> Green Peace Ltd (No.2) (1994)). It therefore has ‘sufficient interest’ in the decision to bring judicial review claims (s. 31(3) SCA 1981).</w:t>
      </w:r>
    </w:p>
    <w:p w:rsidR="00A105E7" w:rsidRDefault="00A105E7" w:rsidP="00A105E7">
      <w:r>
        <w:t xml:space="preserve">The Nature Reserve Trust (‘NRT’) also has ‘sufficient interest’ in the decision to bring judicial review claims under (s. 31(3) SCA 1981) by the decision of the PRA to grant a licence to </w:t>
      </w:r>
      <w:proofErr w:type="spellStart"/>
      <w:r>
        <w:t>LakeRec</w:t>
      </w:r>
      <w:proofErr w:type="spellEnd"/>
      <w:r>
        <w:t xml:space="preserve"> Ltd without following the due process (Rose Theatre Trust Company (1990)).</w:t>
      </w:r>
    </w:p>
    <w:p w:rsidR="00A105E7" w:rsidRDefault="00A105E7" w:rsidP="00A105E7">
      <w:r>
        <w:t xml:space="preserve">The Nature Reserve Trust (‘NRT’) is a pressure group which campaigns nationwide against environmental issues, and they have substantial ground to be concerned with the breach to the ‘Environmental Protection Act (2019) </w:t>
      </w:r>
    </w:p>
    <w:p w:rsidR="00A105E7" w:rsidRDefault="00A105E7" w:rsidP="00A105E7">
      <w:r>
        <w:t xml:space="preserve">The need to uphold the rule of Law. They would argue preferential treatment was given to </w:t>
      </w:r>
      <w:proofErr w:type="spellStart"/>
      <w:r>
        <w:t>LakeRec</w:t>
      </w:r>
      <w:proofErr w:type="spellEnd"/>
      <w:r>
        <w:t>.</w:t>
      </w:r>
    </w:p>
    <w:p w:rsidR="00A105E7" w:rsidRPr="006170EB" w:rsidRDefault="00A105E7" w:rsidP="00A105E7">
      <w:r>
        <w:t xml:space="preserve">All applications made for a licence must be displayed at the proposed site itself, online and in the local newspaper. NRT only published the application of </w:t>
      </w:r>
      <w:proofErr w:type="spellStart"/>
      <w:r>
        <w:t>LakeRec</w:t>
      </w:r>
      <w:proofErr w:type="spellEnd"/>
      <w:r>
        <w:t xml:space="preserve"> Ltd in a local newspaper. NRT could argue that how many people have access to the local newspaper? Ridge v Baldwin (1964). Why was it not published online or at the site itself put it online or at the site itself so that users of the nature reserve could put forward their concerns regarding the environmental impact (</w:t>
      </w:r>
      <w:r w:rsidRPr="006170EB">
        <w:rPr>
          <w:bCs/>
          <w:iCs/>
        </w:rPr>
        <w:t>Bradbury v Enfield LBC !1967)</w:t>
      </w:r>
      <w:r>
        <w:rPr>
          <w:bCs/>
          <w:iCs/>
        </w:rPr>
        <w:t>).</w:t>
      </w:r>
    </w:p>
    <w:p w:rsidR="00A105E7" w:rsidRPr="006170EB" w:rsidRDefault="00A105E7" w:rsidP="00A105E7">
      <w:pPr>
        <w:rPr>
          <w:bCs/>
          <w:iCs/>
        </w:rPr>
      </w:pPr>
      <w:r>
        <w:t>They could also argue that the process was not according to the best practises of the ‘Environmental Protection Act’, so a judicial review to reverse the decision to grant the License so that the due process be followed, users of the nature reserve could put forward their concerns (</w:t>
      </w:r>
      <w:r w:rsidRPr="006170EB">
        <w:rPr>
          <w:bCs/>
          <w:iCs/>
        </w:rPr>
        <w:t>Coney v Choyce (1975)</w:t>
      </w:r>
      <w:r>
        <w:rPr>
          <w:bCs/>
          <w:iCs/>
        </w:rPr>
        <w:t>).</w:t>
      </w:r>
    </w:p>
    <w:p w:rsidR="00A105E7" w:rsidRDefault="00A105E7" w:rsidP="00A105E7">
      <w:r>
        <w:t xml:space="preserve">The court would unlikely reject their claims based on the above-mentioned claims. Also, their claims could lead to potential investigation by the ‘Environmental Protection Acts’ about why PRA didn’t publish the application by </w:t>
      </w:r>
      <w:proofErr w:type="spellStart"/>
      <w:r>
        <w:t>LakeRec</w:t>
      </w:r>
      <w:proofErr w:type="spellEnd"/>
      <w:r>
        <w:t xml:space="preserve"> Ltd on the proposed site for the Recycling plant, nor put it online. Could it be that it was a deliberate attempt to regulate the number of people that would have access to the information or where they are in a hurry to grant the licence. It could also be a matter of personal interest. </w:t>
      </w:r>
    </w:p>
    <w:p w:rsidR="00A105E7" w:rsidRDefault="00A105E7" w:rsidP="00A105E7">
      <w:r w:rsidRPr="00021A81">
        <w:rPr>
          <w:b/>
        </w:rPr>
        <w:lastRenderedPageBreak/>
        <w:t>Ouster clause</w:t>
      </w:r>
      <w:r>
        <w:t xml:space="preserve"> – The Act contains a potential obstacle to judicial review proceedings for the two claimants, namely an ouster clause excluding the jurisdiction of the courts. The two claimants have valid claims so this clause will be ineffective. Also, the decision lies with the court to decide upon the validity of the decision (Anisminic v Foreign Compensation Comm’n (1969)).</w:t>
      </w:r>
    </w:p>
    <w:p w:rsidR="00A105E7" w:rsidRPr="00021A81" w:rsidRDefault="00A105E7" w:rsidP="00A105E7">
      <w:pPr>
        <w:rPr>
          <w:b/>
        </w:rPr>
      </w:pPr>
      <w:r w:rsidRPr="00021A81">
        <w:rPr>
          <w:b/>
        </w:rPr>
        <w:t>Timing</w:t>
      </w:r>
    </w:p>
    <w:p w:rsidR="00A105E7" w:rsidRDefault="00A105E7" w:rsidP="00A105E7">
      <w:r>
        <w:t>The two claimants must bring their claims promptly and within three months (s. 31 SCA 1981 and CPR r 54.5) (R V Stratford-on Avon District, ex p Jackson (1985)).</w:t>
      </w:r>
    </w:p>
    <w:p w:rsidR="00A105E7" w:rsidRPr="00021A81" w:rsidRDefault="00A105E7" w:rsidP="00A105E7">
      <w:pPr>
        <w:rPr>
          <w:b/>
        </w:rPr>
      </w:pPr>
      <w:r w:rsidRPr="00021A81">
        <w:rPr>
          <w:b/>
        </w:rPr>
        <w:t>Norton Solutions Plc</w:t>
      </w:r>
    </w:p>
    <w:p w:rsidR="00A105E7" w:rsidRDefault="00A105E7" w:rsidP="00A105E7">
      <w:r>
        <w:t xml:space="preserve">Illegality ‘Jurisdictional’ error of facts/error of law: Regulate the standard of the plastic recycling plants. The Plastic Regulatory Commission has not done their thorough investigation to find out if </w:t>
      </w:r>
      <w:proofErr w:type="spellStart"/>
      <w:r>
        <w:t>Westcrss</w:t>
      </w:r>
      <w:proofErr w:type="spellEnd"/>
      <w:r>
        <w:t xml:space="preserve"> plc would be able to meet the local demand for plastic recycling. This might lower the standard of the Plastic recycling. This is jurisdictional and so reviewable (R v Home Secretary ex p Khawaja).</w:t>
      </w:r>
    </w:p>
    <w:p w:rsidR="00A105E7" w:rsidRDefault="00A105E7" w:rsidP="00A105E7">
      <w:r>
        <w:t xml:space="preserve"> Irrationality: Based on the evidence presented in the application, the PRA has the exclusive preserve by law to use their discretion to either refuse the application or grant the licence (Congreve v Home Office), But in this case, Norton Solutions plc would argue they acted irrationally by granting the licence to </w:t>
      </w:r>
      <w:proofErr w:type="spellStart"/>
      <w:r>
        <w:t>Westcross</w:t>
      </w:r>
      <w:proofErr w:type="spellEnd"/>
      <w:r>
        <w:t xml:space="preserve"> plc as they have evidence that suggest they will not be able to meet the local demand Padfield v Minister of Agriculture (1968)</w:t>
      </w:r>
    </w:p>
    <w:p w:rsidR="00A105E7" w:rsidRPr="00021A81" w:rsidRDefault="00A105E7" w:rsidP="00A105E7">
      <w:pPr>
        <w:rPr>
          <w:b/>
        </w:rPr>
      </w:pPr>
      <w:r w:rsidRPr="00021A81">
        <w:rPr>
          <w:b/>
        </w:rPr>
        <w:t>The Nature Reserve Trust (NRT)</w:t>
      </w:r>
    </w:p>
    <w:p w:rsidR="00A105E7" w:rsidRDefault="00A105E7" w:rsidP="00A105E7">
      <w:r>
        <w:t>They would argue on these potential grounds (CCSU v Minister for Civil Service)</w:t>
      </w:r>
    </w:p>
    <w:p w:rsidR="00A105E7" w:rsidRPr="00021A81" w:rsidRDefault="00A105E7" w:rsidP="00A105E7">
      <w:r w:rsidRPr="00021A81">
        <w:t xml:space="preserve">Proportionality </w:t>
      </w:r>
    </w:p>
    <w:p w:rsidR="00A105E7" w:rsidRDefault="00A105E7" w:rsidP="00A105E7">
      <w:r>
        <w:t xml:space="preserve">T Illegality: ‘Jurisdictional’ challenge. The Commission made a jurisdictional error of fact by not publishing the application of </w:t>
      </w:r>
      <w:proofErr w:type="spellStart"/>
      <w:r>
        <w:t>LakeRec</w:t>
      </w:r>
      <w:proofErr w:type="spellEnd"/>
      <w:r>
        <w:t xml:space="preserve"> Ltd on the site of the Nature reserve and online (Collen Properties v Minister for Housing).</w:t>
      </w:r>
    </w:p>
    <w:p w:rsidR="00A105E7" w:rsidRDefault="00A105E7" w:rsidP="00A105E7">
      <w:r>
        <w:t>Procedural impropriety Rule against bias (unfairness) A decision can be challenged if the decision maker is biased. The NRT could argue that there is a matter of personal interest involved which could explain why the due process of publishing the application online or on the site of the proposed site was not followed.</w:t>
      </w:r>
    </w:p>
    <w:p w:rsidR="00A105E7" w:rsidRDefault="00A105E7" w:rsidP="00A105E7">
      <w:r>
        <w:t xml:space="preserve">Irrationality (unreasonableness): The PRA acted irrationally by not following the due process before granting a licence. It acted not in the best interest of the public and not according to best practices. It seems the commission had an ulterior motive by hastily granting the licence to </w:t>
      </w:r>
      <w:proofErr w:type="spellStart"/>
      <w:r>
        <w:t>LakeRec</w:t>
      </w:r>
      <w:proofErr w:type="spellEnd"/>
      <w:r>
        <w:t xml:space="preserve"> Ltd (Sydney Municipal Council v Campbell (1925).</w:t>
      </w:r>
    </w:p>
    <w:p w:rsidR="00A105E7" w:rsidRDefault="00A105E7" w:rsidP="00A105E7">
      <w:r>
        <w:t>Proportionality: Rule of law Issue.</w:t>
      </w:r>
    </w:p>
    <w:p w:rsidR="00A105E7" w:rsidRPr="00021A81" w:rsidRDefault="00A105E7" w:rsidP="00A105E7">
      <w:pPr>
        <w:rPr>
          <w:b/>
        </w:rPr>
      </w:pPr>
      <w:r w:rsidRPr="00021A81">
        <w:rPr>
          <w:b/>
        </w:rPr>
        <w:t>Remedy</w:t>
      </w:r>
    </w:p>
    <w:p w:rsidR="00A105E7" w:rsidRDefault="00A105E7" w:rsidP="00A105E7">
      <w:r>
        <w:t>Set out in CPR R. 54.2. Each claimant should apply for judicial review, a quashing order (Wheeler v Leicester City Council (1985)) and a Mandatory order</w:t>
      </w:r>
      <w:r w:rsidRPr="008A7A68">
        <w:t xml:space="preserve"> </w:t>
      </w:r>
      <w:r>
        <w:t>(Padfield v Minister of Agriculture (1968)) to reverse the granting of the licence as soon as possible.</w:t>
      </w:r>
    </w:p>
    <w:p w:rsidR="00A105E7" w:rsidRDefault="00A105E7" w:rsidP="00A105E7"/>
    <w:p w:rsidR="00612307" w:rsidRPr="00656DC4" w:rsidRDefault="00612307" w:rsidP="00612307">
      <w:pPr>
        <w:tabs>
          <w:tab w:val="left" w:pos="3024"/>
        </w:tabs>
      </w:pPr>
      <w:bookmarkStart w:id="0" w:name="_GoBack"/>
      <w:bookmarkEnd w:id="0"/>
    </w:p>
    <w:p w:rsidR="00CA4242" w:rsidRDefault="00CA4242" w:rsidP="00CA4242">
      <w:pPr>
        <w:jc w:val="center"/>
      </w:pPr>
      <w:r>
        <w:lastRenderedPageBreak/>
        <w:t>REFERENCES</w:t>
      </w:r>
    </w:p>
    <w:p w:rsidR="00CA4242" w:rsidRDefault="00CA4242" w:rsidP="00CA4242">
      <w:pPr>
        <w:pStyle w:val="ListParagraph"/>
        <w:numPr>
          <w:ilvl w:val="0"/>
          <w:numId w:val="1"/>
        </w:numPr>
        <w:spacing w:after="160" w:line="259" w:lineRule="auto"/>
        <w:rPr>
          <w:i/>
        </w:rPr>
      </w:pPr>
      <w:r>
        <w:t xml:space="preserve">Andrew Kenyon Defamation: </w:t>
      </w:r>
      <w:r w:rsidRPr="00144A40">
        <w:rPr>
          <w:i/>
        </w:rPr>
        <w:t>Comparative Law and Practice</w:t>
      </w:r>
    </w:p>
    <w:p w:rsidR="00CA4242" w:rsidRPr="00144A40" w:rsidRDefault="00CA4242" w:rsidP="00CA4242">
      <w:pPr>
        <w:pStyle w:val="ListParagraph"/>
        <w:numPr>
          <w:ilvl w:val="0"/>
          <w:numId w:val="1"/>
        </w:numPr>
        <w:spacing w:after="160" w:line="259" w:lineRule="auto"/>
        <w:rPr>
          <w:i/>
        </w:rPr>
      </w:pPr>
      <w:proofErr w:type="spellStart"/>
      <w:r>
        <w:t>Magalla</w:t>
      </w:r>
      <w:proofErr w:type="spellEnd"/>
      <w:r>
        <w:t xml:space="preserve">, A. (2018), Defamation What a Term, a True Definition of the Term. 23 pages, pg4 Available at SSRN: </w:t>
      </w:r>
      <w:hyperlink r:id="rId6" w:history="1">
        <w:r w:rsidRPr="00765B71">
          <w:rPr>
            <w:rStyle w:val="Hyperlink"/>
          </w:rPr>
          <w:t>https://ssm.com/abstract=3292032</w:t>
        </w:r>
      </w:hyperlink>
      <w:r>
        <w:t xml:space="preserve"> or </w:t>
      </w:r>
      <w:hyperlink r:id="rId7" w:history="1">
        <w:r w:rsidRPr="00765B71">
          <w:rPr>
            <w:rStyle w:val="Hyperlink"/>
          </w:rPr>
          <w:t>https://dx.doi.org/10.2139/ssrn.3292.32</w:t>
        </w:r>
      </w:hyperlink>
      <w:r>
        <w:t xml:space="preserve"> (Accessed: on: 8</w:t>
      </w:r>
      <w:r w:rsidRPr="00144A40">
        <w:rPr>
          <w:vertAlign w:val="superscript"/>
        </w:rPr>
        <w:t>th</w:t>
      </w:r>
      <w:r>
        <w:t xml:space="preserve"> January 2020)</w:t>
      </w:r>
    </w:p>
    <w:p w:rsidR="00CA4242" w:rsidRPr="00144A40" w:rsidRDefault="00CA4242" w:rsidP="00CA4242">
      <w:pPr>
        <w:pStyle w:val="ListParagraph"/>
        <w:numPr>
          <w:ilvl w:val="0"/>
          <w:numId w:val="1"/>
        </w:numPr>
        <w:spacing w:after="160" w:line="259" w:lineRule="auto"/>
        <w:rPr>
          <w:i/>
        </w:rPr>
      </w:pPr>
      <w:r>
        <w:t>legislation.gov.uk (1981) Contempt of Court 1981. Legislation.gov.uk/</w:t>
      </w:r>
      <w:proofErr w:type="spellStart"/>
      <w:r>
        <w:t>ukpga</w:t>
      </w:r>
      <w:proofErr w:type="spellEnd"/>
      <w:r>
        <w:t>/1981/49</w:t>
      </w:r>
    </w:p>
    <w:p w:rsidR="00CA4242" w:rsidRPr="00144A40" w:rsidRDefault="00CA4242" w:rsidP="00CA4242">
      <w:pPr>
        <w:pStyle w:val="ListParagraph"/>
        <w:numPr>
          <w:ilvl w:val="0"/>
          <w:numId w:val="1"/>
        </w:numPr>
        <w:spacing w:after="160" w:line="259" w:lineRule="auto"/>
        <w:rPr>
          <w:i/>
        </w:rPr>
      </w:pPr>
      <w:r>
        <w:t xml:space="preserve">legislation.gov.uk (1988) Human Rights Acts 1998 </w:t>
      </w:r>
      <w:proofErr w:type="gramStart"/>
      <w:r>
        <w:t>legislation.gov.ik</w:t>
      </w:r>
      <w:proofErr w:type="gramEnd"/>
      <w:r>
        <w:t>/</w:t>
      </w:r>
      <w:proofErr w:type="spellStart"/>
      <w:r>
        <w:t>ukpga</w:t>
      </w:r>
      <w:proofErr w:type="spellEnd"/>
      <w:r>
        <w:t>/1998/42/schedule/1/part/1/chapter/9</w:t>
      </w:r>
    </w:p>
    <w:p w:rsidR="00CA4242" w:rsidRPr="00144A40" w:rsidRDefault="00CA4242" w:rsidP="00CA4242">
      <w:pPr>
        <w:pStyle w:val="ListParagraph"/>
        <w:numPr>
          <w:ilvl w:val="0"/>
          <w:numId w:val="1"/>
        </w:numPr>
        <w:spacing w:after="160" w:line="259" w:lineRule="auto"/>
        <w:rPr>
          <w:i/>
        </w:rPr>
      </w:pPr>
      <w:proofErr w:type="spellStart"/>
      <w:r>
        <w:t>Tiersma</w:t>
      </w:r>
      <w:proofErr w:type="spellEnd"/>
      <w:r>
        <w:t>, P. (1987) The Language of Defamation. Texas Law Review Association: Available at: heinonline.org/HOL/</w:t>
      </w:r>
      <w:proofErr w:type="spellStart"/>
      <w:r>
        <w:t>LandingPage?handle</w:t>
      </w:r>
      <w:proofErr w:type="spellEnd"/>
      <w:r>
        <w:t>=</w:t>
      </w:r>
      <w:proofErr w:type="spellStart"/>
      <w:r>
        <w:t>hein</w:t>
      </w:r>
      <w:proofErr w:type="spellEnd"/>
      <w:r>
        <w:t>. journals/tlr66&amp;div=19&amp;id=&amp;page=, pp. 303-350. 66. (Accessed: 7</w:t>
      </w:r>
      <w:r w:rsidRPr="00144A40">
        <w:rPr>
          <w:vertAlign w:val="superscript"/>
        </w:rPr>
        <w:t>th</w:t>
      </w:r>
      <w:r>
        <w:t xml:space="preserve"> January 2020)</w:t>
      </w:r>
    </w:p>
    <w:p w:rsidR="00CA4242" w:rsidRPr="00144A40" w:rsidRDefault="00CA4242" w:rsidP="00CA4242">
      <w:pPr>
        <w:pStyle w:val="ListParagraph"/>
        <w:numPr>
          <w:ilvl w:val="0"/>
          <w:numId w:val="1"/>
        </w:numPr>
        <w:spacing w:after="160" w:line="259" w:lineRule="auto"/>
        <w:rPr>
          <w:i/>
        </w:rPr>
      </w:pPr>
      <w:r>
        <w:t>Wilding, D. (2019) ‘</w:t>
      </w:r>
      <w:r w:rsidRPr="00144A40">
        <w:rPr>
          <w:i/>
        </w:rPr>
        <w:t>Defamation laws must be balance protecting reputations with freedom of expression</w:t>
      </w:r>
      <w:r>
        <w:t>’    Available at: theguardian.com/commentisfree/2018/jun/08/defamation-laws-must-balance-protecting-reputations-with-freedom-of-expression (Accessed 8</w:t>
      </w:r>
      <w:r w:rsidRPr="00144A40">
        <w:rPr>
          <w:vertAlign w:val="superscript"/>
        </w:rPr>
        <w:t>th</w:t>
      </w:r>
      <w:r>
        <w:t xml:space="preserve"> January 2020)</w:t>
      </w:r>
    </w:p>
    <w:p w:rsidR="00CA4242" w:rsidRPr="00144A40" w:rsidRDefault="00CA4242" w:rsidP="00CA4242">
      <w:pPr>
        <w:pStyle w:val="ListParagraph"/>
        <w:numPr>
          <w:ilvl w:val="0"/>
          <w:numId w:val="1"/>
        </w:numPr>
        <w:spacing w:after="160" w:line="259" w:lineRule="auto"/>
        <w:rPr>
          <w:i/>
        </w:rPr>
      </w:pPr>
      <w:hyperlink r:id="rId8" w:history="1">
        <w:r w:rsidRPr="006644FF">
          <w:rPr>
            <w:rStyle w:val="Hyperlink"/>
          </w:rPr>
          <w:t>www.parliament.uk</w:t>
        </w:r>
      </w:hyperlink>
      <w:r>
        <w:t>, Judgement - - Reynolds v. Times Newspapers Limited and Others.</w:t>
      </w:r>
    </w:p>
    <w:p w:rsidR="00CA4242" w:rsidRPr="00144A40" w:rsidRDefault="00CA4242" w:rsidP="00CA4242">
      <w:pPr>
        <w:pStyle w:val="ListParagraph"/>
        <w:numPr>
          <w:ilvl w:val="0"/>
          <w:numId w:val="1"/>
        </w:numPr>
        <w:spacing w:after="160" w:line="259" w:lineRule="auto"/>
        <w:rPr>
          <w:i/>
        </w:rPr>
      </w:pPr>
      <w:hyperlink r:id="rId9" w:history="1">
        <w:r w:rsidRPr="006644FF">
          <w:rPr>
            <w:rStyle w:val="Hyperlink"/>
          </w:rPr>
          <w:t>www.parliament.uk</w:t>
        </w:r>
      </w:hyperlink>
      <w:r>
        <w:t xml:space="preserve"> (2012) Section 2012-13) Defamation Bill: Explanatory Notes – publications.parliament.uk/pa/bills/cbill/2012-2013/0005/en/13005en.htm</w:t>
      </w:r>
    </w:p>
    <w:p w:rsidR="00CA4242" w:rsidRPr="00144A40" w:rsidRDefault="00CA4242" w:rsidP="00CA4242">
      <w:pPr>
        <w:pStyle w:val="ListParagraph"/>
        <w:numPr>
          <w:ilvl w:val="0"/>
          <w:numId w:val="1"/>
        </w:numPr>
        <w:spacing w:after="160" w:line="259" w:lineRule="auto"/>
        <w:rPr>
          <w:i/>
        </w:rPr>
      </w:pPr>
      <w:r>
        <w:t xml:space="preserve">Young, H. (2018) </w:t>
      </w:r>
      <w:r w:rsidRPr="00144A40">
        <w:rPr>
          <w:i/>
        </w:rPr>
        <w:t xml:space="preserve">Reynolds V Times Newspapers (February 1, 2018). David </w:t>
      </w:r>
      <w:proofErr w:type="spellStart"/>
      <w:r w:rsidRPr="00144A40">
        <w:rPr>
          <w:i/>
        </w:rPr>
        <w:t>Rolph</w:t>
      </w:r>
      <w:proofErr w:type="spellEnd"/>
      <w:r w:rsidRPr="00144A40">
        <w:rPr>
          <w:i/>
        </w:rPr>
        <w:t>, ed., Landmark Cases in Defamation Law (Sydney: Hart</w:t>
      </w:r>
      <w:r>
        <w:rPr>
          <w:i/>
        </w:rPr>
        <w:t xml:space="preserve">) </w:t>
      </w:r>
      <w:r w:rsidRPr="00144A40">
        <w:t>Available at:</w:t>
      </w:r>
      <w:r>
        <w:rPr>
          <w:i/>
        </w:rPr>
        <w:t xml:space="preserve"> </w:t>
      </w:r>
      <w:r>
        <w:t>papers.ssm.com/so13/</w:t>
      </w:r>
      <w:proofErr w:type="spellStart"/>
      <w:r>
        <w:t>papers.cfm?abstract_id</w:t>
      </w:r>
      <w:proofErr w:type="spellEnd"/>
      <w:r>
        <w:t>=3128626 Accessed:8</w:t>
      </w:r>
      <w:r w:rsidRPr="00144A40">
        <w:rPr>
          <w:vertAlign w:val="superscript"/>
        </w:rPr>
        <w:t>th</w:t>
      </w:r>
      <w:r>
        <w:t xml:space="preserve"> January 2020)</w:t>
      </w:r>
    </w:p>
    <w:p w:rsidR="00CA4242" w:rsidRPr="00144A40" w:rsidRDefault="00CA4242" w:rsidP="00CA4242">
      <w:pPr>
        <w:pStyle w:val="ListParagraph"/>
        <w:numPr>
          <w:ilvl w:val="0"/>
          <w:numId w:val="1"/>
        </w:numPr>
        <w:spacing w:after="160" w:line="259" w:lineRule="auto"/>
        <w:rPr>
          <w:i/>
        </w:rPr>
      </w:pPr>
      <w:r>
        <w:t xml:space="preserve">Publishing, 2019), Available at SSRN: </w:t>
      </w:r>
      <w:hyperlink r:id="rId10" w:history="1">
        <w:r w:rsidRPr="00B852D4">
          <w:rPr>
            <w:rStyle w:val="Hyperlink"/>
          </w:rPr>
          <w:t>https://ssrn.com/abstract=3128626</w:t>
        </w:r>
      </w:hyperlink>
      <w:r>
        <w:t xml:space="preserve"> </w:t>
      </w:r>
      <w:proofErr w:type="spellStart"/>
      <w:r>
        <w:t>pg</w:t>
      </w:r>
      <w:proofErr w:type="spellEnd"/>
      <w:r>
        <w:t xml:space="preserve"> 1-20</w:t>
      </w:r>
    </w:p>
    <w:p w:rsidR="00CA4242" w:rsidRDefault="00CA4242" w:rsidP="00CA4242"/>
    <w:p w:rsidR="00CA4242" w:rsidRDefault="00CA4242" w:rsidP="00CA4242"/>
    <w:p w:rsidR="00CA4242" w:rsidRDefault="00CA4242" w:rsidP="00CA4242"/>
    <w:p w:rsidR="00CA4242" w:rsidRDefault="00CA4242" w:rsidP="00CA4242"/>
    <w:p w:rsidR="003F0A90" w:rsidRDefault="00A105E7"/>
    <w:sectPr w:rsidR="003F0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A93A67"/>
    <w:multiLevelType w:val="hybridMultilevel"/>
    <w:tmpl w:val="9B966BB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07"/>
    <w:rsid w:val="00015055"/>
    <w:rsid w:val="000C65F7"/>
    <w:rsid w:val="001712A7"/>
    <w:rsid w:val="0030648E"/>
    <w:rsid w:val="003462DD"/>
    <w:rsid w:val="003C3193"/>
    <w:rsid w:val="00543F7D"/>
    <w:rsid w:val="00573E8D"/>
    <w:rsid w:val="00612307"/>
    <w:rsid w:val="0068187F"/>
    <w:rsid w:val="006D5F45"/>
    <w:rsid w:val="007E37FE"/>
    <w:rsid w:val="007F3D55"/>
    <w:rsid w:val="008B7AB7"/>
    <w:rsid w:val="00954141"/>
    <w:rsid w:val="009D1C85"/>
    <w:rsid w:val="00A105E7"/>
    <w:rsid w:val="00B74E8A"/>
    <w:rsid w:val="00BE35DB"/>
    <w:rsid w:val="00CA002B"/>
    <w:rsid w:val="00CA4242"/>
    <w:rsid w:val="00D43BA1"/>
    <w:rsid w:val="00DC127E"/>
    <w:rsid w:val="00E1098B"/>
    <w:rsid w:val="00E66F38"/>
    <w:rsid w:val="00F17A75"/>
    <w:rsid w:val="00F31112"/>
    <w:rsid w:val="00FB7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28826"/>
  <w15:chartTrackingRefBased/>
  <w15:docId w15:val="{153D0115-CE24-4E79-B10D-C79200A06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23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30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C65F7"/>
    <w:rPr>
      <w:color w:val="0563C1" w:themeColor="hyperlink"/>
      <w:u w:val="single"/>
    </w:rPr>
  </w:style>
  <w:style w:type="character" w:styleId="UnresolvedMention">
    <w:name w:val="Unresolved Mention"/>
    <w:basedOn w:val="DefaultParagraphFont"/>
    <w:uiPriority w:val="99"/>
    <w:semiHidden/>
    <w:unhideWhenUsed/>
    <w:rsid w:val="000C65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uk" TargetMode="External"/><Relationship Id="rId3" Type="http://schemas.openxmlformats.org/officeDocument/2006/relationships/settings" Target="settings.xml"/><Relationship Id="rId7" Type="http://schemas.openxmlformats.org/officeDocument/2006/relationships/hyperlink" Target="https://dx.doi.org/10.2139/ssrn.3292.3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sm.com/abstract=3292032" TargetMode="External"/><Relationship Id="rId11" Type="http://schemas.openxmlformats.org/officeDocument/2006/relationships/fontTable" Target="fontTable.xml"/><Relationship Id="rId5" Type="http://schemas.openxmlformats.org/officeDocument/2006/relationships/hyperlink" Target="http://www.parliament.uk" TargetMode="External"/><Relationship Id="rId10" Type="http://schemas.openxmlformats.org/officeDocument/2006/relationships/hyperlink" Target="https://ssrn.com/abstract=3128626" TargetMode="External"/><Relationship Id="rId4" Type="http://schemas.openxmlformats.org/officeDocument/2006/relationships/webSettings" Target="webSettings.xml"/><Relationship Id="rId9" Type="http://schemas.openxmlformats.org/officeDocument/2006/relationships/hyperlink" Target="http://www.parliamen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6</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OLA19853091 (Olamilekan Olaniyan)</dc:creator>
  <cp:keywords/>
  <dc:description/>
  <cp:lastModifiedBy>OLA19853091 (Olamilekan Olaniyan)</cp:lastModifiedBy>
  <cp:revision>4</cp:revision>
  <dcterms:created xsi:type="dcterms:W3CDTF">2021-01-08T14:01:00Z</dcterms:created>
  <dcterms:modified xsi:type="dcterms:W3CDTF">2021-01-08T23:52:00Z</dcterms:modified>
</cp:coreProperties>
</file>