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A6BA14" w14:textId="77777777" w:rsidR="000E4418" w:rsidRDefault="000E4418" w:rsidP="005750F1">
      <w:pPr>
        <w:pStyle w:val="p1"/>
        <w:rPr>
          <w:rStyle w:val="s2"/>
        </w:rPr>
      </w:pPr>
      <w:r>
        <w:rPr>
          <w:b/>
          <w:bCs/>
        </w:rPr>
        <w:t>Student Name:</w:t>
      </w:r>
      <w:r>
        <w:rPr>
          <w:rStyle w:val="s2"/>
        </w:rPr>
        <w:t xml:space="preserve"> Renata Balogh</w:t>
      </w:r>
      <w:r>
        <w:br/>
      </w:r>
      <w:r>
        <w:rPr>
          <w:rStyle w:val="s1"/>
          <w:b/>
          <w:bCs/>
        </w:rPr>
        <w:t>Student ID:</w:t>
      </w:r>
      <w:r>
        <w:rPr>
          <w:rStyle w:val="s2"/>
        </w:rPr>
        <w:t xml:space="preserve"> 2407673</w:t>
      </w:r>
    </w:p>
    <w:p w14:paraId="5B2E9295" w14:textId="19F5F4C1" w:rsidR="00514B78" w:rsidRPr="00DA1568" w:rsidRDefault="006D1C58">
      <w:pPr>
        <w:pStyle w:val="p1"/>
        <w:rPr>
          <w:rFonts w:ascii="Helvetica" w:hAnsi="Helvetica"/>
          <w:b/>
          <w:bCs/>
          <w:sz w:val="18"/>
          <w:szCs w:val="18"/>
        </w:rPr>
      </w:pPr>
      <w:r w:rsidRPr="00DA1568">
        <w:rPr>
          <w:rFonts w:ascii="Helvetica" w:hAnsi="Helvetica"/>
          <w:b/>
          <w:bCs/>
          <w:sz w:val="18"/>
          <w:szCs w:val="18"/>
        </w:rPr>
        <w:t>Module Code:</w:t>
      </w:r>
      <w:r w:rsidR="00514B78" w:rsidRPr="00DA1568">
        <w:rPr>
          <w:rFonts w:ascii="Helvetica" w:hAnsi="Helvetica"/>
          <w:b/>
          <w:bCs/>
          <w:sz w:val="18"/>
          <w:szCs w:val="18"/>
        </w:rPr>
        <w:t xml:space="preserve"> BMHP6026</w:t>
      </w:r>
    </w:p>
    <w:p w14:paraId="1D3AD597" w14:textId="24BA4BAD" w:rsidR="006D1C58" w:rsidRPr="00DA1568" w:rsidRDefault="006D1C58" w:rsidP="006D1C58">
      <w:pPr>
        <w:spacing w:after="0" w:line="240" w:lineRule="auto"/>
        <w:rPr>
          <w:rFonts w:ascii="Helvetica" w:hAnsi="Helvetica" w:cs="Times New Roman"/>
          <w:b/>
          <w:bCs/>
          <w:kern w:val="0"/>
          <w:sz w:val="18"/>
          <w:szCs w:val="18"/>
          <w14:ligatures w14:val="none"/>
        </w:rPr>
      </w:pPr>
    </w:p>
    <w:p w14:paraId="21668F16" w14:textId="635D12B9" w:rsidR="00962898" w:rsidRPr="00DA1568" w:rsidRDefault="006D1C58" w:rsidP="00DA1568">
      <w:pPr>
        <w:pStyle w:val="p1"/>
        <w:rPr>
          <w:rFonts w:ascii="Helvetica" w:hAnsi="Helvetica"/>
          <w:b/>
          <w:bCs/>
          <w:sz w:val="18"/>
          <w:szCs w:val="18"/>
        </w:rPr>
      </w:pPr>
      <w:r w:rsidRPr="00DA1568">
        <w:rPr>
          <w:rFonts w:ascii="Helvetica" w:hAnsi="Helvetica"/>
          <w:b/>
          <w:bCs/>
          <w:sz w:val="18"/>
          <w:szCs w:val="18"/>
        </w:rPr>
        <w:t>Module Title:</w:t>
      </w:r>
      <w:r w:rsidR="00962898" w:rsidRPr="00DA1568">
        <w:rPr>
          <w:rFonts w:ascii="Helvetica" w:hAnsi="Helvetica"/>
          <w:b/>
          <w:bCs/>
          <w:sz w:val="18"/>
          <w:szCs w:val="18"/>
        </w:rPr>
        <w:t xml:space="preserve"> DIGITAL TRANSFORMATION IN HEALTH &amp;</w:t>
      </w:r>
      <w:r w:rsidR="00DA1568" w:rsidRPr="00DA1568">
        <w:rPr>
          <w:rFonts w:ascii="Helvetica" w:hAnsi="Helvetica"/>
          <w:b/>
          <w:bCs/>
          <w:sz w:val="18"/>
          <w:szCs w:val="18"/>
        </w:rPr>
        <w:t xml:space="preserve"> </w:t>
      </w:r>
      <w:r w:rsidR="00962898" w:rsidRPr="00DA1568">
        <w:rPr>
          <w:rFonts w:ascii="Helvetica" w:hAnsi="Helvetica"/>
          <w:b/>
          <w:bCs/>
          <w:sz w:val="18"/>
          <w:szCs w:val="18"/>
        </w:rPr>
        <w:t>CARE PROFESSIONS</w:t>
      </w:r>
    </w:p>
    <w:p w14:paraId="74E5F2A3" w14:textId="768BFA55" w:rsidR="006D1C58" w:rsidRPr="00DA1568" w:rsidRDefault="006D1C58" w:rsidP="006D1C58">
      <w:pPr>
        <w:spacing w:after="0" w:line="240" w:lineRule="auto"/>
        <w:rPr>
          <w:rFonts w:ascii="Helvetica" w:hAnsi="Helvetica" w:cs="Times New Roman"/>
          <w:b/>
          <w:bCs/>
          <w:kern w:val="0"/>
          <w:sz w:val="18"/>
          <w:szCs w:val="18"/>
          <w14:ligatures w14:val="none"/>
        </w:rPr>
      </w:pPr>
    </w:p>
    <w:p w14:paraId="18D3A7E3" w14:textId="77777777" w:rsidR="00F92007" w:rsidRPr="00DA1568" w:rsidRDefault="00F92007">
      <w:pPr>
        <w:rPr>
          <w:b/>
          <w:bCs/>
        </w:rPr>
      </w:pPr>
    </w:p>
    <w:p w14:paraId="3E910996" w14:textId="77777777" w:rsidR="00F92007" w:rsidRPr="00DA1568" w:rsidRDefault="00F92007">
      <w:pPr>
        <w:rPr>
          <w:b/>
          <w:bCs/>
        </w:rPr>
      </w:pPr>
    </w:p>
    <w:p w14:paraId="21285554" w14:textId="77777777" w:rsidR="00F92007" w:rsidRPr="00DA1568" w:rsidRDefault="00F92007">
      <w:pPr>
        <w:rPr>
          <w:b/>
          <w:bCs/>
        </w:rPr>
      </w:pPr>
    </w:p>
    <w:p w14:paraId="6FA11890" w14:textId="77777777" w:rsidR="00F92007" w:rsidRDefault="00F92007"/>
    <w:p w14:paraId="1230147C" w14:textId="77777777" w:rsidR="00F92007" w:rsidRDefault="00F92007"/>
    <w:p w14:paraId="716819D5" w14:textId="77777777" w:rsidR="00F92007" w:rsidRPr="00F92007" w:rsidRDefault="00F92007" w:rsidP="00F9200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2007">
        <w:rPr>
          <w:rFonts w:ascii="Times New Roman" w:eastAsia="Times New Roman" w:hAnsi="Times New Roman" w:cs="Times New Roman"/>
          <w:b/>
          <w:bCs/>
          <w:kern w:val="36"/>
          <w:sz w:val="48"/>
          <w:szCs w:val="48"/>
          <w14:ligatures w14:val="none"/>
        </w:rPr>
        <w:t>The Impact of the NHS App on Health and Social Care: A Critical Evaluation of Digital Transformation in England</w:t>
      </w:r>
    </w:p>
    <w:p w14:paraId="41B40454"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1. Introduction</w:t>
      </w:r>
    </w:p>
    <w:p w14:paraId="3216DF6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Digital transformation has become increasingly important within England’s National Health Service (NHS), particularly as healthcare organisations face rising patient demand, financial constraints and workforce pressures. Digital technologies offer opportunities to improve accessibility, communication and efficiency. However, successful implementation requires more than introducing new technological systems; it also depends on organisational readiness, professional skills and patient needs.</w:t>
      </w:r>
    </w:p>
    <w:p w14:paraId="32859144"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nationally introduced in 2019 following its announcement in 2018, represents a significant digital healthcare innovation. It allows patients to order repeat prescriptions, access medical records, view test results and manage certain appointments (Department of Health and Social Care, 2018). These functions aim to encourage patient involvement while simplifying interactions with healthcare services.</w:t>
      </w:r>
    </w:p>
    <w:p w14:paraId="4922BA8A"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 xml:space="preserve">Nevertheless, digital transformation can produce unintended consequences, including increased professional responsibilities, confidentiality concerns and unequal access. </w:t>
      </w: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demonstrate that the effectiveness of the NHS App depends heavily on how it is integrated into existing healthcare systems.</w:t>
      </w:r>
    </w:p>
    <w:p w14:paraId="545B1BFE"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report critically evaluates the NHS App’s implementation and its impact on four areas: the healthcare workforce, service delivery, patients and service users, and the wider community. It examines supporting and conflicting research evidence before recommending improvements to promote effective, inclusive and patient-centred healthcare.</w:t>
      </w:r>
    </w:p>
    <w:p w14:paraId="464DD3A3"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2. Background and Implementation</w:t>
      </w:r>
    </w:p>
    <w:p w14:paraId="32BCF16D"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was developed as part of England’s wider strategy to modernise healthcare through digital technology. Initially, it provided access to selected GP services, but its functions subsequently expanded to include electronic records, prescription management and hospital communications.</w:t>
      </w:r>
    </w:p>
    <w:p w14:paraId="1586BAF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Its development accelerated during the COVID-19 pandemic, when remote healthcare access became increasingly important. However, the application’s usefulness extends beyond emergency circumstances, particularly for routine healthcare administration.</w:t>
      </w:r>
    </w:p>
    <w:p w14:paraId="6CBE68F2"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NHS England Digital (2026) reported 13,158,746 distinct users logging into the application during December 2025, alongside 6,588,269 prescription order events. These figures indicate substantial engagement with digital services.</w:t>
      </w:r>
    </w:p>
    <w:p w14:paraId="5FCCEAFF"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Nevertheless, usage statistics cannot independently demonstrate improvements in clinical outcomes or healthcare equality.</w:t>
      </w:r>
    </w:p>
    <w:p w14:paraId="536025CE"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conducted a longitudinal qualitative evaluation involving 88 participants, including patients, carers, healthcare professionals and other stakeholders. Their findings demonstrated that NHS App implementation was affected by organisational differences, technical infrastructure and variations in available services.</w:t>
      </w:r>
    </w:p>
    <w:p w14:paraId="2A9742A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Although qualitative research provides valuable insight into implementation experiences, its findings cannot establish the prevalence of particular problems across England.</w:t>
      </w:r>
    </w:p>
    <w:p w14:paraId="07E3D87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Therefore, the NHS App should be evaluated through both national usage data and research examining how individuals experience its services.</w:t>
      </w:r>
    </w:p>
    <w:p w14:paraId="4AF3BC4C"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3. Impact on the Healthcare Workforce</w:t>
      </w:r>
    </w:p>
    <w:p w14:paraId="038B878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has changed working practices within primary care, particularly for administrative employees, general practitioners, nurses and community pharmacists.</w:t>
      </w:r>
    </w:p>
    <w:p w14:paraId="1ADA15D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One potential advantage is the reduction of routine administrative enquiries. Patients can request repeat prescriptions electronically, potentially allowing staff to concentrate on complex clinical and administrative responsibilities.</w:t>
      </w:r>
    </w:p>
    <w:p w14:paraId="3B839E0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NHS England (2025a) reported that approximately 394,000 patients used the prescription tracking feature during its first ten weeks. By allowing individuals to check medication collection information, this innovation may reduce unnecessary telephone enquiries.</w:t>
      </w:r>
    </w:p>
    <w:p w14:paraId="43519D9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technological efficiency should not be assumed without evidence of actual workload reductions.</w:t>
      </w:r>
    </w:p>
    <w:p w14:paraId="2D16EAFE"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Blease</w:t>
      </w:r>
      <w:proofErr w:type="spellEnd"/>
      <w:r w:rsidRPr="00F92007">
        <w:rPr>
          <w:rFonts w:ascii="Times New Roman" w:hAnsi="Times New Roman" w:cs="Times New Roman"/>
          <w:kern w:val="0"/>
          <w14:ligatures w14:val="none"/>
        </w:rPr>
        <w:t xml:space="preserve"> et al. (2024) surveyed 400 general practitioners in England regarding online access to medical records. Their findings revealed that 89% anticipated or experienced spending more time responding to patient questions outside consultations, while 81% expected or experienced longer consultations.</w:t>
      </w:r>
    </w:p>
    <w:p w14:paraId="6341DCE6"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These findings suggest that digital access may redistribute workload rather than eliminate it.</w:t>
      </w:r>
    </w:p>
    <w:p w14:paraId="70C4607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Nevertheless, the research relied on a convenience sample and combined anticipated with experienced outcomes. Consequently, it cannot establish the actual impact of the NHS App on all healthcare professionals.</w:t>
      </w:r>
    </w:p>
    <w:p w14:paraId="38B560D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provide complementary evidence through interviews and observations in five GP practices. Their research identified insufficient technical support and additional responsibilities for staff assisting patients with digital services.</w:t>
      </w:r>
    </w:p>
    <w:p w14:paraId="2150E702"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 xml:space="preserve">Unlike the survey by </w:t>
      </w:r>
      <w:proofErr w:type="spellStart"/>
      <w:r w:rsidRPr="00F92007">
        <w:rPr>
          <w:rFonts w:ascii="Times New Roman" w:hAnsi="Times New Roman" w:cs="Times New Roman"/>
          <w:kern w:val="0"/>
          <w14:ligatures w14:val="none"/>
        </w:rPr>
        <w:t>Blease</w:t>
      </w:r>
      <w:proofErr w:type="spellEnd"/>
      <w:r w:rsidRPr="00F92007">
        <w:rPr>
          <w:rFonts w:ascii="Times New Roman" w:hAnsi="Times New Roman" w:cs="Times New Roman"/>
          <w:kern w:val="0"/>
          <w14:ligatures w14:val="none"/>
        </w:rPr>
        <w:t xml:space="preserve"> et al. (2024), this study examined practical implementation processes, offering greater insight into how organisational conditions influence workload.</w:t>
      </w:r>
    </w:p>
    <w:p w14:paraId="37BAF578"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its limited number of practices restricts wider generalisation.</w:t>
      </w:r>
    </w:p>
    <w:p w14:paraId="1A67C9D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Together, these studies indicate that workforce outcomes depend on training, organisational resources and the extent to which technology integrates with existing responsibilities.</w:t>
      </w:r>
    </w:p>
    <w:p w14:paraId="1AB747BA"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Healthcare organisations should therefore provide structured digital training and dedicated technical support rather than expecting clinical and administrative employees to manage additional tasks without appropriate resources.</w:t>
      </w:r>
    </w:p>
    <w:p w14:paraId="04475F66"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4. Impact on Healthcare Service Delivery</w:t>
      </w:r>
    </w:p>
    <w:p w14:paraId="412381B4"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has changed how patients access selected healthcare services, particularly through remote prescription ordering, appointment information and access to clinical records.</w:t>
      </w:r>
    </w:p>
    <w:p w14:paraId="0A33B25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Digital services offer flexibility because patients can complete administrative activities without necessarily contacting their GP surgery during opening hours.</w:t>
      </w:r>
    </w:p>
    <w:p w14:paraId="7C4D157B"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NHS England (2025b) reported that approximately 67.8 million repeat prescriptions were ordered through the application during the twelve months ending November 2025.</w:t>
      </w:r>
    </w:p>
    <w:p w14:paraId="343E0F2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demonstrates substantial adoption of electronic prescription management. However, high transaction volumes do not necessarily indicate reduced healthcare costs or improved clinical outcomes.</w:t>
      </w:r>
    </w:p>
    <w:p w14:paraId="4BD78A8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Carini</w:t>
      </w:r>
      <w:proofErr w:type="spellEnd"/>
      <w:r w:rsidRPr="00F92007">
        <w:rPr>
          <w:rFonts w:ascii="Times New Roman" w:hAnsi="Times New Roman" w:cs="Times New Roman"/>
          <w:kern w:val="0"/>
          <w14:ligatures w14:val="none"/>
        </w:rPr>
        <w:t xml:space="preserve"> et al. (2021) conducted a systematic review of 47 studies examining digital patient portals. Their findings suggested potential improvements in patient engagement and healthcare outcomes, although evidence concerning service efficiency remained inconsistent.</w:t>
      </w:r>
    </w:p>
    <w:p w14:paraId="26E95A12"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distinction is important because digital access may improve convenience without increasing clinical capacity.</w:t>
      </w:r>
    </w:p>
    <w:p w14:paraId="61312AE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For example, online appointment management cannot independently resolve shortages of available appointments. Furthermore, digital prescription requests remain dependent on clinical authorisation and medication availability.</w:t>
      </w:r>
    </w:p>
    <w:p w14:paraId="3647828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identified another important limitation: NHS App functionality varied between GP practices because the application relied on existing healthcare systems.</w:t>
      </w:r>
    </w:p>
    <w:p w14:paraId="7067987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Consequently, patients could experience different levels of access despite using the same national application.</w:t>
      </w:r>
    </w:p>
    <w:p w14:paraId="5150C6C6"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demonstrates the importance of interoperability, meaning the ability of separate information systems to exchange and use data effectively.</w:t>
      </w:r>
    </w:p>
    <w:p w14:paraId="22E686F4"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Fragmented systems can undermine continuity of care, particularly when patients receive treatment from multiple healthcare providers.</w:t>
      </w:r>
    </w:p>
    <w:p w14:paraId="00D3FD2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Therefore, improving service delivery requires investment in reliable infrastructure and better integration between primary, secondary and community healthcare systems.</w:t>
      </w:r>
    </w:p>
    <w:p w14:paraId="5FA2C78F"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provides a useful platform for accessing services, but technological availability alone cannot guarantee consistent or effective healthcare delivery.</w:t>
      </w:r>
    </w:p>
    <w:p w14:paraId="02CE9A5C"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5. Impact on Patients and Service Users</w:t>
      </w:r>
    </w:p>
    <w:p w14:paraId="4B047F7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One of the NHS App’s main objectives is to increase patient involvement by providing access to personal medical information.</w:t>
      </w:r>
    </w:p>
    <w:p w14:paraId="069A82A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Patients may use electronic records to review medication, understand previous consultations and prepare questions before appointments.</w:t>
      </w:r>
    </w:p>
    <w:p w14:paraId="7092EE4C"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Tapuria</w:t>
      </w:r>
      <w:proofErr w:type="spellEnd"/>
      <w:r w:rsidRPr="00F92007">
        <w:rPr>
          <w:rFonts w:ascii="Times New Roman" w:hAnsi="Times New Roman" w:cs="Times New Roman"/>
          <w:kern w:val="0"/>
          <w14:ligatures w14:val="none"/>
        </w:rPr>
        <w:t xml:space="preserve"> et al. (2021) conducted a systematic review examining patient access to electronic health records. Of the 74 included studies, 54 identified benefits, including improved patient engagement, communication and aspects of self-management.</w:t>
      </w:r>
    </w:p>
    <w:p w14:paraId="4FCCCB3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These findings suggest that digital access can contribute positively to patient-centred care.</w:t>
      </w:r>
    </w:p>
    <w:p w14:paraId="7E9C4B7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evidence from different healthcare systems cannot automatically establish equivalent outcomes for NHS App users.</w:t>
      </w:r>
    </w:p>
    <w:p w14:paraId="4D077882"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Brands et al. (2022) also reviewed patient-centred digital health records among individuals with chronic conditions. Their research demonstrated that digital tools can support patient engagement, although effects on clinical outcomes vary between interventions.</w:t>
      </w:r>
    </w:p>
    <w:p w14:paraId="32A6E52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indicates that providing information is not necessarily sufficient to improve health. Patients must also understand and apply that information appropriately.</w:t>
      </w:r>
    </w:p>
    <w:p w14:paraId="47B0C48E"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Health literacy is therefore essential.</w:t>
      </w:r>
    </w:p>
    <w:p w14:paraId="637163CF"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Medical records frequently contain technical terminology, abbreviations and clinical results that may be difficult for individuals without healthcare knowledge to interpret.</w:t>
      </w:r>
    </w:p>
    <w:p w14:paraId="100EEF7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Blease</w:t>
      </w:r>
      <w:proofErr w:type="spellEnd"/>
      <w:r w:rsidRPr="00F92007">
        <w:rPr>
          <w:rFonts w:ascii="Times New Roman" w:hAnsi="Times New Roman" w:cs="Times New Roman"/>
          <w:kern w:val="0"/>
          <w14:ligatures w14:val="none"/>
        </w:rPr>
        <w:t xml:space="preserve"> et al. (2024) found that 91% of surveyed GPs believed online record access could increase patient worry. However, this represents professional expectations rather than direct evidence that patients experience increased anxiety.</w:t>
      </w:r>
    </w:p>
    <w:p w14:paraId="2804837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 xml:space="preserve">In contrast, </w:t>
      </w: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identified positive experiences among patients who valued convenient prescription ordering and access to their information.</w:t>
      </w:r>
    </w:p>
    <w:p w14:paraId="503435A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Comparing these studies highlights the importance of distinguishing professional concerns from patients’ actual experiences.</w:t>
      </w:r>
    </w:p>
    <w:p w14:paraId="7DFB6E88"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Confidentiality presents another consideration. Patients accessing sensitive medical information must be protected against unauthorised disclosure, particularly when using shared devices.</w:t>
      </w:r>
    </w:p>
    <w:p w14:paraId="31CC44F4"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Additionally, digital access cannot replace the emotional support provided during sensitive clinical discussions.</w:t>
      </w:r>
    </w:p>
    <w:p w14:paraId="047E0D8D"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Overall, the NHS App can strengthen patient autonomy, but meaningful empowerment depends on understandable information, appropriate safeguarding and opportunities for professional guidance.</w:t>
      </w:r>
    </w:p>
    <w:p w14:paraId="72DA8395"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6. Impact on Communities and Public Health</w:t>
      </w:r>
    </w:p>
    <w:p w14:paraId="43F6CF2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has wider implications for communities, particularly concerning digital inclusion, healthcare inequalities and support for informal carers.</w:t>
      </w:r>
    </w:p>
    <w:p w14:paraId="6E761E4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Digital access may benefit individuals living in rural areas or experiencing mobility difficulties by reducing unnecessary journeys for routine administrative tasks.</w:t>
      </w:r>
    </w:p>
    <w:p w14:paraId="44736C98"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these benefits depend on access to suitable technology, reliable internet connectivity and sufficient digital skills.</w:t>
      </w:r>
    </w:p>
    <w:p w14:paraId="1B19D9EA"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 xml:space="preserve">The World Health </w:t>
      </w:r>
      <w:proofErr w:type="spellStart"/>
      <w:r w:rsidRPr="00F92007">
        <w:rPr>
          <w:rFonts w:ascii="Times New Roman" w:hAnsi="Times New Roman" w:cs="Times New Roman"/>
          <w:kern w:val="0"/>
          <w14:ligatures w14:val="none"/>
        </w:rPr>
        <w:t>Organization</w:t>
      </w:r>
      <w:proofErr w:type="spellEnd"/>
      <w:r w:rsidRPr="00F92007">
        <w:rPr>
          <w:rFonts w:ascii="Times New Roman" w:hAnsi="Times New Roman" w:cs="Times New Roman"/>
          <w:kern w:val="0"/>
          <w14:ligatures w14:val="none"/>
        </w:rPr>
        <w:t xml:space="preserve"> (2021) emphasises that digital healthcare strategies must address inequalities in access and technological capability.</w:t>
      </w:r>
    </w:p>
    <w:p w14:paraId="49C99F8D"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Individuals experiencing poverty may struggle to afford suitable devices or mobile data. Similarly, people with disabilities or limited English proficiency may encounter difficulties navigating digital healthcare systems.</w:t>
      </w:r>
    </w:p>
    <w:p w14:paraId="56FAD13E"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These barriers are particularly concerning because disadvantaged populations may already experience poorer healthcare access.</w:t>
      </w:r>
    </w:p>
    <w:p w14:paraId="6F3A1C6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identified challenges relating to digital inclusion and differences in patients’ understanding of healthcare systems. Their findings suggest that simply providing an application does not ensure equal opportunities to benefit from it.</w:t>
      </w:r>
    </w:p>
    <w:p w14:paraId="235F7B73"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Another important community consideration involves informal carers.</w:t>
      </w:r>
    </w:p>
    <w:p w14:paraId="210FA5E6"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supports authorised proxy access, enabling eligible individuals to manage selected healthcare services on behalf of another person (NHS England, 2025c).</w:t>
      </w:r>
    </w:p>
    <w:p w14:paraId="705C281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This may assist families supporting older relatives or individuals with long-term conditions.</w:t>
      </w:r>
    </w:p>
    <w:p w14:paraId="1A7AFBC2"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proxy access introduces ethical concerns regarding consent, confidentiality and independence. Healthcare organisations must ensure that family involvement does not undermine patients’ rights to control personal information.</w:t>
      </w:r>
    </w:p>
    <w:p w14:paraId="7B190FA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Digital transformation may also influence community relationships with healthcare providers. If patients increasingly rely on electronic systems, opportunities for personal communication may decrease.</w:t>
      </w:r>
    </w:p>
    <w:p w14:paraId="0B79584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For some individuals, particularly those experiencing social isolation, contact with healthcare staff provides reassurance beyond administrative assistance.</w:t>
      </w:r>
    </w:p>
    <w:p w14:paraId="493C458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Therefore, digital healthcare should complement rather than replace traditional access methods.</w:t>
      </w:r>
    </w:p>
    <w:p w14:paraId="28442C8D"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Community-based digital education, accessible language options and continued telephone support could help ensure that technological development does not reinforce existing inequalities.</w:t>
      </w:r>
    </w:p>
    <w:p w14:paraId="5A6DF543"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7. Critical Evaluation and Recommendations</w:t>
      </w:r>
    </w:p>
    <w:p w14:paraId="4766F59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evidence demonstrates that the NHS App offers substantial opportunities to improve healthcare accessibility and administrative convenience. Nevertheless, its wider effectiveness remains dependent on organisational conditions and individual circumstances.</w:t>
      </w:r>
    </w:p>
    <w:p w14:paraId="53E86B0F"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National statistics provide strong evidence of adoption, but they do not establish improved health outcomes.</w:t>
      </w:r>
    </w:p>
    <w:p w14:paraId="16600A0D"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Furthermore, academic findings are not entirely consistent.</w:t>
      </w:r>
    </w:p>
    <w:p w14:paraId="7D6E41E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proofErr w:type="spellStart"/>
      <w:r w:rsidRPr="00F92007">
        <w:rPr>
          <w:rFonts w:ascii="Times New Roman" w:hAnsi="Times New Roman" w:cs="Times New Roman"/>
          <w:kern w:val="0"/>
          <w14:ligatures w14:val="none"/>
        </w:rPr>
        <w:t>Tapuria</w:t>
      </w:r>
      <w:proofErr w:type="spellEnd"/>
      <w:r w:rsidRPr="00F92007">
        <w:rPr>
          <w:rFonts w:ascii="Times New Roman" w:hAnsi="Times New Roman" w:cs="Times New Roman"/>
          <w:kern w:val="0"/>
          <w14:ligatures w14:val="none"/>
        </w:rPr>
        <w:t xml:space="preserve"> et al. (2021) identified several benefits associated with electronic record access, whereas </w:t>
      </w:r>
      <w:proofErr w:type="spellStart"/>
      <w:r w:rsidRPr="00F92007">
        <w:rPr>
          <w:rFonts w:ascii="Times New Roman" w:hAnsi="Times New Roman" w:cs="Times New Roman"/>
          <w:kern w:val="0"/>
          <w14:ligatures w14:val="none"/>
        </w:rPr>
        <w:t>Carini</w:t>
      </w:r>
      <w:proofErr w:type="spellEnd"/>
      <w:r w:rsidRPr="00F92007">
        <w:rPr>
          <w:rFonts w:ascii="Times New Roman" w:hAnsi="Times New Roman" w:cs="Times New Roman"/>
          <w:kern w:val="0"/>
          <w14:ligatures w14:val="none"/>
        </w:rPr>
        <w:t xml:space="preserve"> et al. (2021) reported uncertainty regarding healthcare efficiency.</w:t>
      </w:r>
    </w:p>
    <w:p w14:paraId="09E3291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 xml:space="preserve">Similarly, </w:t>
      </w:r>
      <w:proofErr w:type="spellStart"/>
      <w:r w:rsidRPr="00F92007">
        <w:rPr>
          <w:rFonts w:ascii="Times New Roman" w:hAnsi="Times New Roman" w:cs="Times New Roman"/>
          <w:kern w:val="0"/>
          <w14:ligatures w14:val="none"/>
        </w:rPr>
        <w:t>Blease</w:t>
      </w:r>
      <w:proofErr w:type="spellEnd"/>
      <w:r w:rsidRPr="00F92007">
        <w:rPr>
          <w:rFonts w:ascii="Times New Roman" w:hAnsi="Times New Roman" w:cs="Times New Roman"/>
          <w:kern w:val="0"/>
          <w14:ligatures w14:val="none"/>
        </w:rPr>
        <w:t xml:space="preserve"> et al. (2024) identified professional concerns about increased workload, while </w:t>
      </w:r>
      <w:proofErr w:type="spellStart"/>
      <w:r w:rsidRPr="00F92007">
        <w:rPr>
          <w:rFonts w:ascii="Times New Roman" w:hAnsi="Times New Roman" w:cs="Times New Roman"/>
          <w:kern w:val="0"/>
          <w14:ligatures w14:val="none"/>
        </w:rPr>
        <w:t>Reidy</w:t>
      </w:r>
      <w:proofErr w:type="spellEnd"/>
      <w:r w:rsidRPr="00F92007">
        <w:rPr>
          <w:rFonts w:ascii="Times New Roman" w:hAnsi="Times New Roman" w:cs="Times New Roman"/>
          <w:kern w:val="0"/>
          <w14:ligatures w14:val="none"/>
        </w:rPr>
        <w:t xml:space="preserve"> et al. (2025) demonstrated that implementation experiences varied considerably between healthcare organisations.</w:t>
      </w:r>
    </w:p>
    <w:p w14:paraId="6AAB251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These differences suggest that digital transformation should be evaluated as a complex organisational change rather than a straightforward technological improvement.</w:t>
      </w:r>
    </w:p>
    <w:p w14:paraId="42BB2B9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Four recommendations are particularly important.</w:t>
      </w:r>
    </w:p>
    <w:p w14:paraId="21831A5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Firstly, healthcare organisations should provide accessible digital literacy support through GP practices, libraries and community organisations.</w:t>
      </w:r>
    </w:p>
    <w:p w14:paraId="3D964C14"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Secondly, telephone and face-to-face alternatives must remain available to protect patient choice and reduce exclusion.</w:t>
      </w:r>
    </w:p>
    <w:p w14:paraId="49F1784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Thirdly, NHS staff require continuing professional development in digital communication, safeguarding and information governance.</w:t>
      </w:r>
    </w:p>
    <w:p w14:paraId="4F9F190C"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Finally, evaluation should prioritise measurable outcomes, including patient satisfaction, clinical effectiveness, workforce workload and inequalities between population groups.</w:t>
      </w:r>
    </w:p>
    <w:p w14:paraId="2590CD7C"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These recommendations reflect the WHO’s (2025) emphasis on sustainable and equitable digital healthcare.</w:t>
      </w:r>
    </w:p>
    <w:p w14:paraId="3F27C5A5"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Future development should also involve patients and healthcare professionals in decision-making to ensure that technological changes address practical needs rather than simply increasing digital activity.</w:t>
      </w:r>
    </w:p>
    <w:p w14:paraId="73D61C3C" w14:textId="77777777" w:rsidR="00F92007" w:rsidRPr="00F92007" w:rsidRDefault="00F92007" w:rsidP="00F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2007">
        <w:rPr>
          <w:rFonts w:ascii="Times New Roman" w:eastAsia="Times New Roman" w:hAnsi="Times New Roman" w:cs="Times New Roman"/>
          <w:b/>
          <w:bCs/>
          <w:kern w:val="0"/>
          <w:sz w:val="36"/>
          <w:szCs w:val="36"/>
          <w14:ligatures w14:val="none"/>
        </w:rPr>
        <w:t>8. Conclusion</w:t>
      </w:r>
    </w:p>
    <w:p w14:paraId="78062D11"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NHS App represents a significant digital innovation within England’s healthcare system. Its development has expanded access to healthcare information, improved prescription management and created opportunities for more convenient communication.</w:t>
      </w:r>
    </w:p>
    <w:p w14:paraId="1FFBEE5F"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However, its effects differ across the healthcare workforce, service delivery, patients and communities.</w:t>
      </w:r>
    </w:p>
    <w:p w14:paraId="1EF47C78"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Healthcare professionals may benefit from streamlined administrative processes, although additional digital responsibilities can increase workload. Patients may experience greater independence, but medical information must remain understandable and appropriately supported.</w:t>
      </w:r>
    </w:p>
    <w:p w14:paraId="2457C5C9"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Furthermore, digital exclusion presents an important challenge to equitable healthcare access.</w:t>
      </w:r>
    </w:p>
    <w:p w14:paraId="564B80B7"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The evidence suggests that the NHS App is a valuable component of healthcare modernisation, but technological adoption should not be confused with improved clinical outcomes.</w:t>
      </w:r>
    </w:p>
    <w:p w14:paraId="2995DE60" w14:textId="77777777" w:rsidR="00F92007" w:rsidRPr="00F92007" w:rsidRDefault="00F92007" w:rsidP="00F92007">
      <w:pPr>
        <w:spacing w:before="100" w:beforeAutospacing="1" w:after="100" w:afterAutospacing="1" w:line="240" w:lineRule="auto"/>
        <w:rPr>
          <w:rFonts w:ascii="Times New Roman" w:hAnsi="Times New Roman" w:cs="Times New Roman"/>
          <w:kern w:val="0"/>
          <w14:ligatures w14:val="none"/>
        </w:rPr>
      </w:pPr>
      <w:r w:rsidRPr="00F92007">
        <w:rPr>
          <w:rFonts w:ascii="Times New Roman" w:hAnsi="Times New Roman" w:cs="Times New Roman"/>
          <w:kern w:val="0"/>
          <w14:ligatures w14:val="none"/>
        </w:rPr>
        <w:t>Successful digital transformation requires workforce training, integrated healthcare systems, accessible alternatives and continuous evaluation.</w:t>
      </w:r>
    </w:p>
    <w:p w14:paraId="7580BFF2" w14:textId="77777777" w:rsidR="00F92007" w:rsidRPr="008F65A1" w:rsidRDefault="00F92007" w:rsidP="00F92007">
      <w:pPr>
        <w:spacing w:before="100" w:beforeAutospacing="1" w:after="100" w:afterAutospacing="1" w:line="240" w:lineRule="auto"/>
        <w:rPr>
          <w:rFonts w:ascii="Times New Roman" w:hAnsi="Times New Roman" w:cs="Times New Roman"/>
          <w:i/>
          <w:iCs/>
          <w:kern w:val="0"/>
          <w:u w:val="single"/>
          <w14:ligatures w14:val="none"/>
        </w:rPr>
      </w:pPr>
      <w:r w:rsidRPr="00F92007">
        <w:rPr>
          <w:rFonts w:ascii="Times New Roman" w:hAnsi="Times New Roman" w:cs="Times New Roman"/>
          <w:kern w:val="0"/>
          <w14:ligatures w14:val="none"/>
        </w:rPr>
        <w:t>Ultimately, the NHS App should complement traditional healthcare provision while promoting patient-centred care and reducing, rather than reinforcing, existing inequalities.</w:t>
      </w:r>
    </w:p>
    <w:p w14:paraId="4B2DB3CF" w14:textId="77777777" w:rsidR="00F92007" w:rsidRDefault="00F92007"/>
    <w:p w14:paraId="6CBEC316" w14:textId="77777777" w:rsidR="00A64535" w:rsidRDefault="00A64535"/>
    <w:p w14:paraId="0F8D4C59" w14:textId="77777777" w:rsidR="00A64535" w:rsidRDefault="00A64535"/>
    <w:p w14:paraId="7A5A2C10" w14:textId="77777777" w:rsidR="00A64535" w:rsidRDefault="00A64535">
      <w:pPr>
        <w:pStyle w:val="p1"/>
      </w:pPr>
      <w:r>
        <w:rPr>
          <w:rStyle w:val="s1"/>
        </w:rPr>
        <w:t>Reference List</w:t>
      </w:r>
    </w:p>
    <w:p w14:paraId="70596CF4" w14:textId="77777777" w:rsidR="00A64535" w:rsidRDefault="00A64535">
      <w:pPr>
        <w:pStyle w:val="p2"/>
      </w:pPr>
      <w:proofErr w:type="spellStart"/>
      <w:r>
        <w:rPr>
          <w:rStyle w:val="s2"/>
        </w:rPr>
        <w:t>Blease</w:t>
      </w:r>
      <w:proofErr w:type="spellEnd"/>
      <w:r>
        <w:rPr>
          <w:rStyle w:val="s2"/>
        </w:rPr>
        <w:t xml:space="preserve">, C.R., </w:t>
      </w:r>
      <w:proofErr w:type="spellStart"/>
      <w:r>
        <w:rPr>
          <w:rStyle w:val="s2"/>
        </w:rPr>
        <w:t>Kharko</w:t>
      </w:r>
      <w:proofErr w:type="spellEnd"/>
      <w:r>
        <w:rPr>
          <w:rStyle w:val="s2"/>
        </w:rPr>
        <w:t xml:space="preserve">, A., Dong, Z., Jones, R.B., </w:t>
      </w:r>
      <w:proofErr w:type="spellStart"/>
      <w:r>
        <w:rPr>
          <w:rStyle w:val="s2"/>
        </w:rPr>
        <w:t>Davidge</w:t>
      </w:r>
      <w:proofErr w:type="spellEnd"/>
      <w:r>
        <w:rPr>
          <w:rStyle w:val="s2"/>
        </w:rPr>
        <w:t xml:space="preserve">, G., Hägglund, M., Turner, A., </w:t>
      </w:r>
      <w:proofErr w:type="spellStart"/>
      <w:r>
        <w:rPr>
          <w:rStyle w:val="s2"/>
        </w:rPr>
        <w:t>DesRoches</w:t>
      </w:r>
      <w:proofErr w:type="spellEnd"/>
      <w:r>
        <w:rPr>
          <w:rStyle w:val="s2"/>
        </w:rPr>
        <w:t xml:space="preserve">, C. and McMillan, B. (2024) ‘Experiences and opinions of general practitioners with patient online record access: an online survey in England’, </w:t>
      </w:r>
      <w:r>
        <w:rPr>
          <w:rStyle w:val="s3"/>
        </w:rPr>
        <w:t>BMJ Open</w:t>
      </w:r>
      <w:r>
        <w:rPr>
          <w:rStyle w:val="s2"/>
        </w:rPr>
        <w:t>, 14(1), e078158. Available at: https://doi.org/10.1136/bmjopen-2023-078158</w:t>
      </w:r>
    </w:p>
    <w:p w14:paraId="31B5B252" w14:textId="77777777" w:rsidR="00A64535" w:rsidRDefault="00A64535">
      <w:pPr>
        <w:pStyle w:val="p2"/>
      </w:pPr>
      <w:r>
        <w:rPr>
          <w:rStyle w:val="s2"/>
        </w:rPr>
        <w:t xml:space="preserve">Brands, M.R., </w:t>
      </w:r>
      <w:proofErr w:type="spellStart"/>
      <w:r>
        <w:rPr>
          <w:rStyle w:val="s2"/>
        </w:rPr>
        <w:t>Gouw</w:t>
      </w:r>
      <w:proofErr w:type="spellEnd"/>
      <w:r>
        <w:rPr>
          <w:rStyle w:val="s2"/>
        </w:rPr>
        <w:t xml:space="preserve">, S.C., </w:t>
      </w:r>
      <w:proofErr w:type="spellStart"/>
      <w:r>
        <w:rPr>
          <w:rStyle w:val="s2"/>
        </w:rPr>
        <w:t>Beestrum</w:t>
      </w:r>
      <w:proofErr w:type="spellEnd"/>
      <w:r>
        <w:rPr>
          <w:rStyle w:val="s2"/>
        </w:rPr>
        <w:t xml:space="preserve">, M., Cronin, R.M., </w:t>
      </w:r>
      <w:proofErr w:type="spellStart"/>
      <w:r>
        <w:rPr>
          <w:rStyle w:val="s2"/>
        </w:rPr>
        <w:t>Fijnvandraat</w:t>
      </w:r>
      <w:proofErr w:type="spellEnd"/>
      <w:r>
        <w:rPr>
          <w:rStyle w:val="s2"/>
        </w:rPr>
        <w:t xml:space="preserve">, K. and </w:t>
      </w:r>
      <w:proofErr w:type="spellStart"/>
      <w:r>
        <w:rPr>
          <w:rStyle w:val="s2"/>
        </w:rPr>
        <w:t>Badawy</w:t>
      </w:r>
      <w:proofErr w:type="spellEnd"/>
      <w:r>
        <w:rPr>
          <w:rStyle w:val="s2"/>
        </w:rPr>
        <w:t>, S.M. (2022) ‘</w:t>
      </w:r>
      <w:proofErr w:type="spellStart"/>
      <w:r>
        <w:rPr>
          <w:rStyle w:val="s2"/>
        </w:rPr>
        <w:t>Patient-centered</w:t>
      </w:r>
      <w:proofErr w:type="spellEnd"/>
      <w:r>
        <w:rPr>
          <w:rStyle w:val="s2"/>
        </w:rPr>
        <w:t xml:space="preserve"> digital health records and their effects on health outcomes: systematic review’, </w:t>
      </w:r>
      <w:r>
        <w:rPr>
          <w:rStyle w:val="s3"/>
        </w:rPr>
        <w:t>Journal of Medical Internet Research</w:t>
      </w:r>
      <w:r>
        <w:rPr>
          <w:rStyle w:val="s2"/>
        </w:rPr>
        <w:t>, 24(12), e43086. Available at: https://doi.org/10.2196/43086</w:t>
      </w:r>
    </w:p>
    <w:p w14:paraId="2286BA00" w14:textId="77777777" w:rsidR="00A64535" w:rsidRDefault="00A64535">
      <w:pPr>
        <w:pStyle w:val="p2"/>
      </w:pPr>
      <w:proofErr w:type="spellStart"/>
      <w:r>
        <w:rPr>
          <w:rStyle w:val="s2"/>
        </w:rPr>
        <w:t>Carini</w:t>
      </w:r>
      <w:proofErr w:type="spellEnd"/>
      <w:r>
        <w:rPr>
          <w:rStyle w:val="s2"/>
        </w:rPr>
        <w:t xml:space="preserve">, E., </w:t>
      </w:r>
      <w:proofErr w:type="spellStart"/>
      <w:r>
        <w:rPr>
          <w:rStyle w:val="s2"/>
        </w:rPr>
        <w:t>Villani</w:t>
      </w:r>
      <w:proofErr w:type="spellEnd"/>
      <w:r>
        <w:rPr>
          <w:rStyle w:val="s2"/>
        </w:rPr>
        <w:t xml:space="preserve">, L., </w:t>
      </w:r>
      <w:proofErr w:type="spellStart"/>
      <w:r>
        <w:rPr>
          <w:rStyle w:val="s2"/>
        </w:rPr>
        <w:t>Pezzullo</w:t>
      </w:r>
      <w:proofErr w:type="spellEnd"/>
      <w:r>
        <w:rPr>
          <w:rStyle w:val="s2"/>
        </w:rPr>
        <w:t xml:space="preserve">, A.M., </w:t>
      </w:r>
      <w:proofErr w:type="spellStart"/>
      <w:r>
        <w:rPr>
          <w:rStyle w:val="s2"/>
        </w:rPr>
        <w:t>Gentili</w:t>
      </w:r>
      <w:proofErr w:type="spellEnd"/>
      <w:r>
        <w:rPr>
          <w:rStyle w:val="s2"/>
        </w:rPr>
        <w:t xml:space="preserve">, A., Barbara, A., </w:t>
      </w:r>
      <w:proofErr w:type="spellStart"/>
      <w:r>
        <w:rPr>
          <w:rStyle w:val="s2"/>
        </w:rPr>
        <w:t>Ricciardi</w:t>
      </w:r>
      <w:proofErr w:type="spellEnd"/>
      <w:r>
        <w:rPr>
          <w:rStyle w:val="s2"/>
        </w:rPr>
        <w:t xml:space="preserve">, W. and </w:t>
      </w:r>
      <w:proofErr w:type="spellStart"/>
      <w:r>
        <w:rPr>
          <w:rStyle w:val="s2"/>
        </w:rPr>
        <w:t>Boccia</w:t>
      </w:r>
      <w:proofErr w:type="spellEnd"/>
      <w:r>
        <w:rPr>
          <w:rStyle w:val="s2"/>
        </w:rPr>
        <w:t xml:space="preserve">, S. (2021) ‘The impact of digital patient portals on health outcomes, system efficiency, and patient attitudes: updated systematic literature review’, </w:t>
      </w:r>
      <w:r>
        <w:rPr>
          <w:rStyle w:val="s3"/>
        </w:rPr>
        <w:t>Journal of Medical Internet Research</w:t>
      </w:r>
      <w:r>
        <w:rPr>
          <w:rStyle w:val="s2"/>
        </w:rPr>
        <w:t>, 23(9), e26189. Available at: https://doi.org/10.2196/26189</w:t>
      </w:r>
    </w:p>
    <w:p w14:paraId="259A4D0C" w14:textId="77777777" w:rsidR="00A64535" w:rsidRDefault="00A64535">
      <w:pPr>
        <w:pStyle w:val="p2"/>
      </w:pPr>
      <w:r>
        <w:rPr>
          <w:rStyle w:val="s2"/>
        </w:rPr>
        <w:t xml:space="preserve">Department of Health and Social Care (2018) </w:t>
      </w:r>
      <w:r>
        <w:rPr>
          <w:rStyle w:val="s3"/>
        </w:rPr>
        <w:t>New NHS app will make it quicker and easier to access health services</w:t>
      </w:r>
      <w:r>
        <w:rPr>
          <w:rStyle w:val="s2"/>
        </w:rPr>
        <w:t>. Available at: https://www.gov.uk/government/news/new-nhs-app-will-make-it-quicker-and-easier-to-access-health-services</w:t>
      </w:r>
    </w:p>
    <w:p w14:paraId="2B8A7DEF" w14:textId="77777777" w:rsidR="00A64535" w:rsidRDefault="00A64535">
      <w:pPr>
        <w:pStyle w:val="p2"/>
      </w:pPr>
      <w:r>
        <w:rPr>
          <w:rStyle w:val="s2"/>
        </w:rPr>
        <w:t xml:space="preserve">NHS England (2025a) </w:t>
      </w:r>
      <w:r>
        <w:rPr>
          <w:rStyle w:val="s3"/>
        </w:rPr>
        <w:t>Hundreds of thousands use ‘Amazon-style’ prescription tracker in NHS App</w:t>
      </w:r>
      <w:r>
        <w:rPr>
          <w:rStyle w:val="s2"/>
        </w:rPr>
        <w:t>. Available at: https://www.england.nhs.uk/2025/08/hundreds-of-thousands-use-amazon-style-prescription-tracker-in-nhs-app/</w:t>
      </w:r>
    </w:p>
    <w:p w14:paraId="7B0DF29E" w14:textId="77777777" w:rsidR="00A64535" w:rsidRDefault="00A64535">
      <w:pPr>
        <w:pStyle w:val="p2"/>
      </w:pPr>
      <w:r>
        <w:rPr>
          <w:rStyle w:val="s2"/>
        </w:rPr>
        <w:t xml:space="preserve">NHS England (2025b) </w:t>
      </w:r>
      <w:r>
        <w:rPr>
          <w:rStyle w:val="s3"/>
        </w:rPr>
        <w:t>Record numbers using NHS App to manage health</w:t>
      </w:r>
      <w:r>
        <w:rPr>
          <w:rStyle w:val="s2"/>
        </w:rPr>
        <w:t>. Available at: https://www.england.nhs.uk/2025/12/record-numbers-using-nhs-app-to-manage-health/</w:t>
      </w:r>
    </w:p>
    <w:p w14:paraId="61218B76" w14:textId="77777777" w:rsidR="00A64535" w:rsidRDefault="00A64535">
      <w:pPr>
        <w:pStyle w:val="p2"/>
      </w:pPr>
      <w:r>
        <w:rPr>
          <w:rStyle w:val="s2"/>
        </w:rPr>
        <w:t xml:space="preserve">NHS England (2025c) </w:t>
      </w:r>
      <w:r>
        <w:rPr>
          <w:rStyle w:val="s3"/>
        </w:rPr>
        <w:t>Proxy access</w:t>
      </w:r>
      <w:r>
        <w:rPr>
          <w:rStyle w:val="s2"/>
        </w:rPr>
        <w:t>. Available at: https://www.england.nhs.uk/long-read/proxy-access/</w:t>
      </w:r>
    </w:p>
    <w:p w14:paraId="5EF015A4" w14:textId="77777777" w:rsidR="00A64535" w:rsidRDefault="00A64535">
      <w:pPr>
        <w:pStyle w:val="p2"/>
      </w:pPr>
      <w:r>
        <w:rPr>
          <w:rStyle w:val="s2"/>
        </w:rPr>
        <w:t xml:space="preserve">NHS England Digital (2026) </w:t>
      </w:r>
      <w:r>
        <w:rPr>
          <w:rStyle w:val="s3"/>
        </w:rPr>
        <w:t>NHS App Management Information – December 2025</w:t>
      </w:r>
      <w:r>
        <w:rPr>
          <w:rStyle w:val="s2"/>
        </w:rPr>
        <w:t>. Available at: https://digital.nhs.uk/data-and-information/publications/statistical/nhs-app-statistics/december-2025</w:t>
      </w:r>
    </w:p>
    <w:p w14:paraId="3B7B245F" w14:textId="77777777" w:rsidR="00A64535" w:rsidRDefault="00A64535">
      <w:pPr>
        <w:pStyle w:val="p2"/>
      </w:pPr>
      <w:proofErr w:type="spellStart"/>
      <w:r>
        <w:rPr>
          <w:rStyle w:val="s2"/>
        </w:rPr>
        <w:t>Reidy</w:t>
      </w:r>
      <w:proofErr w:type="spellEnd"/>
      <w:r>
        <w:rPr>
          <w:rStyle w:val="s2"/>
        </w:rPr>
        <w:t xml:space="preserve">, C., </w:t>
      </w:r>
      <w:proofErr w:type="spellStart"/>
      <w:r>
        <w:rPr>
          <w:rStyle w:val="s2"/>
        </w:rPr>
        <w:t>Papoutsi</w:t>
      </w:r>
      <w:proofErr w:type="spellEnd"/>
      <w:r>
        <w:rPr>
          <w:rStyle w:val="s2"/>
        </w:rPr>
        <w:t xml:space="preserve">, C., KC, S., </w:t>
      </w:r>
      <w:proofErr w:type="spellStart"/>
      <w:r>
        <w:rPr>
          <w:rStyle w:val="s2"/>
        </w:rPr>
        <w:t>Gudgin</w:t>
      </w:r>
      <w:proofErr w:type="spellEnd"/>
      <w:r>
        <w:rPr>
          <w:rStyle w:val="s2"/>
        </w:rPr>
        <w:t xml:space="preserve">, B., </w:t>
      </w:r>
      <w:proofErr w:type="spellStart"/>
      <w:r>
        <w:rPr>
          <w:rStyle w:val="s2"/>
        </w:rPr>
        <w:t>Laverty</w:t>
      </w:r>
      <w:proofErr w:type="spellEnd"/>
      <w:r>
        <w:rPr>
          <w:rStyle w:val="s2"/>
        </w:rPr>
        <w:t xml:space="preserve">, A.A., Greaves, F. and Powell, J. (2025) ‘Qualitative evaluation of the implementation and national roll-out of the NHS App in England’, </w:t>
      </w:r>
      <w:r>
        <w:rPr>
          <w:rStyle w:val="s3"/>
        </w:rPr>
        <w:t>BMC Medicine</w:t>
      </w:r>
      <w:r>
        <w:rPr>
          <w:rStyle w:val="s2"/>
        </w:rPr>
        <w:t>, 23, article 20. Available at: https://doi.org/10.1186/s12916-024-03842-w</w:t>
      </w:r>
    </w:p>
    <w:p w14:paraId="7E2F2AA6" w14:textId="77777777" w:rsidR="00A64535" w:rsidRDefault="00A64535">
      <w:pPr>
        <w:pStyle w:val="p2"/>
      </w:pPr>
      <w:proofErr w:type="spellStart"/>
      <w:r>
        <w:rPr>
          <w:rStyle w:val="s2"/>
        </w:rPr>
        <w:t>Tapuria</w:t>
      </w:r>
      <w:proofErr w:type="spellEnd"/>
      <w:r>
        <w:rPr>
          <w:rStyle w:val="s2"/>
        </w:rPr>
        <w:t xml:space="preserve">, A., </w:t>
      </w:r>
      <w:proofErr w:type="spellStart"/>
      <w:r>
        <w:rPr>
          <w:rStyle w:val="s2"/>
        </w:rPr>
        <w:t>Porat</w:t>
      </w:r>
      <w:proofErr w:type="spellEnd"/>
      <w:r>
        <w:rPr>
          <w:rStyle w:val="s2"/>
        </w:rPr>
        <w:t xml:space="preserve">, T., </w:t>
      </w:r>
      <w:proofErr w:type="spellStart"/>
      <w:r>
        <w:rPr>
          <w:rStyle w:val="s2"/>
        </w:rPr>
        <w:t>Kalra</w:t>
      </w:r>
      <w:proofErr w:type="spellEnd"/>
      <w:r>
        <w:rPr>
          <w:rStyle w:val="s2"/>
        </w:rPr>
        <w:t xml:space="preserve">, D., </w:t>
      </w:r>
      <w:proofErr w:type="spellStart"/>
      <w:r>
        <w:rPr>
          <w:rStyle w:val="s2"/>
        </w:rPr>
        <w:t>Dsouza</w:t>
      </w:r>
      <w:proofErr w:type="spellEnd"/>
      <w:r>
        <w:rPr>
          <w:rStyle w:val="s2"/>
        </w:rPr>
        <w:t xml:space="preserve">, G., </w:t>
      </w:r>
      <w:proofErr w:type="spellStart"/>
      <w:r>
        <w:rPr>
          <w:rStyle w:val="s2"/>
        </w:rPr>
        <w:t>Xiaohui</w:t>
      </w:r>
      <w:proofErr w:type="spellEnd"/>
      <w:r>
        <w:rPr>
          <w:rStyle w:val="s2"/>
        </w:rPr>
        <w:t xml:space="preserve">, S. and </w:t>
      </w:r>
      <w:proofErr w:type="spellStart"/>
      <w:r>
        <w:rPr>
          <w:rStyle w:val="s2"/>
        </w:rPr>
        <w:t>Curcin</w:t>
      </w:r>
      <w:proofErr w:type="spellEnd"/>
      <w:r>
        <w:rPr>
          <w:rStyle w:val="s2"/>
        </w:rPr>
        <w:t xml:space="preserve">, V. (2021) ‘Impact of patient access to their electronic health record: systematic review’, </w:t>
      </w:r>
      <w:r>
        <w:rPr>
          <w:rStyle w:val="s3"/>
        </w:rPr>
        <w:t>Informatics for Health and Social Care</w:t>
      </w:r>
      <w:r>
        <w:rPr>
          <w:rStyle w:val="s2"/>
        </w:rPr>
        <w:t>. Available at: https://doi.org/10.1080/17538157.2021.1879810</w:t>
      </w:r>
    </w:p>
    <w:p w14:paraId="72840FD9" w14:textId="77777777" w:rsidR="00A64535" w:rsidRDefault="00A64535">
      <w:pPr>
        <w:pStyle w:val="p2"/>
      </w:pPr>
      <w:r>
        <w:rPr>
          <w:rStyle w:val="s2"/>
        </w:rPr>
        <w:t xml:space="preserve">World Health </w:t>
      </w:r>
      <w:proofErr w:type="spellStart"/>
      <w:r>
        <w:rPr>
          <w:rStyle w:val="s2"/>
        </w:rPr>
        <w:t>Organization</w:t>
      </w:r>
      <w:proofErr w:type="spellEnd"/>
      <w:r>
        <w:rPr>
          <w:rStyle w:val="s2"/>
        </w:rPr>
        <w:t xml:space="preserve"> (2021) </w:t>
      </w:r>
      <w:r>
        <w:rPr>
          <w:rStyle w:val="s3"/>
        </w:rPr>
        <w:t>Global strategy on digital health 2020–2025</w:t>
      </w:r>
      <w:r>
        <w:rPr>
          <w:rStyle w:val="s2"/>
        </w:rPr>
        <w:t>. Geneva: WHO. Available at: https://www.who.int/publications/i/item/9789240020924</w:t>
      </w:r>
    </w:p>
    <w:p w14:paraId="4F60E71A" w14:textId="77777777" w:rsidR="00A64535" w:rsidRDefault="00A64535">
      <w:pPr>
        <w:pStyle w:val="p3"/>
      </w:pPr>
      <w:r>
        <w:rPr>
          <w:rStyle w:val="s2"/>
        </w:rPr>
        <w:t xml:space="preserve">World Health </w:t>
      </w:r>
      <w:proofErr w:type="spellStart"/>
      <w:r>
        <w:rPr>
          <w:rStyle w:val="s2"/>
        </w:rPr>
        <w:t>Organization</w:t>
      </w:r>
      <w:proofErr w:type="spellEnd"/>
      <w:r>
        <w:rPr>
          <w:rStyle w:val="s2"/>
        </w:rPr>
        <w:t xml:space="preserve"> (2025) </w:t>
      </w:r>
      <w:r>
        <w:rPr>
          <w:rStyle w:val="s3"/>
        </w:rPr>
        <w:t>Global strategy on digital health 2020–2027</w:t>
      </w:r>
      <w:r>
        <w:rPr>
          <w:rStyle w:val="s2"/>
        </w:rPr>
        <w:t>. Geneva: WHO. Available at: https://www.who.int/publications/i/item/9789240116870</w:t>
      </w:r>
    </w:p>
    <w:p w14:paraId="0A321CD3" w14:textId="77777777" w:rsidR="00A64535" w:rsidRDefault="00A64535"/>
    <w:sectPr w:rsidR="00A645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07"/>
    <w:rsid w:val="000E4418"/>
    <w:rsid w:val="00514B78"/>
    <w:rsid w:val="005F0437"/>
    <w:rsid w:val="006D1C58"/>
    <w:rsid w:val="007B4928"/>
    <w:rsid w:val="008F65A1"/>
    <w:rsid w:val="00962898"/>
    <w:rsid w:val="00A64535"/>
    <w:rsid w:val="00DA1568"/>
    <w:rsid w:val="00F92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7BE75B"/>
  <w15:chartTrackingRefBased/>
  <w15:docId w15:val="{1F923136-063E-1D44-ACD4-17592541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2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0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0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0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0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007"/>
    <w:rPr>
      <w:rFonts w:eastAsiaTheme="majorEastAsia" w:cstheme="majorBidi"/>
      <w:color w:val="272727" w:themeColor="text1" w:themeTint="D8"/>
    </w:rPr>
  </w:style>
  <w:style w:type="paragraph" w:styleId="Title">
    <w:name w:val="Title"/>
    <w:basedOn w:val="Normal"/>
    <w:next w:val="Normal"/>
    <w:link w:val="TitleChar"/>
    <w:uiPriority w:val="10"/>
    <w:qFormat/>
    <w:rsid w:val="00F92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007"/>
    <w:pPr>
      <w:spacing w:before="160"/>
      <w:jc w:val="center"/>
    </w:pPr>
    <w:rPr>
      <w:i/>
      <w:iCs/>
      <w:color w:val="404040" w:themeColor="text1" w:themeTint="BF"/>
    </w:rPr>
  </w:style>
  <w:style w:type="character" w:customStyle="1" w:styleId="QuoteChar">
    <w:name w:val="Quote Char"/>
    <w:basedOn w:val="DefaultParagraphFont"/>
    <w:link w:val="Quote"/>
    <w:uiPriority w:val="29"/>
    <w:rsid w:val="00F92007"/>
    <w:rPr>
      <w:i/>
      <w:iCs/>
      <w:color w:val="404040" w:themeColor="text1" w:themeTint="BF"/>
    </w:rPr>
  </w:style>
  <w:style w:type="paragraph" w:styleId="ListParagraph">
    <w:name w:val="List Paragraph"/>
    <w:basedOn w:val="Normal"/>
    <w:uiPriority w:val="34"/>
    <w:qFormat/>
    <w:rsid w:val="00F92007"/>
    <w:pPr>
      <w:ind w:left="720"/>
      <w:contextualSpacing/>
    </w:pPr>
  </w:style>
  <w:style w:type="character" w:styleId="IntenseEmphasis">
    <w:name w:val="Intense Emphasis"/>
    <w:basedOn w:val="DefaultParagraphFont"/>
    <w:uiPriority w:val="21"/>
    <w:qFormat/>
    <w:rsid w:val="00F92007"/>
    <w:rPr>
      <w:i/>
      <w:iCs/>
      <w:color w:val="0F4761" w:themeColor="accent1" w:themeShade="BF"/>
    </w:rPr>
  </w:style>
  <w:style w:type="paragraph" w:styleId="IntenseQuote">
    <w:name w:val="Intense Quote"/>
    <w:basedOn w:val="Normal"/>
    <w:next w:val="Normal"/>
    <w:link w:val="IntenseQuoteChar"/>
    <w:uiPriority w:val="30"/>
    <w:qFormat/>
    <w:rsid w:val="00F92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007"/>
    <w:rPr>
      <w:i/>
      <w:iCs/>
      <w:color w:val="0F4761" w:themeColor="accent1" w:themeShade="BF"/>
    </w:rPr>
  </w:style>
  <w:style w:type="character" w:styleId="IntenseReference">
    <w:name w:val="Intense Reference"/>
    <w:basedOn w:val="DefaultParagraphFont"/>
    <w:uiPriority w:val="32"/>
    <w:qFormat/>
    <w:rsid w:val="00F92007"/>
    <w:rPr>
      <w:b/>
      <w:bCs/>
      <w:smallCaps/>
      <w:color w:val="0F4761" w:themeColor="accent1" w:themeShade="BF"/>
      <w:spacing w:val="5"/>
    </w:rPr>
  </w:style>
  <w:style w:type="character" w:customStyle="1" w:styleId="s1">
    <w:name w:val="s1"/>
    <w:basedOn w:val="DefaultParagraphFont"/>
    <w:rsid w:val="00F92007"/>
  </w:style>
  <w:style w:type="paragraph" w:customStyle="1" w:styleId="p2">
    <w:name w:val="p2"/>
    <w:basedOn w:val="Normal"/>
    <w:rsid w:val="00F92007"/>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F92007"/>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A6453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64535"/>
  </w:style>
  <w:style w:type="character" w:customStyle="1" w:styleId="s3">
    <w:name w:val="s3"/>
    <w:basedOn w:val="DefaultParagraphFont"/>
    <w:rsid w:val="00A64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2300</Words>
  <Characters>16448</Characters>
  <Application>Microsoft Office Word</Application>
  <DocSecurity>0</DocSecurity>
  <Lines>265</Lines>
  <Paragraphs>127</Paragraphs>
  <ScaleCrop>false</ScaleCrop>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Balogh (2407673)</dc:creator>
  <cp:keywords/>
  <dc:description/>
  <cp:lastModifiedBy>Renata Balogh (2407673)</cp:lastModifiedBy>
  <cp:revision>2</cp:revision>
  <dcterms:created xsi:type="dcterms:W3CDTF">2026-10-18T23:32:00Z</dcterms:created>
  <dcterms:modified xsi:type="dcterms:W3CDTF">2026-10-18T23:32:00Z</dcterms:modified>
</cp:coreProperties>
</file>