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D1D0E" w14:textId="41E8458A" w:rsidR="001770A7" w:rsidRDefault="001770A7" w:rsidP="00CA0916">
      <w:pPr>
        <w:pBdr>
          <w:bottom w:val="single" w:sz="4" w:space="1" w:color="auto"/>
        </w:pBdr>
        <w:jc w:val="center"/>
        <w:rPr>
          <w:b/>
          <w:bCs/>
          <w:sz w:val="32"/>
          <w:szCs w:val="32"/>
        </w:rPr>
      </w:pPr>
      <w:r>
        <w:rPr>
          <w:b/>
          <w:bCs/>
          <w:sz w:val="32"/>
          <w:szCs w:val="32"/>
        </w:rPr>
        <w:t>Kristine Holtere</w:t>
      </w:r>
    </w:p>
    <w:p w14:paraId="06C088F1" w14:textId="2972487E" w:rsidR="001770A7" w:rsidRDefault="001770A7" w:rsidP="00CA0916">
      <w:pPr>
        <w:pBdr>
          <w:bottom w:val="single" w:sz="4" w:space="1" w:color="auto"/>
        </w:pBdr>
        <w:jc w:val="center"/>
        <w:rPr>
          <w:b/>
          <w:bCs/>
          <w:sz w:val="32"/>
          <w:szCs w:val="32"/>
        </w:rPr>
      </w:pPr>
      <w:r>
        <w:rPr>
          <w:b/>
          <w:bCs/>
          <w:sz w:val="32"/>
          <w:szCs w:val="32"/>
        </w:rPr>
        <w:t>2235440</w:t>
      </w:r>
    </w:p>
    <w:p w14:paraId="2053C7E4" w14:textId="3401D1C7" w:rsidR="001770A7" w:rsidRDefault="001770A7" w:rsidP="00CA0916">
      <w:pPr>
        <w:pBdr>
          <w:bottom w:val="single" w:sz="4" w:space="1" w:color="auto"/>
        </w:pBdr>
        <w:jc w:val="center"/>
        <w:rPr>
          <w:b/>
          <w:bCs/>
          <w:sz w:val="32"/>
          <w:szCs w:val="32"/>
        </w:rPr>
      </w:pPr>
      <w:r>
        <w:rPr>
          <w:b/>
          <w:bCs/>
          <w:sz w:val="32"/>
          <w:szCs w:val="32"/>
        </w:rPr>
        <w:t>Fire Safety in the Hotel Industry</w:t>
      </w:r>
    </w:p>
    <w:p w14:paraId="44D99E14" w14:textId="38C37CCA" w:rsidR="001770A7" w:rsidRDefault="001770A7" w:rsidP="00CA0916">
      <w:pPr>
        <w:pBdr>
          <w:bottom w:val="single" w:sz="4" w:space="1" w:color="auto"/>
        </w:pBdr>
        <w:jc w:val="center"/>
        <w:rPr>
          <w:b/>
          <w:bCs/>
          <w:sz w:val="32"/>
          <w:szCs w:val="32"/>
        </w:rPr>
      </w:pPr>
      <w:r>
        <w:rPr>
          <w:b/>
          <w:bCs/>
          <w:sz w:val="32"/>
          <w:szCs w:val="32"/>
        </w:rPr>
        <w:t>Deborah Lloyd</w:t>
      </w:r>
    </w:p>
    <w:p w14:paraId="3E9725E7" w14:textId="53047010" w:rsidR="001770A7" w:rsidRDefault="001770A7" w:rsidP="00CA0916">
      <w:pPr>
        <w:pBdr>
          <w:bottom w:val="single" w:sz="4" w:space="1" w:color="auto"/>
        </w:pBdr>
        <w:jc w:val="center"/>
        <w:rPr>
          <w:b/>
          <w:bCs/>
          <w:sz w:val="32"/>
          <w:szCs w:val="32"/>
        </w:rPr>
      </w:pPr>
      <w:r>
        <w:rPr>
          <w:b/>
          <w:bCs/>
          <w:sz w:val="32"/>
          <w:szCs w:val="32"/>
        </w:rPr>
        <w:t>22.02.2023</w:t>
      </w:r>
    </w:p>
    <w:p w14:paraId="6C4BF39F" w14:textId="5057DC7A" w:rsidR="001770A7" w:rsidRDefault="001770A7" w:rsidP="00CA0916">
      <w:pPr>
        <w:pBdr>
          <w:bottom w:val="single" w:sz="4" w:space="1" w:color="auto"/>
        </w:pBdr>
        <w:jc w:val="center"/>
        <w:rPr>
          <w:b/>
          <w:bCs/>
          <w:sz w:val="32"/>
          <w:szCs w:val="32"/>
        </w:rPr>
      </w:pPr>
      <w:r>
        <w:rPr>
          <w:b/>
          <w:bCs/>
          <w:sz w:val="32"/>
          <w:szCs w:val="32"/>
        </w:rPr>
        <w:t>409</w:t>
      </w:r>
    </w:p>
    <w:p w14:paraId="327DF1EC" w14:textId="10304924" w:rsidR="001770A7" w:rsidRDefault="001770A7">
      <w:pPr>
        <w:spacing w:after="160" w:line="259" w:lineRule="auto"/>
        <w:jc w:val="left"/>
        <w:rPr>
          <w:b/>
          <w:bCs/>
          <w:sz w:val="32"/>
          <w:szCs w:val="32"/>
        </w:rPr>
      </w:pPr>
      <w:r>
        <w:rPr>
          <w:b/>
          <w:bCs/>
          <w:sz w:val="32"/>
          <w:szCs w:val="32"/>
        </w:rPr>
        <w:br w:type="page"/>
      </w:r>
    </w:p>
    <w:p w14:paraId="2453900A" w14:textId="77777777" w:rsidR="00880385" w:rsidRDefault="00880385" w:rsidP="00CA0916">
      <w:pPr>
        <w:pBdr>
          <w:bottom w:val="single" w:sz="4" w:space="1" w:color="auto"/>
        </w:pBdr>
        <w:jc w:val="center"/>
        <w:rPr>
          <w:b/>
          <w:bCs/>
          <w:sz w:val="32"/>
          <w:szCs w:val="32"/>
        </w:rPr>
      </w:pPr>
    </w:p>
    <w:p w14:paraId="6DFB78C2" w14:textId="77777777" w:rsidR="00880385" w:rsidRDefault="00880385" w:rsidP="00CA0916">
      <w:pPr>
        <w:pBdr>
          <w:bottom w:val="single" w:sz="4" w:space="1" w:color="auto"/>
        </w:pBdr>
        <w:jc w:val="center"/>
        <w:rPr>
          <w:b/>
          <w:bCs/>
          <w:sz w:val="32"/>
          <w:szCs w:val="32"/>
        </w:rPr>
      </w:pPr>
    </w:p>
    <w:p w14:paraId="3D61DDCB" w14:textId="77777777" w:rsidR="00880385" w:rsidRDefault="00880385" w:rsidP="00CA0916">
      <w:pPr>
        <w:pBdr>
          <w:bottom w:val="single" w:sz="4" w:space="1" w:color="auto"/>
        </w:pBdr>
        <w:jc w:val="center"/>
        <w:rPr>
          <w:b/>
          <w:bCs/>
          <w:sz w:val="32"/>
          <w:szCs w:val="32"/>
        </w:rPr>
      </w:pPr>
    </w:p>
    <w:p w14:paraId="397814EB" w14:textId="77777777" w:rsidR="00880385" w:rsidRDefault="00880385" w:rsidP="00CA0916">
      <w:pPr>
        <w:pBdr>
          <w:bottom w:val="single" w:sz="4" w:space="1" w:color="auto"/>
        </w:pBdr>
        <w:jc w:val="center"/>
        <w:rPr>
          <w:b/>
          <w:bCs/>
          <w:sz w:val="32"/>
          <w:szCs w:val="32"/>
        </w:rPr>
      </w:pPr>
    </w:p>
    <w:p w14:paraId="04AC27BE" w14:textId="6E8683B8" w:rsidR="00CA0916" w:rsidRPr="007A6404" w:rsidRDefault="00CA0916" w:rsidP="00CA0916">
      <w:pPr>
        <w:pBdr>
          <w:bottom w:val="single" w:sz="4" w:space="1" w:color="auto"/>
        </w:pBdr>
        <w:jc w:val="center"/>
        <w:rPr>
          <w:b/>
          <w:bCs/>
          <w:sz w:val="32"/>
          <w:szCs w:val="32"/>
        </w:rPr>
      </w:pPr>
      <w:r w:rsidRPr="007A6404">
        <w:rPr>
          <w:b/>
          <w:bCs/>
          <w:sz w:val="32"/>
          <w:szCs w:val="32"/>
        </w:rPr>
        <w:t>BMIH4001 Business Skills for the International Hotel Industry</w:t>
      </w:r>
    </w:p>
    <w:p w14:paraId="407D0A12" w14:textId="3039FA59" w:rsidR="00297226" w:rsidRDefault="00297226" w:rsidP="00CA0916">
      <w:r>
        <w:br w:type="page"/>
      </w:r>
    </w:p>
    <w:p w14:paraId="5E4B3BB0" w14:textId="77777777" w:rsidR="00297226" w:rsidRPr="00297226" w:rsidRDefault="00297226" w:rsidP="00297226">
      <w:pPr>
        <w:pStyle w:val="Heading1"/>
        <w:jc w:val="center"/>
        <w:rPr>
          <w:lang w:val="en-IN"/>
        </w:rPr>
      </w:pPr>
      <w:r w:rsidRPr="00297226">
        <w:lastRenderedPageBreak/>
        <w:t>Legal Issues - Fire safety in the hotel industry</w:t>
      </w:r>
    </w:p>
    <w:p w14:paraId="63B480A3" w14:textId="279BD464" w:rsidR="00297226" w:rsidRPr="00297226" w:rsidRDefault="00297226" w:rsidP="00297226">
      <w:pPr>
        <w:pStyle w:val="NormalWeb"/>
        <w:spacing w:before="0" w:beforeAutospacing="0" w:after="0" w:afterAutospacing="0" w:line="360" w:lineRule="auto"/>
      </w:pPr>
      <w:r w:rsidRPr="00297226">
        <w:rPr>
          <w:color w:val="000000"/>
        </w:rPr>
        <w:t>Any business in any sector faces different legal risks that affect the operation of the business. The hospitality industry has to follow some legislation regarding safety within hotels. Safety measures need to be taken by the hotel staff in order to keep the safety of the guest, staff and hotel. Otherwise, they might have to face legal risks which can affect the operations of the hotel. Fire safety in the hospitality industry will be discussed by understanding key legislation that affects the operation of Hilton Hotels.  </w:t>
      </w:r>
    </w:p>
    <w:p w14:paraId="1EB7E674" w14:textId="072B938D" w:rsidR="00297226" w:rsidRPr="00297226" w:rsidRDefault="00297226" w:rsidP="00297226">
      <w:pPr>
        <w:pStyle w:val="NormalWeb"/>
        <w:spacing w:before="0" w:beforeAutospacing="0" w:after="0" w:afterAutospacing="0" w:line="360" w:lineRule="auto"/>
      </w:pPr>
      <w:r w:rsidRPr="00297226">
        <w:rPr>
          <w:color w:val="000000"/>
        </w:rPr>
        <w:t xml:space="preserve">Like other sectors, fire safety is one of the important measures for the hospitality sector. A hotel needs to keep the safety of its guests as well as the staff. Hotels should keep </w:t>
      </w:r>
      <w:r w:rsidR="007B3D9A" w:rsidRPr="00297226">
        <w:rPr>
          <w:color w:val="000000"/>
        </w:rPr>
        <w:t>firefighting</w:t>
      </w:r>
      <w:r w:rsidRPr="00297226">
        <w:rPr>
          <w:color w:val="000000"/>
        </w:rPr>
        <w:t xml:space="preserve"> equipment and smoke detector alarms. Electrical safety is quite an essential safety measure in the hospitality industry. Some fire safety measures that should be implemented in the industry include having working smoke detectors, creating and practising an evacuation plan, ensuring fire exits are clearly marked and unobstructed, maintaining fire suppression systems, conducting regular fire safety inspections and training employees on fire safety procedures</w:t>
      </w:r>
      <w:r w:rsidR="00DD3D88">
        <w:rPr>
          <w:color w:val="000000"/>
        </w:rPr>
        <w:t xml:space="preserve"> </w:t>
      </w:r>
      <w:sdt>
        <w:sdtPr>
          <w:rPr>
            <w:color w:val="000000"/>
          </w:rPr>
          <w:id w:val="-977685443"/>
          <w:citation/>
        </w:sdtPr>
        <w:sdtContent>
          <w:r w:rsidR="00DD3D88">
            <w:rPr>
              <w:color w:val="000000"/>
            </w:rPr>
            <w:fldChar w:fldCharType="begin"/>
          </w:r>
          <w:r w:rsidR="00DD3D88">
            <w:rPr>
              <w:color w:val="000000"/>
            </w:rPr>
            <w:instrText xml:space="preserve"> CITATION Ste211 \l 16393 </w:instrText>
          </w:r>
          <w:r w:rsidR="00DD3D88">
            <w:rPr>
              <w:color w:val="000000"/>
            </w:rPr>
            <w:fldChar w:fldCharType="separate"/>
          </w:r>
          <w:r w:rsidR="00DD3D88" w:rsidRPr="00DD3D88">
            <w:rPr>
              <w:noProof/>
              <w:color w:val="000000"/>
            </w:rPr>
            <w:t>(Steen-Hansen, et al., 2021)</w:t>
          </w:r>
          <w:r w:rsidR="00DD3D88">
            <w:rPr>
              <w:color w:val="000000"/>
            </w:rPr>
            <w:fldChar w:fldCharType="end"/>
          </w:r>
        </w:sdtContent>
      </w:sdt>
      <w:r w:rsidRPr="00297226">
        <w:rPr>
          <w:color w:val="000000"/>
        </w:rPr>
        <w:t>. It is also important to comply with local fire codes and regulations and to have a designated individual or team responsible for managing fire safety. Hilton hotel has a head start in safety. The hotels of Hilton are quite busy for travellers. The management of the brand strives towards the highest standards and they are often recognised as being one of the most proactive and best hospitality groups in terms of security and safety</w:t>
      </w:r>
      <w:r w:rsidR="00EC7EB3">
        <w:rPr>
          <w:color w:val="000000"/>
        </w:rPr>
        <w:t xml:space="preserve"> </w:t>
      </w:r>
      <w:sdt>
        <w:sdtPr>
          <w:rPr>
            <w:color w:val="000000"/>
          </w:rPr>
          <w:id w:val="2129655749"/>
          <w:citation/>
        </w:sdtPr>
        <w:sdtContent>
          <w:r w:rsidR="00EC7EB3">
            <w:rPr>
              <w:color w:val="000000"/>
            </w:rPr>
            <w:fldChar w:fldCharType="begin"/>
          </w:r>
          <w:r w:rsidR="00EC7EB3">
            <w:rPr>
              <w:color w:val="000000"/>
            </w:rPr>
            <w:instrText xml:space="preserve"> CITATION esg22 \l 16393 </w:instrText>
          </w:r>
          <w:r w:rsidR="00EC7EB3">
            <w:rPr>
              <w:color w:val="000000"/>
            </w:rPr>
            <w:fldChar w:fldCharType="separate"/>
          </w:r>
          <w:r w:rsidR="00EC7EB3" w:rsidRPr="00EC7EB3">
            <w:rPr>
              <w:noProof/>
              <w:color w:val="000000"/>
            </w:rPr>
            <w:t>(esg.hilton, 2022)</w:t>
          </w:r>
          <w:r w:rsidR="00EC7EB3">
            <w:rPr>
              <w:color w:val="000000"/>
            </w:rPr>
            <w:fldChar w:fldCharType="end"/>
          </w:r>
        </w:sdtContent>
      </w:sdt>
      <w:r w:rsidRPr="00297226">
        <w:rPr>
          <w:color w:val="000000"/>
        </w:rPr>
        <w:t>. </w:t>
      </w:r>
    </w:p>
    <w:p w14:paraId="608D3C1C" w14:textId="77777777" w:rsidR="00DE68C2" w:rsidRDefault="00297226" w:rsidP="00297226">
      <w:pPr>
        <w:pStyle w:val="NormalWeb"/>
        <w:spacing w:before="0" w:beforeAutospacing="0" w:after="0" w:afterAutospacing="0" w:line="360" w:lineRule="auto"/>
        <w:rPr>
          <w:color w:val="000000"/>
        </w:rPr>
      </w:pPr>
      <w:r w:rsidRPr="00297226">
        <w:rPr>
          <w:color w:val="000000"/>
        </w:rPr>
        <w:t xml:space="preserve">There are several legal issues related to fire safety in the hospitality industry. One of the primary legal concerns is compliance with fire codes and regulations established by local authorities and </w:t>
      </w:r>
      <w:r w:rsidRPr="00EC7EB3">
        <w:rPr>
          <w:b/>
          <w:bCs/>
          <w:color w:val="000000"/>
        </w:rPr>
        <w:t>Occupational Safety and Health Administration (OSHA).</w:t>
      </w:r>
      <w:r w:rsidRPr="00297226">
        <w:rPr>
          <w:color w:val="000000"/>
        </w:rPr>
        <w:t xml:space="preserve"> These regulations may include requirements for fire alarm systems, sprinkles, fire extinguishers and other fire suppression equipment. The hotel may face liability if they fail to provide a safe environment for guests and employees</w:t>
      </w:r>
      <w:r w:rsidR="0074769A">
        <w:rPr>
          <w:color w:val="000000"/>
        </w:rPr>
        <w:t xml:space="preserve"> </w:t>
      </w:r>
      <w:sdt>
        <w:sdtPr>
          <w:rPr>
            <w:color w:val="000000"/>
          </w:rPr>
          <w:id w:val="1354151123"/>
          <w:citation/>
        </w:sdtPr>
        <w:sdtContent>
          <w:r w:rsidR="0074769A">
            <w:rPr>
              <w:color w:val="000000"/>
            </w:rPr>
            <w:fldChar w:fldCharType="begin"/>
          </w:r>
          <w:r w:rsidR="0074769A">
            <w:rPr>
              <w:color w:val="000000"/>
            </w:rPr>
            <w:instrText xml:space="preserve"> CITATION Min19 \l 16393 </w:instrText>
          </w:r>
          <w:r w:rsidR="0074769A">
            <w:rPr>
              <w:color w:val="000000"/>
            </w:rPr>
            <w:fldChar w:fldCharType="separate"/>
          </w:r>
          <w:r w:rsidR="0074769A" w:rsidRPr="0074769A">
            <w:rPr>
              <w:noProof/>
              <w:color w:val="000000"/>
            </w:rPr>
            <w:t>(Min, et al., 2019)</w:t>
          </w:r>
          <w:r w:rsidR="0074769A">
            <w:rPr>
              <w:color w:val="000000"/>
            </w:rPr>
            <w:fldChar w:fldCharType="end"/>
          </w:r>
        </w:sdtContent>
      </w:sdt>
      <w:r w:rsidRPr="00297226">
        <w:rPr>
          <w:color w:val="000000"/>
        </w:rPr>
        <w:t>. This can include failure to properly maintain fire suppression systems or failure to provide adequate fire safety training to employees</w:t>
      </w:r>
      <w:r w:rsidR="00092777">
        <w:rPr>
          <w:color w:val="000000"/>
        </w:rPr>
        <w:t xml:space="preserve"> </w:t>
      </w:r>
      <w:sdt>
        <w:sdtPr>
          <w:rPr>
            <w:color w:val="000000"/>
          </w:rPr>
          <w:id w:val="-1201315140"/>
          <w:citation/>
        </w:sdtPr>
        <w:sdtContent>
          <w:r w:rsidR="00092777">
            <w:rPr>
              <w:color w:val="000000"/>
            </w:rPr>
            <w:fldChar w:fldCharType="begin"/>
          </w:r>
          <w:r w:rsidR="00092777">
            <w:rPr>
              <w:color w:val="000000"/>
            </w:rPr>
            <w:instrText xml:space="preserve"> CITATION Tsa20 \l 16393 </w:instrText>
          </w:r>
          <w:r w:rsidR="00092777">
            <w:rPr>
              <w:color w:val="000000"/>
            </w:rPr>
            <w:fldChar w:fldCharType="separate"/>
          </w:r>
          <w:r w:rsidR="00092777" w:rsidRPr="00092777">
            <w:rPr>
              <w:noProof/>
              <w:color w:val="000000"/>
            </w:rPr>
            <w:t>(Tsai, et al., 2020)</w:t>
          </w:r>
          <w:r w:rsidR="00092777">
            <w:rPr>
              <w:color w:val="000000"/>
            </w:rPr>
            <w:fldChar w:fldCharType="end"/>
          </w:r>
        </w:sdtContent>
      </w:sdt>
      <w:r w:rsidRPr="00297226">
        <w:rPr>
          <w:color w:val="000000"/>
        </w:rPr>
        <w:t>. Negligence or failure to take appropriate action to prevent a fire or properly respond to a fire can result in lawsuits and legal action. Non-compliance with fire safety regulations can result in fines, reputational damage and lawsuits. Hilton Hotels is currently an 18-month passive fire protection project.     </w:t>
      </w:r>
    </w:p>
    <w:p w14:paraId="50423C3E" w14:textId="77777777" w:rsidR="00DE68C2" w:rsidRDefault="00DE68C2">
      <w:pPr>
        <w:spacing w:after="160" w:line="259" w:lineRule="auto"/>
        <w:jc w:val="left"/>
        <w:rPr>
          <w:rFonts w:eastAsia="Times New Roman" w:cs="Times New Roman"/>
          <w:color w:val="000000"/>
          <w:szCs w:val="24"/>
          <w:lang w:val="en-IN" w:eastAsia="en-IN"/>
        </w:rPr>
      </w:pPr>
      <w:r>
        <w:rPr>
          <w:color w:val="000000"/>
        </w:rPr>
        <w:br w:type="page"/>
      </w:r>
    </w:p>
    <w:sdt>
      <w:sdtPr>
        <w:rPr>
          <w:rFonts w:eastAsiaTheme="minorHAnsi" w:cstheme="minorBidi"/>
          <w:b w:val="0"/>
          <w:color w:val="auto"/>
          <w:sz w:val="24"/>
          <w:szCs w:val="22"/>
        </w:rPr>
        <w:id w:val="739292509"/>
        <w:docPartObj>
          <w:docPartGallery w:val="Bibliographies"/>
          <w:docPartUnique/>
        </w:docPartObj>
      </w:sdtPr>
      <w:sdtContent>
        <w:p w14:paraId="673703AC" w14:textId="6E24D4E6" w:rsidR="00DE68C2" w:rsidRDefault="00DE68C2">
          <w:pPr>
            <w:pStyle w:val="Heading1"/>
          </w:pPr>
          <w:r>
            <w:t>References</w:t>
          </w:r>
        </w:p>
        <w:sdt>
          <w:sdtPr>
            <w:id w:val="-573587230"/>
            <w:bibliography/>
          </w:sdtPr>
          <w:sdtContent>
            <w:p w14:paraId="5C0C4F30" w14:textId="77777777" w:rsidR="00DE68C2" w:rsidRDefault="00DE68C2" w:rsidP="00DE68C2">
              <w:pPr>
                <w:pStyle w:val="Bibliography"/>
                <w:rPr>
                  <w:noProof/>
                  <w:szCs w:val="24"/>
                </w:rPr>
              </w:pPr>
              <w:r>
                <w:fldChar w:fldCharType="begin"/>
              </w:r>
              <w:r>
                <w:instrText xml:space="preserve"> BIBLIOGRAPHY </w:instrText>
              </w:r>
              <w:r>
                <w:fldChar w:fldCharType="separate"/>
              </w:r>
              <w:r>
                <w:rPr>
                  <w:noProof/>
                </w:rPr>
                <w:t xml:space="preserve">esg.hilton, 2022. </w:t>
              </w:r>
              <w:r>
                <w:rPr>
                  <w:i/>
                  <w:iCs/>
                  <w:noProof/>
                </w:rPr>
                <w:t xml:space="preserve">GLOBAL SAFETY &amp; SECURITY. </w:t>
              </w:r>
              <w:r>
                <w:rPr>
                  <w:noProof/>
                </w:rPr>
                <w:t xml:space="preserve">[Online] </w:t>
              </w:r>
              <w:r>
                <w:rPr>
                  <w:noProof/>
                </w:rPr>
                <w:br/>
                <w:t xml:space="preserve">Available at: </w:t>
              </w:r>
              <w:r>
                <w:rPr>
                  <w:noProof/>
                  <w:u w:val="single"/>
                </w:rPr>
                <w:t>https://esg.hilton.com/wp-content/uploads/sites/3/2022/06/Saftey-and-Security-Department-Brochure-2022.pdf</w:t>
              </w:r>
              <w:r>
                <w:rPr>
                  <w:noProof/>
                </w:rPr>
                <w:br/>
                <w:t>[Accessed 2023].</w:t>
              </w:r>
            </w:p>
            <w:p w14:paraId="5F46D19B" w14:textId="77777777" w:rsidR="00DE68C2" w:rsidRDefault="00DE68C2" w:rsidP="00DE68C2">
              <w:pPr>
                <w:pStyle w:val="Bibliography"/>
                <w:rPr>
                  <w:noProof/>
                </w:rPr>
              </w:pPr>
              <w:r>
                <w:rPr>
                  <w:noProof/>
                </w:rPr>
                <w:t xml:space="preserve">Min, J. et al., 2019. The fourth industrial revolution and its impact on occupational health and safety, worker's compensation and labor conditions. </w:t>
              </w:r>
              <w:r>
                <w:rPr>
                  <w:i/>
                  <w:iCs/>
                  <w:noProof/>
                </w:rPr>
                <w:t xml:space="preserve">Safety and health at work, </w:t>
              </w:r>
              <w:r>
                <w:rPr>
                  <w:noProof/>
                </w:rPr>
                <w:t>10(4), pp. 400-408.</w:t>
              </w:r>
            </w:p>
            <w:p w14:paraId="3AE41A19" w14:textId="77777777" w:rsidR="00DE68C2" w:rsidRDefault="00DE68C2" w:rsidP="00DE68C2">
              <w:pPr>
                <w:pStyle w:val="Bibliography"/>
                <w:rPr>
                  <w:noProof/>
                </w:rPr>
              </w:pPr>
              <w:r>
                <w:rPr>
                  <w:noProof/>
                </w:rPr>
                <w:t xml:space="preserve">Steen-Hansen, A., Storesund, K. &amp; Sesseng, C., 2021. Learning from fire investigations and research–A Norwegian perspective on moving from a reactive to a proactive fire safety management. </w:t>
              </w:r>
              <w:r>
                <w:rPr>
                  <w:i/>
                  <w:iCs/>
                  <w:noProof/>
                </w:rPr>
                <w:t xml:space="preserve">Fire Safety Journal, </w:t>
              </w:r>
              <w:r>
                <w:rPr>
                  <w:noProof/>
                </w:rPr>
                <w:t>103047(120), p. 2023.</w:t>
              </w:r>
            </w:p>
            <w:p w14:paraId="5BCA1569" w14:textId="77777777" w:rsidR="00DE68C2" w:rsidRDefault="00DE68C2" w:rsidP="00DE68C2">
              <w:pPr>
                <w:pStyle w:val="Bibliography"/>
                <w:rPr>
                  <w:noProof/>
                </w:rPr>
              </w:pPr>
              <w:r>
                <w:rPr>
                  <w:noProof/>
                </w:rPr>
                <w:t xml:space="preserve">Tsai, C., Linliu, S., Chang, R. &amp; Mak, A., 2020. Disaster prevention management in the hotel industry: Hotel disaster prevention literacy. </w:t>
              </w:r>
              <w:r>
                <w:rPr>
                  <w:i/>
                  <w:iCs/>
                  <w:noProof/>
                </w:rPr>
                <w:t xml:space="preserve">Journal of Hospitality and Tourism Management, </w:t>
              </w:r>
              <w:r>
                <w:rPr>
                  <w:noProof/>
                </w:rPr>
                <w:t>Volume 45, pp. 444-455.</w:t>
              </w:r>
            </w:p>
            <w:p w14:paraId="4494D18C" w14:textId="57E7AEAC" w:rsidR="00DE68C2" w:rsidRDefault="00DE68C2" w:rsidP="00DE68C2">
              <w:r>
                <w:rPr>
                  <w:b/>
                  <w:bCs/>
                  <w:noProof/>
                </w:rPr>
                <w:fldChar w:fldCharType="end"/>
              </w:r>
            </w:p>
          </w:sdtContent>
        </w:sdt>
      </w:sdtContent>
    </w:sdt>
    <w:p w14:paraId="10109F93" w14:textId="2547D850" w:rsidR="00297226" w:rsidRDefault="00297226" w:rsidP="00297226">
      <w:pPr>
        <w:pStyle w:val="NormalWeb"/>
        <w:spacing w:before="0" w:beforeAutospacing="0" w:after="0" w:afterAutospacing="0" w:line="360" w:lineRule="auto"/>
      </w:pPr>
      <w:r w:rsidRPr="00297226">
        <w:rPr>
          <w:color w:val="000000"/>
        </w:rPr>
        <w:t>   </w:t>
      </w:r>
      <w:r>
        <w:rPr>
          <w:rFonts w:ascii="Arial" w:hAnsi="Arial" w:cs="Arial"/>
          <w:color w:val="000000"/>
          <w:sz w:val="22"/>
          <w:szCs w:val="22"/>
        </w:rPr>
        <w:t>          </w:t>
      </w:r>
    </w:p>
    <w:p w14:paraId="0C7D6AEE" w14:textId="77777777" w:rsidR="00EA4C56" w:rsidRDefault="00EA4C56"/>
    <w:sectPr w:rsidR="00EA4C5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F88BA" w14:textId="77777777" w:rsidR="0060157B" w:rsidRDefault="0060157B" w:rsidP="006633DF">
      <w:pPr>
        <w:spacing w:line="240" w:lineRule="auto"/>
      </w:pPr>
      <w:r>
        <w:separator/>
      </w:r>
    </w:p>
  </w:endnote>
  <w:endnote w:type="continuationSeparator" w:id="0">
    <w:p w14:paraId="4FFA649C" w14:textId="77777777" w:rsidR="0060157B" w:rsidRDefault="0060157B" w:rsidP="006633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649582"/>
      <w:docPartObj>
        <w:docPartGallery w:val="Page Numbers (Bottom of Page)"/>
        <w:docPartUnique/>
      </w:docPartObj>
    </w:sdtPr>
    <w:sdtEndPr>
      <w:rPr>
        <w:noProof/>
      </w:rPr>
    </w:sdtEndPr>
    <w:sdtContent>
      <w:p w14:paraId="6987F739" w14:textId="265C3E34" w:rsidR="006633DF" w:rsidRDefault="006633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CA029" w14:textId="77777777" w:rsidR="006633DF" w:rsidRDefault="00663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A6E75" w14:textId="77777777" w:rsidR="0060157B" w:rsidRDefault="0060157B" w:rsidP="006633DF">
      <w:pPr>
        <w:spacing w:line="240" w:lineRule="auto"/>
      </w:pPr>
      <w:r>
        <w:separator/>
      </w:r>
    </w:p>
  </w:footnote>
  <w:footnote w:type="continuationSeparator" w:id="0">
    <w:p w14:paraId="1CE0ABE1" w14:textId="77777777" w:rsidR="0060157B" w:rsidRDefault="0060157B" w:rsidP="006633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226"/>
    <w:rsid w:val="00092777"/>
    <w:rsid w:val="001770A7"/>
    <w:rsid w:val="00297226"/>
    <w:rsid w:val="0060157B"/>
    <w:rsid w:val="006633DF"/>
    <w:rsid w:val="0074769A"/>
    <w:rsid w:val="007A6404"/>
    <w:rsid w:val="007B3D9A"/>
    <w:rsid w:val="00880385"/>
    <w:rsid w:val="00CA0916"/>
    <w:rsid w:val="00D40416"/>
    <w:rsid w:val="00DD3D88"/>
    <w:rsid w:val="00DE68C2"/>
    <w:rsid w:val="00EA4C56"/>
    <w:rsid w:val="00EC7E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A9FEA"/>
  <w15:chartTrackingRefBased/>
  <w15:docId w15:val="{2C8F399C-3481-4608-B328-780515A6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226"/>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7226"/>
    <w:pPr>
      <w:keepNext/>
      <w:keepLines/>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7226"/>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297226"/>
    <w:rPr>
      <w:rFonts w:ascii="Times New Roman" w:eastAsiaTheme="majorEastAsia" w:hAnsi="Times New Roman" w:cstheme="majorBidi"/>
      <w:b/>
      <w:color w:val="2F5496" w:themeColor="accent1" w:themeShade="BF"/>
      <w:sz w:val="28"/>
      <w:szCs w:val="32"/>
      <w:lang w:val="en-GB"/>
    </w:rPr>
  </w:style>
  <w:style w:type="paragraph" w:styleId="Header">
    <w:name w:val="header"/>
    <w:basedOn w:val="Normal"/>
    <w:link w:val="HeaderChar"/>
    <w:uiPriority w:val="99"/>
    <w:unhideWhenUsed/>
    <w:rsid w:val="006633DF"/>
    <w:pPr>
      <w:tabs>
        <w:tab w:val="center" w:pos="4513"/>
        <w:tab w:val="right" w:pos="9026"/>
      </w:tabs>
      <w:spacing w:line="240" w:lineRule="auto"/>
    </w:pPr>
  </w:style>
  <w:style w:type="character" w:customStyle="1" w:styleId="HeaderChar">
    <w:name w:val="Header Char"/>
    <w:basedOn w:val="DefaultParagraphFont"/>
    <w:link w:val="Header"/>
    <w:uiPriority w:val="99"/>
    <w:rsid w:val="006633DF"/>
    <w:rPr>
      <w:rFonts w:ascii="Times New Roman" w:hAnsi="Times New Roman"/>
      <w:sz w:val="24"/>
      <w:lang w:val="en-GB"/>
    </w:rPr>
  </w:style>
  <w:style w:type="paragraph" w:styleId="Footer">
    <w:name w:val="footer"/>
    <w:basedOn w:val="Normal"/>
    <w:link w:val="FooterChar"/>
    <w:uiPriority w:val="99"/>
    <w:unhideWhenUsed/>
    <w:rsid w:val="006633DF"/>
    <w:pPr>
      <w:tabs>
        <w:tab w:val="center" w:pos="4513"/>
        <w:tab w:val="right" w:pos="9026"/>
      </w:tabs>
      <w:spacing w:line="240" w:lineRule="auto"/>
    </w:pPr>
  </w:style>
  <w:style w:type="character" w:customStyle="1" w:styleId="FooterChar">
    <w:name w:val="Footer Char"/>
    <w:basedOn w:val="DefaultParagraphFont"/>
    <w:link w:val="Footer"/>
    <w:uiPriority w:val="99"/>
    <w:rsid w:val="006633DF"/>
    <w:rPr>
      <w:rFonts w:ascii="Times New Roman" w:hAnsi="Times New Roman"/>
      <w:sz w:val="24"/>
      <w:lang w:val="en-GB"/>
    </w:rPr>
  </w:style>
  <w:style w:type="paragraph" w:styleId="Bibliography">
    <w:name w:val="Bibliography"/>
    <w:basedOn w:val="Normal"/>
    <w:next w:val="Normal"/>
    <w:uiPriority w:val="37"/>
    <w:unhideWhenUsed/>
    <w:rsid w:val="00DE6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375779">
      <w:bodyDiv w:val="1"/>
      <w:marLeft w:val="0"/>
      <w:marRight w:val="0"/>
      <w:marTop w:val="0"/>
      <w:marBottom w:val="0"/>
      <w:divBdr>
        <w:top w:val="none" w:sz="0" w:space="0" w:color="auto"/>
        <w:left w:val="none" w:sz="0" w:space="0" w:color="auto"/>
        <w:bottom w:val="none" w:sz="0" w:space="0" w:color="auto"/>
        <w:right w:val="none" w:sz="0" w:space="0" w:color="auto"/>
      </w:divBdr>
    </w:div>
    <w:div w:id="1444884694">
      <w:bodyDiv w:val="1"/>
      <w:marLeft w:val="0"/>
      <w:marRight w:val="0"/>
      <w:marTop w:val="0"/>
      <w:marBottom w:val="0"/>
      <w:divBdr>
        <w:top w:val="none" w:sz="0" w:space="0" w:color="auto"/>
        <w:left w:val="none" w:sz="0" w:space="0" w:color="auto"/>
        <w:bottom w:val="none" w:sz="0" w:space="0" w:color="auto"/>
        <w:right w:val="none" w:sz="0" w:space="0" w:color="auto"/>
      </w:divBdr>
    </w:div>
    <w:div w:id="1666010448">
      <w:bodyDiv w:val="1"/>
      <w:marLeft w:val="0"/>
      <w:marRight w:val="0"/>
      <w:marTop w:val="0"/>
      <w:marBottom w:val="0"/>
      <w:divBdr>
        <w:top w:val="none" w:sz="0" w:space="0" w:color="auto"/>
        <w:left w:val="none" w:sz="0" w:space="0" w:color="auto"/>
        <w:bottom w:val="none" w:sz="0" w:space="0" w:color="auto"/>
        <w:right w:val="none" w:sz="0" w:space="0" w:color="auto"/>
      </w:divBdr>
    </w:div>
    <w:div w:id="1813326529">
      <w:bodyDiv w:val="1"/>
      <w:marLeft w:val="0"/>
      <w:marRight w:val="0"/>
      <w:marTop w:val="0"/>
      <w:marBottom w:val="0"/>
      <w:divBdr>
        <w:top w:val="none" w:sz="0" w:space="0" w:color="auto"/>
        <w:left w:val="none" w:sz="0" w:space="0" w:color="auto"/>
        <w:bottom w:val="none" w:sz="0" w:space="0" w:color="auto"/>
        <w:right w:val="none" w:sz="0" w:space="0" w:color="auto"/>
      </w:divBdr>
    </w:div>
    <w:div w:id="1852211081">
      <w:bodyDiv w:val="1"/>
      <w:marLeft w:val="0"/>
      <w:marRight w:val="0"/>
      <w:marTop w:val="0"/>
      <w:marBottom w:val="0"/>
      <w:divBdr>
        <w:top w:val="none" w:sz="0" w:space="0" w:color="auto"/>
        <w:left w:val="none" w:sz="0" w:space="0" w:color="auto"/>
        <w:bottom w:val="none" w:sz="0" w:space="0" w:color="auto"/>
        <w:right w:val="none" w:sz="0" w:space="0" w:color="auto"/>
      </w:divBdr>
    </w:div>
    <w:div w:id="202100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Ste211</b:Tag>
    <b:SourceType>JournalArticle</b:SourceType>
    <b:Guid>{1A64EC28-EC0A-410D-9683-5E50DC39FF30}</b:Guid>
    <b:Author>
      <b:Author>
        <b:NameList>
          <b:Person>
            <b:Last>Steen-Hansen</b:Last>
            <b:First>A.</b:First>
          </b:Person>
          <b:Person>
            <b:Last>Storesund</b:Last>
            <b:First>K.</b:First>
          </b:Person>
          <b:Person>
            <b:Last>Sesseng</b:Last>
            <b:First>C.</b:First>
          </b:Person>
        </b:NameList>
      </b:Author>
    </b:Author>
    <b:Title>Learning from fire investigations and research–A Norwegian perspective on moving from a reactive to a proactive fire safety management</b:Title>
    <b:JournalName>Fire Safety Journal</b:JournalName>
    <b:Year>2021</b:Year>
    <b:Pages>2023</b:Pages>
    <b:Volume>103047</b:Volume>
    <b:Issue>120</b:Issue>
    <b:RefOrder>1</b:RefOrder>
  </b:Source>
  <b:Source>
    <b:Tag>esg22</b:Tag>
    <b:SourceType>InternetSite</b:SourceType>
    <b:Guid>{A9014D90-7C7D-482D-A1C6-D59CE1EEAF5E}</b:Guid>
    <b:Title>GLOBAL SAFETY &amp; SECURITY</b:Title>
    <b:Year>2022</b:Year>
    <b:Author>
      <b:Author>
        <b:Corporate>esg.hilton</b:Corporate>
      </b:Author>
    </b:Author>
    <b:YearAccessed>2023</b:YearAccessed>
    <b:URL>https://esg.hilton.com/wp-content/uploads/sites/3/2022/06/Saftey-and-Security-Department-Brochure-2022.pdf</b:URL>
    <b:RefOrder>2</b:RefOrder>
  </b:Source>
  <b:Source>
    <b:Tag>Min19</b:Tag>
    <b:SourceType>JournalArticle</b:SourceType>
    <b:Guid>{BB1A6DCD-90FB-4FB7-B79E-26E077B77A00}</b:Guid>
    <b:Title>The fourth industrial revolution and its impact on occupational health and safety, worker's compensation and labor conditions</b:Title>
    <b:Year>2019</b:Year>
    <b:Author>
      <b:Author>
        <b:NameList>
          <b:Person>
            <b:Last>Min</b:Last>
            <b:First>J.</b:First>
          </b:Person>
          <b:Person>
            <b:Last>Kim</b:Last>
            <b:First>Y.</b:First>
          </b:Person>
          <b:Person>
            <b:Last>Lee</b:Last>
            <b:First>S.</b:First>
          </b:Person>
          <b:Person>
            <b:Last>Jang</b:Last>
            <b:First>T.W.</b:First>
          </b:Person>
          <b:Person>
            <b:Last>Kim</b:Last>
            <b:First>I.</b:First>
          </b:Person>
          <b:Person>
            <b:Last>Song</b:Last>
            <b:First>J.</b:First>
          </b:Person>
        </b:NameList>
      </b:Author>
    </b:Author>
    <b:JournalName>Safety and health at work</b:JournalName>
    <b:Pages>400-408</b:Pages>
    <b:Volume>10</b:Volume>
    <b:Issue>4</b:Issue>
    <b:RefOrder>3</b:RefOrder>
  </b:Source>
  <b:Source>
    <b:Tag>Tsa20</b:Tag>
    <b:SourceType>JournalArticle</b:SourceType>
    <b:Guid>{64AA8A55-B7BF-42F9-B48A-A0BBC4582A0A}</b:Guid>
    <b:Author>
      <b:Author>
        <b:NameList>
          <b:Person>
            <b:Last>Tsai</b:Last>
            <b:First>C.H.</b:First>
          </b:Person>
          <b:Person>
            <b:Last>Linliu</b:Last>
            <b:First>S.C.</b:First>
          </b:Person>
          <b:Person>
            <b:Last>Chang</b:Last>
            <b:First>R.C.</b:First>
          </b:Person>
          <b:Person>
            <b:Last>Mak</b:Last>
            <b:First>A.H.</b:First>
          </b:Person>
        </b:NameList>
      </b:Author>
    </b:Author>
    <b:Title>Disaster prevention management in the hotel industry: Hotel disaster prevention literacy</b:Title>
    <b:JournalName>Journal of Hospitality and Tourism Management</b:JournalName>
    <b:Year>2020</b:Year>
    <b:Pages>444-455</b:Pages>
    <b:Volume>45</b:Volume>
    <b:RefOrder>4</b:RefOrder>
  </b:Source>
</b:Sources>
</file>

<file path=customXml/itemProps1.xml><?xml version="1.0" encoding="utf-8"?>
<ds:datastoreItem xmlns:ds="http://schemas.openxmlformats.org/officeDocument/2006/customXml" ds:itemID="{2F9CCF38-C1E9-42BA-AF25-A7E1E4B3B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575</Words>
  <Characters>3281</Characters>
  <Application>Microsoft Office Word</Application>
  <DocSecurity>0</DocSecurity>
  <Lines>27</Lines>
  <Paragraphs>7</Paragraphs>
  <ScaleCrop>false</ScaleCrop>
  <Company/>
  <LinksUpToDate>false</LinksUpToDate>
  <CharactersWithSpaces>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Soumallya Roy</dc:creator>
  <cp:keywords/>
  <dc:description/>
  <cp:lastModifiedBy>Kristine Holtere (2235440)</cp:lastModifiedBy>
  <cp:revision>15</cp:revision>
  <dcterms:created xsi:type="dcterms:W3CDTF">2023-02-14T05:35:00Z</dcterms:created>
  <dcterms:modified xsi:type="dcterms:W3CDTF">2023-02-22T07:20:00Z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165aed0b-e736-4c19-86eb-a770422cb934</vt:lpwstr>
  </property>
</Properties>
</file>