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4252AF" wp14:paraId="5E5787A5" wp14:textId="5C108326">
      <w:pPr>
        <w:jc w:val="center"/>
        <w:rPr>
          <w:rFonts w:ascii="Arial" w:hAnsi="Arial" w:eastAsia="Arial" w:cs="Arial" w:asciiTheme="minorAscii" w:hAnsiTheme="minorAscii" w:eastAsiaTheme="minorAscii" w:cstheme="minorAscii"/>
          <w:sz w:val="22"/>
          <w:szCs w:val="22"/>
        </w:rPr>
      </w:pPr>
      <w:r w:rsidRPr="5B4252AF" w:rsidR="409992C7">
        <w:rPr>
          <w:rFonts w:ascii="Arial" w:hAnsi="Arial" w:eastAsia="Arial" w:cs="Arial" w:asciiTheme="minorAscii" w:hAnsiTheme="minorAscii" w:eastAsiaTheme="minorAscii" w:cstheme="minorAscii"/>
          <w:sz w:val="22"/>
          <w:szCs w:val="22"/>
        </w:rPr>
        <w:t xml:space="preserve">Student Name: Gurdith Barkar </w:t>
      </w:r>
    </w:p>
    <w:p w:rsidR="409992C7" w:rsidP="5B4252AF" w:rsidRDefault="409992C7" w14:paraId="2835D9F2" w14:textId="4479A4D2">
      <w:pPr>
        <w:jc w:val="center"/>
        <w:rPr>
          <w:rFonts w:ascii="Arial" w:hAnsi="Arial" w:eastAsia="Arial" w:cs="Arial" w:asciiTheme="minorAscii" w:hAnsiTheme="minorAscii" w:eastAsiaTheme="minorAscii" w:cstheme="minorAscii"/>
          <w:sz w:val="22"/>
          <w:szCs w:val="22"/>
        </w:rPr>
      </w:pPr>
      <w:r w:rsidRPr="5B4252AF" w:rsidR="409992C7">
        <w:rPr>
          <w:rFonts w:ascii="Arial" w:hAnsi="Arial" w:eastAsia="Arial" w:cs="Arial" w:asciiTheme="minorAscii" w:hAnsiTheme="minorAscii" w:eastAsiaTheme="minorAscii" w:cstheme="minorAscii"/>
          <w:sz w:val="22"/>
          <w:szCs w:val="22"/>
        </w:rPr>
        <w:t>Student number: 2506015</w:t>
      </w:r>
    </w:p>
    <w:p w:rsidR="409992C7" w:rsidP="5B4252AF" w:rsidRDefault="409992C7" w14:paraId="0090F2EC" w14:textId="24A73C49">
      <w:pPr>
        <w:jc w:val="center"/>
        <w:rPr>
          <w:rFonts w:ascii="Arial" w:hAnsi="Arial" w:eastAsia="Arial" w:cs="Arial" w:asciiTheme="minorAscii" w:hAnsiTheme="minorAscii" w:eastAsiaTheme="minorAscii" w:cstheme="minorAscii"/>
          <w:sz w:val="22"/>
          <w:szCs w:val="22"/>
        </w:rPr>
      </w:pPr>
      <w:r w:rsidRPr="5B4252AF" w:rsidR="409992C7">
        <w:rPr>
          <w:rFonts w:ascii="Arial" w:hAnsi="Arial" w:eastAsia="Arial" w:cs="Arial" w:asciiTheme="minorAscii" w:hAnsiTheme="minorAscii" w:eastAsiaTheme="minorAscii" w:cstheme="minorAscii"/>
          <w:sz w:val="22"/>
          <w:szCs w:val="22"/>
        </w:rPr>
        <w:t>Module Code: LCHS4008</w:t>
      </w:r>
    </w:p>
    <w:p w:rsidR="409992C7" w:rsidP="5B4252AF" w:rsidRDefault="409992C7" w14:paraId="0714AAE9" w14:textId="6232E7D6">
      <w:pPr>
        <w:jc w:val="center"/>
        <w:rPr>
          <w:rFonts w:ascii="Arial" w:hAnsi="Arial" w:eastAsia="Arial" w:cs="Arial" w:asciiTheme="minorAscii" w:hAnsiTheme="minorAscii" w:eastAsiaTheme="minorAscii" w:cstheme="minorAscii"/>
          <w:sz w:val="22"/>
          <w:szCs w:val="22"/>
        </w:rPr>
      </w:pPr>
      <w:r w:rsidRPr="5B4252AF" w:rsidR="409992C7">
        <w:rPr>
          <w:rFonts w:ascii="Arial" w:hAnsi="Arial" w:eastAsia="Arial" w:cs="Arial" w:asciiTheme="minorAscii" w:hAnsiTheme="minorAscii" w:eastAsiaTheme="minorAscii" w:cstheme="minorAscii"/>
          <w:sz w:val="22"/>
          <w:szCs w:val="22"/>
        </w:rPr>
        <w:t>Title</w:t>
      </w:r>
      <w:r w:rsidRPr="5B4252AF" w:rsidR="409992C7">
        <w:rPr>
          <w:rFonts w:ascii="Arial" w:hAnsi="Arial" w:eastAsia="Arial" w:cs="Arial" w:asciiTheme="minorAscii" w:hAnsiTheme="minorAscii" w:eastAsiaTheme="minorAscii" w:cstheme="minorAscii"/>
          <w:sz w:val="22"/>
          <w:szCs w:val="22"/>
        </w:rPr>
        <w:t>: Introduction to public health</w:t>
      </w:r>
    </w:p>
    <w:p w:rsidR="409992C7" w:rsidP="5B4252AF" w:rsidRDefault="409992C7" w14:paraId="1BE1695D" w14:textId="626F7442">
      <w:pPr>
        <w:jc w:val="center"/>
        <w:rPr>
          <w:rFonts w:ascii="Arial" w:hAnsi="Arial" w:eastAsia="Arial" w:cs="Arial" w:asciiTheme="minorAscii" w:hAnsiTheme="minorAscii" w:eastAsiaTheme="minorAscii" w:cstheme="minorAscii"/>
          <w:sz w:val="22"/>
          <w:szCs w:val="22"/>
        </w:rPr>
      </w:pPr>
      <w:r w:rsidRPr="5B4252AF" w:rsidR="409992C7">
        <w:rPr>
          <w:rFonts w:ascii="Arial" w:hAnsi="Arial" w:eastAsia="Arial" w:cs="Arial" w:asciiTheme="minorAscii" w:hAnsiTheme="minorAscii" w:eastAsiaTheme="minorAscii" w:cstheme="minorAscii"/>
          <w:sz w:val="22"/>
          <w:szCs w:val="22"/>
        </w:rPr>
        <w:t xml:space="preserve">Lecturers Name: Gillian Weaver </w:t>
      </w:r>
    </w:p>
    <w:p w:rsidR="409992C7" w:rsidP="5B4252AF" w:rsidRDefault="409992C7" w14:paraId="71D8C375" w14:textId="318F895F">
      <w:pPr>
        <w:jc w:val="center"/>
      </w:pPr>
      <w:r w:rsidRPr="5B4252AF" w:rsidR="409992C7">
        <w:rPr>
          <w:rFonts w:ascii="Arial" w:hAnsi="Arial" w:eastAsia="Arial" w:cs="Arial" w:asciiTheme="minorAscii" w:hAnsiTheme="minorAscii" w:eastAsiaTheme="minorAscii" w:cstheme="minorAscii"/>
          <w:sz w:val="22"/>
          <w:szCs w:val="22"/>
        </w:rPr>
        <w:t>Assignment Title: Report on a Health issue</w:t>
      </w:r>
    </w:p>
    <w:p w:rsidR="5B4252AF" w:rsidP="5B4252AF" w:rsidRDefault="5B4252AF" w14:paraId="3EAEBD0B" w14:textId="6D5E9AF4">
      <w:pPr>
        <w:jc w:val="center"/>
        <w:rPr>
          <w:rFonts w:ascii="Arial" w:hAnsi="Arial" w:eastAsia="Arial" w:cs="Arial" w:asciiTheme="minorAscii" w:hAnsiTheme="minorAscii" w:eastAsiaTheme="minorAscii" w:cstheme="minorAscii"/>
          <w:sz w:val="22"/>
          <w:szCs w:val="22"/>
        </w:rPr>
      </w:pPr>
    </w:p>
    <w:p w:rsidR="5B4252AF" w:rsidP="5B4252AF" w:rsidRDefault="5B4252AF" w14:paraId="134EAAD8" w14:textId="75785D86">
      <w:pPr>
        <w:jc w:val="center"/>
        <w:rPr>
          <w:rFonts w:ascii="Arial" w:hAnsi="Arial" w:eastAsia="Arial" w:cs="Arial" w:asciiTheme="minorAscii" w:hAnsiTheme="minorAscii" w:eastAsiaTheme="minorAscii" w:cstheme="minorAscii"/>
          <w:sz w:val="22"/>
          <w:szCs w:val="22"/>
        </w:rPr>
      </w:pPr>
    </w:p>
    <w:p w:rsidR="5B4252AF" w:rsidP="5B4252AF" w:rsidRDefault="5B4252AF" w14:paraId="774D3D80" w14:textId="31B17CB9">
      <w:pPr>
        <w:jc w:val="center"/>
        <w:rPr>
          <w:rFonts w:ascii="Arial" w:hAnsi="Arial" w:eastAsia="Arial" w:cs="Arial" w:asciiTheme="minorAscii" w:hAnsiTheme="minorAscii" w:eastAsiaTheme="minorAscii" w:cstheme="minorAscii"/>
          <w:sz w:val="22"/>
          <w:szCs w:val="22"/>
        </w:rPr>
      </w:pPr>
    </w:p>
    <w:p w:rsidR="5B4252AF" w:rsidP="5B4252AF" w:rsidRDefault="5B4252AF" w14:paraId="30131D82" w14:textId="78A83F77">
      <w:pPr>
        <w:jc w:val="center"/>
        <w:rPr>
          <w:rFonts w:ascii="Arial" w:hAnsi="Arial" w:eastAsia="Arial" w:cs="Arial" w:asciiTheme="minorAscii" w:hAnsiTheme="minorAscii" w:eastAsiaTheme="minorAscii" w:cstheme="minorAscii"/>
          <w:sz w:val="22"/>
          <w:szCs w:val="22"/>
        </w:rPr>
      </w:pPr>
    </w:p>
    <w:p w:rsidR="5B4252AF" w:rsidP="5B4252AF" w:rsidRDefault="5B4252AF" w14:paraId="5C30E2C8" w14:textId="4CE28F43">
      <w:pPr>
        <w:jc w:val="center"/>
        <w:rPr>
          <w:rFonts w:ascii="Arial" w:hAnsi="Arial" w:eastAsia="Arial" w:cs="Arial" w:asciiTheme="minorAscii" w:hAnsiTheme="minorAscii" w:eastAsiaTheme="minorAscii" w:cstheme="minorAscii"/>
          <w:sz w:val="22"/>
          <w:szCs w:val="22"/>
        </w:rPr>
      </w:pPr>
    </w:p>
    <w:p w:rsidR="5B4252AF" w:rsidP="5B4252AF" w:rsidRDefault="5B4252AF" w14:paraId="172BE7B3" w14:textId="24E12A36">
      <w:pPr>
        <w:jc w:val="center"/>
        <w:rPr>
          <w:rFonts w:ascii="Arial" w:hAnsi="Arial" w:eastAsia="Arial" w:cs="Arial" w:asciiTheme="minorAscii" w:hAnsiTheme="minorAscii" w:eastAsiaTheme="minorAscii" w:cstheme="minorAscii"/>
          <w:sz w:val="22"/>
          <w:szCs w:val="22"/>
        </w:rPr>
      </w:pPr>
    </w:p>
    <w:p w:rsidR="5B4252AF" w:rsidP="5B4252AF" w:rsidRDefault="5B4252AF" w14:paraId="6809103B" w14:textId="5BE1E0CE">
      <w:pPr>
        <w:jc w:val="center"/>
        <w:rPr>
          <w:rFonts w:ascii="Arial" w:hAnsi="Arial" w:eastAsia="Arial" w:cs="Arial" w:asciiTheme="minorAscii" w:hAnsiTheme="minorAscii" w:eastAsiaTheme="minorAscii" w:cstheme="minorAscii"/>
          <w:sz w:val="22"/>
          <w:szCs w:val="22"/>
        </w:rPr>
      </w:pPr>
    </w:p>
    <w:p w:rsidR="5B4252AF" w:rsidP="5B4252AF" w:rsidRDefault="5B4252AF" w14:paraId="184B62A9" w14:textId="1DDAC595">
      <w:pPr>
        <w:jc w:val="center"/>
        <w:rPr>
          <w:rFonts w:ascii="Arial" w:hAnsi="Arial" w:eastAsia="Arial" w:cs="Arial" w:asciiTheme="minorAscii" w:hAnsiTheme="minorAscii" w:eastAsiaTheme="minorAscii" w:cstheme="minorAscii"/>
          <w:sz w:val="22"/>
          <w:szCs w:val="22"/>
        </w:rPr>
      </w:pPr>
    </w:p>
    <w:p w:rsidR="5B4252AF" w:rsidP="5B4252AF" w:rsidRDefault="5B4252AF" w14:paraId="1FFDB41D" w14:textId="0B1B247E">
      <w:pPr>
        <w:jc w:val="center"/>
        <w:rPr>
          <w:rFonts w:ascii="Arial" w:hAnsi="Arial" w:eastAsia="Arial" w:cs="Arial" w:asciiTheme="minorAscii" w:hAnsiTheme="minorAscii" w:eastAsiaTheme="minorAscii" w:cstheme="minorAscii"/>
          <w:sz w:val="22"/>
          <w:szCs w:val="22"/>
        </w:rPr>
      </w:pPr>
    </w:p>
    <w:p w:rsidR="5B4252AF" w:rsidP="5B4252AF" w:rsidRDefault="5B4252AF" w14:paraId="635C7627" w14:textId="0D8321B2">
      <w:pPr>
        <w:jc w:val="center"/>
        <w:rPr>
          <w:rFonts w:ascii="Arial" w:hAnsi="Arial" w:eastAsia="Arial" w:cs="Arial" w:asciiTheme="minorAscii" w:hAnsiTheme="minorAscii" w:eastAsiaTheme="minorAscii" w:cstheme="minorAscii"/>
          <w:sz w:val="22"/>
          <w:szCs w:val="22"/>
        </w:rPr>
      </w:pPr>
    </w:p>
    <w:p w:rsidR="5B4252AF" w:rsidP="5B4252AF" w:rsidRDefault="5B4252AF" w14:paraId="2072E23B" w14:textId="7B1C8597">
      <w:pPr>
        <w:jc w:val="center"/>
        <w:rPr>
          <w:rFonts w:ascii="Arial" w:hAnsi="Arial" w:eastAsia="Arial" w:cs="Arial" w:asciiTheme="minorAscii" w:hAnsiTheme="minorAscii" w:eastAsiaTheme="minorAscii" w:cstheme="minorAscii"/>
          <w:sz w:val="22"/>
          <w:szCs w:val="22"/>
        </w:rPr>
      </w:pPr>
    </w:p>
    <w:p w:rsidR="5B4252AF" w:rsidP="5B4252AF" w:rsidRDefault="5B4252AF" w14:paraId="19A5E8E7" w14:textId="62919CB4">
      <w:pPr>
        <w:jc w:val="center"/>
        <w:rPr>
          <w:rFonts w:ascii="Arial" w:hAnsi="Arial" w:eastAsia="Arial" w:cs="Arial" w:asciiTheme="minorAscii" w:hAnsiTheme="minorAscii" w:eastAsiaTheme="minorAscii" w:cstheme="minorAscii"/>
          <w:sz w:val="22"/>
          <w:szCs w:val="22"/>
        </w:rPr>
      </w:pPr>
    </w:p>
    <w:p w:rsidR="5B4252AF" w:rsidP="5B4252AF" w:rsidRDefault="5B4252AF" w14:paraId="69FAC35A" w14:textId="0887BB2C">
      <w:pPr>
        <w:jc w:val="center"/>
        <w:rPr>
          <w:rFonts w:ascii="Arial" w:hAnsi="Arial" w:eastAsia="Arial" w:cs="Arial" w:asciiTheme="minorAscii" w:hAnsiTheme="minorAscii" w:eastAsiaTheme="minorAscii" w:cstheme="minorAscii"/>
          <w:sz w:val="22"/>
          <w:szCs w:val="22"/>
        </w:rPr>
      </w:pPr>
    </w:p>
    <w:p w:rsidR="5B4252AF" w:rsidP="5B4252AF" w:rsidRDefault="5B4252AF" w14:paraId="5C20E7BF" w14:textId="7DCF69E2">
      <w:pPr>
        <w:jc w:val="center"/>
        <w:rPr>
          <w:rFonts w:ascii="Arial" w:hAnsi="Arial" w:eastAsia="Arial" w:cs="Arial" w:asciiTheme="minorAscii" w:hAnsiTheme="minorAscii" w:eastAsiaTheme="minorAscii" w:cstheme="minorAscii"/>
          <w:sz w:val="22"/>
          <w:szCs w:val="22"/>
        </w:rPr>
      </w:pPr>
    </w:p>
    <w:p w:rsidR="5B4252AF" w:rsidP="5B4252AF" w:rsidRDefault="5B4252AF" w14:paraId="6B082C50" w14:textId="1B980A4A">
      <w:pPr>
        <w:jc w:val="center"/>
        <w:rPr>
          <w:rFonts w:ascii="Arial" w:hAnsi="Arial" w:eastAsia="Arial" w:cs="Arial" w:asciiTheme="minorAscii" w:hAnsiTheme="minorAscii" w:eastAsiaTheme="minorAscii" w:cstheme="minorAscii"/>
          <w:sz w:val="22"/>
          <w:szCs w:val="22"/>
        </w:rPr>
      </w:pPr>
    </w:p>
    <w:p w:rsidR="5B4252AF" w:rsidP="5B4252AF" w:rsidRDefault="5B4252AF" w14:paraId="5821BE91" w14:textId="1A0DCCA6">
      <w:pPr>
        <w:jc w:val="center"/>
        <w:rPr>
          <w:rFonts w:ascii="Arial" w:hAnsi="Arial" w:eastAsia="Arial" w:cs="Arial" w:asciiTheme="minorAscii" w:hAnsiTheme="minorAscii" w:eastAsiaTheme="minorAscii" w:cstheme="minorAscii"/>
          <w:sz w:val="22"/>
          <w:szCs w:val="22"/>
        </w:rPr>
      </w:pPr>
    </w:p>
    <w:p w:rsidR="5B4252AF" w:rsidP="5B4252AF" w:rsidRDefault="5B4252AF" w14:paraId="46E06C14" w14:textId="60E3C447">
      <w:pPr>
        <w:jc w:val="center"/>
        <w:rPr>
          <w:rFonts w:ascii="Arial" w:hAnsi="Arial" w:eastAsia="Arial" w:cs="Arial" w:asciiTheme="minorAscii" w:hAnsiTheme="minorAscii" w:eastAsiaTheme="minorAscii" w:cstheme="minorAscii"/>
          <w:sz w:val="22"/>
          <w:szCs w:val="22"/>
        </w:rPr>
      </w:pPr>
    </w:p>
    <w:p w:rsidR="5B4252AF" w:rsidP="5B4252AF" w:rsidRDefault="5B4252AF" w14:paraId="5F1EE7E9" w14:textId="3FE59010">
      <w:pPr>
        <w:jc w:val="center"/>
        <w:rPr>
          <w:rFonts w:ascii="Arial" w:hAnsi="Arial" w:eastAsia="Arial" w:cs="Arial" w:asciiTheme="minorAscii" w:hAnsiTheme="minorAscii" w:eastAsiaTheme="minorAscii" w:cstheme="minorAscii"/>
          <w:sz w:val="22"/>
          <w:szCs w:val="22"/>
        </w:rPr>
      </w:pPr>
    </w:p>
    <w:p w:rsidR="5B4252AF" w:rsidP="5B4252AF" w:rsidRDefault="5B4252AF" w14:paraId="5A65D351" w14:textId="0E9FC59C">
      <w:pPr>
        <w:jc w:val="center"/>
        <w:rPr>
          <w:rFonts w:ascii="Arial" w:hAnsi="Arial" w:eastAsia="Arial" w:cs="Arial" w:asciiTheme="minorAscii" w:hAnsiTheme="minorAscii" w:eastAsiaTheme="minorAscii" w:cstheme="minorAscii"/>
          <w:sz w:val="22"/>
          <w:szCs w:val="22"/>
        </w:rPr>
      </w:pPr>
    </w:p>
    <w:p w:rsidR="5B4252AF" w:rsidP="5B4252AF" w:rsidRDefault="5B4252AF" w14:paraId="6E7C0253" w14:textId="0DDFCD9A">
      <w:pPr>
        <w:jc w:val="center"/>
        <w:rPr>
          <w:rFonts w:ascii="Arial" w:hAnsi="Arial" w:eastAsia="Arial" w:cs="Arial" w:asciiTheme="minorAscii" w:hAnsiTheme="minorAscii" w:eastAsiaTheme="minorAscii" w:cstheme="minorAscii"/>
          <w:sz w:val="22"/>
          <w:szCs w:val="22"/>
        </w:rPr>
      </w:pPr>
    </w:p>
    <w:p w:rsidR="5B4252AF" w:rsidP="5B4252AF" w:rsidRDefault="5B4252AF" w14:paraId="241FA381" w14:textId="445FE448">
      <w:pPr>
        <w:jc w:val="center"/>
        <w:rPr>
          <w:rFonts w:ascii="Arial" w:hAnsi="Arial" w:eastAsia="Arial" w:cs="Arial" w:asciiTheme="minorAscii" w:hAnsiTheme="minorAscii" w:eastAsiaTheme="minorAscii" w:cstheme="minorAscii"/>
          <w:sz w:val="22"/>
          <w:szCs w:val="22"/>
        </w:rPr>
      </w:pPr>
    </w:p>
    <w:p w:rsidR="5B4252AF" w:rsidP="5B4252AF" w:rsidRDefault="5B4252AF" w14:paraId="27B7D0E5" w14:textId="5AF51B01">
      <w:pPr>
        <w:jc w:val="center"/>
        <w:rPr>
          <w:rFonts w:ascii="Arial" w:hAnsi="Arial" w:eastAsia="Arial" w:cs="Arial" w:asciiTheme="minorAscii" w:hAnsiTheme="minorAscii" w:eastAsiaTheme="minorAscii" w:cstheme="minorAscii"/>
          <w:sz w:val="22"/>
          <w:szCs w:val="22"/>
        </w:rPr>
      </w:pPr>
    </w:p>
    <w:p w:rsidR="5B4252AF" w:rsidP="5B4252AF" w:rsidRDefault="5B4252AF" w14:paraId="0DA93020" w14:textId="6BFEF11A">
      <w:pPr>
        <w:jc w:val="center"/>
        <w:rPr>
          <w:rFonts w:ascii="Arial" w:hAnsi="Arial" w:eastAsia="Arial" w:cs="Arial" w:asciiTheme="minorAscii" w:hAnsiTheme="minorAscii" w:eastAsiaTheme="minorAscii" w:cstheme="minorAscii"/>
          <w:sz w:val="22"/>
          <w:szCs w:val="22"/>
        </w:rPr>
      </w:pPr>
    </w:p>
    <w:p w:rsidR="5B4252AF" w:rsidP="5B4252AF" w:rsidRDefault="5B4252AF" w14:paraId="23AC9D7D" w14:textId="59D6720F">
      <w:pPr>
        <w:jc w:val="center"/>
        <w:rPr>
          <w:rFonts w:ascii="Arial" w:hAnsi="Arial" w:eastAsia="Arial" w:cs="Arial" w:asciiTheme="minorAscii" w:hAnsiTheme="minorAscii" w:eastAsiaTheme="minorAscii" w:cstheme="minorAscii"/>
          <w:sz w:val="22"/>
          <w:szCs w:val="22"/>
        </w:rPr>
      </w:pPr>
    </w:p>
    <w:p w:rsidR="5B4252AF" w:rsidP="5B4252AF" w:rsidRDefault="5B4252AF" w14:paraId="0FE8DE74" w14:textId="4D0DCA5B">
      <w:pPr>
        <w:pStyle w:val="Normal"/>
        <w:jc w:val="center"/>
        <w:rPr>
          <w:rFonts w:ascii="Arial" w:hAnsi="Arial" w:eastAsia="Arial" w:cs="Arial" w:asciiTheme="minorAscii" w:hAnsiTheme="minorAscii" w:eastAsiaTheme="minorAscii" w:cstheme="minorAscii"/>
          <w:sz w:val="22"/>
          <w:szCs w:val="22"/>
        </w:rPr>
      </w:pPr>
    </w:p>
    <w:p w:rsidR="2B6ABEC8" w:rsidP="5B4252AF" w:rsidRDefault="2B6ABEC8" w14:paraId="6B3A0394" w14:textId="581EC3AA">
      <w:pPr>
        <w:pStyle w:val="Normal"/>
        <w:jc w:val="center"/>
      </w:pPr>
      <w:r w:rsidRPr="5B4252AF" w:rsidR="2B6ABEC8">
        <w:rPr>
          <w:rFonts w:ascii="Arial" w:hAnsi="Arial" w:eastAsia="Arial" w:cs="Arial" w:asciiTheme="minorAscii" w:hAnsiTheme="minorAscii" w:eastAsiaTheme="minorAscii" w:cstheme="minorAscii"/>
          <w:sz w:val="22"/>
          <w:szCs w:val="22"/>
          <w:u w:val="single"/>
        </w:rPr>
        <w:t>Introduction</w:t>
      </w:r>
    </w:p>
    <w:p w:rsidR="2B6ABEC8" w:rsidP="5B4252AF" w:rsidRDefault="2B6ABEC8" w14:paraId="2F4E2EAE" w14:textId="7C38B4AF">
      <w:pPr>
        <w:pStyle w:val="Normal"/>
        <w:jc w:val="left"/>
        <w:rPr>
          <w:rFonts w:ascii="Source Sans Pro" w:hAnsi="Source Sans Pro" w:eastAsia="Source Sans Pro" w:cs="Source Sans Pro"/>
          <w:b w:val="0"/>
          <w:bCs w:val="0"/>
          <w:i w:val="0"/>
          <w:iCs w:val="0"/>
          <w:caps w:val="0"/>
          <w:smallCaps w:val="0"/>
          <w:noProof w:val="0"/>
          <w:lang w:val="en-GB"/>
        </w:rPr>
      </w:pPr>
      <w:r w:rsidRPr="5B4252AF" w:rsidR="2B6ABEC8">
        <w:rPr>
          <w:rFonts w:ascii="Arial" w:hAnsi="Arial" w:eastAsia="Arial" w:cs="Arial" w:asciiTheme="minorAscii" w:hAnsiTheme="minorAscii" w:eastAsiaTheme="minorAscii" w:cstheme="minorAscii"/>
          <w:noProof w:val="0"/>
          <w:color w:val="000000" w:themeColor="text1" w:themeTint="FF" w:themeShade="FF"/>
          <w:sz w:val="22"/>
          <w:szCs w:val="22"/>
          <w:lang w:val="en-GB"/>
        </w:rPr>
        <w:t>Diabetes is a long</w:t>
      </w:r>
      <w:r>
        <w:noBreakHyphen/>
      </w:r>
      <w:r w:rsidRPr="5B4252AF" w:rsidR="2B6ABEC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term health condition that affects how the body controls blood sugar. Normally, the hormone insulin helps move sugar from the blood into the cells, where it is used for energy. In diabetes, the body either does not make enough insulin or cannot use it properly. This leads to </w:t>
      </w:r>
      <w:r w:rsidRPr="5B4252AF" w:rsidR="2B6ABEC8">
        <w:rPr>
          <w:rFonts w:ascii="Arial" w:hAnsi="Arial" w:eastAsia="Arial" w:cs="Arial" w:asciiTheme="minorAscii" w:hAnsiTheme="minorAscii" w:eastAsiaTheme="minorAscii" w:cstheme="minorAscii"/>
          <w:noProof w:val="0"/>
          <w:color w:val="000000" w:themeColor="text1" w:themeTint="FF" w:themeShade="FF"/>
          <w:sz w:val="22"/>
          <w:szCs w:val="22"/>
          <w:lang w:val="en-GB"/>
        </w:rPr>
        <w:t>high levels</w:t>
      </w:r>
      <w:r w:rsidRPr="5B4252AF" w:rsidR="2B6ABEC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 sugar in the blood, which can cause health problems over time. There are two main types. Type 1 diabetes happens when the body stops producing insulin. Type 2 diabetes happens when the body becomes resistant to insulin or does not make enough. Common signs and symptoms include feeling very thirsty, needing to urinate often, feeling tired, slow healing of cuts, blurred vision, and unexpected weight loss. Some people may not notice symptoms at first, especially with Type 2 diabetes. Early recognition and treatment are important to prevent long</w:t>
      </w:r>
      <w:r>
        <w:noBreakHyphen/>
      </w:r>
      <w:r w:rsidRPr="5B4252AF" w:rsidR="2B6ABEC8">
        <w:rPr>
          <w:rFonts w:ascii="Arial" w:hAnsi="Arial" w:eastAsia="Arial" w:cs="Arial" w:asciiTheme="minorAscii" w:hAnsiTheme="minorAscii" w:eastAsiaTheme="minorAscii" w:cstheme="minorAscii"/>
          <w:noProof w:val="0"/>
          <w:color w:val="000000" w:themeColor="text1" w:themeTint="FF" w:themeShade="FF"/>
          <w:sz w:val="22"/>
          <w:szCs w:val="22"/>
          <w:lang w:val="en-GB"/>
        </w:rPr>
        <w:t>term complications.</w:t>
      </w:r>
      <w:r w:rsidRPr="5B4252AF" w:rsidR="0D6B9544">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0D6B954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Egan, A. M., &amp; Dinneen, S. F. 2022)</w:t>
      </w:r>
    </w:p>
    <w:p w:rsidR="5B4252AF" w:rsidP="5B4252AF" w:rsidRDefault="5B4252AF" w14:paraId="1C8F96C5" w14:textId="3A9F0E0B">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6006632B" w14:textId="7B23E73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FA0E41D" w14:textId="4E140FC8">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5B8AABC4" w14:textId="590FDFF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827EC20" w14:textId="19BC2755">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4D5A68F9" w14:textId="20873832">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05613B3" w14:textId="190941E9">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5A3F397E" w14:textId="48122604">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431C78D3" w14:textId="14A1656E">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E136ADD" w14:textId="4A3D1CC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7E67AA34" w14:textId="18B60A52">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42460078" w14:textId="35F81289">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E53842D" w14:textId="2653D780">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0A6F2A1" w14:textId="4A4FFC2D">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50711F42" w14:textId="3018876E">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436513A7" w14:textId="0CF8C06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AB1005D" w14:textId="500FF96B">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674E7B6" w14:textId="232FF09A">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389CE8A" w14:textId="69E343D6">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2E320693" w14:textId="607D1CD6">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2C1ADEE2" w14:textId="610FB943">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66541DA9" w14:textId="2593BB4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3511FB0" w:rsidP="5B4252AF" w:rsidRDefault="43511FB0" w14:paraId="456A9766" w14:textId="0423FB5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5B4252AF" w:rsidR="43511FB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43511FB0">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Main Body</w:t>
      </w:r>
    </w:p>
    <w:p w:rsidR="5B4252AF" w:rsidP="5B4252AF" w:rsidRDefault="5B4252AF" w14:paraId="3A55D9C4" w14:textId="62AC2EA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476B8B0E" w:rsidP="5B4252AF" w:rsidRDefault="476B8B0E" w14:paraId="5F8E67A1" w14:textId="5C461035">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Diabetes is one of the most common long</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term health conditions worldwide</w:t>
      </w:r>
      <w:r w:rsidRPr="5B4252AF" w:rsidR="6505C81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(Hickman, E., Gillies, C., </w:t>
      </w:r>
      <w:r w:rsidRPr="5B4252AF"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Khunti</w:t>
      </w:r>
      <w:r w:rsidRPr="5B4252AF"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K., &amp; Seidu, S.  2026).</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According to global health organisations, hundreds of millions of people live with diabetes, and the number continues to rise each year. Type 2 diabetes is far more common than Type 1 and is strongly linked to lifestyle factors such as diet, physical activity, and weight. In the UK, diabetes is also a major public health issue. Millions of people have been diagnosed, and many more are thought to have the condition without knowing it. The rise in Type 2 diabetes is linked to changes in lifestyle, including increased consumption of processed foods, reduced physical activity, and higher rates of obesity</w:t>
      </w:r>
      <w:r w:rsidRPr="5B4252AF" w:rsidR="1AA4B7F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1AA4B7F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Simpson, R. W., Shaw, J. E., &amp; Zimmet, P. Z. 2003)</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severity of diabetes is seen in the complications it can cause, such as heart disease, kidney problems, nerve damage, and sight loss. These complications place pressure on health and social care services and affect individuals, families, and communities.</w:t>
      </w:r>
    </w:p>
    <w:p w:rsidR="476B8B0E" w:rsidP="5B4252AF" w:rsidRDefault="476B8B0E" w14:paraId="34FDA570" w14:textId="0B182B4F">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Health professionals use several methods to measure and monitor diabetes. One of the most common is the blood glucose test, which checks the level of sugar in the blood. This can be done through a finger</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prick test or a laboratory test. Another important test is the HbA1c test, which shows the average blood sugar level over the past two to three months. This helps doctors understand how well the condition is being managed. Monitoring also includes checking blood pressure, cholesterol levels, kidney function, and eye health, because diabetes can affect many parts of the body. In the UK, regular reviews are part of diabetes care. People with diabetes are invited to annual check</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ups where these tests are carried out. Public health organisations also collect data to understand how many people have diabetes, how well it is being managed, and what support is needed. This information helps shape national policies and local services.</w:t>
      </w:r>
    </w:p>
    <w:p w:rsidR="476B8B0E" w:rsidP="5B4252AF" w:rsidRDefault="476B8B0E" w14:paraId="6880BD17" w14:textId="6EE0804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Controlling diabetes involves a mix of lifestyle changes, medication, and regular monitoring. For Type 1 diabetes, insulin injections are essential because the body cannot produce insulin. People may use insulin pens or pumps to manage their blood sugar throughout the day. For Type 2 diabetes, lifestyle changes are often the first step. Eating a balanced diet, being physically active, and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maintaining</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 healthy weight can help improve insulin use in the body. Some people may also need medication to help lower blood sugar levels</w:t>
      </w:r>
      <w:r w:rsidRPr="5B4252AF" w:rsidR="2E643A9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1DD8E0A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Brekke, H. K., Jansson, P. A., Mansson, J. E., &amp; Lenner, R. A. 2003</w:t>
      </w:r>
      <w:r w:rsidRPr="5B4252AF" w:rsidR="2E643A9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5B4252AF" w:rsidR="4F939E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more advanced cases, insulin may also be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required</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Education plays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a big role</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diabetes control. Programmes teach people how to manage their condition, understand their medication, and make healthier choices. In the UK, structured education programmes such as DESMOND and DAFNE support people with Type 1 and Type 2 diabetes. These programmes help individuals learn practical skills to manage their condition day</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to</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day.</w:t>
      </w:r>
    </w:p>
    <w:p w:rsidR="476B8B0E" w:rsidP="5B4252AF" w:rsidRDefault="476B8B0E" w14:paraId="433F7E09" w14:textId="6670C35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Diabetes can affect many areas of a person’s life. Physically, it can lead to complications such as heart disease, stroke, kidney failure, nerve damage, and problems with eyesight. These complications can reduce quality of life and may require long</w:t>
      </w:r>
      <w:r>
        <w:noBreakHyphen/>
      </w:r>
      <w:r w:rsidRPr="5B4252AF"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term medical treatment. Emotionally, living with diabetes can be challenging. People may feel stressed about managing their condition, especially if they need to monitor their blood sugar regularly or take medication every day. Some may feel anxious about possible complications. Socially, diabetes can affect work, family life, and daily routines. For example, someone may need to plan meals carefully, take breaks to check their blood sugar, or attend regular medical appointments. In communities, high levels of diabetes can place pressure on health and social care services. More people may need support from GPs, nurses, dietitians, and specialist clinics. This increases demand for resources and can affect waiting times and service availability.</w:t>
      </w:r>
    </w:p>
    <w:p w:rsidR="5B4252AF" w:rsidP="5B4252AF" w:rsidRDefault="5B4252AF" w14:paraId="74AEF23B" w14:textId="5A1EC85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476B8B0E" w:rsidP="5B4252AF" w:rsidRDefault="476B8B0E" w14:paraId="407943B2" w14:textId="31860232">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People with diabetes often need support from a range of health and social care professionals. GPs and practice nurses play a key role in diagnosis, monitoring, and ongoing care. They help manage medication, arrange tests, and provide advice. Dietitians support individuals in making healthier food choices and understanding how diet affects blood sugar. Diabetes specialist nurses offer more detailed guidance, especially for people who use insulin. Eye screening services check for early signs of diabetic eye disease, which can prevent sight loss. Podiatrists help manage foot health, as diabetes can cause nerve damage and poor circulation, increasing the risk of foot problems. Social care services may also be involved. For example, individuals who struggle with daily tasks due to complications may need help at home. Community support groups offer emotional support and practical advice. These services help people manage their condition, stay independent, and maintain a good quality of life.</w:t>
      </w:r>
    </w:p>
    <w:p w:rsidR="5B4252AF" w:rsidP="5B4252AF" w:rsidRDefault="5B4252AF" w14:paraId="26D49B58" w14:textId="794EC98B">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76B8B0E" w:rsidP="5B4252AF" w:rsidRDefault="476B8B0E" w14:paraId="51DD8923" w14:textId="44C9D465">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Professionals working with people who have diabetes can take several practical steps to meet their needs. First, they can provide clear and simple information about the condition, helping individuals understand what diabetes is and how it affects the body. Second, they can support people in making lifestyle changes by offering guidance on diet, exercise, and weight management</w:t>
      </w:r>
      <w:r w:rsidRPr="5B4252AF" w:rsidR="5A8947F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Overwijk</w:t>
      </w:r>
      <w:r w:rsidRPr="5B4252AF"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 Putten, A. A. J., Schans, C. P., Willems, M., Hilgenkamp, T. I. M., and </w:t>
      </w:r>
      <w:r w:rsidRPr="5B4252AF"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Waninge</w:t>
      </w:r>
      <w:r w:rsidRPr="5B4252AF"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A. 2021).</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Third, professionals can ensure regular monitoring by arranging tests and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follow</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up</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appointments. Fourth, they can work together across different services to provide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joined</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up</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care. For example, GPs, nurses, dietitians, and social workers can share information to make sure the person receives consistent support. Fifth, professionals can encourage individuals to attend education programmes that teach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self</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management</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skills. Finally, they can offer emotional support by listening to concerns and helping people cope with the challenges of living with a </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long</w:t>
      </w:r>
      <w:r>
        <w:noBreakHyphen/>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term</w:t>
      </w:r>
      <w:r w:rsidRPr="5B4252AF"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condition. These steps help improve health outcomes and reduce the risk of complications.</w:t>
      </w:r>
    </w:p>
    <w:p w:rsidR="5B4252AF" w:rsidP="5B4252AF" w:rsidRDefault="5B4252AF" w14:paraId="7C9C2594" w14:textId="10D7931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5E039525" w14:textId="0FF74F7B">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6BA13D88" w14:textId="6BCA2C5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3F65BD8A" w14:textId="608D9CB6">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76AE4796" w14:textId="565B252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56E3D6BD" w14:textId="38A7C329">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D339BBB" w14:textId="347E3025">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69A64772" w14:textId="486CC2EF">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0E6CD4AC" w14:textId="0D1B5571">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C39BF07" w14:textId="7AAA6E6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2BB42259" w14:textId="5B98990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154E6D7B" w14:textId="575DEBA1">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B4252AF" w:rsidP="5B4252AF" w:rsidRDefault="5B4252AF" w14:paraId="41BA51B5" w14:textId="320AFF7F">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7D4409EA" w:rsidP="5B4252AF" w:rsidRDefault="7D4409EA" w14:paraId="5F19E626" w14:textId="25AA221B">
      <w:pPr>
        <w:pStyle w:val="Normal"/>
        <w:shd w:val="clear" w:color="auto" w:fill="FFFFFF" w:themeFill="background1"/>
        <w:spacing w:before="0" w:beforeAutospacing="off" w:after="0" w:afterAutospacing="off"/>
        <w:jc w:val="left"/>
      </w:pPr>
      <w:r w:rsidRPr="5B4252AF" w:rsidR="7D4409E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7D4409E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B4252AF" w:rsidR="7D4409EA">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Conclusion</w:t>
      </w:r>
    </w:p>
    <w:p w:rsidR="5B4252AF" w:rsidP="5B4252AF" w:rsidRDefault="5B4252AF" w14:paraId="199756C1" w14:textId="6554BF4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5B4252AF" w:rsidP="5B4252AF" w:rsidRDefault="5B4252AF" w14:paraId="0F14857C" w14:textId="087AB9E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p w:rsidR="3ECAA59F" w:rsidP="5B4252AF" w:rsidRDefault="3ECAA59F" w14:paraId="5263934E" w14:textId="44AB5790">
      <w:pPr>
        <w:pStyle w:val="Normal"/>
        <w:shd w:val="clear" w:color="auto" w:fill="FFFFFF" w:themeFill="background1"/>
        <w:spacing w:before="0" w:beforeAutospacing="off" w:after="0" w:afterAutospacing="off"/>
        <w:jc w:val="left"/>
      </w:pPr>
      <w:r w:rsidRPr="5B4252AF" w:rsidR="3ECAA59F">
        <w:rPr>
          <w:rFonts w:ascii="Aptos" w:hAnsi="Aptos" w:eastAsia="Aptos" w:cs="Aptos"/>
          <w:noProof w:val="0"/>
          <w:color w:val="000000" w:themeColor="text1" w:themeTint="FF" w:themeShade="FF"/>
          <w:sz w:val="24"/>
          <w:szCs w:val="24"/>
          <w:lang w:val="en-GB"/>
        </w:rPr>
        <w:t>Diabetes is a common and serious condition that affects many people in the UK and around the world. It happens when the body cannot control blood sugar properly, leading to long</w:t>
      </w:r>
      <w:r>
        <w:noBreakHyphen/>
      </w:r>
      <w:r w:rsidRPr="5B4252AF" w:rsidR="3ECAA59F">
        <w:rPr>
          <w:rFonts w:ascii="Aptos" w:hAnsi="Aptos" w:eastAsia="Aptos" w:cs="Aptos"/>
          <w:noProof w:val="0"/>
          <w:color w:val="000000" w:themeColor="text1" w:themeTint="FF" w:themeShade="FF"/>
          <w:sz w:val="24"/>
          <w:szCs w:val="24"/>
          <w:lang w:val="en-GB"/>
        </w:rPr>
        <w:t>term health problems if not managed well. Understanding the signs and symptoms helps with early diagnosis, which is important for preventing complications. Measuring and monitoring diabetes through regular tests supports good management and helps professionals track the condition over time. Control involves lifestyle changes, medication, and education, all of which help individuals stay healthy. Diabetes has wide</w:t>
      </w:r>
      <w:r>
        <w:noBreakHyphen/>
      </w:r>
      <w:r w:rsidRPr="5B4252AF" w:rsidR="3ECAA59F">
        <w:rPr>
          <w:rFonts w:ascii="Aptos" w:hAnsi="Aptos" w:eastAsia="Aptos" w:cs="Aptos"/>
          <w:noProof w:val="0"/>
          <w:color w:val="000000" w:themeColor="text1" w:themeTint="FF" w:themeShade="FF"/>
          <w:sz w:val="24"/>
          <w:szCs w:val="24"/>
          <w:lang w:val="en-GB"/>
        </w:rPr>
        <w:t>ranging effects on physical, emotional, and social well</w:t>
      </w:r>
      <w:r>
        <w:noBreakHyphen/>
      </w:r>
      <w:r w:rsidRPr="5B4252AF" w:rsidR="3ECAA59F">
        <w:rPr>
          <w:rFonts w:ascii="Aptos" w:hAnsi="Aptos" w:eastAsia="Aptos" w:cs="Aptos"/>
          <w:noProof w:val="0"/>
          <w:color w:val="000000" w:themeColor="text1" w:themeTint="FF" w:themeShade="FF"/>
          <w:sz w:val="24"/>
          <w:szCs w:val="24"/>
          <w:lang w:val="en-GB"/>
        </w:rPr>
        <w:t xml:space="preserve">being, and it places pressure on health and social care services. A range of professionals work together to support individuals, offering medical care, practical advice, and emotional support. With the right help, people with diabetes can manage their condition and </w:t>
      </w:r>
      <w:r w:rsidRPr="5B4252AF" w:rsidR="3ECAA59F">
        <w:rPr>
          <w:rFonts w:ascii="Aptos" w:hAnsi="Aptos" w:eastAsia="Aptos" w:cs="Aptos"/>
          <w:noProof w:val="0"/>
          <w:color w:val="000000" w:themeColor="text1" w:themeTint="FF" w:themeShade="FF"/>
          <w:sz w:val="24"/>
          <w:szCs w:val="24"/>
          <w:lang w:val="en-GB"/>
        </w:rPr>
        <w:t>maintain</w:t>
      </w:r>
      <w:r w:rsidRPr="5B4252AF" w:rsidR="3ECAA59F">
        <w:rPr>
          <w:rFonts w:ascii="Aptos" w:hAnsi="Aptos" w:eastAsia="Aptos" w:cs="Aptos"/>
          <w:noProof w:val="0"/>
          <w:color w:val="000000" w:themeColor="text1" w:themeTint="FF" w:themeShade="FF"/>
          <w:sz w:val="24"/>
          <w:szCs w:val="24"/>
          <w:lang w:val="en-GB"/>
        </w:rPr>
        <w:t xml:space="preserve"> a good </w:t>
      </w:r>
      <w:r w:rsidRPr="5B4252AF" w:rsidR="3ECAA59F">
        <w:rPr>
          <w:rFonts w:ascii="Aptos" w:hAnsi="Aptos" w:eastAsia="Aptos" w:cs="Aptos"/>
          <w:noProof w:val="0"/>
          <w:color w:val="000000" w:themeColor="text1" w:themeTint="FF" w:themeShade="FF"/>
          <w:sz w:val="24"/>
          <w:szCs w:val="24"/>
          <w:lang w:val="en-GB"/>
        </w:rPr>
        <w:t>quali</w:t>
      </w:r>
      <w:r w:rsidRPr="5B4252AF" w:rsidR="3ECAA59F">
        <w:rPr>
          <w:rFonts w:ascii="Aptos" w:hAnsi="Aptos" w:eastAsia="Aptos" w:cs="Aptos"/>
          <w:noProof w:val="0"/>
          <w:color w:val="000000" w:themeColor="text1" w:themeTint="FF" w:themeShade="FF"/>
          <w:sz w:val="24"/>
          <w:szCs w:val="24"/>
          <w:lang w:val="en-GB"/>
        </w:rPr>
        <w:t>ty of life.</w:t>
      </w:r>
    </w:p>
    <w:p w:rsidR="5B4252AF" w:rsidP="5B4252AF" w:rsidRDefault="5B4252AF" w14:paraId="65C2B6A6" w14:textId="0551100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0CC84BA6" w14:textId="4737864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4F8B8B60" w14:textId="44350995">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2B89E73F" w14:textId="59BA1E8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3E0A81B6" w14:textId="1629D985">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3B4EF724" w14:textId="1FAF2D9A">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0AB53A07" w14:textId="6A42718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5F9DB1A1" w14:textId="338140C2">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1757F5E0" w14:textId="730BEB9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4D99C67D" w14:textId="328E04E9">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729F861B" w14:textId="302367D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4D6D5688" w14:textId="3F890E9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342B80F8" w14:textId="16C8A90D">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4927DADD" w14:textId="0268EBD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7AE5F0C9" w14:textId="481D87AB">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18C64B2E" w14:textId="63CDD0F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586496F3" w14:textId="731326D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268468B0" w14:textId="0D237D01">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610DFD0F" w14:textId="6F07AC5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48BE1FB1" w14:textId="23C32E4D">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10B47BD0" w14:textId="1ED18CC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33621144" w14:textId="2109B28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17103C8F" w14:textId="4BED07E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26AD8BAC" w14:textId="351C41EB">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6A0CF5C5" w14:textId="00327C0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58366028" w14:textId="7EF557A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07EE9D63" w14:textId="4077D8F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562D49A4" w14:textId="1CA99600">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5B4252AF" w:rsidP="5B4252AF" w:rsidRDefault="5B4252AF" w14:paraId="0D1A8BE9" w14:textId="3C8A5939">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0072899A" w:rsidP="5B4252AF" w:rsidRDefault="0072899A" w14:paraId="7B55D7F0" w14:textId="3F2D3D76">
      <w:pPr>
        <w:pStyle w:val="Normal"/>
        <w:shd w:val="clear" w:color="auto" w:fill="FFFFFF" w:themeFill="background1"/>
        <w:spacing w:before="0" w:beforeAutospacing="off" w:after="0" w:afterAutospacing="off"/>
        <w:jc w:val="left"/>
      </w:pPr>
      <w:r w:rsidRPr="5B4252AF" w:rsidR="0072899A">
        <w:rPr>
          <w:rFonts w:ascii="Aptos" w:hAnsi="Aptos" w:eastAsia="Aptos" w:cs="Aptos"/>
          <w:noProof w:val="0"/>
          <w:color w:val="000000" w:themeColor="text1" w:themeTint="FF" w:themeShade="FF"/>
          <w:sz w:val="24"/>
          <w:szCs w:val="24"/>
          <w:lang w:val="en-GB"/>
        </w:rPr>
        <w:t xml:space="preserve">                                                                              </w:t>
      </w:r>
      <w:r w:rsidRPr="5B4252AF" w:rsidR="0072899A">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Reference list</w:t>
      </w:r>
    </w:p>
    <w:p w:rsidR="5B4252AF" w:rsidP="5B4252AF" w:rsidRDefault="5B4252AF" w14:paraId="16990B9E" w14:textId="06C4FD79">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p w:rsidR="1C93C23A" w:rsidP="5B4252AF" w:rsidRDefault="1C93C23A" w14:paraId="47249F04" w14:textId="5BDE299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r w:rsidRPr="5B4252AF"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Egan, A. M., &amp; Dinneen, S. F. (2022). What is diabetes? </w:t>
      </w:r>
      <w:r w:rsidRPr="5B4252AF" w:rsidR="1C93C23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Medicine (Abingdon. 1995, UK Ed.)</w:t>
      </w:r>
      <w:r w:rsidRPr="5B4252AF"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5B4252AF" w:rsidR="1C93C23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50</w:t>
      </w:r>
      <w:r w:rsidRPr="5B4252AF"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(10), 615–618. </w:t>
      </w:r>
      <w:hyperlink r:id="R076b1fdd23b84614">
        <w:r w:rsidRPr="5B4252AF" w:rsidR="1C93C23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https://doi.org/10.1016/j.mpmed.2022.07.00</w:t>
        </w:r>
      </w:hyperlink>
    </w:p>
    <w:p w:rsidR="5B4252AF" w:rsidP="5B4252AF" w:rsidRDefault="5B4252AF" w14:paraId="585E12E1" w14:textId="5F145B2B">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p>
    <w:p w:rsidR="25E81F48" w:rsidP="5B4252AF" w:rsidRDefault="25E81F48" w14:paraId="6416BFDA" w14:textId="382BDDF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r w:rsidRPr="5B4252AF"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Hickman, E., Gillies, C., Khunti, K., &amp; Seidu, S. (2026). Corrigendum to “The Healthcare Professionals Attitudes Towards Deprescribing (HATD) tool in older persons with multiple long-term chronic conditions and those on palliative care: A mixed methods study” [Prim. Care Diabetes 19/6 (2025) 646–650]. </w:t>
      </w:r>
      <w:r w:rsidRPr="5B4252AF" w:rsidR="25E81F48">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Primary Care Diabetes</w:t>
      </w:r>
      <w:r w:rsidRPr="5B4252AF"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5B4252AF" w:rsidR="25E81F48">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20</w:t>
      </w:r>
      <w:r w:rsidRPr="5B4252AF"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(2), 238–238. </w:t>
      </w:r>
      <w:hyperlink r:id="Rec0537245bfb4fe3">
        <w:r w:rsidRPr="5B4252AF" w:rsidR="25E81F48">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https://doi.org/10.1016/j.pcd.2026.02.001</w:t>
        </w:r>
      </w:hyperlink>
    </w:p>
    <w:p w:rsidR="5B4252AF" w:rsidP="5B4252AF" w:rsidRDefault="5B4252AF" w14:paraId="1BE2C4E7" w14:textId="45CDAED6">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pPr>
    </w:p>
    <w:p w:rsidR="6D6122FF" w:rsidP="5B4252AF" w:rsidRDefault="6D6122FF" w14:paraId="4A152E96" w14:textId="1E27B2A9">
      <w:pPr>
        <w:pStyle w:val="Normal"/>
        <w:shd w:val="clear" w:color="auto" w:fill="FFFFFF" w:themeFill="background1"/>
        <w:spacing w:before="0" w:beforeAutospacing="off" w:after="0" w:afterAutospacing="off"/>
        <w:jc w:val="left"/>
      </w:pPr>
      <w:r w:rsidRPr="5B4252AF"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Simpson, R. W., Shaw, J. E., &amp; Zimmet, P. Z. (2003). [Rev. of </w:t>
      </w:r>
      <w:r w:rsidRPr="5B4252AF"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The prevention of type 2 diabetes — lifestyle change or pharmacotherapy? A challenge for the 21st century</w:t>
      </w:r>
      <w:r w:rsidRPr="5B4252AF"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5B4252AF"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Diabetes Research and Clinical Practice</w:t>
      </w:r>
      <w:r w:rsidRPr="5B4252AF"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5B4252AF"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59</w:t>
      </w:r>
      <w:r w:rsidRPr="5B4252AF"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(3), 165–180. </w:t>
      </w:r>
      <w:hyperlink r:id="R7e5e283dc31748c9">
        <w:r w:rsidRPr="5B4252AF" w:rsidR="6D6122FF">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https://doi.org/10.1016/S0168-8227(02)00275-9</w:t>
        </w:r>
      </w:hyperlink>
    </w:p>
    <w:p w:rsidR="5B4252AF" w:rsidP="5B4252AF" w:rsidRDefault="5B4252AF" w14:paraId="12836D86" w14:textId="1595504E">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p>
    <w:p w:rsidR="5E7CD01E" w:rsidP="5B4252AF" w:rsidRDefault="5E7CD01E" w14:paraId="292ED466" w14:textId="076C5932">
      <w:pPr>
        <w:pStyle w:val="Normal"/>
        <w:shd w:val="clear" w:color="auto" w:fill="FFFFFF" w:themeFill="background1"/>
        <w:spacing w:before="0" w:beforeAutospacing="off" w:after="0" w:afterAutospacing="off"/>
        <w:jc w:val="left"/>
      </w:pPr>
      <w:r w:rsidRPr="5B4252AF"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Brekke, H. K., Jansson, P. A., Mansson, J. E., &amp; Lenner, R. A. (2003). Lifestyle changes can be achieved through counseling and follow-up in first-degree relatives of patients with type 2 diabetes. </w:t>
      </w:r>
      <w:r w:rsidRPr="5B4252AF" w:rsidR="5E7CD01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the American Dietetic Association</w:t>
      </w:r>
      <w:r w:rsidRPr="5B4252AF"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B4252AF" w:rsidR="5E7CD01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103</w:t>
      </w:r>
      <w:r w:rsidRPr="5B4252AF"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(7), 835–843. </w:t>
      </w:r>
      <w:hyperlink r:id="R926924292eb0443a">
        <w:r w:rsidRPr="5B4252AF" w:rsidR="5E7CD01E">
          <w:rPr>
            <w:rStyle w:val="Hyperlink"/>
            <w:b w:val="0"/>
            <w:bCs w:val="0"/>
            <w:i w:val="0"/>
            <w:iCs w:val="0"/>
            <w:caps w:val="0"/>
            <w:smallCaps w:val="0"/>
            <w:noProof w:val="0"/>
            <w:lang w:val="en-GB"/>
          </w:rPr>
          <w:t>https://doi.org/10.1016/S0002-8223(03)00378-X</w:t>
        </w:r>
      </w:hyperlink>
    </w:p>
    <w:p w:rsidR="5B4252AF" w:rsidP="5B4252AF" w:rsidRDefault="5B4252AF" w14:paraId="0C767044" w14:textId="7BA4B665">
      <w:pPr>
        <w:pStyle w:val="Normal"/>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43D371" w:rsidP="5B4252AF" w:rsidRDefault="2843D371" w14:paraId="21927E05" w14:textId="7EA50865">
      <w:pPr>
        <w:pStyle w:val="Normal"/>
        <w:shd w:val="clear" w:color="auto" w:fill="FFFFFF" w:themeFill="background1"/>
        <w:spacing w:before="0" w:beforeAutospacing="off" w:after="0" w:afterAutospacing="off"/>
        <w:jc w:val="left"/>
      </w:pPr>
      <w:r w:rsidRPr="5B4252AF"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Overwijk, A., Putten, A. A. J., Schans, C. P., Willems, M., Hilgenkamp, T. I. M., &amp; Waninge, A. (2021). Use of behaviour change techniques by direct support professionals to support healthy lifestyle behaviour for people with moderate to profound intellectual disabilities. </w:t>
      </w:r>
      <w:r w:rsidRPr="5B4252AF" w:rsidR="2843D37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Applied Research in Intellectual Disabilities</w:t>
      </w:r>
      <w:r w:rsidRPr="5B4252AF"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B4252AF" w:rsidR="2843D37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34</w:t>
      </w:r>
      <w:r w:rsidRPr="5B4252AF"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(4), 1048–1056. </w:t>
      </w:r>
      <w:hyperlink r:id="Re942bfe9b0f248ef">
        <w:r w:rsidRPr="5B4252AF" w:rsidR="2843D371">
          <w:rPr>
            <w:rStyle w:val="Hyperlink"/>
            <w:b w:val="0"/>
            <w:bCs w:val="0"/>
            <w:i w:val="0"/>
            <w:iCs w:val="0"/>
            <w:caps w:val="0"/>
            <w:smallCaps w:val="0"/>
            <w:noProof w:val="0"/>
            <w:lang w:val="en-GB"/>
          </w:rPr>
          <w:t>https://doi.org/10.1111/jar.12845</w:t>
        </w:r>
      </w:hyperlink>
    </w:p>
    <w:p w:rsidR="5B4252AF" w:rsidP="5B4252AF" w:rsidRDefault="5B4252AF" w14:paraId="43FF9698" w14:textId="3F3D995E">
      <w:pPr>
        <w:pStyle w:val="Normal"/>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B4252AF" w:rsidP="5B4252AF" w:rsidRDefault="5B4252AF" w14:paraId="72349474" w14:textId="5AC96A86">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pPr>
    </w:p>
    <w:p w:rsidR="5B4252AF" w:rsidP="5B4252AF" w:rsidRDefault="5B4252AF" w14:paraId="7564EAC7" w14:textId="5894A4D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570A4"/>
    <w:rsid w:val="001C35FD"/>
    <w:rsid w:val="005C3083"/>
    <w:rsid w:val="0072899A"/>
    <w:rsid w:val="041EE400"/>
    <w:rsid w:val="093C2D11"/>
    <w:rsid w:val="0A3B19C8"/>
    <w:rsid w:val="0D6B9544"/>
    <w:rsid w:val="0D74FB07"/>
    <w:rsid w:val="0DC8C163"/>
    <w:rsid w:val="0F7D91F3"/>
    <w:rsid w:val="18FCD4EA"/>
    <w:rsid w:val="1AA4B7FA"/>
    <w:rsid w:val="1B97FA93"/>
    <w:rsid w:val="1C93C23A"/>
    <w:rsid w:val="1CC5230B"/>
    <w:rsid w:val="1DD8E0AC"/>
    <w:rsid w:val="1E7998C1"/>
    <w:rsid w:val="21E8C15C"/>
    <w:rsid w:val="25E81F48"/>
    <w:rsid w:val="2755DA00"/>
    <w:rsid w:val="2843D371"/>
    <w:rsid w:val="2926972F"/>
    <w:rsid w:val="2A64E843"/>
    <w:rsid w:val="2B6ABEC8"/>
    <w:rsid w:val="2E643A97"/>
    <w:rsid w:val="320CBE8B"/>
    <w:rsid w:val="33BEBE15"/>
    <w:rsid w:val="34405B67"/>
    <w:rsid w:val="34606BDF"/>
    <w:rsid w:val="3A89D3BC"/>
    <w:rsid w:val="3ECAA59F"/>
    <w:rsid w:val="401E0D9A"/>
    <w:rsid w:val="408D35AC"/>
    <w:rsid w:val="409992C7"/>
    <w:rsid w:val="40DC2DB9"/>
    <w:rsid w:val="40E9C002"/>
    <w:rsid w:val="433634D5"/>
    <w:rsid w:val="43511FB0"/>
    <w:rsid w:val="476B8B0E"/>
    <w:rsid w:val="48E28DAB"/>
    <w:rsid w:val="4A98E9B6"/>
    <w:rsid w:val="4EE37FF2"/>
    <w:rsid w:val="4EF2304B"/>
    <w:rsid w:val="4F939E25"/>
    <w:rsid w:val="4FA46441"/>
    <w:rsid w:val="58295CB9"/>
    <w:rsid w:val="5A8947F7"/>
    <w:rsid w:val="5B4252AF"/>
    <w:rsid w:val="5E7CD01E"/>
    <w:rsid w:val="5FC4E8AC"/>
    <w:rsid w:val="6116B680"/>
    <w:rsid w:val="63DDB91A"/>
    <w:rsid w:val="6505C813"/>
    <w:rsid w:val="67AAF8D3"/>
    <w:rsid w:val="67E05121"/>
    <w:rsid w:val="6AB60CAF"/>
    <w:rsid w:val="6B3203DF"/>
    <w:rsid w:val="6BE570A4"/>
    <w:rsid w:val="6C064B74"/>
    <w:rsid w:val="6D6122FF"/>
    <w:rsid w:val="703A7C1F"/>
    <w:rsid w:val="74CBD213"/>
    <w:rsid w:val="7B5F9A5F"/>
    <w:rsid w:val="7D4409EA"/>
    <w:rsid w:val="7DC080E3"/>
    <w:rsid w:val="7F611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DD9B"/>
  <w15:chartTrackingRefBased/>
  <w15:docId w15:val="{99570153-EFE2-4D64-9C0D-8BB7A8D0DF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B4252A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mpmed.2022.07.00" TargetMode="External" Id="R076b1fdd23b84614" /><Relationship Type="http://schemas.openxmlformats.org/officeDocument/2006/relationships/hyperlink" Target="https://doi.org/10.1016/j.pcd.2026.02.001" TargetMode="External" Id="Rec0537245bfb4fe3" /><Relationship Type="http://schemas.openxmlformats.org/officeDocument/2006/relationships/hyperlink" Target="https://doi.org/10.1016/S0168-8227(02)00275-9" TargetMode="External" Id="R7e5e283dc31748c9" /><Relationship Type="http://schemas.openxmlformats.org/officeDocument/2006/relationships/hyperlink" Target="https://doi.org/10.1016/S0002-8223(03)00378-X" TargetMode="External" Id="R926924292eb0443a" /><Relationship Type="http://schemas.openxmlformats.org/officeDocument/2006/relationships/hyperlink" Target="https://doi.org/10.1111/jar.12845" TargetMode="External" Id="Re942bfe9b0f248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Gurdith Barkar (2506015)</dc:creator>
  <keywords/>
  <dc:description/>
  <lastModifiedBy>Gurdith Barkar (2506015)</lastModifiedBy>
  <revision>2</revision>
  <dcterms:created xsi:type="dcterms:W3CDTF">2026-07-16T16:31:12.9946703Z</dcterms:created>
  <dcterms:modified xsi:type="dcterms:W3CDTF">2026-07-17T18:48:49.7799175Z</dcterms:modified>
</coreProperties>
</file>