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360" w:type="dxa"/>
        <w:jc w:val="left"/>
        <w:tblInd w:w="0" w:type="dxa"/>
        <w:tblLayout w:type="fixed"/>
        <w:tblCellMar>
          <w:top w:w="0" w:type="dxa"/>
          <w:left w:w="108" w:type="dxa"/>
          <w:bottom w:w="0" w:type="dxa"/>
          <w:right w:w="108" w:type="dxa"/>
        </w:tblCellMar>
        <w:tblLook w:val="00a0" w:noVBand="0" w:noHBand="0" w:lastColumn="0" w:firstColumn="1" w:lastRow="0" w:firstRow="1"/>
      </w:tblPr>
      <w:tblGrid>
        <w:gridCol w:w="4802"/>
        <w:gridCol w:w="4557"/>
      </w:tblGrid>
      <w:tr>
        <w:trPr>
          <w:trHeight w:val="1134" w:hRule="atLeast"/>
        </w:trPr>
        <w:tc>
          <w:tcPr>
            <w:tcW w:w="4802" w:type="dxa"/>
            <w:tcBorders/>
          </w:tcPr>
          <w:p>
            <w:pPr>
              <w:pStyle w:val="Normal"/>
              <w:spacing w:lineRule="auto" w:line="240" w:before="0" w:after="0"/>
              <w:rPr>
                <w:rFonts w:ascii="Arial" w:hAnsi="Arial" w:cs="Arial"/>
                <w:sz w:val="24"/>
                <w:lang w:val="en-US"/>
              </w:rPr>
            </w:pPr>
            <w:r>
              <w:rPr/>
              <w:drawing>
                <wp:inline distT="0" distB="0" distL="0" distR="0">
                  <wp:extent cx="2247900" cy="752475"/>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noChangeArrowheads="1"/>
                          </pic:cNvPicPr>
                        </pic:nvPicPr>
                        <pic:blipFill>
                          <a:blip r:embed="rId2"/>
                          <a:stretch>
                            <a:fillRect/>
                          </a:stretch>
                        </pic:blipFill>
                        <pic:spPr bwMode="auto">
                          <a:xfrm>
                            <a:off x="0" y="0"/>
                            <a:ext cx="2247900" cy="752475"/>
                          </a:xfrm>
                          <a:prstGeom prst="rect">
                            <a:avLst/>
                          </a:prstGeom>
                          <a:noFill/>
                        </pic:spPr>
                      </pic:pic>
                    </a:graphicData>
                  </a:graphic>
                </wp:inline>
              </w:drawing>
            </w:r>
          </w:p>
        </w:tc>
        <w:tc>
          <w:tcPr>
            <w:tcW w:w="4557" w:type="dxa"/>
            <w:tcBorders/>
          </w:tcPr>
          <w:p>
            <w:pPr>
              <w:pStyle w:val="Normal"/>
              <w:spacing w:lineRule="auto" w:line="240" w:before="0" w:after="0"/>
              <w:jc w:val="right"/>
              <w:rPr>
                <w:rFonts w:ascii="Arial" w:hAnsi="Arial" w:cs="Arial"/>
                <w:b/>
                <w:sz w:val="24"/>
                <w:szCs w:val="24"/>
              </w:rPr>
            </w:pPr>
            <w:r>
              <w:rPr>
                <w:rFonts w:cs="Arial" w:ascii="Arial" w:hAnsi="Arial"/>
                <w:b/>
                <w:sz w:val="24"/>
                <w:szCs w:val="24"/>
              </w:rPr>
              <w:t>APPENDIX GA28</w:t>
            </w:r>
          </w:p>
          <w:p>
            <w:pPr>
              <w:pStyle w:val="Normal"/>
              <w:spacing w:lineRule="auto" w:line="240" w:before="0" w:after="0"/>
              <w:jc w:val="right"/>
              <w:rPr>
                <w:rFonts w:ascii="Arial" w:hAnsi="Arial" w:cs="Arial"/>
                <w:sz w:val="24"/>
                <w:lang w:val="en-US"/>
              </w:rPr>
            </w:pPr>
            <w:r>
              <w:rPr>
                <w:rFonts w:cs="Arial" w:ascii="Arial" w:hAnsi="Arial"/>
                <w:sz w:val="24"/>
                <w:lang w:val="en-US"/>
              </w:rPr>
            </w:r>
          </w:p>
        </w:tc>
      </w:tr>
    </w:tbl>
    <w:p>
      <w:pPr>
        <w:pStyle w:val="Normal"/>
        <w:numPr>
          <w:ilvl w:val="0"/>
          <w:numId w:val="0"/>
        </w:numPr>
        <w:spacing w:lineRule="auto" w:line="240" w:before="0" w:after="0"/>
        <w:jc w:val="center"/>
        <w:outlineLvl w:val="0"/>
        <w:rPr>
          <w:rFonts w:ascii="Arial" w:hAnsi="Arial" w:cs="Arial"/>
          <w:b/>
          <w:bCs/>
          <w:sz w:val="24"/>
          <w:szCs w:val="24"/>
          <w:u w:val="single"/>
        </w:rPr>
      </w:pPr>
      <w:r>
        <w:rPr>
          <w:rFonts w:cs="Arial" w:ascii="Arial" w:hAnsi="Arial"/>
          <w:b/>
          <w:bCs/>
          <w:sz w:val="24"/>
          <w:szCs w:val="24"/>
          <w:u w:val="single"/>
        </w:rPr>
      </w:r>
    </w:p>
    <w:p>
      <w:pPr>
        <w:pStyle w:val="Normal"/>
        <w:numPr>
          <w:ilvl w:val="0"/>
          <w:numId w:val="0"/>
        </w:numPr>
        <w:spacing w:lineRule="auto" w:line="240" w:before="0" w:after="0"/>
        <w:jc w:val="center"/>
        <w:outlineLvl w:val="0"/>
        <w:rPr>
          <w:rFonts w:ascii="Arial" w:hAnsi="Arial" w:cs="Arial"/>
          <w:b/>
          <w:bCs/>
          <w:sz w:val="28"/>
          <w:szCs w:val="28"/>
        </w:rPr>
      </w:pPr>
      <w:r>
        <w:rPr>
          <w:rFonts w:cs="Arial" w:ascii="Arial" w:hAnsi="Arial"/>
          <w:b/>
          <w:bCs/>
          <w:sz w:val="28"/>
          <w:szCs w:val="28"/>
        </w:rPr>
        <w:t>MODERATION OF MARKED ASSESSMENT</w:t>
      </w:r>
    </w:p>
    <w:p>
      <w:pPr>
        <w:pStyle w:val="Default"/>
        <w:ind w:right="-138"/>
        <w:rPr>
          <w:rFonts w:ascii="Arial" w:hAnsi="Arial" w:cs="Arial"/>
          <w:color w:val="auto"/>
          <w:sz w:val="22"/>
          <w:szCs w:val="22"/>
        </w:rPr>
      </w:pPr>
      <w:r>
        <w:rPr>
          <w:rFonts w:cs="Arial" w:ascii="Arial" w:hAnsi="Arial"/>
          <w:color w:val="auto"/>
          <w:sz w:val="22"/>
          <w:szCs w:val="22"/>
        </w:rPr>
        <w:t>This form is used to ensure that marked assessments have been through an internal and external review process. This form should be completed for each assessment for a particular module.</w:t>
      </w:r>
    </w:p>
    <w:p>
      <w:pPr>
        <w:pStyle w:val="Normal"/>
        <w:spacing w:lineRule="auto" w:line="240" w:before="0" w:after="0"/>
        <w:rPr>
          <w:rFonts w:ascii="Arial" w:hAnsi="Arial" w:cs="Arial"/>
          <w:b/>
          <w:bCs/>
          <w:u w:val="single"/>
        </w:rPr>
      </w:pPr>
      <w:r>
        <w:rPr>
          <w:rFonts w:cs="Arial" w:ascii="Arial" w:hAnsi="Arial"/>
          <w:b/>
          <w:bCs/>
          <w:u w:val="single"/>
        </w:rPr>
      </w:r>
    </w:p>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2010"/>
        <w:gridCol w:w="2677"/>
        <w:gridCol w:w="2395"/>
        <w:gridCol w:w="470"/>
        <w:gridCol w:w="1797"/>
      </w:tblGrid>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PARTNER </w:t>
            </w:r>
            <w:r>
              <w:rPr>
                <w:rFonts w:eastAsia="Times New Roman" w:cs="Arial" w:ascii="Arial" w:hAnsi="Arial"/>
                <w:sz w:val="16"/>
                <w:szCs w:val="16"/>
              </w:rPr>
              <w:t>(and taught location if relevant)</w:t>
            </w:r>
            <w:r>
              <w:rPr>
                <w:rFonts w:eastAsia="Times New Roman" w:cs="Arial" w:ascii="Arial" w:hAnsi="Arial"/>
                <w:b/>
                <w:sz w:val="16"/>
                <w:szCs w:val="16"/>
              </w:rPr>
              <w:t>:</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EXTERNAL EXAMINER NAME:</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ASSESSMENT AUTHOR:</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GAYNOR THOMAS</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TITLE:</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INDEPENDENT PROJECT</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CODE:</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ACCA020</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LEVEL:</w:t>
            </w:r>
          </w:p>
          <w:p>
            <w:pPr>
              <w:pStyle w:val="Normal"/>
              <w:spacing w:lineRule="auto" w:line="240" w:before="0" w:after="0"/>
              <w:rPr>
                <w:rFonts w:ascii="Arial" w:hAnsi="Arial" w:eastAsia="Times New Roman" w:cs="Arial"/>
                <w:bCs/>
                <w:sz w:val="20"/>
                <w:szCs w:val="20"/>
              </w:rPr>
            </w:pPr>
            <w:r>
              <w:rPr>
                <w:rFonts w:eastAsia="Times New Roman" w:cs="Arial" w:ascii="Arial" w:hAnsi="Arial"/>
                <w:bCs/>
                <w:sz w:val="16"/>
                <w:szCs w:val="16"/>
              </w:rPr>
              <w:t>(eg 3, 4, 5, 6, 7)</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6</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Cs/>
                <w:sz w:val="20"/>
                <w:szCs w:val="20"/>
              </w:rPr>
            </w:pPr>
            <w:r>
              <w:rPr>
                <w:rFonts w:eastAsia="Times New Roman" w:cs="Arial" w:ascii="Arial" w:hAnsi="Arial"/>
                <w:b/>
                <w:sz w:val="20"/>
                <w:szCs w:val="20"/>
              </w:rPr>
              <w:t xml:space="preserve">COMPONENT NO(S): </w:t>
            </w:r>
          </w:p>
          <w:p>
            <w:pPr>
              <w:pStyle w:val="Normal"/>
              <w:spacing w:lineRule="auto" w:line="240" w:before="0" w:after="0"/>
              <w:rPr>
                <w:rFonts w:ascii="Arial" w:hAnsi="Arial" w:eastAsia="Times New Roman" w:cs="Arial"/>
                <w:bCs/>
                <w:sz w:val="16"/>
                <w:szCs w:val="16"/>
              </w:rPr>
            </w:pPr>
            <w:r>
              <w:rPr>
                <w:rFonts w:eastAsia="Times New Roman" w:cs="Arial" w:ascii="Arial" w:hAnsi="Arial"/>
                <w:bCs/>
                <w:sz w:val="16"/>
                <w:szCs w:val="16"/>
              </w:rPr>
              <w:t>(eg. 1)</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 </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COMPONENT(S) WEIGHTING</w:t>
            </w:r>
          </w:p>
          <w:p>
            <w:pPr>
              <w:pStyle w:val="Normal"/>
              <w:spacing w:lineRule="auto" w:line="240" w:before="0" w:after="0"/>
              <w:rPr>
                <w:rFonts w:ascii="Arial" w:hAnsi="Arial" w:eastAsia="Times New Roman" w:cs="Arial"/>
                <w:sz w:val="16"/>
                <w:szCs w:val="16"/>
              </w:rPr>
            </w:pPr>
            <w:r>
              <w:rPr>
                <w:rFonts w:eastAsia="Times New Roman" w:cs="Arial" w:ascii="Arial" w:hAnsi="Arial"/>
                <w:sz w:val="16"/>
                <w:szCs w:val="16"/>
              </w:rPr>
              <w:t>(e.g. 100%);</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Portfolio 100%</w:t>
            </w:r>
          </w:p>
        </w:tc>
      </w:tr>
      <w:tr>
        <w:trPr>
          <w:trHeight w:val="272" w:hRule="atLeas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i/>
                <w:i/>
                <w:sz w:val="20"/>
                <w:szCs w:val="20"/>
                <w:lang w:val="cy-GB"/>
              </w:rPr>
            </w:pPr>
            <w:r>
              <w:rPr>
                <w:rFonts w:eastAsia="Times New Roman" w:cs="Arial" w:ascii="Arial" w:hAnsi="Arial"/>
                <w:b/>
                <w:sz w:val="20"/>
                <w:szCs w:val="20"/>
              </w:rPr>
              <w:t>ASSESSMENT PERIOD</w:t>
            </w:r>
            <w:r>
              <w:rPr>
                <w:rFonts w:eastAsia="Times New Roman" w:cs="Arial" w:ascii="Arial" w:hAnsi="Arial"/>
                <w:i/>
                <w:sz w:val="20"/>
                <w:szCs w:val="20"/>
                <w:lang w:val="cy-GB"/>
              </w:rPr>
              <w:t xml:space="preserv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lang w:val="cy-GB"/>
              </w:rPr>
            </w:pPr>
            <w:r>
              <w:rPr>
                <w:rFonts w:eastAsia="Times New Roman" w:cs="Arial" w:ascii="Arial" w:hAnsi="Arial"/>
                <w:b/>
                <w:bCs/>
                <w:sz w:val="20"/>
                <w:szCs w:val="20"/>
                <w:lang w:val="cy-GB"/>
              </w:rPr>
              <w:t>2024/5</w:t>
            </w:r>
          </w:p>
        </w:tc>
      </w:tr>
      <w:tr>
        <w:trPr>
          <w:trHeight w:val="567" w:hRule="exac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sz w:val="20"/>
                <w:szCs w:val="20"/>
                <w:lang w:val="cy-GB"/>
              </w:rPr>
            </w:pPr>
            <w:r>
              <w:rPr>
                <w:rFonts w:eastAsia="Times New Roman" w:cs="Arial" w:ascii="Arial" w:hAnsi="Arial"/>
                <w:b/>
                <w:sz w:val="20"/>
                <w:szCs w:val="20"/>
              </w:rPr>
              <w:t>TYPE OF ASSESSMENT:</w:t>
            </w:r>
          </w:p>
        </w:tc>
        <w:tc>
          <w:tcPr>
            <w:tcW w:w="267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74472005"/>
                <w14:checkbox>
                  <w14:checked w14:val="1"/>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Coursework</w:t>
            </w:r>
            <w:r>
              <w:rPr>
                <w:rFonts w:eastAsia="Times New Roman" w:cs="Arial" w:ascii="Arial" w:hAnsi="Arial"/>
                <w:sz w:val="20"/>
                <w:szCs w:val="20"/>
                <w:lang w:eastAsia="en-GB"/>
              </w:rPr>
              <w:t xml:space="preserve"> /Portfolio</w:t>
            </w:r>
          </w:p>
        </w:tc>
        <w:tc>
          <w:tcPr>
            <w:tcW w:w="239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02287081"/>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Examination</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3204846"/>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Practical</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LANGUAGE OF ASSESSMENT:</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rPr>
            </w:pPr>
            <w:r>
              <w:rPr>
                <w:rFonts w:eastAsia="Times New Roman" w:cs="Arial" w:ascii="Arial" w:hAnsi="Arial"/>
                <w:b/>
                <w:bCs/>
                <w:sz w:val="20"/>
                <w:szCs w:val="20"/>
              </w:rPr>
              <w:t>ENGLISH</w:t>
            </w:r>
          </w:p>
        </w:tc>
        <w:tc>
          <w:tcPr>
            <w:tcW w:w="2865" w:type="dxa"/>
            <w:gridSpan w:val="2"/>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sz w:val="16"/>
                <w:szCs w:val="16"/>
              </w:rPr>
            </w:pPr>
            <w:r>
              <w:rPr>
                <w:rFonts w:eastAsia="Times New Roman" w:cs="Arial" w:ascii="Arial" w:hAnsi="Arial"/>
                <w:b/>
                <w:sz w:val="20"/>
                <w:szCs w:val="20"/>
              </w:rPr>
              <w:t>TRANSLATION PROVIDED:</w:t>
            </w:r>
          </w:p>
        </w:tc>
        <w:tc>
          <w:tcPr>
            <w:tcW w:w="1797" w:type="dxa"/>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i/>
                <w:i/>
                <w:sz w:val="20"/>
                <w:szCs w:val="20"/>
              </w:rPr>
            </w:pPr>
            <w:sdt>
              <w:sdtPr>
                <w:id w:val="203528301"/>
                <w14:checkbox>
                  <w14:checked w14:val="0"/>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Yes | </w:t>
            </w:r>
            <w:sdt>
              <w:sdtPr>
                <w:id w:val="-211503918"/>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No</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TURNITIN CHECK FOR UNFAIR PRACTICE: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sdt>
              <w:sdtPr>
                <w:id w:val="-25648268"/>
                <w14:checkbox>
                  <w14:checked w14:val="1"/>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
                <w:sz w:val="20"/>
                <w:szCs w:val="20"/>
              </w:rPr>
              <w:t xml:space="preserve"> </w:t>
            </w:r>
            <w:r>
              <w:rPr>
                <w:rFonts w:eastAsia="Times New Roman" w:cs="Arial" w:ascii="Arial" w:hAnsi="Arial"/>
                <w:iCs/>
                <w:sz w:val="20"/>
                <w:szCs w:val="20"/>
              </w:rPr>
              <w:t xml:space="preserve">Yes | </w:t>
            </w:r>
            <w:sdt>
              <w:sdtPr>
                <w:id w:val="-1461494692"/>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No </w:t>
            </w:r>
          </w:p>
        </w:tc>
      </w:tr>
    </w:tbl>
    <w:p>
      <w:pPr>
        <w:pStyle w:val="Normal"/>
        <w:spacing w:lineRule="auto" w:line="240" w:before="0" w:after="0"/>
        <w:rPr>
          <w:rFonts w:ascii="Arial" w:hAnsi="Arial" w:cs="Arial"/>
          <w:b/>
          <w:bCs/>
        </w:rPr>
      </w:pPr>
      <w:r>
        <w:rPr>
          <w:rFonts w:cs="Arial" w:ascii="Arial" w:hAnsi="Arial"/>
          <w:b/>
          <w:bCs/>
        </w:rPr>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116"/>
        <w:gridCol w:w="3117"/>
        <w:gridCol w:w="3117"/>
      </w:tblGrid>
      <w:tr>
        <w:trPr/>
        <w:tc>
          <w:tcPr>
            <w:tcW w:w="9350" w:type="dxa"/>
            <w:gridSpan w:val="3"/>
            <w:tcBorders/>
            <w:shd w:color="auto" w:fill="FABF8F" w:themeFill="accent6" w:themeFillTint="99" w:val="clear"/>
          </w:tcPr>
          <w:p>
            <w:pPr>
              <w:pStyle w:val="NormalWeb"/>
              <w:widowControl/>
              <w:spacing w:before="0" w:after="0"/>
              <w:jc w:val="left"/>
              <w:rPr>
                <w:rFonts w:ascii="Arial" w:hAnsi="Arial" w:cs="Arial"/>
                <w:b/>
                <w:bCs/>
                <w:color w:val="000000"/>
                <w:sz w:val="20"/>
                <w:szCs w:val="20"/>
              </w:rPr>
            </w:pPr>
            <w:r>
              <w:rPr>
                <w:rFonts w:cs="Arial" w:ascii="Arial" w:hAnsi="Arial"/>
                <w:b/>
                <w:bCs/>
                <w:color w:val="000000"/>
                <w:kern w:val="0"/>
                <w:sz w:val="20"/>
                <w:szCs w:val="20"/>
                <w:lang w:bidi="ar-SA"/>
              </w:rPr>
              <w:t>Agreed Marking Process (According to GA15)</w:t>
            </w:r>
          </w:p>
        </w:tc>
      </w:tr>
      <w:tr>
        <w:trPr/>
        <w:tc>
          <w:tcPr>
            <w:tcW w:w="3116"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369141811"/>
                <w14:checkbox>
                  <w14:checked w14:val="0"/>
                  <w14:checkedState w14:val="2612"/>
                  <w14:uncheckedState w14:val="2610"/>
                </w14:checkbox>
              </w:sdtPr>
              <w:sdtContent>
                <w:r>
                  <w:rPr>
                    <w:rFonts w:eastAsia="MS Gothic" w:cs="Arial" w:ascii="MS Gothic" w:hAnsi="MS Gothic"/>
                    <w:color w:val="000000"/>
                    <w:kern w:val="0"/>
                    <w:sz w:val="20"/>
                    <w:szCs w:val="20"/>
                    <w:lang w:bidi="ar-SA"/>
                  </w:rPr>
                </w:r>
                <w:r>
                  <w:rPr>
                    <w:rFonts w:eastAsia="MS Gothic" w:cs="Arial" w:ascii="MS Gothic" w:hAnsi="MS Gothic"/>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Internal Moderation</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932470959"/>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Second marking</w:t>
            </w:r>
          </w:p>
        </w:tc>
        <w:tc>
          <w:tcPr>
            <w:tcW w:w="3117" w:type="dxa"/>
            <w:tcBorders/>
            <w:shd w:color="auto" w:fill="auto" w:val="clear"/>
          </w:tcPr>
          <w:p>
            <w:pPr>
              <w:pStyle w:val="NormalWeb"/>
              <w:widowControl/>
              <w:spacing w:before="0" w:after="0"/>
              <w:jc w:val="left"/>
              <w:rPr>
                <w:rFonts w:ascii="Arial" w:hAnsi="Arial" w:cs="Arial"/>
                <w:color w:val="000000"/>
                <w:sz w:val="20"/>
                <w:szCs w:val="20"/>
              </w:rPr>
            </w:pPr>
            <w:sdt>
              <w:sdtPr>
                <w:id w:val="1487676398"/>
                <w14:checkbox>
                  <w14:checked w14:val="1"/>
                  <w14:checkedState w14:val="2612"/>
                  <w14:uncheckedState w14:val="2610"/>
                </w14:checkbox>
              </w:sdtPr>
              <w:sdtContent>
                <w:r>
                  <w:rPr>
                    <w:rFonts w:eastAsia="MS Gothic" w:cs="Arial" w:ascii="MS Gothic" w:hAnsi="MS Gothic"/>
                    <w:color w:val="000000"/>
                    <w:kern w:val="0"/>
                    <w:sz w:val="20"/>
                    <w:szCs w:val="20"/>
                    <w:lang w:bidi="ar-SA"/>
                  </w:rPr>
                </w:r>
                <w:r>
                  <w:rPr>
                    <w:rFonts w:eastAsia="MS Gothic" w:cs="Arial" w:ascii="MS Gothic" w:hAnsi="MS Gothic"/>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Blind double marking</w:t>
            </w:r>
          </w:p>
        </w:tc>
      </w:tr>
    </w:tbl>
    <w:p>
      <w:pPr>
        <w:pStyle w:val="Normal"/>
        <w:spacing w:lineRule="auto" w:line="240" w:before="0" w:after="0"/>
        <w:rPr>
          <w:rFonts w:ascii="Arial" w:hAnsi="Arial" w:cs="Arial"/>
          <w:b/>
          <w:bCs/>
          <w:sz w:val="20"/>
          <w:szCs w:val="20"/>
        </w:rPr>
      </w:pPr>
      <w:r>
        <w:rPr>
          <w:rFonts w:cs="Arial" w:ascii="Arial" w:hAnsi="Arial"/>
          <w:b/>
          <w:bCs/>
          <w:sz w:val="20"/>
          <w:szCs w:val="20"/>
        </w:rPr>
      </w:r>
    </w:p>
    <w:p>
      <w:pPr>
        <w:pStyle w:val="Normal"/>
        <w:spacing w:lineRule="auto" w:line="240" w:before="0" w:after="0"/>
        <w:rPr>
          <w:rFonts w:ascii="Arial" w:hAnsi="Arial" w:cs="Arial"/>
          <w:b/>
          <w:bCs/>
        </w:rPr>
      </w:pPr>
      <w:r>
        <w:rPr>
          <w:rFonts w:cs="Arial" w:ascii="Arial" w:hAnsi="Arial"/>
          <w:b/>
          <w:bCs/>
        </w:rPr>
        <w:t xml:space="preserve">Please see </w:t>
      </w:r>
      <w:hyperlink r:id="rId3">
        <w:r>
          <w:rPr>
            <w:rStyle w:val="Hyperlink"/>
            <w:rFonts w:cs="Arial" w:ascii="Arial" w:hAnsi="Arial"/>
            <w:b/>
            <w:bCs/>
          </w:rPr>
          <w:t>AQH 7.8(4)</w:t>
        </w:r>
      </w:hyperlink>
      <w:r>
        <w:rPr>
          <w:rFonts w:cs="Arial" w:ascii="Arial" w:hAnsi="Arial"/>
          <w:b/>
          <w:bCs/>
        </w:rPr>
        <w:t xml:space="preserve"> for Moderation Regulations and Process</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Students listed below must be registered on a UWTSD award.</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278"/>
        <w:gridCol w:w="2411"/>
        <w:gridCol w:w="1133"/>
        <w:gridCol w:w="1134"/>
        <w:gridCol w:w="1276"/>
        <w:gridCol w:w="1275"/>
        <w:gridCol w:w="1843"/>
      </w:tblGrid>
      <w:tr>
        <w:trPr/>
        <w:tc>
          <w:tcPr>
            <w:tcW w:w="9350" w:type="dxa"/>
            <w:gridSpan w:val="7"/>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278"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41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NOTE – All elements were double marked or blind double marked. Please see student project folders for details</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sz w:val="20"/>
          <w:szCs w:val="20"/>
        </w:rPr>
      </w:pPr>
      <w:r>
        <w:rPr>
          <w:rFonts w:cs="Arial" w:ascii="Arial" w:hAnsi="Arial"/>
          <w:sz w:val="20"/>
          <w:szCs w:val="20"/>
        </w:rPr>
        <w:t xml:space="preserve">If agreement has not been reached, this needs to be raised with the Programme Manager, as a third marker is required. </w:t>
      </w:r>
    </w:p>
    <w:p>
      <w:pPr>
        <w:pStyle w:val="Normal"/>
        <w:spacing w:lineRule="auto" w:line="240" w:before="0" w:after="0"/>
        <w:rPr>
          <w:rFonts w:ascii="Arial" w:hAnsi="Arial" w:cs="Arial"/>
          <w:sz w:val="20"/>
          <w:szCs w:val="20"/>
        </w:rPr>
      </w:pPr>
      <w:r>
        <w:rPr>
          <w:rFonts w:cs="Arial" w:ascii="Arial" w:hAnsi="Arial"/>
          <w:sz w:val="20"/>
          <w:szCs w:val="20"/>
        </w:rPr>
      </w:r>
    </w:p>
    <w:p>
      <w:pPr>
        <w:pStyle w:val="Normal"/>
        <w:spacing w:lineRule="auto" w:line="240" w:before="0" w:after="0"/>
        <w:rPr>
          <w:rFonts w:ascii="Arial" w:hAnsi="Arial" w:cs="Arial"/>
          <w:b/>
          <w:bCs/>
        </w:rPr>
      </w:pPr>
      <w:r>
        <w:rPr>
          <w:rFonts w:cs="Arial" w:ascii="Arial" w:hAnsi="Arial"/>
          <w:sz w:val="20"/>
          <w:szCs w:val="20"/>
        </w:rPr>
        <w:t xml:space="preserve">If agreement has been reached, please explain how agreement has been reached and if there are changes to any marks. If changes have been made, </w:t>
      </w:r>
      <w:r>
        <w:rPr>
          <w:rFonts w:cs="Arial" w:ascii="Arial" w:hAnsi="Arial"/>
          <w:sz w:val="20"/>
          <w:szCs w:val="20"/>
          <w:u w:val="single"/>
        </w:rPr>
        <w:t>all</w:t>
      </w:r>
      <w:r>
        <w:rPr>
          <w:rFonts w:cs="Arial" w:ascii="Arial" w:hAnsi="Arial"/>
          <w:sz w:val="20"/>
          <w:szCs w:val="20"/>
        </w:rPr>
        <w:t xml:space="preserve"> students on the module must be listed in the table above.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FABF8F" w:themeFill="accent6" w:themeFillTint="99"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INTERNAL MODERATOR </w:t>
            </w:r>
            <w:r>
              <w:rPr>
                <w:rFonts w:eastAsia="Times New Roman" w:cs="Arial" w:ascii="Arial" w:hAnsi="Arial"/>
                <w:kern w:val="0"/>
                <w:sz w:val="20"/>
                <w:szCs w:val="20"/>
                <w:lang w:eastAsia="en-US" w:bidi="ar-SA"/>
              </w:rPr>
              <w:t>(or second marker)</w:t>
            </w:r>
          </w:p>
        </w:tc>
        <w:tc>
          <w:tcPr>
            <w:tcW w:w="1134" w:type="dxa"/>
            <w:gridSpan w:val="2"/>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FABF8F" w:themeFill="accent6" w:themeFillTint="99"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FABF8F" w:themeFill="accent6" w:themeFillTint="99"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Has agreement on the marks been reached?</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Elements were either double marked or blind double marked</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8</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How was agreement between markers reached?</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All elements were double marked/blind double marked</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(Internal Moderator): </w:t>
            </w:r>
          </w:p>
          <w:p>
            <w:pPr>
              <w:pStyle w:val="Normal"/>
              <w:spacing w:lineRule="auto" w:line="240" w:before="0" w:after="0"/>
              <w:rPr>
                <w:rFonts w:ascii="Arial" w:hAnsi="Arial" w:cs="Arial"/>
              </w:rPr>
            </w:pPr>
            <w:r>
              <w:rPr>
                <w:rFonts w:cs="Arial" w:ascii="Arial" w:hAnsi="Arial"/>
              </w:rPr>
              <w:t>GAYNOR THOMAS (MODULE COORDINATOR)</w:t>
            </w:r>
          </w:p>
          <w:p>
            <w:pPr>
              <w:pStyle w:val="Normal"/>
              <w:spacing w:lineRule="auto" w:line="240" w:before="0" w:after="0"/>
              <w:rPr>
                <w:rFonts w:ascii="Arial" w:hAnsi="Arial" w:cs="Arial"/>
              </w:rPr>
            </w:pPr>
            <w:r>
              <w:rPr>
                <w:rFonts w:cs="Arial" w:ascii="Arial" w:hAnsi="Arial"/>
              </w:rPr>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Date: May 2025</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rPr/>
      </w:pPr>
      <w:r>
        <w:rPr/>
      </w:r>
      <w:r>
        <w:br w:type="page"/>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420"/>
        <w:gridCol w:w="8929"/>
      </w:tblGrid>
      <w:tr>
        <w:trPr/>
        <w:tc>
          <w:tcPr>
            <w:tcW w:w="9349" w:type="dxa"/>
            <w:gridSpan w:val="2"/>
            <w:tcBorders/>
            <w:shd w:color="auto" w:fill="808080" w:themeFill="background1" w:themeFillShade="80" w:val="clear"/>
          </w:tcPr>
          <w:p>
            <w:pPr>
              <w:pStyle w:val="Normal"/>
              <w:pageBreakBefore/>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THIRD MARKER </w:t>
            </w:r>
          </w:p>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Only required when the first two markers have been unable to reach a resolution.</w:t>
            </w:r>
          </w:p>
          <w:p>
            <w:pPr>
              <w:pStyle w:val="Normal"/>
              <w:widowControl/>
              <w:spacing w:lineRule="auto" w:line="240" w:before="0" w:after="0"/>
              <w:jc w:val="left"/>
              <w:rPr>
                <w:rFonts w:ascii="Arial" w:hAnsi="Arial" w:cs="Arial"/>
              </w:rPr>
            </w:pPr>
            <w:r>
              <w:rPr>
                <w:rFonts w:eastAsia="Times New Roman" w:cs="Arial" w:ascii="Arial" w:hAnsi="Arial"/>
                <w:kern w:val="0"/>
                <w:sz w:val="20"/>
                <w:szCs w:val="20"/>
                <w:lang w:eastAsia="en-US" w:bidi="ar-SA"/>
              </w:rPr>
              <w:t>The table above must include all students enrolled on the module and new marks entered in 3rd Marker Column and on the Registry system.</w:t>
            </w:r>
          </w:p>
        </w:tc>
      </w:tr>
      <w:tr>
        <w:trPr>
          <w:trHeight w:val="955"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1</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Comments</w:t>
            </w:r>
          </w:p>
        </w:tc>
      </w:tr>
      <w:tr>
        <w:trPr>
          <w:trHeight w:val="982"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2</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Actions to complete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FOR COLLABORATIVE PROVISION ONLY</w:t>
      </w:r>
    </w:p>
    <w:p>
      <w:pPr>
        <w:pStyle w:val="Normal"/>
        <w:spacing w:lineRule="auto" w:line="240" w:before="0" w:after="0"/>
        <w:rPr>
          <w:rFonts w:ascii="Arial" w:hAnsi="Arial" w:cs="Arial"/>
          <w:b/>
          <w:bCs/>
        </w:rPr>
      </w:pPr>
      <w:r>
        <w:rPr>
          <w:rFonts w:cs="Arial" w:ascii="Arial" w:hAnsi="Arial"/>
          <w:b/>
          <w:bCs/>
          <w:i/>
          <w:iCs/>
        </w:rPr>
        <w:t>Note: Partner colleges have completed their own GA28 forms for their module delivery. Please refer to partner college module box areas as required.</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808080" w:themeFill="background1" w:themeFillShade="80"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PARTNERSHIP TEAM LEADER </w:t>
            </w:r>
          </w:p>
        </w:tc>
        <w:tc>
          <w:tcPr>
            <w:tcW w:w="1134" w:type="dxa"/>
            <w:gridSpan w:val="2"/>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808080" w:themeFill="background1" w:themeFillShade="80"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808080" w:themeFill="background1" w:themeFillShade="80"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shd w:color="auto" w:fill="808080" w:themeFill="background1" w:themeFillShade="80" w:val="clear"/>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shd w:color="auto" w:fill="808080" w:themeFill="background1" w:themeFillShade="80" w:val="clear"/>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t>EXTERNAL EXAMINER REVIEW ONLY FOR THOSE MODULES / ASSESSMENT COMPONENTS detailed in the annual GA15 External Examiner Agreement</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B8CCE4" w:themeFill="accent1" w:themeFillTint="66" w:val="clear"/>
          </w:tcPr>
          <w:p>
            <w:pPr>
              <w:pStyle w:val="Normal"/>
              <w:widowControl/>
              <w:spacing w:lineRule="exact" w:line="204" w:before="0" w:after="0"/>
              <w:ind w:left="105" w:right="-20"/>
              <w:jc w:val="left"/>
              <w:rPr>
                <w:rFonts w:ascii="Arial" w:hAnsi="Arial" w:cs="Arial"/>
                <w:b/>
                <w:sz w:val="20"/>
                <w:szCs w:val="20"/>
              </w:rPr>
            </w:pPr>
            <w:r>
              <w:rPr>
                <w:rFonts w:eastAsia="Times New Roman" w:cs="Arial" w:ascii="Arial" w:hAnsi="Arial"/>
                <w:b/>
                <w:kern w:val="0"/>
                <w:lang w:eastAsia="en-US" w:bidi="ar-SA"/>
              </w:rPr>
              <w:t>EXTERNAL EXAMINER</w:t>
            </w:r>
          </w:p>
        </w:tc>
        <w:tc>
          <w:tcPr>
            <w:tcW w:w="1134" w:type="dxa"/>
            <w:gridSpan w:val="2"/>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B8CCE4" w:themeFill="accent1" w:themeFillTint="66"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B8CCE4" w:themeFill="accent1" w:themeFillTint="66"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uppressAutoHyphens w:val="true"/>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tcPr>
          <w:p>
            <w:pPr>
              <w:pStyle w:val="Normal"/>
              <w:widowControl/>
              <w:suppressAutoHyphens w:val="true"/>
              <w:spacing w:lineRule="auto" w:line="240" w:before="0" w:after="0"/>
              <w:jc w:val="left"/>
              <w:rPr>
                <w:rFonts w:ascii="Arial" w:hAnsi="Arial" w:cs="Arial"/>
                <w:sz w:val="20"/>
                <w:szCs w:val="20"/>
              </w:rPr>
            </w:pPr>
            <w:r>
              <w:rPr>
                <w:rFonts w:eastAsia="Wingdings" w:cs="Wingdings" w:ascii="Wingdings" w:hAnsi="Wingdings"/>
                <w:i/>
                <w:kern w:val="0"/>
                <w:lang w:eastAsia="en-US" w:bidi="ar-SA"/>
              </w:rPr>
              <w:sym w:font="Wingdings" w:char="f0fc"/>
            </w:r>
          </w:p>
        </w:tc>
        <w:tc>
          <w:tcPr>
            <w:tcW w:w="566" w:type="dxa"/>
            <w:tcBorders/>
          </w:tcPr>
          <w:p>
            <w:pPr>
              <w:pStyle w:val="Normal"/>
              <w:widowControl/>
              <w:suppressAutoHyphens w:val="true"/>
              <w:spacing w:lineRule="auto" w:line="240" w:before="0" w:after="0"/>
              <w:jc w:val="left"/>
              <w:rPr>
                <w:rFonts w:ascii="Arial" w:hAnsi="Arial" w:cs="Arial"/>
                <w:sz w:val="20"/>
                <w:szCs w:val="20"/>
              </w:rPr>
            </w:pPr>
            <w:r>
              <w:rPr>
                <w:rFonts w:cs="Arial" w:ascii="Arial" w:hAnsi="Arial"/>
                <w:sz w:val="20"/>
                <w:szCs w:val="20"/>
              </w:rPr>
            </w:r>
          </w:p>
        </w:tc>
        <w:tc>
          <w:tcPr>
            <w:tcW w:w="4537" w:type="dxa"/>
            <w:tcBorders/>
          </w:tcPr>
          <w:p>
            <w:pPr>
              <w:pStyle w:val="Normal"/>
              <w:widowControl/>
              <w:suppressAutoHyphens w:val="true"/>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 student work is blind double-marked for the final report. It is not clear how this is carried out in the other four parts of the assessment.</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uppressAutoHyphens w:val="true"/>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uppressAutoHyphens w:val="true"/>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uppressAutoHyphens w:val="true"/>
              <w:spacing w:lineRule="auto" w:line="240" w:before="0" w:after="0"/>
              <w:jc w:val="left"/>
              <w:rPr>
                <w:rFonts w:ascii="Arial" w:hAnsi="Arial" w:cs="Arial"/>
                <w:sz w:val="20"/>
                <w:szCs w:val="20"/>
              </w:rPr>
            </w:pPr>
            <w:r>
              <w:rPr>
                <w:rFonts w:cs="Arial" w:ascii="Arial" w:hAnsi="Arial"/>
                <w:sz w:val="20"/>
                <w:szCs w:val="20"/>
              </w:rPr>
            </w:r>
          </w:p>
        </w:tc>
        <w:tc>
          <w:tcPr>
            <w:tcW w:w="4537" w:type="dxa"/>
            <w:tcBorders/>
          </w:tcPr>
          <w:p>
            <w:pPr>
              <w:pStyle w:val="Normal"/>
              <w:widowControl/>
              <w:suppressAutoHyphens w:val="true"/>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Proposal: yes, detailed and long</w:t>
              <w:br/>
              <w:t>Interim viva: feedback generally too short and qualitative, but not aiming at improvements</w:t>
              <w:br/>
              <w:t>final viva: very short</w:t>
              <w:br/>
              <w:t>exhibition: generally short, qualitative feedback</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uppressAutoHyphens w:val="true"/>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uppressAutoHyphens w:val="true"/>
              <w:spacing w:lineRule="exact" w:line="252" w:before="6" w:after="0"/>
              <w:ind w:right="173"/>
              <w:jc w:val="left"/>
              <w:rPr>
                <w:rFonts w:ascii="Arial Narrow" w:hAnsi="Arial Narrow" w:eastAsia="Arial Narrow" w:cs="Arial Narrow"/>
              </w:rPr>
            </w:pPr>
            <w:r>
              <w:rPr>
                <w:rFonts w:eastAsia="Arial Narrow" w:cs="Arial Narrow" w:ascii="Arial Narrow" w:hAnsi="Arial Narrow"/>
              </w:rPr>
            </w:r>
          </w:p>
        </w:tc>
        <w:tc>
          <w:tcPr>
            <w:tcW w:w="568" w:type="dxa"/>
            <w:tcBorders/>
          </w:tcPr>
          <w:p>
            <w:pPr>
              <w:pStyle w:val="Normal"/>
              <w:widowControl/>
              <w:suppressAutoHyphens w:val="true"/>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uppressAutoHyphens w:val="true"/>
              <w:spacing w:lineRule="auto" w:line="240" w:before="0" w:after="0"/>
              <w:jc w:val="left"/>
              <w:rPr>
                <w:rFonts w:ascii="Arial" w:hAnsi="Arial" w:cs="Arial"/>
                <w:sz w:val="20"/>
                <w:szCs w:val="20"/>
              </w:rPr>
            </w:pPr>
            <w:r>
              <w:rPr>
                <w:rFonts w:cs="Arial" w:ascii="Arial" w:hAnsi="Arial"/>
                <w:sz w:val="20"/>
                <w:szCs w:val="20"/>
              </w:rPr>
            </w:r>
          </w:p>
        </w:tc>
        <w:tc>
          <w:tcPr>
            <w:tcW w:w="4537" w:type="dxa"/>
            <w:tcBorders/>
          </w:tcPr>
          <w:p>
            <w:pPr>
              <w:pStyle w:val="Normal"/>
              <w:widowControl/>
              <w:suppressAutoHyphens w:val="true"/>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uppressAutoHyphens w:val="true"/>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uppressAutoHyphens w:val="true"/>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uppressAutoHyphens w:val="true"/>
              <w:spacing w:lineRule="auto" w:line="240" w:before="0" w:after="0"/>
              <w:jc w:val="left"/>
              <w:rPr>
                <w:rFonts w:ascii="Arial" w:hAnsi="Arial" w:cs="Arial"/>
                <w:sz w:val="20"/>
                <w:szCs w:val="20"/>
              </w:rPr>
            </w:pPr>
            <w:r>
              <w:rPr>
                <w:rFonts w:cs="Arial" w:ascii="Arial" w:hAnsi="Arial"/>
                <w:sz w:val="20"/>
                <w:szCs w:val="20"/>
              </w:rPr>
            </w:r>
          </w:p>
        </w:tc>
        <w:tc>
          <w:tcPr>
            <w:tcW w:w="4537" w:type="dxa"/>
            <w:tcBorders/>
          </w:tcPr>
          <w:p>
            <w:pPr>
              <w:pStyle w:val="Normal"/>
              <w:widowControl/>
              <w:suppressAutoHyphens w:val="true"/>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uppressAutoHyphens w:val="true"/>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uppressAutoHyphens w:val="true"/>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uppressAutoHyphens w:val="true"/>
              <w:spacing w:lineRule="auto" w:line="240" w:before="0" w:after="0"/>
              <w:jc w:val="left"/>
              <w:rPr>
                <w:rFonts w:ascii="Arial" w:hAnsi="Arial" w:cs="Arial"/>
                <w:sz w:val="20"/>
                <w:szCs w:val="20"/>
              </w:rPr>
            </w:pPr>
            <w:r>
              <w:rPr>
                <w:rFonts w:cs="Arial" w:ascii="Arial" w:hAnsi="Arial"/>
                <w:sz w:val="20"/>
                <w:szCs w:val="20"/>
              </w:rPr>
            </w:r>
          </w:p>
        </w:tc>
        <w:tc>
          <w:tcPr>
            <w:tcW w:w="4537" w:type="dxa"/>
            <w:tcBorders/>
          </w:tcPr>
          <w:p>
            <w:pPr>
              <w:pStyle w:val="Normal"/>
              <w:widowControl/>
              <w:suppressAutoHyphens w:val="true"/>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uppressAutoHyphens w:val="true"/>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uppressAutoHyphens w:val="true"/>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uppressAutoHyphens w:val="true"/>
              <w:spacing w:lineRule="auto" w:line="240" w:before="0" w:after="0"/>
              <w:jc w:val="left"/>
              <w:rPr>
                <w:rFonts w:ascii="Arial" w:hAnsi="Arial" w:cs="Arial"/>
                <w:sz w:val="20"/>
                <w:szCs w:val="20"/>
              </w:rPr>
            </w:pPr>
            <w:r>
              <w:rPr>
                <w:rFonts w:cs="Arial" w:ascii="Arial" w:hAnsi="Arial"/>
                <w:sz w:val="20"/>
                <w:szCs w:val="20"/>
              </w:rPr>
            </w:r>
          </w:p>
        </w:tc>
        <w:tc>
          <w:tcPr>
            <w:tcW w:w="4537" w:type="dxa"/>
            <w:tcBorders/>
          </w:tcPr>
          <w:p>
            <w:pPr>
              <w:pStyle w:val="Normal"/>
              <w:widowControl/>
              <w:suppressAutoHyphens w:val="true"/>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uppressAutoHyphens w:val="true"/>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uppressAutoHyphens w:val="true"/>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Improve on how first and second marking can be seen in other parts of the portfolio – this might take place, but is not visible apart from the final report.</w:t>
              <w:br/>
              <w:t>The amount of feedback for proposal and final report is good and also includes areas for improvements, the other three mostly lack this due to very short feedback. Apart from the exhibition, the viva feedback could be addressed by the student in the subsequent parts of the portfolio. Again, it might also be the case, that feedback is given orally, but this is not coming through on the feedback/comment sections.</w:t>
            </w:r>
          </w:p>
          <w:p>
            <w:pPr>
              <w:pStyle w:val="Normal"/>
              <w:widowControl/>
              <w:suppressAutoHyphens w:val="true"/>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rPr>
            </w:r>
          </w:p>
          <w:p>
            <w:pPr>
              <w:pStyle w:val="Normal"/>
              <w:widowControl/>
              <w:suppressAutoHyphens w:val="true"/>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rPr>
            </w:r>
          </w:p>
          <w:p>
            <w:pPr>
              <w:pStyle w:val="Normal"/>
              <w:widowControl/>
              <w:suppressAutoHyphens w:val="true"/>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(External Examiner):   </w:t>
            </w:r>
          </w:p>
          <w:p>
            <w:pPr>
              <w:pStyle w:val="Normal"/>
              <w:spacing w:lineRule="auto" w:line="240" w:before="0" w:after="0"/>
              <w:rPr>
                <w:rFonts w:ascii="Arial" w:hAnsi="Arial" w:cs="Arial"/>
              </w:rPr>
            </w:pPr>
            <w:r>
              <w:rPr>
                <w:rFonts w:cs="Arial" w:ascii="Arial" w:hAnsi="Arial"/>
              </w:rPr>
              <w:t>DR NILS BAUSCH</w:t>
            </w:r>
          </w:p>
          <w:p>
            <w:pPr>
              <w:pStyle w:val="Normal"/>
              <w:spacing w:lineRule="auto" w:line="240" w:before="0" w:after="0"/>
              <w:rPr>
                <w:rFonts w:ascii="Arial" w:hAnsi="Arial" w:cs="Arial"/>
              </w:rPr>
            </w:pPr>
            <w:r>
              <w:rPr>
                <w:rFonts w:cs="Arial" w:ascii="Arial" w:hAnsi="Arial"/>
              </w:rPr>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Date: Ju</w:t>
            </w:r>
            <w:r>
              <w:rPr>
                <w:rFonts w:cs="Arial" w:ascii="Arial" w:hAnsi="Arial"/>
              </w:rPr>
              <w:t>ly</w:t>
            </w:r>
            <w:r>
              <w:rPr>
                <w:rFonts w:cs="Arial" w:ascii="Arial" w:hAnsi="Arial"/>
              </w:rPr>
              <w:t xml:space="preserve"> 2025</w:t>
            </w:r>
          </w:p>
        </w:tc>
      </w:tr>
    </w:tbl>
    <w:p>
      <w:pPr>
        <w:pStyle w:val="Normal"/>
        <w:spacing w:lineRule="auto" w:line="240" w:before="0" w:after="0"/>
        <w:rPr>
          <w:rFonts w:ascii="Arial" w:hAnsi="Arial" w:cs="Arial"/>
        </w:rPr>
      </w:pPr>
      <w:r>
        <w:rPr>
          <w:rFonts w:cs="Arial" w:ascii="Arial" w:hAnsi="Arial"/>
        </w:rPr>
      </w:r>
      <w:r>
        <w:br w:type="page"/>
      </w:r>
    </w:p>
    <w:p>
      <w:pPr>
        <w:pStyle w:val="Normal"/>
        <w:spacing w:lineRule="auto" w:line="240" w:before="0" w:after="0"/>
        <w:rPr>
          <w:rFonts w:ascii="Arial" w:hAnsi="Arial" w:cs="Arial"/>
        </w:rPr>
      </w:pPr>
      <w:r>
        <w:rPr>
          <w:rFonts w:cs="Arial" w:ascii="Arial" w:hAnsi="Arial"/>
        </w:rPr>
      </w:r>
    </w:p>
    <w:p>
      <w:pPr>
        <w:pStyle w:val="Normal"/>
        <w:jc w:val="center"/>
        <w:rPr>
          <w:rFonts w:ascii="Arial" w:hAnsi="Arial" w:cs="Arial"/>
          <w:b/>
          <w:sz w:val="28"/>
          <w:szCs w:val="28"/>
        </w:rPr>
      </w:pPr>
      <w:r>
        <w:rPr>
          <w:rFonts w:cs="Arial" w:ascii="Arial" w:hAnsi="Arial"/>
          <w:b/>
          <w:sz w:val="28"/>
          <w:szCs w:val="28"/>
        </w:rPr>
        <w:t>NOTES ON MODERATION</w:t>
      </w:r>
    </w:p>
    <w:p>
      <w:pPr>
        <w:pStyle w:val="ListParagraph"/>
        <w:ind w:hanging="425" w:left="1134"/>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All assessments which contribute to a final award/degree classification must be subject to moderation. At their discretion, Institutes may use double-marking in place of moderation.</w:t>
      </w:r>
    </w:p>
    <w:p>
      <w:pPr>
        <w:pStyle w:val="Normal"/>
        <w:jc w:val="both"/>
        <w:rPr>
          <w:rFonts w:ascii="Arial" w:hAnsi="Arial" w:cs="Arial"/>
        </w:rPr>
      </w:pPr>
      <w:r>
        <w:rPr>
          <w:rFonts w:cs="Arial" w:ascii="Arial" w:hAnsi="Arial"/>
        </w:rPr>
        <w:t>Where moderation is used, a Moderation of Marked Assessment report (Appendix GA28) should be completed.</w:t>
      </w:r>
    </w:p>
    <w:p>
      <w:pPr>
        <w:pStyle w:val="Normal"/>
        <w:jc w:val="both"/>
        <w:rPr>
          <w:rFonts w:ascii="Arial" w:hAnsi="Arial" w:cs="Arial"/>
        </w:rPr>
      </w:pPr>
      <w:r>
        <w:rPr>
          <w:rFonts w:cs="Arial" w:ascii="Arial" w:hAnsi="Arial"/>
        </w:rPr>
        <w:t xml:space="preserve">A list of marks for </w:t>
      </w:r>
      <w:r>
        <w:rPr>
          <w:rFonts w:cs="Arial" w:ascii="Arial" w:hAnsi="Arial"/>
          <w:u w:val="single"/>
        </w:rPr>
        <w:t>all</w:t>
      </w:r>
      <w:r>
        <w:rPr>
          <w:rFonts w:cs="Arial" w:ascii="Arial" w:hAnsi="Arial"/>
        </w:rPr>
        <w:t xml:space="preserve"> assessment components for </w:t>
      </w:r>
      <w:r>
        <w:rPr>
          <w:rFonts w:cs="Arial" w:ascii="Arial" w:hAnsi="Arial"/>
          <w:u w:val="single"/>
        </w:rPr>
        <w:t>all</w:t>
      </w:r>
      <w:r>
        <w:rPr>
          <w:rFonts w:cs="Arial" w:ascii="Arial" w:hAnsi="Arial"/>
        </w:rPr>
        <w:t xml:space="preserve"> students in the module should accompany the Moderation Form. </w:t>
      </w:r>
    </w:p>
    <w:p>
      <w:pPr>
        <w:pStyle w:val="Normal"/>
        <w:jc w:val="both"/>
        <w:rPr>
          <w:rFonts w:ascii="Arial" w:hAnsi="Arial" w:cs="Arial"/>
        </w:rPr>
      </w:pPr>
      <w:r>
        <w:rPr>
          <w:rFonts w:cs="Arial" w:ascii="Arial" w:hAnsi="Arial"/>
        </w:rPr>
        <w:t>A representative sample of at least six pieces of work should be identified for moderation and should include:</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first class category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fail category;</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examples of work from each classification; </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within 2% of a classification boundary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any work on which the marker wishes for a second opinion. </w:t>
      </w:r>
    </w:p>
    <w:p>
      <w:pPr>
        <w:pStyle w:val="Normal"/>
        <w:jc w:val="both"/>
        <w:rPr>
          <w:rFonts w:ascii="Arial" w:hAnsi="Arial" w:cs="Arial"/>
        </w:rPr>
      </w:pPr>
      <w:r>
        <w:rPr>
          <w:rFonts w:cs="Arial" w:ascii="Arial" w:hAnsi="Arial"/>
        </w:rPr>
      </w:r>
    </w:p>
    <w:p>
      <w:pPr>
        <w:pStyle w:val="Normal"/>
        <w:ind w:left="-60"/>
        <w:jc w:val="both"/>
        <w:rPr>
          <w:rFonts w:ascii="Arial" w:hAnsi="Arial" w:cs="Arial"/>
        </w:rPr>
      </w:pPr>
      <w:r>
        <w:rPr>
          <w:rFonts w:cs="Arial" w:ascii="Arial" w:hAnsi="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pStyle w:val="Normal"/>
        <w:ind w:left="-60"/>
        <w:jc w:val="both"/>
        <w:rPr>
          <w:rFonts w:ascii="Arial" w:hAnsi="Arial" w:cs="Arial"/>
        </w:rPr>
      </w:pPr>
      <w:r>
        <w:rPr>
          <w:rFonts w:cs="Arial" w:ascii="Arial" w:hAnsi="Arial"/>
        </w:rPr>
        <w:t xml:space="preserve">Where a module is delivered by a collaborative partnership institution, moderation is normally a two stage process, with internal moderation at the collaborative partnership institution followed by University moderation.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rPr>
      </w:pPr>
      <w:r>
        <w:rPr>
          <w:rFonts w:cs="Arial" w:ascii="Arial" w:hAnsi="Arial"/>
          <w:b/>
        </w:rPr>
        <w:t>THIS DOCUMENT IS ALSO AVAILABLE IN WELSH</w:t>
      </w:r>
    </w:p>
    <w:sectPr>
      <w:footerReference w:type="even" r:id="rId4"/>
      <w:footerReference w:type="default" r:id="rId5"/>
      <w:footerReference w:type="first" r:id="rId6"/>
      <w:type w:val="nextPage"/>
      <w:pgSz w:w="12240" w:h="15840"/>
      <w:pgMar w:left="1440" w:right="1440" w:gutter="0" w:header="0" w:top="900" w:footer="720" w:bottom="77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variable"/>
  </w:font>
  <w:font w:name="Times New Roman">
    <w:charset w:val="01"/>
    <w:family w:val="roman"/>
    <w:pitch w:val="variable"/>
  </w:font>
  <w:font w:name="Tahoma">
    <w:charset w:val="01"/>
    <w:family w:val="swiss"/>
    <w:pitch w:val="variable"/>
  </w:font>
  <w:font w:name="Liberation Sans">
    <w:altName w:val="Arial"/>
    <w:charset w:val="01"/>
    <w:family w:val="swiss"/>
    <w:pitch w:val="variable"/>
  </w:font>
  <w:font w:name="Arial">
    <w:charset w:val="01"/>
    <w:family w:val="swiss"/>
    <w:pitch w:val="variable"/>
  </w:font>
  <w:font w:name="MS Gothic">
    <w:charset w:val="01"/>
    <w:family w:val="swiss"/>
    <w:pitch w:val="variable"/>
  </w:font>
  <w:font w:name="Segoe UI Symbol">
    <w:charset w:val="01"/>
    <w:family w:val="swiss"/>
    <w:pitch w:val="variable"/>
  </w:font>
  <w:font w:name="Arial Narrow">
    <w:charset w:val="01"/>
    <w:family w:val="swiss"/>
    <w:pitch w:val="variable"/>
  </w:font>
  <w:font w:name="Wingdings">
    <w:charset w:val="02"/>
    <w:family w:val="swiss"/>
    <w:pitch w:val="variable"/>
  </w:font>
  <w:font w:name="Arial">
    <w:charset w:val="02"/>
    <w:family w:val="swiss"/>
    <w:pitch w:val="variable"/>
  </w:font>
  <w:font w:name="Symbol">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641" w:hanging="360"/>
      </w:pPr>
      <w:rPr>
        <w:rFonts w:ascii="Symbol" w:hAnsi="Symbol" w:cs="Symbol" w:hint="default"/>
        <w:sz w:val="22"/>
        <w:szCs w:val="22"/>
      </w:rPr>
    </w:lvl>
    <w:lvl w:ilvl="1">
      <w:start w:val="1"/>
      <w:numFmt w:val="lowerLetter"/>
      <w:lvlText w:val="%2."/>
      <w:lvlJc w:val="left"/>
      <w:pPr>
        <w:tabs>
          <w:tab w:val="num" w:pos="0"/>
        </w:tabs>
        <w:ind w:left="79" w:hanging="360"/>
      </w:pPr>
      <w:rPr/>
    </w:lvl>
    <w:lvl w:ilvl="2">
      <w:start w:val="1"/>
      <w:numFmt w:val="lowerRoman"/>
      <w:lvlText w:val="%3."/>
      <w:lvlJc w:val="right"/>
      <w:pPr>
        <w:tabs>
          <w:tab w:val="num" w:pos="0"/>
        </w:tabs>
        <w:ind w:left="799" w:hanging="180"/>
      </w:pPr>
      <w:rPr/>
    </w:lvl>
    <w:lvl w:ilvl="3">
      <w:start w:val="1"/>
      <w:numFmt w:val="decimal"/>
      <w:lvlText w:val="%4."/>
      <w:lvlJc w:val="left"/>
      <w:pPr>
        <w:tabs>
          <w:tab w:val="num" w:pos="0"/>
        </w:tabs>
        <w:ind w:left="1519" w:hanging="360"/>
      </w:pPr>
      <w:rPr/>
    </w:lvl>
    <w:lvl w:ilvl="4">
      <w:start w:val="1"/>
      <w:numFmt w:val="lowerLetter"/>
      <w:lvlText w:val="%5."/>
      <w:lvlJc w:val="left"/>
      <w:pPr>
        <w:tabs>
          <w:tab w:val="num" w:pos="0"/>
        </w:tabs>
        <w:ind w:left="2239" w:hanging="360"/>
      </w:pPr>
      <w:rPr/>
    </w:lvl>
    <w:lvl w:ilvl="5">
      <w:start w:val="1"/>
      <w:numFmt w:val="lowerRoman"/>
      <w:lvlText w:val="%6."/>
      <w:lvlJc w:val="right"/>
      <w:pPr>
        <w:tabs>
          <w:tab w:val="num" w:pos="0"/>
        </w:tabs>
        <w:ind w:left="2959" w:hanging="180"/>
      </w:pPr>
      <w:rPr/>
    </w:lvl>
    <w:lvl w:ilvl="6">
      <w:start w:val="1"/>
      <w:numFmt w:val="decimal"/>
      <w:lvlText w:val="%7."/>
      <w:lvlJc w:val="left"/>
      <w:pPr>
        <w:tabs>
          <w:tab w:val="num" w:pos="0"/>
        </w:tabs>
        <w:ind w:left="3679" w:hanging="360"/>
      </w:pPr>
      <w:rPr/>
    </w:lvl>
    <w:lvl w:ilvl="7">
      <w:start w:val="1"/>
      <w:numFmt w:val="lowerLetter"/>
      <w:lvlText w:val="%8."/>
      <w:lvlJc w:val="left"/>
      <w:pPr>
        <w:tabs>
          <w:tab w:val="num" w:pos="0"/>
        </w:tabs>
        <w:ind w:left="4399" w:hanging="360"/>
      </w:pPr>
      <w:rPr/>
    </w:lvl>
    <w:lvl w:ilvl="8">
      <w:start w:val="1"/>
      <w:numFmt w:val="lowerRoman"/>
      <w:lvlText w:val="%9."/>
      <w:lvlJc w:val="right"/>
      <w:pPr>
        <w:tabs>
          <w:tab w:val="num" w:pos="0"/>
        </w:tabs>
        <w:ind w:left="5119" w:hanging="180"/>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0ae6"/>
    <w:pPr>
      <w:widowControl/>
      <w:bidi w:val="0"/>
      <w:spacing w:lineRule="auto" w:line="276" w:before="0" w:after="200"/>
      <w:jc w:val="left"/>
    </w:pPr>
    <w:rPr>
      <w:rFonts w:ascii="Calibri" w:hAnsi="Calibri" w:eastAsia="Calibri" w:cs="Times New Roman"/>
      <w:color w:val="auto"/>
      <w:kern w:val="0"/>
      <w:sz w:val="22"/>
      <w:szCs w:val="22"/>
      <w:lang w:val="en-GB" w:eastAsia="en-US" w:bidi="ar-SA"/>
    </w:rPr>
  </w:style>
  <w:style w:type="paragraph" w:styleId="Heading1">
    <w:name w:val="heading 1"/>
    <w:basedOn w:val="Normal"/>
    <w:next w:val="Normal"/>
    <w:link w:val="Heading1Char"/>
    <w:qFormat/>
    <w:locked/>
    <w:rsid w:val="000f0f2f"/>
    <w:pPr>
      <w:keepNext w:val="true"/>
      <w:spacing w:lineRule="auto" w:line="240" w:before="0" w:after="0"/>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locked/>
    <w:rsid w:val="00417f4f"/>
    <w:rPr>
      <w:rFonts w:ascii="Tahoma" w:hAnsi="Tahoma" w:cs="Tahoma"/>
      <w:sz w:val="16"/>
      <w:szCs w:val="16"/>
    </w:rPr>
  </w:style>
  <w:style w:type="character" w:styleId="Heading1Char" w:customStyle="1">
    <w:name w:val="Heading 1 Char"/>
    <w:basedOn w:val="DefaultParagraphFont"/>
    <w:link w:val="Heading1"/>
    <w:qFormat/>
    <w:rsid w:val="000f0f2f"/>
    <w:rPr>
      <w:rFonts w:ascii="Times New Roman" w:hAnsi="Times New Roman" w:eastAsia="Times New Roman"/>
      <w:b/>
      <w:sz w:val="24"/>
      <w:lang w:val="en-GB"/>
    </w:rPr>
  </w:style>
  <w:style w:type="character" w:styleId="Hyperlink">
    <w:name w:val="Hyperlink"/>
    <w:basedOn w:val="DefaultParagraphFont"/>
    <w:uiPriority w:val="99"/>
    <w:unhideWhenUsed/>
    <w:rsid w:val="00ac463b"/>
    <w:rPr>
      <w:color w:themeColor="hyperlink" w:val="0000FF"/>
      <w:u w:val="single"/>
    </w:rPr>
  </w:style>
  <w:style w:type="character" w:styleId="UnresolvedMention">
    <w:name w:val="Unresolved Mention"/>
    <w:basedOn w:val="DefaultParagraphFont"/>
    <w:uiPriority w:val="99"/>
    <w:semiHidden/>
    <w:unhideWhenUsed/>
    <w:qFormat/>
    <w:rsid w:val="00ac463b"/>
    <w:rPr>
      <w:color w:val="605E5C"/>
      <w:shd w:fill="E1DFDD" w:val="clear"/>
    </w:rPr>
  </w:style>
  <w:style w:type="character" w:styleId="PlaceholderText">
    <w:name w:val="Placeholder Text"/>
    <w:basedOn w:val="DefaultParagraphFont"/>
    <w:uiPriority w:val="99"/>
    <w:semiHidden/>
    <w:qFormat/>
    <w:rsid w:val="006d2a9d"/>
    <w:rPr>
      <w:color w:val="808080"/>
    </w:rPr>
  </w:style>
  <w:style w:type="character" w:styleId="HeaderChar" w:customStyle="1">
    <w:name w:val="Header Char"/>
    <w:basedOn w:val="DefaultParagraphFont"/>
    <w:link w:val="Header"/>
    <w:uiPriority w:val="99"/>
    <w:qFormat/>
    <w:rsid w:val="00467608"/>
    <w:rPr>
      <w:sz w:val="22"/>
      <w:szCs w:val="22"/>
      <w:lang w:val="en-GB"/>
    </w:rPr>
  </w:style>
  <w:style w:type="character" w:styleId="FooterChar" w:customStyle="1">
    <w:name w:val="Footer Char"/>
    <w:basedOn w:val="DefaultParagraphFont"/>
    <w:link w:val="Footer"/>
    <w:uiPriority w:val="99"/>
    <w:qFormat/>
    <w:rsid w:val="00467608"/>
    <w:rPr>
      <w:sz w:val="22"/>
      <w:szCs w:val="22"/>
      <w:lang w:val="en-GB"/>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BalloonText">
    <w:name w:val="Balloon Text"/>
    <w:basedOn w:val="Normal"/>
    <w:link w:val="BalloonTextChar"/>
    <w:uiPriority w:val="99"/>
    <w:semiHidden/>
    <w:qFormat/>
    <w:rsid w:val="00417f4f"/>
    <w:pPr>
      <w:spacing w:lineRule="auto" w:line="240" w:before="0" w:after="0"/>
    </w:pPr>
    <w:rPr>
      <w:rFonts w:ascii="Tahoma" w:hAnsi="Tahoma" w:cs="Tahoma"/>
      <w:sz w:val="16"/>
      <w:szCs w:val="16"/>
    </w:rPr>
  </w:style>
  <w:style w:type="paragraph" w:styleId="ListParagraph">
    <w:name w:val="List Paragraph"/>
    <w:basedOn w:val="Normal"/>
    <w:uiPriority w:val="34"/>
    <w:qFormat/>
    <w:rsid w:val="0046507b"/>
    <w:pPr>
      <w:spacing w:before="0" w:after="200"/>
      <w:ind w:left="720"/>
      <w:contextualSpacing/>
    </w:pPr>
    <w:rPr/>
  </w:style>
  <w:style w:type="paragraph" w:styleId="Default" w:customStyle="1">
    <w:name w:val="Default"/>
    <w:qFormat/>
    <w:rsid w:val="00587ce6"/>
    <w:pPr>
      <w:widowControl/>
      <w:bidi w:val="0"/>
      <w:spacing w:before="0" w:after="0"/>
      <w:jc w:val="left"/>
    </w:pPr>
    <w:rPr>
      <w:rFonts w:cs="Calibri" w:ascii="Calibri" w:hAnsi="Calibri" w:eastAsia="Calibri"/>
      <w:color w:val="000000"/>
      <w:kern w:val="0"/>
      <w:sz w:val="24"/>
      <w:szCs w:val="24"/>
      <w:lang w:val="en-GB" w:eastAsia="en-US" w:bidi="ar-SA"/>
    </w:rPr>
  </w:style>
  <w:style w:type="paragraph" w:styleId="Revision">
    <w:name w:val="Revision"/>
    <w:uiPriority w:val="99"/>
    <w:semiHidden/>
    <w:qFormat/>
    <w:rsid w:val="000a1917"/>
    <w:pPr>
      <w:widowControl/>
      <w:bidi w:val="0"/>
      <w:spacing w:before="0" w:after="0"/>
      <w:jc w:val="left"/>
    </w:pPr>
    <w:rPr>
      <w:rFonts w:ascii="Calibri" w:hAnsi="Calibri" w:eastAsia="Calibri" w:cs="Times New Roman"/>
      <w:color w:val="auto"/>
      <w:kern w:val="0"/>
      <w:sz w:val="22"/>
      <w:szCs w:val="22"/>
      <w:lang w:val="en-GB" w:eastAsia="en-US" w:bidi="ar-SA"/>
    </w:rPr>
  </w:style>
  <w:style w:type="paragraph" w:styleId="NormalWeb">
    <w:name w:val="Normal (Web)"/>
    <w:basedOn w:val="Normal"/>
    <w:uiPriority w:val="99"/>
    <w:semiHidden/>
    <w:unhideWhenUsed/>
    <w:qFormat/>
    <w:rsid w:val="006d2a9d"/>
    <w:pPr>
      <w:spacing w:lineRule="auto" w:line="240" w:beforeAutospacing="1" w:afterAutospacing="1"/>
    </w:pPr>
    <w:rPr>
      <w:rFonts w:ascii="Times New Roman" w:hAnsi="Times New Roman" w:eastAsia="Times New Roman"/>
      <w:sz w:val="24"/>
      <w:szCs w:val="24"/>
      <w:lang w:eastAsia="zh-CN"/>
    </w:rPr>
  </w:style>
  <w:style w:type="paragraph" w:styleId="HeaderandFooter">
    <w:name w:val="Header and Footer"/>
    <w:basedOn w:val="Normal"/>
    <w:qFormat/>
    <w:pPr/>
    <w:rPr/>
  </w:style>
  <w:style w:type="paragraph" w:styleId="Header">
    <w:name w:val="header"/>
    <w:basedOn w:val="Normal"/>
    <w:link w:val="HeaderChar"/>
    <w:uiPriority w:val="99"/>
    <w:unhideWhenUsed/>
    <w:rsid w:val="00467608"/>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467608"/>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417f4f"/>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uwtsd.ac.uk/media/uwtsd-website/content-assets/documents/academic-office/aqh-chapters/chapters---en/Chapter_07_Assessment_Taught_Programmes_Pages_84-91.pdf"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LibreOffice/25.2.5.2$MacOSX_AARCH64 LibreOffice_project/03d19516eb2e1dd5d4ccd751a0d6f35f35e08022</Application>
  <AppVersion>15.0000</AppVersion>
  <Pages>5</Pages>
  <Words>1050</Words>
  <Characters>5504</Characters>
  <CharactersWithSpaces>6416</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2025-05-27T21:51:00Z</dcterms:created>
  <dc:creator>Windows User</dc:creator>
  <dc:description>August 2018</dc:description>
  <dc:language>en-GB</dc:language>
  <cp:lastModifiedBy/>
  <cp:lastPrinted>2014-12-09T15:50:00Z</cp:lastPrinted>
  <dcterms:modified xsi:type="dcterms:W3CDTF">2025-08-01T03:20:38Z</dcterms:modified>
  <cp:revision>3</cp:revision>
  <dc:subject/>
  <dc:title>GA28</dc:title>
</cp:coreProperties>
</file>

<file path=docProps/custom.xml><?xml version="1.0" encoding="utf-8"?>
<Properties xmlns="http://schemas.openxmlformats.org/officeDocument/2006/custom-properties" xmlns:vt="http://schemas.openxmlformats.org/officeDocument/2006/docPropsVTypes"/>
</file>