
<file path=[Content_Types].xml><?xml version="1.0" encoding="utf-8"?>
<Types xmlns="http://schemas.openxmlformats.org/package/2006/content-types">
  <Default Extension="xlsx" ContentType="application/vnd.openxmlformats-officedocument.spreadsheetml.sheet"/>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style1.xml" ContentType="application/vnd.ms-office.chartstyle+xml"/>
  <Override PartName="/word/charts/style2.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imes New Roman" w:hAnsi="Times New Roman" w:cs="Times New Roman"/>
          <w:sz w:val="22"/>
          <w:szCs w:val="22"/>
        </w:rPr>
      </w:pPr>
      <w:r>
        <w:drawing>
          <wp:inline distT="0" distB="0" distL="114300" distR="114300">
            <wp:extent cx="5728335" cy="7945120"/>
            <wp:effectExtent l="0" t="0" r="12065" b="508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圖片 1"/>
                    <pic:cNvPicPr>
                      <a:picLocks noChangeAspect="1"/>
                    </pic:cNvPicPr>
                  </pic:nvPicPr>
                  <pic:blipFill>
                    <a:blip r:embed="rId7"/>
                    <a:stretch>
                      <a:fillRect/>
                    </a:stretch>
                  </pic:blipFill>
                  <pic:spPr>
                    <a:xfrm>
                      <a:off x="0" y="0"/>
                      <a:ext cx="5728335" cy="7945120"/>
                    </a:xfrm>
                    <a:prstGeom prst="rect">
                      <a:avLst/>
                    </a:prstGeom>
                    <a:noFill/>
                    <a:ln>
                      <a:noFill/>
                    </a:ln>
                  </pic:spPr>
                </pic:pic>
              </a:graphicData>
            </a:graphic>
          </wp:inline>
        </w:drawing>
      </w:r>
    </w:p>
    <w:p>
      <w:pPr>
        <w:widowControl/>
        <w:jc w:val="left"/>
        <w:rPr>
          <w:rFonts w:ascii="Times New Roman" w:hAnsi="Times New Roman" w:cs="Times New Roman"/>
          <w:sz w:val="22"/>
          <w:szCs w:val="22"/>
        </w:rPr>
      </w:pPr>
    </w:p>
    <w:p>
      <w:pPr>
        <w:widowControl/>
        <w:jc w:val="left"/>
        <w:rPr>
          <w:rFonts w:ascii="Times New Roman" w:hAnsi="Times New Roman" w:cs="Times New Roman"/>
          <w:sz w:val="22"/>
          <w:szCs w:val="22"/>
        </w:rPr>
      </w:pPr>
      <w:r>
        <w:rPr>
          <w:rFonts w:ascii="Times New Roman" w:hAnsi="Times New Roman" w:cs="Times New Roman"/>
          <w:sz w:val="22"/>
          <w:szCs w:val="22"/>
        </w:rPr>
        <w:br w:type="page"/>
      </w:r>
    </w:p>
    <w:sdt>
      <w:sdtPr>
        <w:id w:val="591197276"/>
        <w:docPartObj>
          <w:docPartGallery w:val="Table of Contents"/>
          <w:docPartUnique/>
        </w:docPartObj>
      </w:sdtPr>
      <w:sdtEndPr>
        <w:rPr>
          <w:rFonts w:asciiTheme="minorHAnsi" w:hAnsiTheme="minorHAnsi" w:eastAsiaTheme="minorEastAsia" w:cstheme="minorBidi"/>
          <w:bCs/>
          <w:color w:val="auto"/>
          <w:kern w:val="2"/>
          <w:sz w:val="21"/>
          <w:szCs w:val="24"/>
          <w:lang w:eastAsia="zh-CN"/>
        </w:rPr>
      </w:sdtEndPr>
      <w:sdtContent>
        <w:p>
          <w:pPr>
            <w:pStyle w:val="19"/>
            <w:spacing w:line="360" w:lineRule="auto"/>
          </w:pPr>
          <w:r>
            <w:t>Contents</w:t>
          </w:r>
        </w:p>
        <w:p>
          <w:pPr>
            <w:pStyle w:val="9"/>
            <w:tabs>
              <w:tab w:val="left" w:pos="440"/>
              <w:tab w:val="right" w:leader="dot" w:pos="9016"/>
            </w:tabs>
            <w:spacing w:line="360" w:lineRule="auto"/>
            <w:rPr>
              <w:sz w:val="22"/>
              <w:szCs w:val="22"/>
              <w:lang w:val="zh-CN"/>
              <w14:ligatures w14:val="standardContextual"/>
            </w:rPr>
          </w:pPr>
          <w:r>
            <w:fldChar w:fldCharType="begin"/>
          </w:r>
          <w:r>
            <w:instrText xml:space="preserve"> TOC \o "1-3" \h \z \u </w:instrText>
          </w:r>
          <w:r>
            <w:fldChar w:fldCharType="separate"/>
          </w:r>
          <w:r>
            <w:fldChar w:fldCharType="begin"/>
          </w:r>
          <w:r>
            <w:instrText xml:space="preserve"> HYPERLINK \l "_Toc176358756" </w:instrText>
          </w:r>
          <w:r>
            <w:fldChar w:fldCharType="separate"/>
          </w:r>
          <w:r>
            <w:rPr>
              <w:rStyle w:val="6"/>
            </w:rPr>
            <w:t>1.</w:t>
          </w:r>
          <w:r>
            <w:rPr>
              <w:sz w:val="22"/>
              <w:szCs w:val="22"/>
              <w:lang w:val="zh-CN"/>
              <w14:ligatures w14:val="standardContextual"/>
            </w:rPr>
            <w:tab/>
          </w:r>
          <w:r>
            <w:rPr>
              <w:rStyle w:val="6"/>
            </w:rPr>
            <w:t>Introduction</w:t>
          </w:r>
          <w:r>
            <w:tab/>
          </w:r>
          <w:r>
            <w:fldChar w:fldCharType="begin"/>
          </w:r>
          <w:r>
            <w:instrText xml:space="preserve"> PAGEREF _Toc176358756 \h </w:instrText>
          </w:r>
          <w:r>
            <w:fldChar w:fldCharType="separate"/>
          </w:r>
          <w:r>
            <w:t>1</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"_Toc176358757" </w:instrText>
          </w:r>
          <w:r>
            <w:fldChar w:fldCharType="separate"/>
          </w:r>
          <w:r>
            <w:rPr>
              <w:rStyle w:val="6"/>
            </w:rPr>
            <w:t>1.1 Company Background</w:t>
          </w:r>
          <w:r>
            <w:tab/>
          </w:r>
          <w:r>
            <w:fldChar w:fldCharType="begin"/>
          </w:r>
          <w:r>
            <w:instrText xml:space="preserve"> PAGEREF _Toc176358757 \h </w:instrText>
          </w:r>
          <w:r>
            <w:fldChar w:fldCharType="separate"/>
          </w:r>
          <w:r>
            <w:t>1</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"_Toc176358758" </w:instrText>
          </w:r>
          <w:r>
            <w:fldChar w:fldCharType="separate"/>
          </w:r>
          <w:r>
            <w:rPr>
              <w:rStyle w:val="6"/>
            </w:rPr>
            <w:t>1.2 Operating business overview (products and services and the sales market)</w:t>
          </w:r>
          <w:r>
            <w:tab/>
          </w:r>
          <w:r>
            <w:fldChar w:fldCharType="begin"/>
          </w:r>
          <w:r>
            <w:instrText xml:space="preserve"> PAGEREF _Toc176358758 \h </w:instrText>
          </w:r>
          <w:r>
            <w:fldChar w:fldCharType="separate"/>
          </w:r>
          <w:r>
            <w:t>1</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"_Toc176358759" </w:instrText>
          </w:r>
          <w:r>
            <w:fldChar w:fldCharType="separate"/>
          </w:r>
          <w:r>
            <w:rPr>
              <w:rStyle w:val="6"/>
            </w:rPr>
            <w:t>1.3 Today’s business environment</w:t>
          </w:r>
          <w:r>
            <w:tab/>
          </w:r>
          <w:r>
            <w:fldChar w:fldCharType="begin"/>
          </w:r>
          <w:r>
            <w:instrText xml:space="preserve"> PAGEREF _Toc176358759 \h </w:instrText>
          </w:r>
          <w:r>
            <w:fldChar w:fldCharType="separate"/>
          </w:r>
          <w:r>
            <w:t>2</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"_Toc176358760" </w:instrText>
          </w:r>
          <w:r>
            <w:fldChar w:fldCharType="separate"/>
          </w:r>
          <w:r>
            <w:rPr>
              <w:rStyle w:val="6"/>
            </w:rPr>
            <w:t>1.4 Company structure</w:t>
          </w:r>
          <w:r>
            <w:tab/>
          </w:r>
          <w:r>
            <w:fldChar w:fldCharType="begin"/>
          </w:r>
          <w:r>
            <w:instrText xml:space="preserve"> PAGEREF _Toc176358760 \h </w:instrText>
          </w:r>
          <w:r>
            <w:fldChar w:fldCharType="separate"/>
          </w:r>
          <w:r>
            <w:t>2</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"_Toc176358761" </w:instrText>
          </w:r>
          <w:r>
            <w:fldChar w:fldCharType="separate"/>
          </w:r>
          <w:r>
            <w:rPr>
              <w:rStyle w:val="6"/>
            </w:rPr>
            <w:t>1.5 Research comparison company information</w:t>
          </w:r>
          <w:r>
            <w:tab/>
          </w:r>
          <w:r>
            <w:fldChar w:fldCharType="begin"/>
          </w:r>
          <w:r>
            <w:instrText xml:space="preserve"> PAGEREF _Toc176358761 \h </w:instrText>
          </w:r>
          <w:r>
            <w:fldChar w:fldCharType="separate"/>
          </w:r>
          <w:r>
            <w:t>3</w:t>
          </w:r>
          <w:r>
            <w:fldChar w:fldCharType="end"/>
          </w:r>
          <w:r>
            <w:fldChar w:fldCharType="end"/>
          </w:r>
        </w:p>
        <w:p>
          <w:pPr>
            <w:pStyle w:val="9"/>
            <w:tabs>
              <w:tab w:val="left" w:pos="440"/>
              <w:tab w:val="right" w:leader="dot" w:pos="9016"/>
            </w:tabs>
            <w:spacing w:line="360" w:lineRule="auto"/>
            <w:rPr>
              <w:sz w:val="22"/>
              <w:szCs w:val="22"/>
              <w:lang w:val="zh-CN"/>
              <w14:ligatures w14:val="standardContextual"/>
            </w:rPr>
          </w:pPr>
          <w:r>
            <w:fldChar w:fldCharType="begin"/>
          </w:r>
          <w:r>
            <w:instrText xml:space="preserve"> HYPERLINK \l "_Toc176358762" </w:instrText>
          </w:r>
          <w:r>
            <w:fldChar w:fldCharType="separate"/>
          </w:r>
          <w:r>
            <w:rPr>
              <w:rStyle w:val="6"/>
            </w:rPr>
            <w:t>2.</w:t>
          </w:r>
          <w:r>
            <w:rPr>
              <w:sz w:val="22"/>
              <w:szCs w:val="22"/>
              <w:lang w:val="zh-CN"/>
              <w14:ligatures w14:val="standardContextual"/>
            </w:rPr>
            <w:tab/>
          </w:r>
          <w:r>
            <w:rPr>
              <w:rStyle w:val="6"/>
            </w:rPr>
            <w:t>Carlsberg financial analysis</w:t>
          </w:r>
          <w:r>
            <w:tab/>
          </w:r>
          <w:r>
            <w:fldChar w:fldCharType="begin"/>
          </w:r>
          <w:r>
            <w:instrText xml:space="preserve"> PAGEREF _Toc176358762 \h </w:instrText>
          </w:r>
          <w:r>
            <w:fldChar w:fldCharType="separate"/>
          </w:r>
          <w:r>
            <w:t>4</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"_Toc176358763" </w:instrText>
          </w:r>
          <w:r>
            <w:fldChar w:fldCharType="separate"/>
          </w:r>
          <w:r>
            <w:rPr>
              <w:rStyle w:val="6"/>
            </w:rPr>
            <w:t>2.1 Listed companies of bankruptcy index Z-score analysis</w:t>
          </w:r>
          <w:r>
            <w:tab/>
          </w:r>
          <w:r>
            <w:fldChar w:fldCharType="begin"/>
          </w:r>
          <w:r>
            <w:instrText xml:space="preserve"> PAGEREF _Toc176358763 \h </w:instrText>
          </w:r>
          <w:r>
            <w:fldChar w:fldCharType="separate"/>
          </w:r>
          <w:r>
            <w:t>4</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"_Toc176358764" </w:instrText>
          </w:r>
          <w:r>
            <w:fldChar w:fldCharType="separate"/>
          </w:r>
          <w:r>
            <w:rPr>
              <w:rStyle w:val="6"/>
            </w:rPr>
            <w:t>2.2 Financial structure</w:t>
          </w:r>
          <w:r>
            <w:tab/>
          </w:r>
          <w:r>
            <w:fldChar w:fldCharType="begin"/>
          </w:r>
          <w:r>
            <w:instrText xml:space="preserve"> PAGEREF _Toc176358764 \h </w:instrText>
          </w:r>
          <w:r>
            <w:fldChar w:fldCharType="separate"/>
          </w:r>
          <w:r>
            <w:t>5</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"_Toc176358765" </w:instrText>
          </w:r>
          <w:r>
            <w:fldChar w:fldCharType="separate"/>
          </w:r>
          <w:r>
            <w:rPr>
              <w:rStyle w:val="6"/>
            </w:rPr>
            <w:t>2.3 Paying debt ability</w:t>
          </w:r>
          <w:r>
            <w:tab/>
          </w:r>
          <w:r>
            <w:fldChar w:fldCharType="begin"/>
          </w:r>
          <w:r>
            <w:instrText xml:space="preserve"> PAGEREF _Toc176358765 \h </w:instrText>
          </w:r>
          <w:r>
            <w:fldChar w:fldCharType="separate"/>
          </w:r>
          <w:r>
            <w:t>7</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"_Toc176358766" </w:instrText>
          </w:r>
          <w:r>
            <w:fldChar w:fldCharType="separate"/>
          </w:r>
          <w:r>
            <w:rPr>
              <w:rStyle w:val="6"/>
            </w:rPr>
            <w:t>2.4 Operational ability</w:t>
          </w:r>
          <w:r>
            <w:tab/>
          </w:r>
          <w:r>
            <w:fldChar w:fldCharType="begin"/>
          </w:r>
          <w:r>
            <w:instrText xml:space="preserve"> PAGEREF _Toc176358766 \h </w:instrText>
          </w:r>
          <w:r>
            <w:fldChar w:fldCharType="separate"/>
          </w:r>
          <w:r>
            <w:t>9</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"_Toc176358767" </w:instrText>
          </w:r>
          <w:r>
            <w:fldChar w:fldCharType="separate"/>
          </w:r>
          <w:r>
            <w:rPr>
              <w:rStyle w:val="6"/>
            </w:rPr>
            <w:t>2.5 Profitability</w:t>
          </w:r>
          <w:r>
            <w:tab/>
          </w:r>
          <w:r>
            <w:fldChar w:fldCharType="begin"/>
          </w:r>
          <w:r>
            <w:instrText xml:space="preserve"> PAGEREF _Toc176358767 \h </w:instrText>
          </w:r>
          <w:r>
            <w:fldChar w:fldCharType="separate"/>
          </w:r>
          <w:r>
            <w:t>11</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"_Toc176358768" </w:instrText>
          </w:r>
          <w:r>
            <w:fldChar w:fldCharType="separate"/>
          </w:r>
          <w:r>
            <w:rPr>
              <w:rStyle w:val="6"/>
            </w:rPr>
            <w:t>2.6 Growth ability</w:t>
          </w:r>
          <w:r>
            <w:tab/>
          </w:r>
          <w:r>
            <w:fldChar w:fldCharType="begin"/>
          </w:r>
          <w:r>
            <w:instrText xml:space="preserve"> PAGEREF _Toc176358768 \h </w:instrText>
          </w:r>
          <w:r>
            <w:fldChar w:fldCharType="separate"/>
          </w:r>
          <w:r>
            <w:t>12</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"_Toc176358769" </w:instrText>
          </w:r>
          <w:r>
            <w:fldChar w:fldCharType="separate"/>
          </w:r>
          <w:r>
            <w:rPr>
              <w:rStyle w:val="6"/>
            </w:rPr>
            <w:t>2.7 Stock Market Prospects Analysis</w:t>
          </w:r>
          <w:r>
            <w:tab/>
          </w:r>
          <w:r>
            <w:fldChar w:fldCharType="begin"/>
          </w:r>
          <w:r>
            <w:instrText xml:space="preserve"> PAGEREF _Toc176358769 \h </w:instrText>
          </w:r>
          <w:r>
            <w:fldChar w:fldCharType="separate"/>
          </w:r>
          <w:r>
            <w:t>13</w:t>
          </w:r>
          <w:r>
            <w:fldChar w:fldCharType="end"/>
          </w:r>
          <w:r>
            <w:fldChar w:fldCharType="end"/>
          </w:r>
        </w:p>
        <w:p>
          <w:pPr>
            <w:pStyle w:val="9"/>
            <w:tabs>
              <w:tab w:val="left" w:pos="440"/>
              <w:tab w:val="right" w:leader="dot" w:pos="9016"/>
            </w:tabs>
            <w:spacing w:line="360" w:lineRule="auto"/>
            <w:rPr>
              <w:sz w:val="22"/>
              <w:szCs w:val="22"/>
              <w:lang w:val="zh-CN"/>
              <w14:ligatures w14:val="standardContextual"/>
            </w:rPr>
          </w:pPr>
          <w:r>
            <w:fldChar w:fldCharType="begin"/>
          </w:r>
          <w:r>
            <w:instrText xml:space="preserve"> HYPERLINK \l "_Toc176358770" </w:instrText>
          </w:r>
          <w:r>
            <w:fldChar w:fldCharType="separate"/>
          </w:r>
          <w:r>
            <w:rPr>
              <w:rStyle w:val="6"/>
            </w:rPr>
            <w:t>3.</w:t>
          </w:r>
          <w:r>
            <w:rPr>
              <w:sz w:val="22"/>
              <w:szCs w:val="22"/>
              <w:lang w:val="zh-CN"/>
              <w14:ligatures w14:val="standardContextual"/>
            </w:rPr>
            <w:tab/>
          </w:r>
          <w:r>
            <w:rPr>
              <w:rStyle w:val="6"/>
              <w:lang w:eastAsia="zh-TW"/>
            </w:rPr>
            <w:t>Carlsberg</w:t>
          </w:r>
          <w:r>
            <w:rPr>
              <w:rStyle w:val="6"/>
            </w:rPr>
            <w:t>’s Corporate Governance assessment</w:t>
          </w:r>
          <w:r>
            <w:tab/>
          </w:r>
          <w:r>
            <w:fldChar w:fldCharType="begin"/>
          </w:r>
          <w:r>
            <w:instrText xml:space="preserve"> PAGEREF _Toc176358770 \h </w:instrText>
          </w:r>
          <w:r>
            <w:fldChar w:fldCharType="separate"/>
          </w:r>
          <w:r>
            <w:t>14</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"_Toc176358771" </w:instrText>
          </w:r>
          <w:r>
            <w:fldChar w:fldCharType="separate"/>
          </w:r>
          <w:r>
            <w:rPr>
              <w:rStyle w:val="6"/>
            </w:rPr>
            <w:t>3.1 Corporate Governance of business organization and its impact and importance</w:t>
          </w:r>
          <w:r>
            <w:tab/>
          </w:r>
          <w:r>
            <w:fldChar w:fldCharType="begin"/>
          </w:r>
          <w:r>
            <w:instrText xml:space="preserve"> PAGEREF _Toc176358771 \h </w:instrText>
          </w:r>
          <w:r>
            <w:fldChar w:fldCharType="separate"/>
          </w:r>
          <w:r>
            <w:t>14</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"_Toc176358772" </w:instrText>
          </w:r>
          <w:r>
            <w:fldChar w:fldCharType="separate"/>
          </w:r>
          <w:r>
            <w:rPr>
              <w:rStyle w:val="6"/>
              <w:lang w:eastAsia="zh-TW"/>
            </w:rPr>
            <w:t>3.2 Carlsberg’s existing Corporate Governance</w:t>
          </w:r>
          <w:r>
            <w:tab/>
          </w:r>
          <w:r>
            <w:fldChar w:fldCharType="begin"/>
          </w:r>
          <w:r>
            <w:instrText xml:space="preserve"> PAGEREF _Toc176358772 \h </w:instrText>
          </w:r>
          <w:r>
            <w:fldChar w:fldCharType="separate"/>
          </w:r>
          <w:r>
            <w:t>14</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"_Toc176358773" </w:instrText>
          </w:r>
          <w:r>
            <w:fldChar w:fldCharType="separate"/>
          </w:r>
          <w:r>
            <w:rPr>
              <w:rStyle w:val="6"/>
            </w:rPr>
            <w:t>3.3 Suggestions for improvement</w:t>
          </w:r>
          <w:r>
            <w:tab/>
          </w:r>
          <w:r>
            <w:fldChar w:fldCharType="begin"/>
          </w:r>
          <w:r>
            <w:instrText xml:space="preserve"> PAGEREF _Toc176358773 \h </w:instrText>
          </w:r>
          <w:r>
            <w:fldChar w:fldCharType="separate"/>
          </w:r>
          <w:r>
            <w:t>16</w:t>
          </w:r>
          <w:r>
            <w:fldChar w:fldCharType="end"/>
          </w:r>
          <w:r>
            <w:fldChar w:fldCharType="end"/>
          </w:r>
        </w:p>
        <w:p>
          <w:pPr>
            <w:pStyle w:val="9"/>
            <w:tabs>
              <w:tab w:val="left" w:pos="440"/>
              <w:tab w:val="right" w:leader="dot" w:pos="9016"/>
            </w:tabs>
            <w:spacing w:line="360" w:lineRule="auto"/>
            <w:rPr>
              <w:sz w:val="22"/>
              <w:szCs w:val="22"/>
              <w:lang w:val="zh-CN"/>
              <w14:ligatures w14:val="standardContextual"/>
            </w:rPr>
          </w:pPr>
          <w:r>
            <w:fldChar w:fldCharType="begin"/>
          </w:r>
          <w:r>
            <w:instrText xml:space="preserve"> HYPERLINK \l "_Toc176358774" </w:instrText>
          </w:r>
          <w:r>
            <w:fldChar w:fldCharType="separate"/>
          </w:r>
          <w:r>
            <w:rPr>
              <w:rStyle w:val="6"/>
            </w:rPr>
            <w:t>4.</w:t>
          </w:r>
          <w:r>
            <w:rPr>
              <w:sz w:val="22"/>
              <w:szCs w:val="22"/>
              <w:lang w:val="zh-CN"/>
              <w14:ligatures w14:val="standardContextual"/>
            </w:rPr>
            <w:tab/>
          </w:r>
          <w:r>
            <w:rPr>
              <w:rStyle w:val="6"/>
            </w:rPr>
            <w:t>Investment Project Appraisal</w:t>
          </w:r>
          <w:r>
            <w:tab/>
          </w:r>
          <w:r>
            <w:fldChar w:fldCharType="begin"/>
          </w:r>
          <w:r>
            <w:instrText xml:space="preserve"> PAGEREF _Toc176358774 \h </w:instrText>
          </w:r>
          <w:r>
            <w:fldChar w:fldCharType="separate"/>
          </w:r>
          <w:r>
            <w:t>17</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"_Toc176358775" </w:instrText>
          </w:r>
          <w:r>
            <w:fldChar w:fldCharType="separate"/>
          </w:r>
          <w:r>
            <w:rPr>
              <w:rStyle w:val="6"/>
              <w:lang w:eastAsia="zh-TW"/>
            </w:rPr>
            <w:t>4.1 Investment Project description</w:t>
          </w:r>
          <w:r>
            <w:tab/>
          </w:r>
          <w:r>
            <w:fldChar w:fldCharType="begin"/>
          </w:r>
          <w:r>
            <w:instrText xml:space="preserve"> PAGEREF _Toc176358775 \h </w:instrText>
          </w:r>
          <w:r>
            <w:fldChar w:fldCharType="separate"/>
          </w:r>
          <w:r>
            <w:t>17</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"_Toc176358776" </w:instrText>
          </w:r>
          <w:r>
            <w:fldChar w:fldCharType="separate"/>
          </w:r>
          <w:r>
            <w:rPr>
              <w:rStyle w:val="6"/>
            </w:rPr>
            <w:t>4.2 Project items basic information</w:t>
          </w:r>
          <w:r>
            <w:tab/>
          </w:r>
          <w:r>
            <w:fldChar w:fldCharType="begin"/>
          </w:r>
          <w:r>
            <w:instrText xml:space="preserve"> PAGEREF _Toc176358776 \h </w:instrText>
          </w:r>
          <w:r>
            <w:fldChar w:fldCharType="separate"/>
          </w:r>
          <w:r>
            <w:t>18</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"_Toc176358777" </w:instrText>
          </w:r>
          <w:r>
            <w:fldChar w:fldCharType="separate"/>
          </w:r>
          <w:r>
            <w:rPr>
              <w:rStyle w:val="6"/>
            </w:rPr>
            <w:t>4.3 The first-year calculation of sales</w:t>
          </w:r>
          <w:r>
            <w:tab/>
          </w:r>
          <w:r>
            <w:fldChar w:fldCharType="begin"/>
          </w:r>
          <w:r>
            <w:instrText xml:space="preserve"> PAGEREF _Toc176358777 \h </w:instrText>
          </w:r>
          <w:r>
            <w:fldChar w:fldCharType="separate"/>
          </w:r>
          <w:r>
            <w:t>18</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"_Toc176358778" </w:instrText>
          </w:r>
          <w:r>
            <w:fldChar w:fldCharType="separate"/>
          </w:r>
          <w:r>
            <w:rPr>
              <w:rStyle w:val="6"/>
            </w:rPr>
            <w:t>4.4 Computing Tax Cost</w:t>
          </w:r>
          <w:r>
            <w:tab/>
          </w:r>
          <w:r>
            <w:fldChar w:fldCharType="begin"/>
          </w:r>
          <w:r>
            <w:instrText xml:space="preserve"> PAGEREF _Toc176358778 \h </w:instrText>
          </w:r>
          <w:r>
            <w:fldChar w:fldCharType="separate"/>
          </w:r>
          <w:r>
            <w:t>19</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"_Toc176358779" </w:instrText>
          </w:r>
          <w:r>
            <w:fldChar w:fldCharType="separate"/>
          </w:r>
          <w:r>
            <w:rPr>
              <w:rStyle w:val="6"/>
            </w:rPr>
            <w:t>4.5 Cashflow calculation</w:t>
          </w:r>
          <w:r>
            <w:tab/>
          </w:r>
          <w:r>
            <w:fldChar w:fldCharType="begin"/>
          </w:r>
          <w:r>
            <w:instrText xml:space="preserve"> PAGEREF _Toc176358779 \h </w:instrText>
          </w:r>
          <w:r>
            <w:fldChar w:fldCharType="separate"/>
          </w:r>
          <w:r>
            <w:t>19</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"_Toc176358780" </w:instrText>
          </w:r>
          <w:r>
            <w:fldChar w:fldCharType="separate"/>
          </w:r>
          <w:r>
            <w:rPr>
              <w:rStyle w:val="6"/>
            </w:rPr>
            <w:t>4.6 ARR and NPV calculation</w:t>
          </w:r>
          <w:r>
            <w:tab/>
          </w:r>
          <w:r>
            <w:fldChar w:fldCharType="begin"/>
          </w:r>
          <w:r>
            <w:instrText xml:space="preserve"> PAGEREF _Toc176358780 \h </w:instrText>
          </w:r>
          <w:r>
            <w:fldChar w:fldCharType="separate"/>
          </w:r>
          <w:r>
            <w:t>19</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"_Toc176358781" </w:instrText>
          </w:r>
          <w:r>
            <w:fldChar w:fldCharType="separate"/>
          </w:r>
          <w:r>
            <w:rPr>
              <w:rStyle w:val="6"/>
            </w:rPr>
            <w:t>4.7 Payback period and IRR</w:t>
          </w:r>
          <w:r>
            <w:tab/>
          </w:r>
          <w:r>
            <w:fldChar w:fldCharType="begin"/>
          </w:r>
          <w:r>
            <w:instrText xml:space="preserve"> PAGEREF _Toc176358781 \h </w:instrText>
          </w:r>
          <w:r>
            <w:fldChar w:fldCharType="separate"/>
          </w:r>
          <w:r>
            <w:t>20</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"_Toc176358782" </w:instrText>
          </w:r>
          <w:r>
            <w:fldChar w:fldCharType="separate"/>
          </w:r>
          <w:r>
            <w:rPr>
              <w:rStyle w:val="6"/>
            </w:rPr>
            <w:t>4.8 Investment Appraisal</w:t>
          </w:r>
          <w:r>
            <w:tab/>
          </w:r>
          <w:r>
            <w:fldChar w:fldCharType="begin"/>
          </w:r>
          <w:r>
            <w:instrText xml:space="preserve"> PAGEREF _Toc176358782 \h </w:instrText>
          </w:r>
          <w:r>
            <w:fldChar w:fldCharType="separate"/>
          </w:r>
          <w:r>
            <w:t>20</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"_Toc176358783" </w:instrText>
          </w:r>
          <w:r>
            <w:fldChar w:fldCharType="separate"/>
          </w:r>
          <w:r>
            <w:rPr>
              <w:rStyle w:val="6"/>
            </w:rPr>
            <w:t>4.9 New project appraisal methods for analysis</w:t>
          </w:r>
          <w:r>
            <w:tab/>
          </w:r>
          <w:r>
            <w:fldChar w:fldCharType="begin"/>
          </w:r>
          <w:r>
            <w:instrText xml:space="preserve"> PAGEREF _Toc176358783 \h </w:instrText>
          </w:r>
          <w:r>
            <w:fldChar w:fldCharType="separate"/>
          </w:r>
          <w:r>
            <w:t>20</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"_Toc176358784" </w:instrText>
          </w:r>
          <w:r>
            <w:fldChar w:fldCharType="separate"/>
          </w:r>
          <w:r>
            <w:rPr>
              <w:rStyle w:val="6"/>
            </w:rPr>
            <w:t>4.10 Suggestion for cashflow of new project</w:t>
          </w:r>
          <w:r>
            <w:tab/>
          </w:r>
          <w:r>
            <w:fldChar w:fldCharType="begin"/>
          </w:r>
          <w:r>
            <w:instrText xml:space="preserve"> PAGEREF _Toc176358784 \h </w:instrText>
          </w:r>
          <w:r>
            <w:fldChar w:fldCharType="separate"/>
          </w:r>
          <w:r>
            <w:t>21</w:t>
          </w:r>
          <w:r>
            <w:fldChar w:fldCharType="end"/>
          </w:r>
          <w:r>
            <w:fldChar w:fldCharType="end"/>
          </w:r>
        </w:p>
        <w:p>
          <w:pPr>
            <w:pStyle w:val="9"/>
            <w:tabs>
              <w:tab w:val="right" w:leader="dot" w:pos="9016"/>
            </w:tabs>
            <w:spacing w:line="360" w:lineRule="auto"/>
            <w:rPr>
              <w:sz w:val="22"/>
              <w:szCs w:val="22"/>
              <w:lang w:val="zh-CN"/>
              <w14:ligatures w14:val="standardContextual"/>
            </w:rPr>
          </w:pPr>
          <w:r>
            <w:fldChar w:fldCharType="begin"/>
          </w:r>
          <w:r>
            <w:instrText xml:space="preserve"> HYPERLINK \l "_Toc176358785" </w:instrText>
          </w:r>
          <w:r>
            <w:fldChar w:fldCharType="separate"/>
          </w:r>
          <w:r>
            <w:rPr>
              <w:rStyle w:val="6"/>
            </w:rPr>
            <w:t>5. Financing and capital management</w:t>
          </w:r>
          <w:r>
            <w:tab/>
          </w:r>
          <w:r>
            <w:fldChar w:fldCharType="begin"/>
          </w:r>
          <w:r>
            <w:instrText xml:space="preserve"> PAGEREF _Toc176358785 \h </w:instrText>
          </w:r>
          <w:r>
            <w:fldChar w:fldCharType="separate"/>
          </w:r>
          <w:r>
            <w:t>22</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"_Toc176358786" </w:instrText>
          </w:r>
          <w:r>
            <w:fldChar w:fldCharType="separate"/>
          </w:r>
          <w:r>
            <w:rPr>
              <w:rStyle w:val="6"/>
            </w:rPr>
            <w:t>5.1 Financing Methods for analyzing</w:t>
          </w:r>
          <w:r>
            <w:tab/>
          </w:r>
          <w:r>
            <w:fldChar w:fldCharType="begin"/>
          </w:r>
          <w:r>
            <w:instrText xml:space="preserve"> PAGEREF _Toc176358786 \h </w:instrText>
          </w:r>
          <w:r>
            <w:fldChar w:fldCharType="separate"/>
          </w:r>
          <w:r>
            <w:t>22</w:t>
          </w:r>
          <w:r>
            <w:fldChar w:fldCharType="end"/>
          </w:r>
          <w:r>
            <w:fldChar w:fldCharType="end"/>
          </w:r>
        </w:p>
        <w:p>
          <w:pPr>
            <w:pStyle w:val="8"/>
            <w:tabs>
              <w:tab w:val="right" w:leader="dot" w:pos="9016"/>
            </w:tabs>
            <w:spacing w:line="360" w:lineRule="auto"/>
            <w:rPr>
              <w:sz w:val="22"/>
              <w:szCs w:val="22"/>
              <w:lang w:val="zh-CN"/>
              <w14:ligatures w14:val="standardContextual"/>
            </w:rPr>
          </w:pPr>
          <w:r>
            <w:fldChar w:fldCharType="begin"/>
          </w:r>
          <w:r>
            <w:instrText xml:space="preserve"> HYPERLINK \l "_Toc176358787" </w:instrText>
          </w:r>
          <w:r>
            <w:fldChar w:fldCharType="separate"/>
          </w:r>
          <w:r>
            <w:rPr>
              <w:rStyle w:val="6"/>
            </w:rPr>
            <w:t>5.2 Financing method proposed</w:t>
          </w:r>
          <w:r>
            <w:tab/>
          </w:r>
          <w:r>
            <w:fldChar w:fldCharType="begin"/>
          </w:r>
          <w:r>
            <w:instrText xml:space="preserve"> PAGEREF _Toc176358787 \h </w:instrText>
          </w:r>
          <w:r>
            <w:fldChar w:fldCharType="separate"/>
          </w:r>
          <w:r>
            <w:t>23</w:t>
          </w:r>
          <w:r>
            <w:fldChar w:fldCharType="end"/>
          </w:r>
          <w:r>
            <w:fldChar w:fldCharType="end"/>
          </w:r>
        </w:p>
        <w:p>
          <w:pPr>
            <w:pStyle w:val="9"/>
            <w:tabs>
              <w:tab w:val="left" w:pos="440"/>
              <w:tab w:val="right" w:leader="dot" w:pos="9016"/>
            </w:tabs>
            <w:spacing w:line="360" w:lineRule="auto"/>
            <w:rPr>
              <w:sz w:val="22"/>
              <w:szCs w:val="22"/>
              <w:lang w:val="zh-CN"/>
              <w14:ligatures w14:val="standardContextual"/>
            </w:rPr>
          </w:pPr>
          <w:r>
            <w:fldChar w:fldCharType="begin"/>
          </w:r>
          <w:r>
            <w:instrText xml:space="preserve"> HYPERLINK \l "_Toc176358788" </w:instrText>
          </w:r>
          <w:r>
            <w:fldChar w:fldCharType="separate"/>
          </w:r>
          <w:r>
            <w:rPr>
              <w:rStyle w:val="6"/>
            </w:rPr>
            <w:t>6.</w:t>
          </w:r>
          <w:r>
            <w:rPr>
              <w:sz w:val="22"/>
              <w:szCs w:val="22"/>
              <w:lang w:val="zh-CN"/>
              <w14:ligatures w14:val="standardContextual"/>
            </w:rPr>
            <w:tab/>
          </w:r>
          <w:r>
            <w:rPr>
              <w:rStyle w:val="6"/>
            </w:rPr>
            <w:t>Recommendations and audit program</w:t>
          </w:r>
          <w:r>
            <w:tab/>
          </w:r>
          <w:r>
            <w:fldChar w:fldCharType="begin"/>
          </w:r>
          <w:r>
            <w:instrText xml:space="preserve"> PAGEREF _Toc176358788 \h </w:instrText>
          </w:r>
          <w:r>
            <w:fldChar w:fldCharType="separate"/>
          </w:r>
          <w:r>
            <w:t>24</w:t>
          </w:r>
          <w:r>
            <w:fldChar w:fldCharType="end"/>
          </w:r>
          <w:r>
            <w:fldChar w:fldCharType="end"/>
          </w:r>
        </w:p>
        <w:p>
          <w:pPr>
            <w:pStyle w:val="9"/>
            <w:tabs>
              <w:tab w:val="left" w:pos="440"/>
              <w:tab w:val="right" w:leader="dot" w:pos="9016"/>
            </w:tabs>
            <w:spacing w:line="360" w:lineRule="auto"/>
            <w:rPr>
              <w:sz w:val="22"/>
              <w:szCs w:val="22"/>
              <w:lang w:val="zh-CN"/>
              <w14:ligatures w14:val="standardContextual"/>
            </w:rPr>
          </w:pPr>
          <w:r>
            <w:fldChar w:fldCharType="begin"/>
          </w:r>
          <w:r>
            <w:instrText xml:space="preserve"> HYPERLINK \l "_Toc176358789" </w:instrText>
          </w:r>
          <w:r>
            <w:fldChar w:fldCharType="separate"/>
          </w:r>
          <w:r>
            <w:rPr>
              <w:rStyle w:val="6"/>
            </w:rPr>
            <w:t>7.</w:t>
          </w:r>
          <w:r>
            <w:rPr>
              <w:sz w:val="22"/>
              <w:szCs w:val="22"/>
              <w:lang w:val="zh-CN"/>
              <w14:ligatures w14:val="standardContextual"/>
            </w:rPr>
            <w:tab/>
          </w:r>
          <w:r>
            <w:rPr>
              <w:rStyle w:val="6"/>
            </w:rPr>
            <w:t>Conclusion and Recommendations</w:t>
          </w:r>
          <w:r>
            <w:tab/>
          </w:r>
          <w:r>
            <w:fldChar w:fldCharType="begin"/>
          </w:r>
          <w:r>
            <w:instrText xml:space="preserve"> PAGEREF _Toc176358789 \h </w:instrText>
          </w:r>
          <w:r>
            <w:fldChar w:fldCharType="separate"/>
          </w:r>
          <w:r>
            <w:t>25</w:t>
          </w:r>
          <w:r>
            <w:fldChar w:fldCharType="end"/>
          </w:r>
          <w:r>
            <w:fldChar w:fldCharType="end"/>
          </w:r>
        </w:p>
        <w:p>
          <w:pPr>
            <w:pStyle w:val="9"/>
            <w:tabs>
              <w:tab w:val="right" w:leader="dot" w:pos="9016"/>
            </w:tabs>
            <w:spacing w:line="360" w:lineRule="auto"/>
            <w:rPr>
              <w:sz w:val="22"/>
              <w:szCs w:val="22"/>
              <w:lang w:val="zh-CN"/>
              <w14:ligatures w14:val="standardContextual"/>
            </w:rPr>
          </w:pPr>
          <w:r>
            <w:fldChar w:fldCharType="begin"/>
          </w:r>
          <w:r>
            <w:instrText xml:space="preserve"> HYPERLINK \l "_Toc176358790" </w:instrText>
          </w:r>
          <w:r>
            <w:fldChar w:fldCharType="separate"/>
          </w:r>
          <w:r>
            <w:rPr>
              <w:rStyle w:val="6"/>
            </w:rPr>
            <w:t>References</w:t>
          </w:r>
          <w:r>
            <w:tab/>
          </w:r>
          <w:r>
            <w:fldChar w:fldCharType="begin"/>
          </w:r>
          <w:r>
            <w:instrText xml:space="preserve"> PAGEREF _Toc176358790 \h </w:instrText>
          </w:r>
          <w:r>
            <w:fldChar w:fldCharType="separate"/>
          </w:r>
          <w:r>
            <w:t>26</w:t>
          </w:r>
          <w:r>
            <w:fldChar w:fldCharType="end"/>
          </w:r>
          <w:r>
            <w:fldChar w:fldCharType="end"/>
          </w:r>
        </w:p>
        <w:p>
          <w:pPr>
            <w:pStyle w:val="9"/>
            <w:tabs>
              <w:tab w:val="right" w:leader="dot" w:pos="9016"/>
            </w:tabs>
            <w:spacing w:line="360" w:lineRule="auto"/>
            <w:rPr>
              <w:sz w:val="22"/>
              <w:szCs w:val="22"/>
              <w:lang w:val="zh-CN"/>
              <w14:ligatures w14:val="standardContextual"/>
            </w:rPr>
          </w:pPr>
          <w:r>
            <w:fldChar w:fldCharType="begin"/>
          </w:r>
          <w:r>
            <w:instrText xml:space="preserve"> HYPERLINK \l "_Toc176358791" </w:instrText>
          </w:r>
          <w:r>
            <w:fldChar w:fldCharType="separate"/>
          </w:r>
          <w:r>
            <w:rPr>
              <w:rStyle w:val="6"/>
            </w:rPr>
            <w:t>Appendix 1</w:t>
          </w:r>
          <w:r>
            <w:tab/>
          </w:r>
          <w:r>
            <w:fldChar w:fldCharType="begin"/>
          </w:r>
          <w:r>
            <w:instrText xml:space="preserve"> PAGEREF _Toc176358791 \h </w:instrText>
          </w:r>
          <w:r>
            <w:fldChar w:fldCharType="separate"/>
          </w:r>
          <w:r>
            <w:t>27</w:t>
          </w:r>
          <w:r>
            <w:fldChar w:fldCharType="end"/>
          </w:r>
          <w:r>
            <w:fldChar w:fldCharType="end"/>
          </w:r>
        </w:p>
        <w:p>
          <w:pPr>
            <w:spacing w:line="360" w:lineRule="auto"/>
          </w:pPr>
          <w:r>
            <w:rPr>
              <w:b/>
              <w:bCs/>
            </w:rPr>
            <w:fldChar w:fldCharType="end"/>
          </w:r>
        </w:p>
      </w:sdtContent>
    </w:sdt>
    <w:p>
      <w:pPr>
        <w:widowControl/>
        <w:jc w:val="left"/>
        <w:rPr>
          <w:rFonts w:ascii="Times New Roman" w:hAnsi="Times New Roman" w:cs="Times New Roman"/>
          <w:sz w:val="22"/>
          <w:szCs w:val="22"/>
        </w:rPr>
      </w:pPr>
      <w:r>
        <w:rPr>
          <w:rFonts w:ascii="Times New Roman" w:hAnsi="Times New Roman" w:cs="Times New Roman"/>
          <w:sz w:val="22"/>
          <w:szCs w:val="22"/>
        </w:rPr>
        <w:br w:type="page"/>
      </w:r>
    </w:p>
    <w:p>
      <w:pPr>
        <w:pStyle w:val="2"/>
        <w:numPr>
          <w:ilvl w:val="0"/>
          <w:numId w:val="1"/>
        </w:numPr>
        <w:jc w:val="left"/>
        <w:rPr>
          <w:sz w:val="56"/>
          <w:szCs w:val="56"/>
        </w:rPr>
        <w:sectPr>
          <w:footerReference r:id="rId3" w:type="first"/>
          <w:pgSz w:w="11906" w:h="16838"/>
          <w:pgMar w:top="1440" w:right="1440" w:bottom="1440" w:left="1440" w:header="850" w:footer="994" w:gutter="0"/>
          <w:pgNumType w:start="0" w:chapStyle="1"/>
          <w:cols w:space="425" w:num="1"/>
          <w:titlePg/>
          <w:docGrid w:type="lines" w:linePitch="312" w:charSpace="0"/>
        </w:sectPr>
      </w:pPr>
    </w:p>
    <w:p>
      <w:pPr>
        <w:pStyle w:val="2"/>
        <w:numPr>
          <w:ilvl w:val="0"/>
          <w:numId w:val="1"/>
        </w:numPr>
        <w:spacing w:line="360" w:lineRule="auto"/>
        <w:jc w:val="left"/>
        <w:rPr>
          <w:rFonts w:hint="default" w:ascii="Times New Roman Regular" w:hAnsi="Times New Roman Regular" w:cs="Times New Roman Regular"/>
          <w:b w:val="0"/>
          <w:color w:val="auto"/>
          <w:sz w:val="24"/>
          <w:szCs w:val="24"/>
        </w:rPr>
      </w:pPr>
      <w:bookmarkStart w:id="0" w:name="_Toc176358756"/>
      <w:r>
        <w:rPr>
          <w:rFonts w:hint="default" w:ascii="Times New Roman Regular" w:hAnsi="Times New Roman Regular" w:cs="Times New Roman Regular"/>
          <w:color w:val="auto"/>
          <w:sz w:val="24"/>
          <w:szCs w:val="24"/>
        </w:rPr>
        <w:t>Introduction</w:t>
      </w:r>
      <w:bookmarkEnd w:id="0"/>
    </w:p>
    <w:p>
      <w:pPr>
        <w:pStyle w:val="3"/>
        <w:spacing w:line="360" w:lineRule="auto"/>
        <w:rPr>
          <w:rFonts w:hint="default" w:ascii="Times New Roman Regular" w:hAnsi="Times New Roman Regular" w:cs="Times New Roman Regular"/>
          <w:b w:val="0"/>
          <w:color w:val="auto"/>
          <w:sz w:val="24"/>
          <w:szCs w:val="24"/>
        </w:rPr>
      </w:pPr>
      <w:bookmarkStart w:id="1" w:name="_Toc176358757"/>
      <w:r>
        <w:rPr>
          <w:rFonts w:hint="default" w:ascii="Times New Roman Regular" w:hAnsi="Times New Roman Regular" w:cs="Times New Roman Regular"/>
          <w:color w:val="auto"/>
          <w:sz w:val="24"/>
          <w:szCs w:val="24"/>
        </w:rPr>
        <w:t>1.1 Company Background</w:t>
      </w:r>
      <w:bookmarkEnd w:id="1"/>
    </w:p>
    <w:p>
      <w:pPr>
        <w:spacing w:line="360" w:lineRule="auto"/>
        <w:rPr>
          <w:rFonts w:hint="default" w:ascii="Times New Roman Regular" w:hAnsi="Times New Roman Regular" w:cs="Times New Roman Regular"/>
          <w:sz w:val="24"/>
          <w:szCs w:val="24"/>
        </w:rPr>
      </w:pPr>
      <w:bookmarkStart w:id="47" w:name="_GoBack"/>
      <w:bookmarkEnd w:id="47"/>
    </w:p>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Carlsberg Group (Carlsberg) is a Danish multinational brew, engaged in drink industry. Carlsberg was established at Copenhagen in 1847 by J.C. Jacobsen</w:t>
      </w:r>
      <w:r>
        <w:rPr>
          <w:rFonts w:hint="default" w:ascii="Times New Roman Regular" w:hAnsi="Times New Roman Regular" w:cs="Times New Roman Regular"/>
          <w:sz w:val="24"/>
          <w:szCs w:val="24"/>
          <w:lang w:val="en-US"/>
        </w:rPr>
        <w:t xml:space="preserve">(Carlsberg Group, 2024). </w:t>
      </w:r>
      <w:r>
        <w:rPr>
          <w:rFonts w:hint="default" w:ascii="Times New Roman Regular" w:hAnsi="Times New Roman Regular" w:cs="Times New Roman Regular"/>
          <w:sz w:val="24"/>
          <w:szCs w:val="24"/>
        </w:rPr>
        <w:t xml:space="preserve"> Carlsberg is currently listed on Nasdaq Copenhagen, CARL-B.CO. Carlsberg is now the 6</w:t>
      </w:r>
      <w:r>
        <w:rPr>
          <w:rFonts w:hint="default" w:ascii="Times New Roman Regular" w:hAnsi="Times New Roman Regular" w:cs="Times New Roman Regular"/>
          <w:sz w:val="24"/>
          <w:szCs w:val="24"/>
          <w:vertAlign w:val="superscript"/>
        </w:rPr>
        <w:t>th</w:t>
      </w:r>
      <w:r>
        <w:rPr>
          <w:rFonts w:hint="default" w:ascii="Times New Roman Regular" w:hAnsi="Times New Roman Regular" w:cs="Times New Roman Regular"/>
          <w:sz w:val="24"/>
          <w:szCs w:val="24"/>
        </w:rPr>
        <w:t xml:space="preserve"> largest brewery in the world in terms of the revenues. In 2008, Scottish &amp; Newcastle, the largest brewer in the UK was bought by Carlsberg and Heineken for EUR7.8B. </w:t>
      </w:r>
      <w:bookmarkStart w:id="2" w:name="OLE_LINK20"/>
      <w:r>
        <w:rPr>
          <w:rFonts w:hint="default" w:ascii="Times New Roman Regular" w:hAnsi="Times New Roman Regular" w:cs="Times New Roman Regular"/>
          <w:sz w:val="24"/>
          <w:szCs w:val="24"/>
        </w:rPr>
        <w:t>In 2014, the Olympic brewery, Greece’s third largest brewery was taken over by Carlsberg</w:t>
      </w:r>
      <w:r>
        <w:rPr>
          <w:rFonts w:hint="default" w:ascii="Times New Roman Regular" w:hAnsi="Times New Roman Regular" w:cs="Times New Roman Regular"/>
          <w:color w:val="auto"/>
          <w:sz w:val="24"/>
          <w:szCs w:val="24"/>
        </w:rPr>
        <w:t>(Reuters</w:t>
      </w:r>
      <w:r>
        <w:rPr>
          <w:rFonts w:hint="default" w:ascii="Times New Roman Regular" w:hAnsi="Times New Roman Regular" w:cs="Times New Roman Regular"/>
          <w:color w:val="auto"/>
          <w:sz w:val="24"/>
          <w:szCs w:val="24"/>
          <w:lang w:val="en-US"/>
        </w:rPr>
        <w:t>, 2024</w:t>
      </w:r>
      <w:r>
        <w:rPr>
          <w:rFonts w:hint="default" w:ascii="Times New Roman Regular" w:hAnsi="Times New Roman Regular" w:cs="Times New Roman Regular"/>
          <w:color w:val="auto"/>
          <w:sz w:val="24"/>
          <w:szCs w:val="24"/>
        </w:rPr>
        <w:t>)</w:t>
      </w:r>
      <w:r>
        <w:rPr>
          <w:rFonts w:hint="default" w:ascii="Times New Roman Regular" w:hAnsi="Times New Roman Regular" w:cs="Times New Roman Regular"/>
          <w:color w:val="auto"/>
          <w:sz w:val="24"/>
          <w:szCs w:val="24"/>
          <w:lang w:val="en-US"/>
        </w:rPr>
        <w:t>.</w:t>
      </w:r>
      <w:bookmarkEnd w:id="2"/>
      <w:r>
        <w:rPr>
          <w:rFonts w:hint="default" w:ascii="Times New Roman Regular" w:hAnsi="Times New Roman Regular" w:cs="Times New Roman Regular"/>
          <w:color w:val="auto"/>
          <w:sz w:val="24"/>
          <w:szCs w:val="24"/>
          <w:lang w:val="en-US"/>
        </w:rPr>
        <w:t xml:space="preserve"> </w:t>
      </w:r>
      <w:r>
        <w:rPr>
          <w:rFonts w:hint="default" w:ascii="Times New Roman Regular" w:hAnsi="Times New Roman Regular" w:cs="Times New Roman Regular"/>
          <w:sz w:val="24"/>
          <w:szCs w:val="24"/>
        </w:rPr>
        <w:t xml:space="preserve">Jacob Aarup-Andersen is a CEO for Carlsberg Group since fall of 2022. Western Europe, Easten Europe and Asia are main markets for Carlsberg. </w:t>
      </w:r>
    </w:p>
    <w:p>
      <w:pPr>
        <w:spacing w:line="360" w:lineRule="auto"/>
        <w:rPr>
          <w:rFonts w:hint="default" w:ascii="Times New Roman Regular" w:hAnsi="Times New Roman Regular" w:cs="Times New Roman Regular"/>
          <w:sz w:val="24"/>
          <w:szCs w:val="24"/>
        </w:rPr>
      </w:pPr>
    </w:p>
    <w:p>
      <w:pPr>
        <w:pStyle w:val="3"/>
        <w:spacing w:line="360" w:lineRule="auto"/>
        <w:rPr>
          <w:rFonts w:hint="default" w:ascii="Times New Roman Regular" w:hAnsi="Times New Roman Regular" w:cs="Times New Roman Regular"/>
          <w:color w:val="auto"/>
          <w:sz w:val="24"/>
          <w:szCs w:val="24"/>
        </w:rPr>
      </w:pPr>
      <w:bookmarkStart w:id="3" w:name="_Toc176358758"/>
      <w:r>
        <w:rPr>
          <w:rFonts w:hint="default" w:ascii="Times New Roman Regular" w:hAnsi="Times New Roman Regular" w:cs="Times New Roman Regular"/>
          <w:color w:val="auto"/>
          <w:sz w:val="24"/>
          <w:szCs w:val="24"/>
        </w:rPr>
        <w:t>1.2 Operating business overview (products and services and the sales market)</w:t>
      </w:r>
      <w:bookmarkEnd w:id="3"/>
    </w:p>
    <w:p>
      <w:pPr>
        <w:spacing w:line="360" w:lineRule="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Developing for more than 200 years, Carlsberg currently has 140 brands, such as 1664, Somersby, Chongqing, etc. And there are different types of beer with different strength can fulfill different people’s preference</w:t>
      </w:r>
      <w:r>
        <w:rPr>
          <w:rFonts w:hint="default" w:ascii="Times New Roman Regular" w:hAnsi="Times New Roman Regular" w:cs="Times New Roman Regular"/>
          <w:sz w:val="24"/>
          <w:szCs w:val="24"/>
          <w:lang w:val="en-US"/>
        </w:rPr>
        <w:t xml:space="preserve"> (Carlsberg Group ,2024).</w:t>
      </w:r>
    </w:p>
    <w:p>
      <w:pPr>
        <w:spacing w:line="360" w:lineRule="auto"/>
        <w:rPr>
          <w:rFonts w:hint="default" w:ascii="Times New Roman Regular" w:hAnsi="Times New Roman Regular" w:cs="Times New Roman Regular"/>
          <w:color w:val="FF0000"/>
          <w:sz w:val="24"/>
          <w:szCs w:val="24"/>
        </w:rPr>
      </w:pPr>
    </w:p>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Carlsberg divided three geographical regions for sales take place, including West Europe, Asia, Central &amp; Eastern Europe and other countries. </w:t>
      </w:r>
    </w:p>
    <w:p>
      <w:pPr>
        <w:spacing w:line="360" w:lineRule="auto"/>
        <w:rPr>
          <w:rFonts w:hint="default" w:ascii="Times New Roman Regular" w:hAnsi="Times New Roman Regular" w:cs="Times New Roman Regular"/>
          <w:sz w:val="24"/>
          <w:szCs w:val="24"/>
        </w:rPr>
      </w:pPr>
    </w:p>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Carlsberg business operating has various advantages among the drink industry.</w:t>
      </w:r>
    </w:p>
    <w:p>
      <w:pPr>
        <w:pStyle w:val="14"/>
        <w:numPr>
          <w:ilvl w:val="0"/>
          <w:numId w:val="2"/>
        </w:numPr>
        <w:spacing w:line="360" w:lineRule="auto"/>
        <w:ind w:left="630" w:hanging="27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Being a No.1 or No.2 position in drink industry due to its profession in multinational brewer for over 200 years. Strong market position can be a key driver for Carlsberg operating revenue. </w:t>
      </w:r>
    </w:p>
    <w:p>
      <w:pPr>
        <w:pStyle w:val="14"/>
        <w:numPr>
          <w:ilvl w:val="0"/>
          <w:numId w:val="2"/>
        </w:numPr>
        <w:spacing w:line="360" w:lineRule="auto"/>
        <w:ind w:left="630" w:hanging="27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Carlsberg’s brands offered different products for all consumers’ occasions. Carlsberg also enhanced the variety of low and alcohol-free brews. </w:t>
      </w:r>
    </w:p>
    <w:p>
      <w:pPr>
        <w:pStyle w:val="14"/>
        <w:numPr>
          <w:ilvl w:val="0"/>
          <w:numId w:val="2"/>
        </w:numPr>
        <w:spacing w:line="360" w:lineRule="auto"/>
        <w:ind w:left="630" w:hanging="27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Carlsberg developed digital solutions and services to help their customers deal with the change of environment and achieve business growth. In order to deal with the global environmental concerns, Carlsberg’s has been developing sustainable packaging solutions for enhancing collections and recycling rates. </w:t>
      </w:r>
    </w:p>
    <w:p>
      <w:pPr>
        <w:pStyle w:val="14"/>
        <w:numPr>
          <w:ilvl w:val="0"/>
          <w:numId w:val="2"/>
        </w:numPr>
        <w:spacing w:line="360" w:lineRule="auto"/>
        <w:ind w:left="630" w:hanging="27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In order to optimize the supply chain and process, Carlsberg also has an ambition for minimizing the carbon emissions for supporting their growth agenda. </w:t>
      </w:r>
    </w:p>
    <w:p>
      <w:pPr>
        <w:pStyle w:val="14"/>
        <w:numPr>
          <w:numId w:val="0"/>
        </w:numPr>
        <w:spacing w:line="360" w:lineRule="auto"/>
        <w:ind w:left="360" w:leftChars="0"/>
        <w:rPr>
          <w:rFonts w:hint="default" w:ascii="Times New Roman Regular" w:hAnsi="Times New Roman Regular" w:cs="Times New Roman Regular"/>
          <w:sz w:val="24"/>
          <w:szCs w:val="24"/>
        </w:rPr>
      </w:pPr>
    </w:p>
    <w:p>
      <w:pPr>
        <w:pStyle w:val="3"/>
        <w:spacing w:line="360" w:lineRule="auto"/>
        <w:rPr>
          <w:rFonts w:hint="default" w:ascii="Times New Roman Regular" w:hAnsi="Times New Roman Regular" w:cs="Times New Roman Regular"/>
          <w:color w:val="auto"/>
          <w:sz w:val="24"/>
          <w:szCs w:val="24"/>
        </w:rPr>
      </w:pPr>
      <w:bookmarkStart w:id="4" w:name="_Toc176358759"/>
      <w:r>
        <w:rPr>
          <w:rFonts w:hint="default" w:ascii="Times New Roman Regular" w:hAnsi="Times New Roman Regular" w:cs="Times New Roman Regular"/>
          <w:color w:val="auto"/>
          <w:sz w:val="24"/>
          <w:szCs w:val="24"/>
        </w:rPr>
        <w:t>1.3 Today’s business environment</w:t>
      </w:r>
      <w:bookmarkEnd w:id="4"/>
    </w:p>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There are several issues that Carlsberg needs to address, </w:t>
      </w:r>
    </w:p>
    <w:p>
      <w:pPr>
        <w:pStyle w:val="14"/>
        <w:numPr>
          <w:ilvl w:val="0"/>
          <w:numId w:val="3"/>
        </w:numPr>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Conflict between Ukraine and Russia</w:t>
      </w:r>
    </w:p>
    <w:p>
      <w:pPr>
        <w:pStyle w:val="14"/>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Carlsberg business was still being impacted by the war of Ukraine and Russia. In order to deal with the conflict, Carlsberg announced to sell Baltika Breweries conditionally in Russia.</w:t>
      </w:r>
    </w:p>
    <w:p>
      <w:pPr>
        <w:pStyle w:val="14"/>
        <w:numPr>
          <w:ilvl w:val="0"/>
          <w:numId w:val="3"/>
        </w:numPr>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Geographical priorities</w:t>
      </w:r>
    </w:p>
    <w:p>
      <w:pPr>
        <w:pStyle w:val="14"/>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Facing with the conflicts with different countries, Asia is still a key volume and value growth driver for Carlsberg, especially China. The largest market is China for Carlsberg’s Asia segment. China will be a huge volume and value engine in the coming years. </w:t>
      </w:r>
    </w:p>
    <w:p>
      <w:pPr>
        <w:pStyle w:val="14"/>
        <w:numPr>
          <w:ilvl w:val="0"/>
          <w:numId w:val="3"/>
        </w:numPr>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Environmental concern and zero carbon emission</w:t>
      </w:r>
    </w:p>
    <w:p>
      <w:pPr>
        <w:spacing w:line="360" w:lineRule="auto"/>
        <w:ind w:left="72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 lot of companies are facing different global challenges, such as climate changes, water scarcity and inequality. Carlsberg aimed toward zero carbon footprint, farming footprint, packaging waste, water waste, irresponsible drinking and accident culture. Carlsberg implemented different tools for achieving their goal, such as using renewable electricity, extraction of biogas, reducing business travel, etc. </w:t>
      </w:r>
    </w:p>
    <w:p>
      <w:pPr>
        <w:spacing w:line="360" w:lineRule="auto"/>
        <w:rPr>
          <w:rFonts w:hint="default" w:ascii="Times New Roman Regular" w:hAnsi="Times New Roman Regular" w:cs="Times New Roman Regular"/>
          <w:sz w:val="24"/>
          <w:szCs w:val="24"/>
        </w:rPr>
      </w:pPr>
    </w:p>
    <w:p>
      <w:pPr>
        <w:pStyle w:val="3"/>
        <w:spacing w:line="360" w:lineRule="auto"/>
        <w:rPr>
          <w:rFonts w:hint="default" w:ascii="Times New Roman Regular" w:hAnsi="Times New Roman Regular" w:cs="Times New Roman Regular"/>
          <w:color w:val="auto"/>
          <w:sz w:val="24"/>
          <w:szCs w:val="24"/>
        </w:rPr>
      </w:pPr>
      <w:bookmarkStart w:id="5" w:name="_Toc176358760"/>
      <w:r>
        <w:rPr>
          <w:rFonts w:hint="default" w:ascii="Times New Roman Regular" w:hAnsi="Times New Roman Regular" w:cs="Times New Roman Regular"/>
          <w:color w:val="auto"/>
          <w:sz w:val="24"/>
          <w:szCs w:val="24"/>
        </w:rPr>
        <w:t>1.4 Company structure</w:t>
      </w:r>
      <w:bookmarkEnd w:id="5"/>
    </w:p>
    <w:p>
      <w:pPr>
        <w:spacing w:line="360" w:lineRule="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Carlsberg A/S is currently listed on Nasdaq Copenhagen with 2 share classes, Carlsberg A and Carlsberg B. An A share carries 20 votes, meanwhile a B share carries 2 votes and is eligible for preferential dividend.</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As of 31 Dec 2023, the largest shareholder of Carlsberg was the Carlsberg Foundation, accounting for 29% of the capital and 77% of the votes. Free float in the market is about 24% and 71% of capital. Shareholder mainly located in US, accounting for 48%. Nowadays, Carlsberg has 30,000 employee, mainly in Europe and Asia</w:t>
      </w:r>
      <w:r>
        <w:rPr>
          <w:rFonts w:hint="default" w:ascii="Times New Roman Regular" w:hAnsi="Times New Roman Regular" w:cs="Times New Roman Regular"/>
          <w:sz w:val="24"/>
          <w:szCs w:val="24"/>
          <w:lang w:val="en-US"/>
        </w:rPr>
        <w:t xml:space="preserve"> (Carlsberg Group, 2024).</w:t>
      </w:r>
    </w:p>
    <w:p>
      <w:pPr>
        <w:spacing w:line="360" w:lineRule="auto"/>
        <w:rPr>
          <w:rFonts w:hint="default" w:ascii="Times New Roman Regular" w:hAnsi="Times New Roman Regular" w:cs="Times New Roman Regular"/>
          <w:sz w:val="24"/>
          <w:szCs w:val="24"/>
        </w:rPr>
      </w:pPr>
    </w:p>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drawing>
          <wp:inline distT="0" distB="0" distL="0" distR="0">
            <wp:extent cx="5447030" cy="2590165"/>
            <wp:effectExtent l="0" t="0" r="1270" b="635"/>
            <wp:docPr id="17477878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787827" name="Picture 1" descr="A screenshot of a computer&#10;&#10;Description automatically generated"/>
                    <pic:cNvPicPr>
                      <a:picLocks noChangeAspect="1"/>
                    </pic:cNvPicPr>
                  </pic:nvPicPr>
                  <pic:blipFill>
                    <a:blip r:embed="rId8"/>
                    <a:srcRect l="14592" t="11287" r="19749" b="60969"/>
                    <a:stretch>
                      <a:fillRect/>
                    </a:stretch>
                  </pic:blipFill>
                  <pic:spPr>
                    <a:xfrm>
                      <a:off x="0" y="0"/>
                      <a:ext cx="5458288" cy="2595340"/>
                    </a:xfrm>
                    <a:prstGeom prst="rect">
                      <a:avLst/>
                    </a:prstGeom>
                    <a:ln>
                      <a:noFill/>
                    </a:ln>
                  </pic:spPr>
                </pic:pic>
              </a:graphicData>
            </a:graphic>
          </wp:inline>
        </w:drawing>
      </w:r>
    </w:p>
    <w:p>
      <w:pPr>
        <w:spacing w:line="360" w:lineRule="auto"/>
        <w:rPr>
          <w:rFonts w:hint="default" w:ascii="Times New Roman Regular" w:hAnsi="Times New Roman Regular" w:cs="Times New Roman Regular"/>
          <w:color w:val="auto"/>
          <w:sz w:val="24"/>
          <w:szCs w:val="24"/>
          <w:lang w:val="en-US"/>
        </w:rPr>
      </w:pPr>
      <w:r>
        <w:rPr>
          <w:rFonts w:hint="default" w:ascii="Times New Roman Regular" w:hAnsi="Times New Roman Regular" w:cs="Times New Roman Regular"/>
          <w:color w:val="auto"/>
          <w:sz w:val="24"/>
          <w:szCs w:val="24"/>
          <w:lang w:val="en-US"/>
        </w:rPr>
        <w:t xml:space="preserve">Figure 1 Shareholders of Carlsberg Group </w:t>
      </w:r>
    </w:p>
    <w:p>
      <w:pPr>
        <w:spacing w:line="360" w:lineRule="auto"/>
        <w:rPr>
          <w:rFonts w:hint="default" w:ascii="Times New Roman Regular" w:hAnsi="Times New Roman Regular" w:cs="Times New Roman Regular"/>
          <w:color w:val="auto"/>
          <w:sz w:val="24"/>
          <w:szCs w:val="24"/>
          <w:lang w:val="en-US"/>
        </w:rPr>
      </w:pPr>
    </w:p>
    <w:p>
      <w:pPr>
        <w:pStyle w:val="3"/>
        <w:spacing w:line="360" w:lineRule="auto"/>
        <w:rPr>
          <w:rFonts w:hint="default" w:ascii="Times New Roman Regular" w:hAnsi="Times New Roman Regular" w:cs="Times New Roman Regular"/>
          <w:color w:val="auto"/>
          <w:sz w:val="24"/>
          <w:szCs w:val="24"/>
        </w:rPr>
      </w:pPr>
      <w:bookmarkStart w:id="6" w:name="_Toc176358761"/>
      <w:r>
        <w:rPr>
          <w:rFonts w:hint="default" w:ascii="Times New Roman Regular" w:hAnsi="Times New Roman Regular" w:cs="Times New Roman Regular"/>
          <w:color w:val="auto"/>
          <w:sz w:val="24"/>
          <w:szCs w:val="24"/>
        </w:rPr>
        <w:t>1.5 Research comparison company information</w:t>
      </w:r>
      <w:bookmarkEnd w:id="6"/>
    </w:p>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Tsingtao Brewery Company Ltd (Tsing Tao) and San Miguel Brewery Hong Kong Limited (San Miguel) would be used for peer comparison in this research. Both companies have the same business nature with Carlsberg. Tsing Tao and San Miguel are currently listed in HKEX, and Carlsberg is listed in Nasdaq Copenhagen. </w:t>
      </w:r>
    </w:p>
    <w:p>
      <w:pPr>
        <w:spacing w:line="360" w:lineRule="auto"/>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The following is the features for those 3 companies</w:t>
      </w:r>
      <w:r>
        <w:rPr>
          <w:rFonts w:hint="default" w:ascii="Times New Roman Regular" w:hAnsi="Times New Roman Regular" w:cs="Times New Roman Regular"/>
          <w:sz w:val="24"/>
          <w:szCs w:val="24"/>
          <w:lang w:val="en-US"/>
        </w:rPr>
        <w:t>:</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c>
          <w:tcPr>
            <w:tcW w:w="2130"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Company Name </w:t>
            </w:r>
          </w:p>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(Stock number)</w:t>
            </w:r>
          </w:p>
        </w:tc>
        <w:tc>
          <w:tcPr>
            <w:tcW w:w="2130"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Carlsberg</w:t>
            </w:r>
          </w:p>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t>
            </w:r>
            <w:bookmarkStart w:id="7" w:name="OLE_LINK8"/>
            <w:r>
              <w:rPr>
                <w:rFonts w:hint="default" w:ascii="Times New Roman Regular" w:hAnsi="Times New Roman Regular" w:cs="Times New Roman Regular"/>
                <w:sz w:val="24"/>
                <w:szCs w:val="24"/>
              </w:rPr>
              <w:t>CARL-B.CO</w:t>
            </w:r>
            <w:bookmarkEnd w:id="7"/>
            <w:r>
              <w:rPr>
                <w:rFonts w:hint="default" w:ascii="Times New Roman Regular" w:hAnsi="Times New Roman Regular" w:cs="Times New Roman Regular"/>
                <w:sz w:val="24"/>
                <w:szCs w:val="24"/>
              </w:rPr>
              <w:t>)</w:t>
            </w:r>
          </w:p>
        </w:tc>
        <w:tc>
          <w:tcPr>
            <w:tcW w:w="2131"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Tsing Tao</w:t>
            </w:r>
          </w:p>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(00168.hk)</w:t>
            </w:r>
          </w:p>
        </w:tc>
        <w:tc>
          <w:tcPr>
            <w:tcW w:w="2131"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San Miguel</w:t>
            </w:r>
          </w:p>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(236)</w:t>
            </w:r>
          </w:p>
        </w:tc>
      </w:tr>
      <w:tr>
        <w:tc>
          <w:tcPr>
            <w:tcW w:w="2130"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Business Nature</w:t>
            </w:r>
          </w:p>
        </w:tc>
        <w:tc>
          <w:tcPr>
            <w:tcW w:w="6392" w:type="dxa"/>
            <w:gridSpan w:val="3"/>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Beverages-Brewers</w:t>
            </w:r>
          </w:p>
        </w:tc>
      </w:tr>
      <w:tr>
        <w:tc>
          <w:tcPr>
            <w:tcW w:w="2130"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Market Value(HKD)</w:t>
            </w:r>
          </w:p>
        </w:tc>
        <w:tc>
          <w:tcPr>
            <w:tcW w:w="2130"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131B</w:t>
            </w:r>
          </w:p>
        </w:tc>
        <w:tc>
          <w:tcPr>
            <w:tcW w:w="2131"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88B</w:t>
            </w:r>
          </w:p>
        </w:tc>
        <w:tc>
          <w:tcPr>
            <w:tcW w:w="2131"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339M</w:t>
            </w:r>
          </w:p>
        </w:tc>
      </w:tr>
      <w:tr>
        <w:tc>
          <w:tcPr>
            <w:tcW w:w="2130"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PE</w:t>
            </w:r>
          </w:p>
        </w:tc>
        <w:tc>
          <w:tcPr>
            <w:tcW w:w="2130"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10.67</w:t>
            </w:r>
          </w:p>
        </w:tc>
        <w:tc>
          <w:tcPr>
            <w:tcW w:w="2131"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12.41</w:t>
            </w:r>
          </w:p>
        </w:tc>
        <w:tc>
          <w:tcPr>
            <w:tcW w:w="2131"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3.96</w:t>
            </w:r>
          </w:p>
        </w:tc>
      </w:tr>
      <w:tr>
        <w:tc>
          <w:tcPr>
            <w:tcW w:w="2130"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Market Area</w:t>
            </w:r>
          </w:p>
        </w:tc>
        <w:tc>
          <w:tcPr>
            <w:tcW w:w="2130"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About 140 countries</w:t>
            </w:r>
          </w:p>
        </w:tc>
        <w:tc>
          <w:tcPr>
            <w:tcW w:w="2131"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About 90 countries</w:t>
            </w:r>
          </w:p>
        </w:tc>
        <w:tc>
          <w:tcPr>
            <w:tcW w:w="2131"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About 60 countries</w:t>
            </w:r>
          </w:p>
        </w:tc>
      </w:tr>
    </w:tbl>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(HKD: DKK=1.16; HKD:CNY= 1.1)</w:t>
      </w:r>
    </w:p>
    <w:p>
      <w:pPr>
        <w:spacing w:line="360" w:lineRule="auto"/>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lang w:val="en-US"/>
        </w:rPr>
        <w:t>Figure 2 Yahoo Finance, 2024</w:t>
      </w:r>
    </w:p>
    <w:p>
      <w:pPr>
        <w:pStyle w:val="2"/>
        <w:numPr>
          <w:ilvl w:val="0"/>
          <w:numId w:val="1"/>
        </w:numPr>
        <w:spacing w:line="360" w:lineRule="auto"/>
        <w:rPr>
          <w:rFonts w:hint="default" w:ascii="Times New Roman Regular" w:hAnsi="Times New Roman Regular" w:cs="Times New Roman Regular"/>
          <w:color w:val="auto"/>
          <w:sz w:val="24"/>
          <w:szCs w:val="24"/>
        </w:rPr>
      </w:pPr>
      <w:bookmarkStart w:id="8" w:name="_Toc176358762"/>
      <w:r>
        <w:rPr>
          <w:rFonts w:hint="default" w:ascii="Times New Roman Regular" w:hAnsi="Times New Roman Regular" w:cs="Times New Roman Regular"/>
          <w:color w:val="auto"/>
          <w:sz w:val="24"/>
          <w:szCs w:val="24"/>
        </w:rPr>
        <w:t>Carlsberg financial analysis</w:t>
      </w:r>
      <w:bookmarkEnd w:id="8"/>
    </w:p>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following part will show the financial analysis for Carlsberg in terms of financial structure. Tsing Tao and San Miguel will be used for peer comparison in order to reflect the financial performance clearly for Carlsberg. </w:t>
      </w:r>
    </w:p>
    <w:p>
      <w:pPr>
        <w:spacing w:line="360" w:lineRule="auto"/>
        <w:rPr>
          <w:rFonts w:hint="default" w:ascii="Times New Roman Regular" w:hAnsi="Times New Roman Regular" w:cs="Times New Roman Regular"/>
          <w:color w:val="auto"/>
          <w:sz w:val="24"/>
          <w:szCs w:val="24"/>
        </w:rPr>
      </w:pPr>
    </w:p>
    <w:p>
      <w:pPr>
        <w:pStyle w:val="3"/>
        <w:spacing w:line="360" w:lineRule="auto"/>
        <w:jc w:val="left"/>
        <w:rPr>
          <w:rFonts w:hint="default" w:ascii="Times New Roman Regular" w:hAnsi="Times New Roman Regular" w:cs="Times New Roman Regular"/>
          <w:color w:val="auto"/>
          <w:sz w:val="24"/>
          <w:szCs w:val="24"/>
          <w:lang w:val="en-US"/>
        </w:rPr>
      </w:pPr>
      <w:bookmarkStart w:id="9" w:name="_Toc176358763"/>
      <w:r>
        <w:rPr>
          <w:rFonts w:hint="default" w:ascii="Times New Roman Regular" w:hAnsi="Times New Roman Regular" w:cs="Times New Roman Regular"/>
          <w:color w:val="auto"/>
          <w:sz w:val="24"/>
          <w:szCs w:val="24"/>
        </w:rPr>
        <w:t>2.1 Listed companies of bankruptcy index Z-score analysi</w:t>
      </w:r>
      <w:bookmarkEnd w:id="9"/>
      <w:r>
        <w:rPr>
          <w:rFonts w:hint="default" w:ascii="Times New Roman Regular" w:hAnsi="Times New Roman Regular" w:cs="Times New Roman Regular"/>
          <w:color w:val="auto"/>
          <w:sz w:val="24"/>
          <w:szCs w:val="24"/>
          <w:lang w:val="en-US"/>
        </w:rPr>
        <w:t>s</w:t>
      </w:r>
    </w:p>
    <w:tbl>
      <w:tblPr>
        <w:tblStyle w:val="11"/>
        <w:tblpPr w:leftFromText="180" w:rightFromText="180" w:vertAnchor="text" w:horzAnchor="margin" w:tblpY="498"/>
        <w:tblOverlap w:val="never"/>
        <w:tblW w:w="925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61"/>
        <w:gridCol w:w="1320"/>
        <w:gridCol w:w="1296"/>
        <w:gridCol w:w="1296"/>
        <w:gridCol w:w="1716"/>
        <w:gridCol w:w="1568"/>
      </w:tblGrid>
      <w:tr>
        <w:trPr>
          <w:trHeight w:val="644" w:hRule="atLeast"/>
        </w:trPr>
        <w:tc>
          <w:tcPr>
            <w:tcW w:w="2225"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Company Name</w:t>
            </w:r>
          </w:p>
        </w:tc>
        <w:tc>
          <w:tcPr>
            <w:tcW w:w="3746" w:type="dxa"/>
            <w:gridSpan w:val="3"/>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Carlsberg</w:t>
            </w:r>
          </w:p>
        </w:tc>
        <w:tc>
          <w:tcPr>
            <w:tcW w:w="1544"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Tsing Tao</w:t>
            </w:r>
          </w:p>
        </w:tc>
        <w:tc>
          <w:tcPr>
            <w:tcW w:w="1742"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San Miguel</w:t>
            </w:r>
          </w:p>
        </w:tc>
      </w:tr>
      <w:tr>
        <w:trPr>
          <w:trHeight w:val="332" w:hRule="atLeast"/>
        </w:trPr>
        <w:tc>
          <w:tcPr>
            <w:tcW w:w="2225" w:type="dxa"/>
          </w:tcPr>
          <w:p>
            <w:pPr>
              <w:spacing w:line="360" w:lineRule="auto"/>
              <w:rPr>
                <w:rFonts w:hint="default" w:ascii="Times New Roman Regular" w:hAnsi="Times New Roman Regular" w:cs="Times New Roman Regular"/>
                <w:sz w:val="24"/>
                <w:szCs w:val="24"/>
              </w:rPr>
            </w:pPr>
          </w:p>
        </w:tc>
        <w:tc>
          <w:tcPr>
            <w:tcW w:w="1327"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2021</w:t>
            </w:r>
          </w:p>
        </w:tc>
        <w:tc>
          <w:tcPr>
            <w:tcW w:w="1246"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2022</w:t>
            </w:r>
          </w:p>
        </w:tc>
        <w:tc>
          <w:tcPr>
            <w:tcW w:w="1173"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2023</w:t>
            </w:r>
          </w:p>
        </w:tc>
        <w:tc>
          <w:tcPr>
            <w:tcW w:w="3286" w:type="dxa"/>
            <w:gridSpan w:val="2"/>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2023</w:t>
            </w:r>
          </w:p>
        </w:tc>
      </w:tr>
      <w:tr>
        <w:trPr>
          <w:trHeight w:val="332" w:hRule="atLeast"/>
        </w:trPr>
        <w:tc>
          <w:tcPr>
            <w:tcW w:w="2225"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Net Current Assets</w:t>
            </w:r>
          </w:p>
        </w:tc>
        <w:tc>
          <w:tcPr>
            <w:tcW w:w="1327"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-24,412.71</w:t>
            </w:r>
          </w:p>
        </w:tc>
        <w:tc>
          <w:tcPr>
            <w:tcW w:w="1246"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-26,841.52</w:t>
            </w:r>
          </w:p>
        </w:tc>
        <w:tc>
          <w:tcPr>
            <w:tcW w:w="1173"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-20,529.71</w:t>
            </w:r>
          </w:p>
        </w:tc>
        <w:tc>
          <w:tcPr>
            <w:tcW w:w="1544"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13,962,790,422</w:t>
            </w:r>
          </w:p>
        </w:tc>
        <w:tc>
          <w:tcPr>
            <w:tcW w:w="1742"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220211</w:t>
            </w:r>
          </w:p>
        </w:tc>
      </w:tr>
      <w:tr>
        <w:trPr>
          <w:trHeight w:val="332" w:hRule="atLeast"/>
        </w:trPr>
        <w:tc>
          <w:tcPr>
            <w:tcW w:w="2225"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Total Assets</w:t>
            </w:r>
          </w:p>
        </w:tc>
        <w:tc>
          <w:tcPr>
            <w:tcW w:w="1327"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136,205.48</w:t>
            </w:r>
          </w:p>
        </w:tc>
        <w:tc>
          <w:tcPr>
            <w:tcW w:w="1246"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125,592.81</w:t>
            </w:r>
          </w:p>
        </w:tc>
        <w:tc>
          <w:tcPr>
            <w:tcW w:w="1173"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121,301.44</w:t>
            </w:r>
          </w:p>
        </w:tc>
        <w:tc>
          <w:tcPr>
            <w:tcW w:w="1544"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54,181,612,484</w:t>
            </w:r>
          </w:p>
        </w:tc>
        <w:tc>
          <w:tcPr>
            <w:tcW w:w="1742"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807556</w:t>
            </w:r>
          </w:p>
        </w:tc>
      </w:tr>
      <w:tr>
        <w:trPr>
          <w:trHeight w:val="332" w:hRule="atLeast"/>
        </w:trPr>
        <w:tc>
          <w:tcPr>
            <w:tcW w:w="2225"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Retained earnings</w:t>
            </w:r>
          </w:p>
        </w:tc>
        <w:tc>
          <w:tcPr>
            <w:tcW w:w="1327"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84,605.80</w:t>
            </w:r>
          </w:p>
        </w:tc>
        <w:tc>
          <w:tcPr>
            <w:tcW w:w="1246"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75,611.15</w:t>
            </w:r>
          </w:p>
        </w:tc>
        <w:tc>
          <w:tcPr>
            <w:tcW w:w="1173"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19,400.78</w:t>
            </w:r>
          </w:p>
        </w:tc>
        <w:tc>
          <w:tcPr>
            <w:tcW w:w="1544"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22,367,471,826</w:t>
            </w:r>
          </w:p>
        </w:tc>
        <w:tc>
          <w:tcPr>
            <w:tcW w:w="1742"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318628</w:t>
            </w:r>
          </w:p>
        </w:tc>
      </w:tr>
      <w:tr>
        <w:trPr>
          <w:trHeight w:val="332" w:hRule="atLeast"/>
        </w:trPr>
        <w:tc>
          <w:tcPr>
            <w:tcW w:w="2225"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EBIT</w:t>
            </w:r>
          </w:p>
        </w:tc>
        <w:tc>
          <w:tcPr>
            <w:tcW w:w="1327"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12,909.71</w:t>
            </w:r>
          </w:p>
        </w:tc>
        <w:tc>
          <w:tcPr>
            <w:tcW w:w="1246"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12,653.30</w:t>
            </w:r>
          </w:p>
        </w:tc>
        <w:tc>
          <w:tcPr>
            <w:tcW w:w="1173"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12,992.81</w:t>
            </w:r>
          </w:p>
        </w:tc>
        <w:tc>
          <w:tcPr>
            <w:tcW w:w="1544"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6,339,121,681</w:t>
            </w:r>
          </w:p>
        </w:tc>
        <w:tc>
          <w:tcPr>
            <w:tcW w:w="1742"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66784</w:t>
            </w:r>
          </w:p>
        </w:tc>
      </w:tr>
      <w:tr>
        <w:trPr>
          <w:trHeight w:val="332" w:hRule="atLeast"/>
        </w:trPr>
        <w:tc>
          <w:tcPr>
            <w:tcW w:w="2225"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Stock Value(HKD)</w:t>
            </w:r>
          </w:p>
        </w:tc>
        <w:tc>
          <w:tcPr>
            <w:tcW w:w="1327"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1,340.83</w:t>
            </w:r>
          </w:p>
        </w:tc>
        <w:tc>
          <w:tcPr>
            <w:tcW w:w="1246"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1,095.93</w:t>
            </w:r>
          </w:p>
        </w:tc>
        <w:tc>
          <w:tcPr>
            <w:tcW w:w="1173"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1,005.24</w:t>
            </w:r>
          </w:p>
        </w:tc>
        <w:tc>
          <w:tcPr>
            <w:tcW w:w="1544"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50.116</w:t>
            </w:r>
          </w:p>
        </w:tc>
        <w:tc>
          <w:tcPr>
            <w:tcW w:w="1742" w:type="dxa"/>
          </w:tcPr>
          <w:p>
            <w:pPr>
              <w:spacing w:line="360" w:lineRule="auto"/>
              <w:rPr>
                <w:rFonts w:hint="default" w:ascii="Times New Roman Regular" w:hAnsi="Times New Roman Regular" w:cs="Times New Roman Regular"/>
                <w:sz w:val="24"/>
                <w:szCs w:val="24"/>
              </w:rPr>
            </w:pPr>
          </w:p>
        </w:tc>
      </w:tr>
      <w:tr>
        <w:trPr>
          <w:trHeight w:val="332" w:hRule="atLeast"/>
        </w:trPr>
        <w:tc>
          <w:tcPr>
            <w:tcW w:w="2225"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HKD ex rate</w:t>
            </w:r>
          </w:p>
        </w:tc>
        <w:tc>
          <w:tcPr>
            <w:tcW w:w="1327"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1.19</w:t>
            </w:r>
          </w:p>
        </w:tc>
        <w:tc>
          <w:tcPr>
            <w:tcW w:w="1246"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1.12</w:t>
            </w:r>
          </w:p>
        </w:tc>
        <w:tc>
          <w:tcPr>
            <w:tcW w:w="1173"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1.16</w:t>
            </w:r>
          </w:p>
        </w:tc>
        <w:tc>
          <w:tcPr>
            <w:tcW w:w="1544"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1.1</w:t>
            </w:r>
          </w:p>
        </w:tc>
        <w:tc>
          <w:tcPr>
            <w:tcW w:w="1742"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w:t>
            </w:r>
          </w:p>
        </w:tc>
      </w:tr>
      <w:tr>
        <w:trPr>
          <w:trHeight w:val="332" w:hRule="atLeast"/>
        </w:trPr>
        <w:tc>
          <w:tcPr>
            <w:tcW w:w="2225"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Number of stock</w:t>
            </w:r>
          </w:p>
        </w:tc>
        <w:tc>
          <w:tcPr>
            <w:tcW w:w="1327"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141,892.00</w:t>
            </w:r>
          </w:p>
        </w:tc>
        <w:tc>
          <w:tcPr>
            <w:tcW w:w="1246"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137,341.00</w:t>
            </w:r>
          </w:p>
        </w:tc>
        <w:tc>
          <w:tcPr>
            <w:tcW w:w="1173"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134,114.00</w:t>
            </w:r>
          </w:p>
        </w:tc>
        <w:tc>
          <w:tcPr>
            <w:tcW w:w="1544"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1,364,196,788</w:t>
            </w:r>
          </w:p>
        </w:tc>
        <w:tc>
          <w:tcPr>
            <w:tcW w:w="1742" w:type="dxa"/>
          </w:tcPr>
          <w:p>
            <w:pPr>
              <w:spacing w:line="360" w:lineRule="auto"/>
              <w:rPr>
                <w:rFonts w:hint="default" w:ascii="Times New Roman Regular" w:hAnsi="Times New Roman Regular" w:cs="Times New Roman Regular"/>
                <w:sz w:val="24"/>
                <w:szCs w:val="24"/>
              </w:rPr>
            </w:pPr>
          </w:p>
        </w:tc>
      </w:tr>
      <w:tr>
        <w:trPr>
          <w:trHeight w:val="352" w:hRule="atLeast"/>
        </w:trPr>
        <w:tc>
          <w:tcPr>
            <w:tcW w:w="2225"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Total Liabilities</w:t>
            </w:r>
          </w:p>
        </w:tc>
        <w:tc>
          <w:tcPr>
            <w:tcW w:w="1327"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91,881.54</w:t>
            </w:r>
          </w:p>
        </w:tc>
        <w:tc>
          <w:tcPr>
            <w:tcW w:w="1246"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95,557.99</w:t>
            </w:r>
          </w:p>
        </w:tc>
        <w:tc>
          <w:tcPr>
            <w:tcW w:w="1173"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101,671.55</w:t>
            </w:r>
          </w:p>
        </w:tc>
        <w:tc>
          <w:tcPr>
            <w:tcW w:w="1544"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23,101,390,591</w:t>
            </w:r>
          </w:p>
        </w:tc>
        <w:tc>
          <w:tcPr>
            <w:tcW w:w="1742"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135084</w:t>
            </w:r>
          </w:p>
        </w:tc>
      </w:tr>
      <w:tr>
        <w:trPr>
          <w:trHeight w:val="352" w:hRule="atLeast"/>
        </w:trPr>
        <w:tc>
          <w:tcPr>
            <w:tcW w:w="2225"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Sales</w:t>
            </w:r>
          </w:p>
        </w:tc>
        <w:tc>
          <w:tcPr>
            <w:tcW w:w="1327"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71,341.15</w:t>
            </w:r>
          </w:p>
        </w:tc>
        <w:tc>
          <w:tcPr>
            <w:tcW w:w="1246"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83,411.58</w:t>
            </w:r>
          </w:p>
        </w:tc>
        <w:tc>
          <w:tcPr>
            <w:tcW w:w="1173"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87,352.75</w:t>
            </w:r>
          </w:p>
        </w:tc>
        <w:tc>
          <w:tcPr>
            <w:tcW w:w="1544"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37,330,175,015</w:t>
            </w:r>
          </w:p>
        </w:tc>
        <w:tc>
          <w:tcPr>
            <w:tcW w:w="1742"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741619</w:t>
            </w:r>
          </w:p>
        </w:tc>
      </w:tr>
    </w:tbl>
    <w:p>
      <w:pPr>
        <w:spacing w:line="360" w:lineRule="auto"/>
        <w:rPr>
          <w:rFonts w:hint="default" w:ascii="Times New Roman Regular" w:hAnsi="Times New Roman Regular" w:cs="Times New Roman Regular"/>
          <w:sz w:val="24"/>
          <w:szCs w:val="24"/>
        </w:rPr>
      </w:pPr>
    </w:p>
    <w:p>
      <w:pPr>
        <w:spacing w:line="360" w:lineRule="auto"/>
        <w:jc w:val="left"/>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Z-score is an indicator for determining if a company is going to bankruptcy. The Z-score is below 1.8, the company is likely to be bankrupt</w:t>
      </w:r>
      <w:r>
        <w:rPr>
          <w:rFonts w:hint="default" w:ascii="Times New Roman Regular" w:hAnsi="Times New Roman Regular" w:cs="Times New Roman Regular"/>
          <w:sz w:val="24"/>
          <w:szCs w:val="24"/>
          <w:lang w:val="en-US"/>
        </w:rPr>
        <w:t xml:space="preserve"> (Will Kenton,2024)</w:t>
      </w:r>
    </w:p>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Z score: Z=1.2A+1.4B+3.3C+0.6D+0.999E</w:t>
      </w:r>
    </w:p>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A=Working Capital/Total Assets; B=Retained Earnings/Total Assets; C=EBIT/Total Assets; D=[(Stock value X Total number of stocks)/ HKD ex rate]/Total Liabilities; E=Sales/ Total Assets</w:t>
      </w:r>
    </w:p>
    <w:p>
      <w:pPr>
        <w:tabs>
          <w:tab w:val="left" w:pos="2206"/>
        </w:tabs>
        <w:spacing w:line="360" w:lineRule="auto"/>
        <w:rPr>
          <w:rFonts w:hint="default" w:ascii="Times New Roman Regular" w:hAnsi="Times New Roman Regular" w:cs="Times New Roman Regular"/>
          <w:sz w:val="24"/>
          <w:szCs w:val="24"/>
        </w:rPr>
      </w:pPr>
    </w:p>
    <w:p>
      <w:pPr>
        <w:tabs>
          <w:tab w:val="left" w:pos="2206"/>
        </w:tabs>
        <w:spacing w:line="360" w:lineRule="auto"/>
        <w:rPr>
          <w:rFonts w:hint="default" w:ascii="Times New Roman Regular" w:hAnsi="Times New Roman Regular" w:cs="Times New Roman Regular"/>
          <w:sz w:val="24"/>
          <w:szCs w:val="24"/>
        </w:rPr>
      </w:pPr>
    </w:p>
    <w:p>
      <w:pPr>
        <w:tabs>
          <w:tab w:val="left" w:pos="2206"/>
        </w:tabs>
        <w:spacing w:line="360" w:lineRule="auto"/>
        <w:rPr>
          <w:rFonts w:hint="default" w:ascii="Times New Roman Regular" w:hAnsi="Times New Roman Regular" w:cs="Times New Roman Regular"/>
          <w:sz w:val="24"/>
          <w:szCs w:val="24"/>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84"/>
        <w:gridCol w:w="1372"/>
        <w:gridCol w:w="1372"/>
        <w:gridCol w:w="1372"/>
        <w:gridCol w:w="1476"/>
        <w:gridCol w:w="1383"/>
      </w:tblGrid>
      <w:tr>
        <w:tc>
          <w:tcPr>
            <w:tcW w:w="13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Compnay Name</w:t>
            </w:r>
          </w:p>
        </w:tc>
        <w:tc>
          <w:tcPr>
            <w:tcW w:w="4116" w:type="dxa"/>
            <w:gridSpan w:val="3"/>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Carlsberg</w:t>
            </w:r>
          </w:p>
        </w:tc>
        <w:tc>
          <w:tcPr>
            <w:tcW w:w="141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Tsing Tao</w:t>
            </w:r>
          </w:p>
        </w:tc>
        <w:tc>
          <w:tcPr>
            <w:tcW w:w="138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San Miguel</w:t>
            </w:r>
          </w:p>
        </w:tc>
      </w:tr>
      <w:tr>
        <w:tc>
          <w:tcPr>
            <w:tcW w:w="13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HKD(Yr)</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2021</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2022</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2023</w:t>
            </w:r>
          </w:p>
        </w:tc>
        <w:tc>
          <w:tcPr>
            <w:tcW w:w="2796" w:type="dxa"/>
            <w:gridSpan w:val="2"/>
          </w:tcPr>
          <w:p>
            <w:pPr>
              <w:tabs>
                <w:tab w:val="left" w:pos="633"/>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 xml:space="preserve">    2023</w:t>
            </w:r>
          </w:p>
        </w:tc>
      </w:tr>
      <w:tr>
        <w:tc>
          <w:tcPr>
            <w:tcW w:w="13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0.18</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0.19</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0.15</w:t>
            </w:r>
          </w:p>
        </w:tc>
        <w:tc>
          <w:tcPr>
            <w:tcW w:w="141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0.2835</w:t>
            </w:r>
          </w:p>
        </w:tc>
        <w:tc>
          <w:tcPr>
            <w:tcW w:w="138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0.272685</w:t>
            </w:r>
          </w:p>
        </w:tc>
      </w:tr>
      <w:tr>
        <w:tc>
          <w:tcPr>
            <w:tcW w:w="13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0.62</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0.62</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0.15</w:t>
            </w:r>
          </w:p>
        </w:tc>
        <w:tc>
          <w:tcPr>
            <w:tcW w:w="141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0.4541</w:t>
            </w:r>
          </w:p>
        </w:tc>
        <w:tc>
          <w:tcPr>
            <w:tcW w:w="138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0.394554</w:t>
            </w:r>
          </w:p>
        </w:tc>
      </w:tr>
      <w:tr>
        <w:tc>
          <w:tcPr>
            <w:tcW w:w="13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0.09</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0.10</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0.11</w:t>
            </w:r>
          </w:p>
        </w:tc>
        <w:tc>
          <w:tcPr>
            <w:tcW w:w="141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0.1287</w:t>
            </w:r>
          </w:p>
        </w:tc>
        <w:tc>
          <w:tcPr>
            <w:tcW w:w="138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0.082698</w:t>
            </w:r>
          </w:p>
        </w:tc>
      </w:tr>
      <w:tr>
        <w:tc>
          <w:tcPr>
            <w:tcW w:w="13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1990.97</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1740.65</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1350.35</w:t>
            </w:r>
          </w:p>
        </w:tc>
        <w:tc>
          <w:tcPr>
            <w:tcW w:w="141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4.0293</w:t>
            </w:r>
          </w:p>
        </w:tc>
        <w:tc>
          <w:tcPr>
            <w:tcW w:w="138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2.129408</w:t>
            </w:r>
          </w:p>
        </w:tc>
      </w:tr>
      <w:tr>
        <w:tc>
          <w:tcPr>
            <w:tcW w:w="13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E</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0.52</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0.66</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0.72</w:t>
            </w:r>
          </w:p>
        </w:tc>
        <w:tc>
          <w:tcPr>
            <w:tcW w:w="141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0.7579</w:t>
            </w:r>
          </w:p>
        </w:tc>
        <w:tc>
          <w:tcPr>
            <w:tcW w:w="138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0.918339</w:t>
            </w:r>
          </w:p>
        </w:tc>
      </w:tr>
      <w:tr>
        <w:tc>
          <w:tcPr>
            <w:tcW w:w="13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Z Score</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1196.49</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1046.48</w:t>
            </w:r>
          </w:p>
        </w:tc>
        <w:tc>
          <w:tcPr>
            <w:tcW w:w="13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811.67</w:t>
            </w:r>
          </w:p>
        </w:tc>
        <w:tc>
          <w:tcPr>
            <w:tcW w:w="141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4.575326216</w:t>
            </w:r>
          </w:p>
        </w:tc>
        <w:tc>
          <w:tcPr>
            <w:tcW w:w="138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3.347565</w:t>
            </w:r>
          </w:p>
        </w:tc>
      </w:tr>
    </w:tbl>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Carlsberg’s Z score is the highest among those peers, recorded as more than 800 in 3 consecutive years. Thus, the possibility of default for Carlsberg is very low due to its strong equity, business scale and profitability. </w:t>
      </w:r>
    </w:p>
    <w:p>
      <w:pPr>
        <w:tabs>
          <w:tab w:val="left" w:pos="2206"/>
        </w:tabs>
        <w:spacing w:line="360" w:lineRule="auto"/>
        <w:rPr>
          <w:rFonts w:hint="default" w:ascii="Times New Roman Regular" w:hAnsi="Times New Roman Regular" w:cs="Times New Roman Regular"/>
          <w:sz w:val="24"/>
          <w:szCs w:val="24"/>
        </w:rPr>
      </w:pPr>
    </w:p>
    <w:p>
      <w:pPr>
        <w:pStyle w:val="3"/>
        <w:spacing w:line="360" w:lineRule="auto"/>
        <w:rPr>
          <w:rFonts w:hint="default" w:ascii="Times New Roman Regular" w:hAnsi="Times New Roman Regular" w:cs="Times New Roman Regular"/>
          <w:color w:val="auto"/>
          <w:sz w:val="24"/>
          <w:szCs w:val="24"/>
        </w:rPr>
      </w:pPr>
      <w:bookmarkStart w:id="10" w:name="_Toc176358764"/>
      <w:r>
        <w:rPr>
          <w:rFonts w:hint="default" w:ascii="Times New Roman Regular" w:hAnsi="Times New Roman Regular" w:cs="Times New Roman Regular"/>
          <w:color w:val="auto"/>
          <w:sz w:val="24"/>
          <w:szCs w:val="24"/>
        </w:rPr>
        <w:t>2.2 Financial structure</w:t>
      </w:r>
      <w:bookmarkEnd w:id="10"/>
    </w:p>
    <w:tbl>
      <w:tblPr>
        <w:tblStyle w:val="11"/>
        <w:tblW w:w="840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54"/>
        <w:gridCol w:w="851"/>
        <w:gridCol w:w="885"/>
        <w:gridCol w:w="773"/>
        <w:gridCol w:w="1018"/>
        <w:gridCol w:w="1018"/>
        <w:gridCol w:w="1181"/>
        <w:gridCol w:w="1129"/>
      </w:tblGrid>
      <w:tr>
        <w:trPr>
          <w:trHeight w:val="1345" w:hRule="atLeast"/>
        </w:trPr>
        <w:tc>
          <w:tcPr>
            <w:tcW w:w="155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Company Name</w:t>
            </w:r>
          </w:p>
        </w:tc>
        <w:tc>
          <w:tcPr>
            <w:tcW w:w="2509" w:type="dxa"/>
            <w:gridSpan w:val="3"/>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Carlsberg</w:t>
            </w:r>
          </w:p>
        </w:tc>
        <w:tc>
          <w:tcPr>
            <w:tcW w:w="1018"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Carlserg</w:t>
            </w:r>
          </w:p>
        </w:tc>
        <w:tc>
          <w:tcPr>
            <w:tcW w:w="1018"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Tsing Tao </w:t>
            </w:r>
          </w:p>
        </w:tc>
        <w:tc>
          <w:tcPr>
            <w:tcW w:w="118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San Miguel</w:t>
            </w:r>
          </w:p>
        </w:tc>
        <w:tc>
          <w:tcPr>
            <w:tcW w:w="112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Companies</w:t>
            </w:r>
          </w:p>
        </w:tc>
      </w:tr>
      <w:tr>
        <w:trPr>
          <w:trHeight w:val="694" w:hRule="atLeast"/>
        </w:trPr>
        <w:tc>
          <w:tcPr>
            <w:tcW w:w="155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Year</w:t>
            </w:r>
          </w:p>
        </w:tc>
        <w:tc>
          <w:tcPr>
            <w:tcW w:w="85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2021</w:t>
            </w:r>
          </w:p>
        </w:tc>
        <w:tc>
          <w:tcPr>
            <w:tcW w:w="88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2022</w:t>
            </w:r>
          </w:p>
        </w:tc>
        <w:tc>
          <w:tcPr>
            <w:tcW w:w="7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2023</w:t>
            </w:r>
          </w:p>
        </w:tc>
        <w:tc>
          <w:tcPr>
            <w:tcW w:w="4346" w:type="dxa"/>
            <w:gridSpan w:val="4"/>
          </w:tcPr>
          <w:p>
            <w:pPr>
              <w:tabs>
                <w:tab w:val="left" w:pos="2206"/>
              </w:tabs>
              <w:spacing w:line="360" w:lineRule="auto"/>
              <w:ind w:firstLine="960" w:firstLineChars="4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(2021-2023) 3 years average </w:t>
            </w:r>
          </w:p>
        </w:tc>
      </w:tr>
      <w:tr>
        <w:trPr>
          <w:trHeight w:val="943" w:hRule="atLeast"/>
        </w:trPr>
        <w:tc>
          <w:tcPr>
            <w:tcW w:w="155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Fixed Assets to long term liability ratio</w:t>
            </w:r>
          </w:p>
        </w:tc>
        <w:tc>
          <w:tcPr>
            <w:tcW w:w="85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1.48</w:t>
            </w:r>
          </w:p>
        </w:tc>
        <w:tc>
          <w:tcPr>
            <w:tcW w:w="88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1.31</w:t>
            </w:r>
          </w:p>
        </w:tc>
        <w:tc>
          <w:tcPr>
            <w:tcW w:w="7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1.19</w:t>
            </w:r>
          </w:p>
        </w:tc>
        <w:tc>
          <w:tcPr>
            <w:tcW w:w="1018"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1.32</w:t>
            </w:r>
          </w:p>
        </w:tc>
        <w:tc>
          <w:tcPr>
            <w:tcW w:w="1018"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2.84</w:t>
            </w:r>
          </w:p>
        </w:tc>
        <w:tc>
          <w:tcPr>
            <w:tcW w:w="118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0.7372</w:t>
            </w:r>
          </w:p>
        </w:tc>
        <w:tc>
          <w:tcPr>
            <w:tcW w:w="112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1.634</w:t>
            </w:r>
          </w:p>
        </w:tc>
      </w:tr>
      <w:tr>
        <w:trPr>
          <w:trHeight w:val="694" w:hRule="atLeast"/>
        </w:trPr>
        <w:tc>
          <w:tcPr>
            <w:tcW w:w="155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Current liabilities to net asset ratio</w:t>
            </w:r>
          </w:p>
        </w:tc>
        <w:tc>
          <w:tcPr>
            <w:tcW w:w="851" w:type="dxa"/>
          </w:tcPr>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0.5</w:t>
            </w:r>
          </w:p>
        </w:tc>
        <w:tc>
          <w:tcPr>
            <w:tcW w:w="885" w:type="dxa"/>
          </w:tcPr>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0.86</w:t>
            </w:r>
          </w:p>
        </w:tc>
        <w:tc>
          <w:tcPr>
            <w:tcW w:w="772" w:type="dxa"/>
          </w:tcPr>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0.64</w:t>
            </w:r>
          </w:p>
        </w:tc>
        <w:tc>
          <w:tcPr>
            <w:tcW w:w="1018" w:type="dxa"/>
          </w:tcPr>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0.67</w:t>
            </w:r>
          </w:p>
        </w:tc>
        <w:tc>
          <w:tcPr>
            <w:tcW w:w="1018"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0.7</w:t>
            </w:r>
          </w:p>
        </w:tc>
        <w:tc>
          <w:tcPr>
            <w:tcW w:w="118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0.1970</w:t>
            </w:r>
          </w:p>
        </w:tc>
        <w:tc>
          <w:tcPr>
            <w:tcW w:w="1127" w:type="dxa"/>
          </w:tcPr>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0.52</w:t>
            </w:r>
          </w:p>
        </w:tc>
      </w:tr>
      <w:tr>
        <w:trPr>
          <w:trHeight w:val="737" w:hRule="atLeast"/>
        </w:trPr>
        <w:tc>
          <w:tcPr>
            <w:tcW w:w="155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Current liabilities to stock ratio</w:t>
            </w:r>
          </w:p>
        </w:tc>
        <w:tc>
          <w:tcPr>
            <w:tcW w:w="85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1.17</w:t>
            </w:r>
          </w:p>
        </w:tc>
        <w:tc>
          <w:tcPr>
            <w:tcW w:w="88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1.95</w:t>
            </w:r>
          </w:p>
        </w:tc>
        <w:tc>
          <w:tcPr>
            <w:tcW w:w="7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2.87</w:t>
            </w:r>
          </w:p>
        </w:tc>
        <w:tc>
          <w:tcPr>
            <w:tcW w:w="1018"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1.99</w:t>
            </w:r>
          </w:p>
        </w:tc>
        <w:tc>
          <w:tcPr>
            <w:tcW w:w="1018"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4.91</w:t>
            </w:r>
          </w:p>
        </w:tc>
        <w:tc>
          <w:tcPr>
            <w:tcW w:w="118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1.5129</w:t>
            </w:r>
          </w:p>
        </w:tc>
        <w:tc>
          <w:tcPr>
            <w:tcW w:w="112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2.806</w:t>
            </w:r>
          </w:p>
        </w:tc>
      </w:tr>
    </w:tbl>
    <w:p>
      <w:pPr>
        <w:tabs>
          <w:tab w:val="left" w:pos="2206"/>
        </w:tabs>
        <w:spacing w:line="360" w:lineRule="auto"/>
        <w:rPr>
          <w:rFonts w:hint="default" w:ascii="Times New Roman Regular" w:hAnsi="Times New Roman Regular" w:cs="Times New Roman Regular"/>
          <w:sz w:val="24"/>
          <w:szCs w:val="24"/>
        </w:rPr>
      </w:pPr>
    </w:p>
    <w:p>
      <w:pPr>
        <w:tabs>
          <w:tab w:val="left" w:pos="2206"/>
        </w:tabs>
        <w:spacing w:line="360" w:lineRule="auto"/>
        <w:jc w:val="left"/>
        <w:rPr>
          <w:rFonts w:hint="default" w:ascii="Times New Roman Regular" w:hAnsi="Times New Roman Regular" w:cs="Times New Roman Regular"/>
          <w:color w:val="auto"/>
          <w:sz w:val="24"/>
          <w:szCs w:val="24"/>
          <w:lang w:val="en-US" w:eastAsia="zh-TW"/>
        </w:rPr>
      </w:pPr>
      <w:r>
        <w:rPr>
          <w:rFonts w:hint="default" w:ascii="Times New Roman Regular" w:hAnsi="Times New Roman Regular" w:cs="Times New Roman Regular"/>
          <w:sz w:val="24"/>
          <w:szCs w:val="24"/>
        </w:rPr>
        <w:t>Though the total asset slightly dropped by DKK3.5B, Carlsberg’s total asset remained stable at DKK111.8B in FY2023 which was attributed to non-current asset at 87% of total assets. The drop of total asset is due to the deconsolidation of the Russian business which offset by higher current assets. Intangible asset is the key component of the non-current asset, while</w:t>
      </w:r>
      <w:r>
        <w:rPr>
          <w:rFonts w:hint="default" w:ascii="Times New Roman Regular" w:hAnsi="Times New Roman Regular" w:cs="Times New Roman Regular"/>
          <w:sz w:val="24"/>
          <w:szCs w:val="24"/>
          <w:lang w:eastAsia="zh-TW"/>
        </w:rPr>
        <w:t xml:space="preserve"> goodwill is the key component of the intangible asset. Goodwill is the difference between the purchase price of the business and the market value of its assets, net of liabilities</w:t>
      </w:r>
      <w:r>
        <w:rPr>
          <w:rFonts w:hint="default" w:ascii="Times New Roman Regular" w:hAnsi="Times New Roman Regular" w:cs="Times New Roman Regular"/>
          <w:color w:val="auto"/>
          <w:sz w:val="24"/>
          <w:szCs w:val="24"/>
          <w:lang w:val="en-US" w:eastAsia="zh-TW"/>
        </w:rPr>
        <w:t xml:space="preserve"> </w:t>
      </w:r>
      <w:r>
        <w:rPr>
          <w:rFonts w:hint="default" w:ascii="Times New Roman Regular" w:hAnsi="Times New Roman Regular" w:cs="Times New Roman Regular"/>
          <w:color w:val="auto"/>
          <w:sz w:val="24"/>
          <w:szCs w:val="24"/>
          <w:lang w:eastAsia="zh-TW"/>
        </w:rPr>
        <w:t>(</w:t>
      </w:r>
      <w:r>
        <w:rPr>
          <w:rFonts w:hint="default" w:ascii="Times New Roman Regular" w:hAnsi="Times New Roman Regular" w:cs="Times New Roman Regular"/>
          <w:color w:val="auto"/>
          <w:sz w:val="24"/>
          <w:szCs w:val="24"/>
          <w:lang w:val="en-US" w:eastAsia="zh-TW"/>
        </w:rPr>
        <w:t>CFI Team,2024</w:t>
      </w:r>
      <w:r>
        <w:rPr>
          <w:rFonts w:hint="default" w:ascii="Times New Roman Regular" w:hAnsi="Times New Roman Regular" w:cs="Times New Roman Regular"/>
          <w:color w:val="auto"/>
          <w:sz w:val="24"/>
          <w:szCs w:val="24"/>
          <w:lang w:eastAsia="zh-TW"/>
        </w:rPr>
        <w:t>)</w:t>
      </w:r>
      <w:r>
        <w:rPr>
          <w:rFonts w:hint="default" w:ascii="Times New Roman Regular" w:hAnsi="Times New Roman Regular" w:cs="Times New Roman Regular"/>
          <w:color w:val="auto"/>
          <w:sz w:val="24"/>
          <w:szCs w:val="24"/>
          <w:lang w:val="en-US" w:eastAsia="zh-TW"/>
        </w:rPr>
        <w:t>.</w:t>
      </w:r>
    </w:p>
    <w:p>
      <w:pPr>
        <w:tabs>
          <w:tab w:val="left" w:pos="2206"/>
        </w:tabs>
        <w:spacing w:line="360" w:lineRule="auto"/>
        <w:jc w:val="left"/>
        <w:rPr>
          <w:rFonts w:hint="default" w:ascii="Times New Roman Regular" w:hAnsi="Times New Roman Regular" w:cs="Times New Roman Regular"/>
          <w:sz w:val="24"/>
          <w:szCs w:val="24"/>
          <w:lang w:eastAsia="zh-TW"/>
        </w:rPr>
      </w:pPr>
    </w:p>
    <w:p>
      <w:pPr>
        <w:tabs>
          <w:tab w:val="left" w:pos="2206"/>
        </w:tabs>
        <w:spacing w:line="360" w:lineRule="auto"/>
        <w:jc w:val="left"/>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Cash is the key component of the Current assets, increased by 63% in FY2023. The increase was due to the issuance of bonds which were co-managed with cash and cash equivalents. </w:t>
      </w:r>
    </w:p>
    <w:p>
      <w:pPr>
        <w:tabs>
          <w:tab w:val="left" w:pos="2206"/>
        </w:tabs>
        <w:spacing w:line="360" w:lineRule="auto"/>
        <w:jc w:val="left"/>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Total liabilities recorded at DKK86.08B, consisting of 45.1% non-current liabilities and 54.9% current liabilities. 46.9% of trade payable represent the key component of the current liabilities.</w:t>
      </w: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Carlsberg’s borrowings were mainly comprised by long term loan, standing at DKK30.76B. It also provided the liquidity to the Group. Due to its business scale, issuing bond is common to get the fund with the purpose for working capital. </w:t>
      </w: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Regular" w:hAnsi="Times New Roman Regular" w:cs="Times New Roman Regular"/>
          <w:color w:val="0070C0"/>
          <w:sz w:val="24"/>
          <w:szCs w:val="24"/>
          <w:lang w:val="en-US" w:eastAsia="zh-TW"/>
        </w:rPr>
      </w:pPr>
      <w:r>
        <w:rPr>
          <w:rFonts w:hint="default" w:ascii="Times New Roman Regular" w:hAnsi="Times New Roman Regular" w:cs="Times New Roman Regular"/>
          <w:sz w:val="24"/>
          <w:szCs w:val="24"/>
          <w:lang w:eastAsia="zh-TW"/>
        </w:rPr>
        <w:t>According to Fitch on 9 Jun 2022, Carlsberg’s rating stood at BBB+ with outlook stable. Furthermore, Carlsberg can be believed that its financial performance was very stable and developing steadily</w:t>
      </w:r>
      <w:r>
        <w:rPr>
          <w:rFonts w:hint="default" w:ascii="Times New Roman Regular" w:hAnsi="Times New Roman Regular" w:cs="Times New Roman Regular"/>
          <w:sz w:val="24"/>
          <w:szCs w:val="24"/>
          <w:lang w:val="en-US" w:eastAsia="zh-TW"/>
        </w:rPr>
        <w:t xml:space="preserve"> (Fitch Ratings,2022).</w:t>
      </w: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u w:val="single"/>
        </w:rPr>
        <w:t>Fixed Assets to Long term liability ratio</w:t>
      </w:r>
    </w:p>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fixed assets for Carlsberg was mainly consisted by goodwill which was intangible asset. Fixed assets to long term liability reduced in 3 consecutive years, standing as 1.19 in FY2023 due to the increased long term liability. Nevertheless, its ratio was still in satisfactory as the fixed asset can cover the long term liability. </w:t>
      </w: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rPr>
        <w:t>Current liabilities to Net asset ratio</w:t>
      </w:r>
    </w:p>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lang w:eastAsia="zh-TW"/>
        </w:rPr>
        <w:t xml:space="preserve">Current liabilities to Net asset ratio also known as the current liabilities to shareholders’ equity ratio. It can measure the proportion of the company’s net assets that are financed by its current liabilities. Greater ratio suggests that the company is relying more on short term financing for supporting its operation which is riskier. In FY2023, Carlsberg’s current liabilities to net asset ratio accounted for 0.64 which sounds satisfactory. </w:t>
      </w: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rPr>
        <w:t>Current Liabilities to Stock ratio</w:t>
      </w: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Current liabilities to inventory ratio is indicating the company’s payment ability for covering its short term obligations. This ratio also suggests how much of a company’s stock is supported by short term borrowings or payment terms. Hence, lower ratio means the company has stronger ability to pay its short-term debt by using its stock. Due to the business nature, Carlsberg and its peers also had the Current liabilities to inventory ratio as above par, but those ratio were healthy. Carlsberg’s inventory level stayed satisfactory that it was keeping to develop the supply chain capabilities by launching a new generation of supply chain system-OnePlan, which is almost real time integrated system for connected sales and operation planning</w:t>
      </w:r>
      <w:r>
        <w:rPr>
          <w:rFonts w:hint="default" w:ascii="Times New Roman Regular" w:hAnsi="Times New Roman Regular" w:cs="Times New Roman Regular"/>
          <w:sz w:val="24"/>
          <w:szCs w:val="24"/>
          <w:lang w:val="en-US" w:eastAsia="zh-TW"/>
        </w:rPr>
        <w:t xml:space="preserve"> </w:t>
      </w:r>
      <w:r>
        <w:rPr>
          <w:rFonts w:hint="default" w:ascii="Times New Roman Regular" w:hAnsi="Times New Roman Regular" w:cs="Times New Roman Regular"/>
          <w:color w:val="auto"/>
          <w:sz w:val="24"/>
          <w:szCs w:val="24"/>
          <w:lang w:eastAsia="zh-TW"/>
        </w:rPr>
        <w:t xml:space="preserve">(Carlsberg </w:t>
      </w:r>
      <w:r>
        <w:rPr>
          <w:rFonts w:hint="default" w:ascii="Times New Roman Regular" w:hAnsi="Times New Roman Regular" w:cs="Times New Roman Regular"/>
          <w:color w:val="auto"/>
          <w:sz w:val="24"/>
          <w:szCs w:val="24"/>
          <w:lang w:val="en-US" w:eastAsia="zh-TW"/>
        </w:rPr>
        <w:t>Group, 2024).</w:t>
      </w:r>
      <w:r>
        <w:rPr>
          <w:rFonts w:hint="default" w:ascii="Times New Roman Regular" w:hAnsi="Times New Roman Regular" w:cs="Times New Roman Regular"/>
          <w:color w:val="0070C0"/>
          <w:sz w:val="24"/>
          <w:szCs w:val="24"/>
          <w:lang w:eastAsia="zh-TW"/>
        </w:rPr>
        <w:t xml:space="preserve"> </w:t>
      </w:r>
      <w:r>
        <w:rPr>
          <w:rFonts w:hint="default" w:ascii="Times New Roman Regular" w:hAnsi="Times New Roman Regular" w:cs="Times New Roman Regular"/>
          <w:sz w:val="24"/>
          <w:szCs w:val="24"/>
          <w:lang w:eastAsia="zh-TW"/>
        </w:rPr>
        <w:t xml:space="preserve">Thus, current liabilities to stock ratio of Carlsberg stayed as fair among the competitors. </w:t>
      </w:r>
    </w:p>
    <w:p>
      <w:pPr>
        <w:tabs>
          <w:tab w:val="left" w:pos="2206"/>
        </w:tabs>
        <w:spacing w:line="360" w:lineRule="auto"/>
        <w:rPr>
          <w:rFonts w:hint="default" w:ascii="Times New Roman Regular" w:hAnsi="Times New Roman Regular" w:cs="Times New Roman Regular"/>
          <w:sz w:val="24"/>
          <w:szCs w:val="24"/>
          <w:lang w:eastAsia="zh-TW"/>
        </w:rPr>
      </w:pPr>
    </w:p>
    <w:p>
      <w:pPr>
        <w:pStyle w:val="3"/>
        <w:spacing w:line="360" w:lineRule="auto"/>
        <w:rPr>
          <w:rFonts w:hint="default" w:ascii="Times New Roman Bold" w:hAnsi="Times New Roman Bold" w:cs="Times New Roman Bold"/>
          <w:b/>
          <w:bCs w:val="0"/>
          <w:color w:val="auto"/>
          <w:sz w:val="24"/>
          <w:szCs w:val="24"/>
        </w:rPr>
      </w:pPr>
      <w:bookmarkStart w:id="11" w:name="_Toc176358765"/>
      <w:r>
        <w:rPr>
          <w:rFonts w:hint="default" w:ascii="Times New Roman Bold" w:hAnsi="Times New Roman Bold" w:cs="Times New Roman Bold"/>
          <w:b/>
          <w:bCs w:val="0"/>
          <w:color w:val="auto"/>
          <w:sz w:val="24"/>
          <w:szCs w:val="24"/>
        </w:rPr>
        <w:t>2.3 Paying debt ability</w:t>
      </w:r>
      <w:bookmarkEnd w:id="11"/>
    </w:p>
    <w:p>
      <w:pPr>
        <w:tabs>
          <w:tab w:val="left" w:pos="2206"/>
        </w:tabs>
        <w:spacing w:line="360" w:lineRule="auto"/>
        <w:rPr>
          <w:rFonts w:hint="default" w:ascii="Times New Roman Regular" w:hAnsi="Times New Roman Regular" w:cs="Times New Roman Regular"/>
          <w:sz w:val="24"/>
          <w:szCs w:val="24"/>
          <w:u w:val="single"/>
        </w:rPr>
      </w:pPr>
    </w:p>
    <w:tbl>
      <w:tblPr>
        <w:tblStyle w:val="11"/>
        <w:tblW w:w="871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90"/>
        <w:gridCol w:w="958"/>
        <w:gridCol w:w="958"/>
        <w:gridCol w:w="964"/>
        <w:gridCol w:w="1156"/>
        <w:gridCol w:w="960"/>
        <w:gridCol w:w="1015"/>
        <w:gridCol w:w="1316"/>
      </w:tblGrid>
      <w:tr>
        <w:trPr>
          <w:trHeight w:val="809" w:hRule="atLeast"/>
        </w:trPr>
        <w:tc>
          <w:tcPr>
            <w:tcW w:w="1355" w:type="dxa"/>
          </w:tcPr>
          <w:p>
            <w:pPr>
              <w:tabs>
                <w:tab w:val="left" w:pos="2206"/>
              </w:tabs>
              <w:spacing w:line="360" w:lineRule="auto"/>
              <w:rPr>
                <w:rFonts w:hint="default" w:ascii="Times New Roman Regular" w:hAnsi="Times New Roman Regular" w:cs="Times New Roman Regular"/>
                <w:sz w:val="24"/>
                <w:szCs w:val="24"/>
              </w:rPr>
            </w:pPr>
            <w:bookmarkStart w:id="12" w:name="OLE_LINK7"/>
            <w:r>
              <w:rPr>
                <w:rFonts w:hint="default" w:ascii="Times New Roman Regular" w:hAnsi="Times New Roman Regular" w:cs="Times New Roman Regular"/>
                <w:sz w:val="24"/>
                <w:szCs w:val="24"/>
              </w:rPr>
              <w:t>Company Name</w:t>
            </w:r>
          </w:p>
        </w:tc>
        <w:tc>
          <w:tcPr>
            <w:tcW w:w="2907" w:type="dxa"/>
            <w:gridSpan w:val="3"/>
          </w:tcPr>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rPr>
              <w:t>Carlsberg</w:t>
            </w:r>
          </w:p>
        </w:tc>
        <w:tc>
          <w:tcPr>
            <w:tcW w:w="1156" w:type="dxa"/>
          </w:tcPr>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u w:val="single"/>
              </w:rPr>
              <w:t>Carlsberg</w:t>
            </w:r>
          </w:p>
        </w:tc>
        <w:tc>
          <w:tcPr>
            <w:tcW w:w="964" w:type="dxa"/>
          </w:tcPr>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u w:val="single"/>
              </w:rPr>
              <w:t>tsing Tao</w:t>
            </w:r>
          </w:p>
        </w:tc>
        <w:tc>
          <w:tcPr>
            <w:tcW w:w="1019" w:type="dxa"/>
          </w:tcPr>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u w:val="single"/>
              </w:rPr>
              <w:t>San Miguel</w:t>
            </w:r>
          </w:p>
        </w:tc>
        <w:tc>
          <w:tcPr>
            <w:tcW w:w="1316" w:type="dxa"/>
          </w:tcPr>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u w:val="single"/>
              </w:rPr>
              <w:t>3 Companies</w:t>
            </w:r>
          </w:p>
        </w:tc>
      </w:tr>
      <w:tr>
        <w:trPr>
          <w:trHeight w:val="411" w:hRule="atLeast"/>
        </w:trPr>
        <w:tc>
          <w:tcPr>
            <w:tcW w:w="135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Year</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2021</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2022</w:t>
            </w:r>
          </w:p>
        </w:tc>
        <w:tc>
          <w:tcPr>
            <w:tcW w:w="97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2023</w:t>
            </w:r>
          </w:p>
        </w:tc>
        <w:tc>
          <w:tcPr>
            <w:tcW w:w="4455" w:type="dxa"/>
            <w:gridSpan w:val="4"/>
          </w:tcPr>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rPr>
              <w:t xml:space="preserve"> (2021-2023) 3 year average</w:t>
            </w:r>
          </w:p>
        </w:tc>
      </w:tr>
      <w:tr>
        <w:trPr>
          <w:trHeight w:val="809" w:hRule="atLeast"/>
        </w:trPr>
        <w:tc>
          <w:tcPr>
            <w:tcW w:w="135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Current ratio %</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0.53</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0.70</w:t>
            </w:r>
          </w:p>
        </w:tc>
        <w:tc>
          <w:tcPr>
            <w:tcW w:w="97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0.63</w:t>
            </w:r>
          </w:p>
        </w:tc>
        <w:tc>
          <w:tcPr>
            <w:tcW w:w="115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0.62</w:t>
            </w:r>
          </w:p>
        </w:tc>
        <w:tc>
          <w:tcPr>
            <w:tcW w:w="96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1.65</w:t>
            </w:r>
          </w:p>
        </w:tc>
        <w:tc>
          <w:tcPr>
            <w:tcW w:w="1019"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2.41</w:t>
            </w:r>
          </w:p>
        </w:tc>
        <w:tc>
          <w:tcPr>
            <w:tcW w:w="131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1.56</w:t>
            </w:r>
          </w:p>
        </w:tc>
      </w:tr>
      <w:tr>
        <w:trPr>
          <w:trHeight w:val="809" w:hRule="atLeast"/>
        </w:trPr>
        <w:tc>
          <w:tcPr>
            <w:tcW w:w="135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Quick Ratio %</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0.53</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0.70</w:t>
            </w:r>
          </w:p>
        </w:tc>
        <w:tc>
          <w:tcPr>
            <w:tcW w:w="97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0.52</w:t>
            </w:r>
          </w:p>
        </w:tc>
        <w:tc>
          <w:tcPr>
            <w:tcW w:w="115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0.58</w:t>
            </w:r>
          </w:p>
        </w:tc>
        <w:tc>
          <w:tcPr>
            <w:tcW w:w="96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1.45</w:t>
            </w:r>
          </w:p>
        </w:tc>
        <w:tc>
          <w:tcPr>
            <w:tcW w:w="1019"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1.70</w:t>
            </w:r>
          </w:p>
        </w:tc>
        <w:tc>
          <w:tcPr>
            <w:tcW w:w="131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1.24</w:t>
            </w:r>
          </w:p>
        </w:tc>
      </w:tr>
      <w:tr>
        <w:trPr>
          <w:trHeight w:val="1207" w:hRule="atLeast"/>
        </w:trPr>
        <w:tc>
          <w:tcPr>
            <w:tcW w:w="135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Stock Credit Index</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4.81</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4.85</w:t>
            </w:r>
          </w:p>
        </w:tc>
        <w:tc>
          <w:tcPr>
            <w:tcW w:w="97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3.93</w:t>
            </w:r>
          </w:p>
        </w:tc>
        <w:tc>
          <w:tcPr>
            <w:tcW w:w="115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4.53</w:t>
            </w:r>
          </w:p>
        </w:tc>
        <w:tc>
          <w:tcPr>
            <w:tcW w:w="96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-2.20</w:t>
            </w:r>
          </w:p>
        </w:tc>
        <w:tc>
          <w:tcPr>
            <w:tcW w:w="1019"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-0.94</w:t>
            </w:r>
          </w:p>
        </w:tc>
        <w:tc>
          <w:tcPr>
            <w:tcW w:w="131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2.56</w:t>
            </w:r>
          </w:p>
        </w:tc>
      </w:tr>
      <w:tr>
        <w:trPr>
          <w:trHeight w:val="809" w:hRule="atLeast"/>
        </w:trPr>
        <w:tc>
          <w:tcPr>
            <w:tcW w:w="135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Cash Ratio %</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0.19</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0.18</w:t>
            </w:r>
          </w:p>
        </w:tc>
        <w:tc>
          <w:tcPr>
            <w:tcW w:w="97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0.28</w:t>
            </w:r>
          </w:p>
        </w:tc>
        <w:tc>
          <w:tcPr>
            <w:tcW w:w="115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0.21</w:t>
            </w:r>
          </w:p>
        </w:tc>
        <w:tc>
          <w:tcPr>
            <w:tcW w:w="96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0.94</w:t>
            </w:r>
          </w:p>
        </w:tc>
        <w:tc>
          <w:tcPr>
            <w:tcW w:w="1019"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1.14</w:t>
            </w:r>
          </w:p>
        </w:tc>
        <w:tc>
          <w:tcPr>
            <w:tcW w:w="131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0.76</w:t>
            </w:r>
          </w:p>
        </w:tc>
      </w:tr>
      <w:tr>
        <w:trPr>
          <w:trHeight w:val="809" w:hRule="atLeast"/>
        </w:trPr>
        <w:tc>
          <w:tcPr>
            <w:tcW w:w="135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Total Debt ratio %</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0.67</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0.76</w:t>
            </w:r>
          </w:p>
        </w:tc>
        <w:tc>
          <w:tcPr>
            <w:tcW w:w="97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0.83</w:t>
            </w:r>
          </w:p>
        </w:tc>
        <w:tc>
          <w:tcPr>
            <w:tcW w:w="115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0.75</w:t>
            </w:r>
          </w:p>
        </w:tc>
        <w:tc>
          <w:tcPr>
            <w:tcW w:w="96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2.10</w:t>
            </w:r>
          </w:p>
        </w:tc>
        <w:tc>
          <w:tcPr>
            <w:tcW w:w="1019"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18.51</w:t>
            </w:r>
          </w:p>
        </w:tc>
        <w:tc>
          <w:tcPr>
            <w:tcW w:w="131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7.21</w:t>
            </w:r>
          </w:p>
        </w:tc>
      </w:tr>
      <w:tr>
        <w:trPr>
          <w:trHeight w:val="809" w:hRule="atLeast"/>
        </w:trPr>
        <w:tc>
          <w:tcPr>
            <w:tcW w:w="135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Debt/Equity Ratio</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0.59</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0.83</w:t>
            </w:r>
          </w:p>
        </w:tc>
        <w:tc>
          <w:tcPr>
            <w:tcW w:w="97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1.52</w:t>
            </w:r>
          </w:p>
        </w:tc>
        <w:tc>
          <w:tcPr>
            <w:tcW w:w="115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0.98</w:t>
            </w:r>
          </w:p>
        </w:tc>
        <w:tc>
          <w:tcPr>
            <w:tcW w:w="96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0.87</w:t>
            </w:r>
          </w:p>
        </w:tc>
        <w:tc>
          <w:tcPr>
            <w:tcW w:w="1019"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0.22</w:t>
            </w:r>
          </w:p>
        </w:tc>
        <w:tc>
          <w:tcPr>
            <w:tcW w:w="131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0.69</w:t>
            </w:r>
          </w:p>
        </w:tc>
      </w:tr>
      <w:tr>
        <w:trPr>
          <w:trHeight w:val="411" w:hRule="atLeast"/>
        </w:trPr>
        <w:tc>
          <w:tcPr>
            <w:tcW w:w="135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Long term Debt ratio</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0.32</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0.40</w:t>
            </w:r>
          </w:p>
        </w:tc>
        <w:tc>
          <w:tcPr>
            <w:tcW w:w="97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0.54</w:t>
            </w:r>
          </w:p>
        </w:tc>
        <w:tc>
          <w:tcPr>
            <w:tcW w:w="115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0.42</w:t>
            </w:r>
          </w:p>
        </w:tc>
        <w:tc>
          <w:tcPr>
            <w:tcW w:w="96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0.14</w:t>
            </w:r>
          </w:p>
        </w:tc>
        <w:tc>
          <w:tcPr>
            <w:tcW w:w="1019"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0.48</w:t>
            </w:r>
          </w:p>
        </w:tc>
        <w:tc>
          <w:tcPr>
            <w:tcW w:w="131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0.34</w:t>
            </w:r>
          </w:p>
        </w:tc>
      </w:tr>
      <w:tr>
        <w:trPr>
          <w:trHeight w:val="411" w:hRule="atLeast"/>
        </w:trPr>
        <w:tc>
          <w:tcPr>
            <w:tcW w:w="135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Total Debt/ Fixed Asset Ratio</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1.09</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1.21</w:t>
            </w:r>
          </w:p>
        </w:tc>
        <w:tc>
          <w:tcPr>
            <w:tcW w:w="97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1.60</w:t>
            </w:r>
          </w:p>
        </w:tc>
        <w:tc>
          <w:tcPr>
            <w:tcW w:w="115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0.96</w:t>
            </w:r>
          </w:p>
        </w:tc>
        <w:tc>
          <w:tcPr>
            <w:tcW w:w="96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2.10</w:t>
            </w:r>
          </w:p>
        </w:tc>
        <w:tc>
          <w:tcPr>
            <w:tcW w:w="1019"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0.30</w:t>
            </w:r>
          </w:p>
        </w:tc>
        <w:tc>
          <w:tcPr>
            <w:tcW w:w="131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1.12</w:t>
            </w:r>
          </w:p>
        </w:tc>
      </w:tr>
      <w:tr>
        <w:trPr>
          <w:trHeight w:val="423" w:hRule="atLeast"/>
        </w:trPr>
        <w:tc>
          <w:tcPr>
            <w:tcW w:w="135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Time Interest cover ratio</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25.87</w:t>
            </w:r>
          </w:p>
        </w:tc>
        <w:tc>
          <w:tcPr>
            <w:tcW w:w="96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24.38</w:t>
            </w:r>
          </w:p>
        </w:tc>
        <w:tc>
          <w:tcPr>
            <w:tcW w:w="97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17.28</w:t>
            </w:r>
          </w:p>
        </w:tc>
        <w:tc>
          <w:tcPr>
            <w:tcW w:w="115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22.51</w:t>
            </w:r>
          </w:p>
        </w:tc>
        <w:tc>
          <w:tcPr>
            <w:tcW w:w="96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364.03</w:t>
            </w:r>
          </w:p>
        </w:tc>
        <w:tc>
          <w:tcPr>
            <w:tcW w:w="1019" w:type="dxa"/>
          </w:tcPr>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81.95</w:t>
            </w:r>
          </w:p>
        </w:tc>
        <w:tc>
          <w:tcPr>
            <w:tcW w:w="131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156.16</w:t>
            </w:r>
          </w:p>
        </w:tc>
      </w:tr>
      <w:bookmarkEnd w:id="12"/>
    </w:tbl>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rPr>
        <w:t>Current Ratio/ Quick Ratio</w:t>
      </w:r>
    </w:p>
    <w:p>
      <w:pPr>
        <w:tabs>
          <w:tab w:val="left" w:pos="2206"/>
        </w:tabs>
        <w:spacing w:line="360" w:lineRule="auto"/>
        <w:rPr>
          <w:rFonts w:hint="default" w:ascii="Times New Roman Regular" w:hAnsi="Times New Roman Regular" w:cs="Times New Roman Regular"/>
          <w:color w:val="0070C0"/>
          <w:sz w:val="24"/>
          <w:szCs w:val="24"/>
          <w:lang w:val="en-US" w:eastAsia="zh-TW"/>
        </w:rPr>
      </w:pPr>
      <w:r>
        <w:rPr>
          <w:rFonts w:hint="default" w:ascii="Times New Roman Regular" w:hAnsi="Times New Roman Regular" w:cs="Times New Roman Regular"/>
          <w:sz w:val="24"/>
          <w:szCs w:val="24"/>
          <w:lang w:eastAsia="zh-TW"/>
        </w:rPr>
        <w:t>Current ratio shows the company’s ability to maximize the liquidity of its current assets to settle the current liabilities</w:t>
      </w:r>
      <w:r>
        <w:rPr>
          <w:rFonts w:hint="default" w:ascii="Times New Roman Regular" w:hAnsi="Times New Roman Regular" w:cs="Times New Roman Regular"/>
          <w:sz w:val="24"/>
          <w:szCs w:val="24"/>
          <w:lang w:val="en-US" w:eastAsia="zh-TW"/>
        </w:rPr>
        <w:t xml:space="preserve"> (Tim Vipond, 2024 ).</w:t>
      </w:r>
    </w:p>
    <w:p>
      <w:pPr>
        <w:tabs>
          <w:tab w:val="left" w:pos="2206"/>
        </w:tabs>
        <w:spacing w:line="360" w:lineRule="auto"/>
        <w:rPr>
          <w:rFonts w:hint="default" w:ascii="Times New Roman Regular" w:hAnsi="Times New Roman Regular" w:cs="Times New Roman Regular"/>
          <w:color w:val="0070C0"/>
          <w:sz w:val="24"/>
          <w:szCs w:val="24"/>
          <w:lang w:eastAsia="zh-TW"/>
        </w:rPr>
      </w:pP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Carlsberg’s current ratio and quick ratio remained weak as the current ratio and quick ratio were below par for the latest 3 years, as well as the lowest current ratio and quick ratio among its peers. Weak current ratio and quick ratio were attributable to granting the on-trade loans for the customers by Carlsberg, instead of providing conventional credit terms. On-trade loan is providing the liquidity for its buyers and helping Carlsberg to generate interest income. Those on-trade loan fell due for more than 1 year, hence, booked in the non-current assets</w:t>
      </w:r>
      <w:r>
        <w:rPr>
          <w:rFonts w:hint="default" w:ascii="Times New Roman Regular" w:hAnsi="Times New Roman Regular" w:cs="Times New Roman Regular"/>
          <w:sz w:val="24"/>
          <w:szCs w:val="24"/>
          <w:lang w:val="en-US" w:eastAsia="zh-TW"/>
        </w:rPr>
        <w:t xml:space="preserve"> </w:t>
      </w:r>
      <w:r>
        <w:rPr>
          <w:rFonts w:hint="default" w:ascii="Times New Roman Regular" w:hAnsi="Times New Roman Regular" w:cs="Times New Roman Regular"/>
          <w:color w:val="auto"/>
          <w:sz w:val="24"/>
          <w:szCs w:val="24"/>
          <w:lang w:eastAsia="zh-TW"/>
        </w:rPr>
        <w:t xml:space="preserve">(Carlsberg </w:t>
      </w:r>
      <w:r>
        <w:rPr>
          <w:rFonts w:hint="default" w:ascii="Times New Roman Regular" w:hAnsi="Times New Roman Regular" w:cs="Times New Roman Regular"/>
          <w:color w:val="auto"/>
          <w:sz w:val="24"/>
          <w:szCs w:val="24"/>
          <w:lang w:val="en-US" w:eastAsia="zh-TW"/>
        </w:rPr>
        <w:t xml:space="preserve">Group, 2023). </w:t>
      </w:r>
      <w:r>
        <w:rPr>
          <w:rFonts w:hint="default" w:ascii="Times New Roman Regular" w:hAnsi="Times New Roman Regular" w:cs="Times New Roman Regular"/>
          <w:sz w:val="24"/>
          <w:szCs w:val="24"/>
          <w:lang w:eastAsia="zh-TW"/>
        </w:rPr>
        <w:t xml:space="preserve">Meanwhile, weak current ratio also was attributable to the larger trade payable. Nonetheless, Carlsberg still complied with those payment terms with its suppliers, reflecting its liquidity staying healthy and strong bargaining power in the market. </w:t>
      </w: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rPr>
        <w:t>Stock Credit Index</w:t>
      </w: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Stock Credit Index is reflecting the overall credit situations and availability of stock-based borrowing. Carlsberg’s stock credit index had been improved for 3 consecutive years. The index improved to 3.93, showing its credit conditions was improving. Due to the days of inventory turnover is normally short, this index is not very significant. </w:t>
      </w: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rPr>
        <w:t>Cash Ratio</w:t>
      </w: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Cash ratio can indicate a company’s capacity to repaid the short term debt by its cash ( </w:t>
      </w:r>
      <w:r>
        <w:rPr>
          <w:rFonts w:hint="default" w:ascii="Times New Roman Regular" w:hAnsi="Times New Roman Regular" w:cs="Times New Roman Regular"/>
          <w:sz w:val="24"/>
          <w:szCs w:val="24"/>
          <w:lang w:val="en-US" w:eastAsia="zh-TW"/>
        </w:rPr>
        <w:t>CFI, 2024</w:t>
      </w:r>
      <w:r>
        <w:rPr>
          <w:rFonts w:hint="default" w:ascii="Times New Roman Regular" w:hAnsi="Times New Roman Regular" w:cs="Times New Roman Regular"/>
          <w:sz w:val="24"/>
          <w:szCs w:val="24"/>
          <w:lang w:eastAsia="zh-TW"/>
        </w:rPr>
        <w:t>)</w:t>
      </w:r>
      <w:r>
        <w:rPr>
          <w:rFonts w:hint="default" w:ascii="Times New Roman Regular" w:hAnsi="Times New Roman Regular" w:cs="Times New Roman Regular"/>
          <w:sz w:val="24"/>
          <w:szCs w:val="24"/>
          <w:lang w:val="en-US" w:eastAsia="zh-TW"/>
        </w:rPr>
        <w:t>.</w:t>
      </w:r>
      <w:r>
        <w:rPr>
          <w:rFonts w:hint="default" w:ascii="Times New Roman Regular" w:hAnsi="Times New Roman Regular" w:cs="Times New Roman Regular"/>
          <w:sz w:val="24"/>
          <w:szCs w:val="24"/>
          <w:lang w:eastAsia="zh-TW"/>
        </w:rPr>
        <w:t xml:space="preserve"> Cash and cash equivalents also involved short-term marketable securities with the term of less than 3 months which were subject to an unimportant impact on fair value and short term cash plannin</w:t>
      </w:r>
      <w:r>
        <w:rPr>
          <w:rFonts w:hint="default" w:ascii="Times New Roman Regular" w:hAnsi="Times New Roman Regular" w:cs="Times New Roman Regular"/>
          <w:color w:val="auto"/>
          <w:sz w:val="24"/>
          <w:szCs w:val="24"/>
          <w:lang w:eastAsia="zh-TW"/>
        </w:rPr>
        <w:t>g</w:t>
      </w:r>
      <w:r>
        <w:rPr>
          <w:rFonts w:hint="default" w:ascii="Times New Roman Regular" w:hAnsi="Times New Roman Regular" w:cs="Times New Roman Regular"/>
          <w:color w:val="auto"/>
          <w:sz w:val="24"/>
          <w:szCs w:val="24"/>
          <w:lang w:val="en-US" w:eastAsia="zh-TW"/>
        </w:rPr>
        <w:t xml:space="preserve"> (</w:t>
      </w:r>
      <w:r>
        <w:rPr>
          <w:rFonts w:hint="default" w:ascii="Times New Roman Regular" w:hAnsi="Times New Roman Regular" w:cs="Times New Roman Regular"/>
          <w:color w:val="auto"/>
          <w:sz w:val="24"/>
          <w:szCs w:val="24"/>
          <w:lang w:eastAsia="zh-TW"/>
        </w:rPr>
        <w:t xml:space="preserve">Carlsberg </w:t>
      </w:r>
      <w:r>
        <w:rPr>
          <w:rFonts w:hint="default" w:ascii="Times New Roman Regular" w:hAnsi="Times New Roman Regular" w:cs="Times New Roman Regular"/>
          <w:color w:val="auto"/>
          <w:sz w:val="24"/>
          <w:szCs w:val="24"/>
          <w:lang w:val="en-US" w:eastAsia="zh-TW"/>
        </w:rPr>
        <w:t>Group,2023).</w:t>
      </w:r>
      <w:r>
        <w:rPr>
          <w:rFonts w:hint="default" w:ascii="Times New Roman Regular" w:hAnsi="Times New Roman Regular" w:cs="Times New Roman Regular"/>
          <w:sz w:val="24"/>
          <w:szCs w:val="24"/>
          <w:lang w:eastAsia="zh-TW"/>
        </w:rPr>
        <w:t xml:space="preserve"> Carlsberg’s cash ratio enhanced to 0.28, as cash and cash equivalents increased to DKK13.38B. The increase was due to the rise of borrowing and deposit. It reflected its stronger payment ability for the short-term debt can help to support with its trade payable in current portion and short term debt. However, among the competitors, Carlsberg’s cash ratio also in a relatively weak position due to providing the on-trade loan for its buyers.</w:t>
      </w: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rPr>
        <w:t>Equity and Debt Ratio</w:t>
      </w: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Carlsberg’s total borrowing stood at DKK39.1B in FY2023 (FY2022: DKK28.65B) due to the increase of bond. Carlsberg’s debt/equity ratio increased to 1.52, as well as higher than its competitors. However, considering with its Fitch rating stood at BBB+ with outlook stable, Carlsberg should have enough payment ability to deal with its debt. </w:t>
      </w: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u w:val="single"/>
        </w:rPr>
        <w:t>Total Debt/ Fixed Asset Ratio</w:t>
      </w: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Total Borrowings of Carlsberg consisting of 78.7% non-current financial debt and 21.3% of current financial debt. Total issued bonds stood at DKK36.72B (FY2022 : DKK25.18B), amounting to 94% (FY2022: 87.9%) of total borrowings. </w:t>
      </w:r>
      <w:r>
        <w:rPr>
          <w:rFonts w:hint="default" w:ascii="Times New Roman Regular" w:hAnsi="Times New Roman Regular" w:cs="Times New Roman Regular"/>
          <w:sz w:val="24"/>
          <w:szCs w:val="24"/>
        </w:rPr>
        <w:t>Total Debt/ Fixed Asset Ratio</w:t>
      </w:r>
      <w:r>
        <w:rPr>
          <w:rFonts w:hint="default" w:ascii="Times New Roman Regular" w:hAnsi="Times New Roman Regular" w:cs="Times New Roman Regular"/>
          <w:sz w:val="24"/>
          <w:szCs w:val="24"/>
          <w:lang w:eastAsia="zh-TW"/>
        </w:rPr>
        <w:t xml:space="preserve"> reflected the ability of a company to cover its total debt by utilizing it fixed asset. For the past 3 years, the ratio was above par, due to its majority of bond issuing. Furthermore, the increase of bond issuing could be believed for investing the brewery in China and Vietnam in order to expand Asia market. Thus, high </w:t>
      </w:r>
      <w:r>
        <w:rPr>
          <w:rFonts w:hint="default" w:ascii="Times New Roman Regular" w:hAnsi="Times New Roman Regular" w:cs="Times New Roman Regular"/>
          <w:sz w:val="24"/>
          <w:szCs w:val="24"/>
        </w:rPr>
        <w:t>Total Debt/ Fixed Asset Ratio</w:t>
      </w:r>
      <w:r>
        <w:rPr>
          <w:rFonts w:hint="default" w:ascii="Times New Roman Regular" w:hAnsi="Times New Roman Regular" w:cs="Times New Roman Regular"/>
          <w:sz w:val="24"/>
          <w:szCs w:val="24"/>
          <w:lang w:eastAsia="zh-TW"/>
        </w:rPr>
        <w:t xml:space="preserve"> cannot truly reflected its repayment ability as Carlsberg still had the liquidity provided by the borrowings and cash on hand. </w:t>
      </w: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rPr>
        <w:t>Time Interest cover ratio</w:t>
      </w: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Time </w:t>
      </w:r>
      <w:r>
        <w:rPr>
          <w:rFonts w:hint="default" w:ascii="Times New Roman Regular" w:hAnsi="Times New Roman Regular" w:cs="Times New Roman Regular"/>
          <w:sz w:val="24"/>
          <w:szCs w:val="24"/>
        </w:rPr>
        <w:t>Interest cover ratio</w:t>
      </w:r>
      <w:r>
        <w:rPr>
          <w:rFonts w:hint="default" w:ascii="Times New Roman Regular" w:hAnsi="Times New Roman Regular" w:cs="Times New Roman Regular"/>
          <w:sz w:val="24"/>
          <w:szCs w:val="24"/>
          <w:lang w:eastAsia="zh-TW"/>
        </w:rPr>
        <w:t xml:space="preserve"> indicated how much times the EBIT can cover the interest expense</w:t>
      </w:r>
      <w:r>
        <w:rPr>
          <w:rFonts w:hint="default" w:ascii="Times New Roman Regular" w:hAnsi="Times New Roman Regular" w:cs="Times New Roman Regular"/>
          <w:sz w:val="24"/>
          <w:szCs w:val="24"/>
          <w:lang w:val="en-US" w:eastAsia="zh-TW"/>
        </w:rPr>
        <w:t xml:space="preserve"> </w:t>
      </w:r>
      <w:r>
        <w:rPr>
          <w:rFonts w:hint="default" w:ascii="Times New Roman Regular" w:hAnsi="Times New Roman Regular" w:cs="Times New Roman Regular"/>
          <w:color w:val="auto"/>
          <w:sz w:val="24"/>
          <w:szCs w:val="24"/>
          <w:lang w:eastAsia="zh-TW"/>
        </w:rPr>
        <w:t>(Adam Hayes</w:t>
      </w:r>
      <w:r>
        <w:rPr>
          <w:rFonts w:hint="default" w:ascii="Times New Roman Regular" w:hAnsi="Times New Roman Regular" w:cs="Times New Roman Regular"/>
          <w:color w:val="auto"/>
          <w:sz w:val="24"/>
          <w:szCs w:val="24"/>
          <w:lang w:val="en-US" w:eastAsia="zh-TW"/>
        </w:rPr>
        <w:t>, 2024</w:t>
      </w:r>
      <w:r>
        <w:rPr>
          <w:rFonts w:hint="default" w:ascii="Times New Roman Regular" w:hAnsi="Times New Roman Regular" w:cs="Times New Roman Regular"/>
          <w:color w:val="auto"/>
          <w:sz w:val="24"/>
          <w:szCs w:val="24"/>
          <w:lang w:eastAsia="zh-TW"/>
        </w:rPr>
        <w:t>)</w:t>
      </w:r>
      <w:r>
        <w:rPr>
          <w:rFonts w:hint="default" w:ascii="Times New Roman Regular" w:hAnsi="Times New Roman Regular" w:cs="Times New Roman Regular"/>
          <w:color w:val="auto"/>
          <w:sz w:val="24"/>
          <w:szCs w:val="24"/>
          <w:lang w:val="en-US" w:eastAsia="zh-TW"/>
        </w:rPr>
        <w:t>.</w:t>
      </w:r>
      <w:r>
        <w:rPr>
          <w:rFonts w:hint="default" w:ascii="Times New Roman Regular" w:hAnsi="Times New Roman Regular" w:cs="Times New Roman Regular"/>
          <w:color w:val="0070C0"/>
          <w:sz w:val="24"/>
          <w:szCs w:val="24"/>
          <w:lang w:eastAsia="zh-TW"/>
        </w:rPr>
        <w:t xml:space="preserve"> </w:t>
      </w:r>
      <w:r>
        <w:rPr>
          <w:rFonts w:hint="default" w:ascii="Times New Roman Regular" w:hAnsi="Times New Roman Regular" w:cs="Times New Roman Regular"/>
          <w:sz w:val="24"/>
          <w:szCs w:val="24"/>
          <w:lang w:eastAsia="zh-TW"/>
        </w:rPr>
        <w:t xml:space="preserve">Time interest cover ratio of Carlsberg was decreased to 17.28, reflecting higher interest expense in FY2023. Lower times interest cover ratio was obviously attributable to the rise of interest rate, accounting for average effective interest rate for the issued bonds stood at 2.7% (FY2022: 1.7%) </w:t>
      </w:r>
      <w:r>
        <w:rPr>
          <w:rFonts w:hint="default" w:ascii="Times New Roman Regular" w:hAnsi="Times New Roman Regular" w:cs="Times New Roman Regular"/>
          <w:color w:val="auto"/>
          <w:sz w:val="24"/>
          <w:szCs w:val="24"/>
          <w:lang w:eastAsia="zh-TW"/>
        </w:rPr>
        <w:t xml:space="preserve">(Carlsberg </w:t>
      </w:r>
      <w:r>
        <w:rPr>
          <w:rFonts w:hint="default" w:ascii="Times New Roman Regular" w:hAnsi="Times New Roman Regular" w:cs="Times New Roman Regular"/>
          <w:color w:val="auto"/>
          <w:sz w:val="24"/>
          <w:szCs w:val="24"/>
          <w:lang w:val="en-US" w:eastAsia="zh-TW"/>
        </w:rPr>
        <w:t>Group, 2023).</w:t>
      </w:r>
      <w:r>
        <w:rPr>
          <w:rFonts w:hint="default" w:ascii="Times New Roman Regular" w:hAnsi="Times New Roman Regular" w:cs="Times New Roman Regular"/>
          <w:sz w:val="24"/>
          <w:szCs w:val="24"/>
          <w:lang w:eastAsia="zh-TW"/>
        </w:rPr>
        <w:t xml:space="preserve">Meanwhile, the interest expense of Tsing Tao and San Miguel were staying higher times due to different financial structure with Carlsberg. </w:t>
      </w: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Regular" w:hAnsi="Times New Roman Regular" w:cs="Times New Roman Regular"/>
          <w:sz w:val="24"/>
          <w:szCs w:val="24"/>
        </w:rPr>
      </w:pPr>
      <w:bookmarkStart w:id="13" w:name="_Toc176358766"/>
      <w:r>
        <w:rPr>
          <w:rStyle w:val="20"/>
          <w:rFonts w:hint="default" w:ascii="Times New Roman Regular" w:hAnsi="Times New Roman Regular" w:cs="Times New Roman Regular"/>
          <w:color w:val="auto"/>
          <w:sz w:val="24"/>
          <w:szCs w:val="24"/>
        </w:rPr>
        <w:t>2.4 Operational ability</w:t>
      </w:r>
      <w:bookmarkEnd w:id="13"/>
    </w:p>
    <w:p>
      <w:pPr>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rPr>
        <w:t xml:space="preserve">According to the Annual Report </w:t>
      </w:r>
      <w:r>
        <w:rPr>
          <w:rFonts w:hint="default" w:ascii="Times New Roman Regular" w:hAnsi="Times New Roman Regular" w:cs="Times New Roman Regular"/>
          <w:sz w:val="24"/>
          <w:szCs w:val="24"/>
          <w:lang w:eastAsia="zh-TW"/>
        </w:rPr>
        <w:t>FY</w:t>
      </w:r>
      <w:r>
        <w:rPr>
          <w:rFonts w:hint="default" w:ascii="Times New Roman Regular" w:hAnsi="Times New Roman Regular" w:cs="Times New Roman Regular"/>
          <w:sz w:val="24"/>
          <w:szCs w:val="24"/>
        </w:rPr>
        <w:t xml:space="preserve">2023, Carlsberg’s sales revenue are mainly come from </w:t>
      </w:r>
      <w:r>
        <w:rPr>
          <w:rFonts w:hint="default" w:ascii="Times New Roman Regular" w:hAnsi="Times New Roman Regular" w:cs="Times New Roman Regular"/>
          <w:sz w:val="24"/>
          <w:szCs w:val="24"/>
          <w:lang w:eastAsia="zh-TW"/>
        </w:rPr>
        <w:t xml:space="preserve">sale of </w:t>
      </w:r>
      <w:r>
        <w:rPr>
          <w:rFonts w:hint="default" w:ascii="Times New Roman Regular" w:hAnsi="Times New Roman Regular" w:cs="Times New Roman Regular"/>
          <w:sz w:val="24"/>
          <w:szCs w:val="24"/>
        </w:rPr>
        <w:t xml:space="preserve">Beer (73%), other beverages (including energy drinks, juice and soft drinks) (25%)and other revenue(2%). Carlsberg divided three geographical regions for sales take place, including West Europe, Asia, Central &amp; Eastern Europe and other countries. The proportion of sales for West Europe, Asia, Central &amp; Eastern Europe and other countries were 50.7%, 31.6%, 17.6% and 0.1% respectively. </w:t>
      </w:r>
      <w:r>
        <w:rPr>
          <w:rFonts w:hint="default" w:ascii="Times New Roman Regular" w:hAnsi="Times New Roman Regular" w:cs="Times New Roman Regular"/>
          <w:sz w:val="24"/>
          <w:szCs w:val="24"/>
          <w:lang w:eastAsia="zh-TW"/>
        </w:rPr>
        <w:t xml:space="preserve">Carlsberg’s revenue increased to DKK73.6B in FY2023 from DKK70.3B in FY2022 due to price increase across all markets for tackling the significant cost increases. Furthermore, Carlsberg acquired Waterloo Brewing in Canada for enhancing the operational ability, lowering logistics costs and the market expansion. </w:t>
      </w:r>
    </w:p>
    <w:p>
      <w:pPr>
        <w:tabs>
          <w:tab w:val="left" w:pos="2206"/>
        </w:tabs>
        <w:spacing w:line="360" w:lineRule="auto"/>
        <w:rPr>
          <w:rFonts w:hint="default" w:ascii="Times New Roman Regular" w:hAnsi="Times New Roman Regular" w:cs="Times New Roman Regular"/>
          <w:sz w:val="24"/>
          <w:szCs w:val="24"/>
        </w:rPr>
      </w:pPr>
    </w:p>
    <w:p>
      <w:pPr>
        <w:tabs>
          <w:tab w:val="left" w:pos="2206"/>
        </w:tabs>
        <w:spacing w:line="360" w:lineRule="auto"/>
        <w:rPr>
          <w:rFonts w:hint="default" w:ascii="Times New Roman Regular" w:hAnsi="Times New Roman Regular" w:cs="Times New Roman Regular"/>
          <w:sz w:val="24"/>
          <w:szCs w:val="24"/>
        </w:rPr>
      </w:pP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rPr>
        <w:drawing>
          <wp:inline distT="0" distB="0" distL="0" distR="0">
            <wp:extent cx="3084195" cy="2565400"/>
            <wp:effectExtent l="0" t="0" r="1905" b="6350"/>
            <wp:docPr id="204776326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Pr>
          <w:rFonts w:hint="default" w:ascii="Times New Roman Regular" w:hAnsi="Times New Roman Regular" w:cs="Times New Roman Regular"/>
          <w:sz w:val="24"/>
          <w:szCs w:val="24"/>
          <w:lang w:eastAsia="zh-TW"/>
        </w:rPr>
        <w:t xml:space="preserve"> </w:t>
      </w:r>
      <w:r>
        <w:rPr>
          <w:rFonts w:hint="default" w:ascii="Times New Roman Regular" w:hAnsi="Times New Roman Regular" w:cs="Times New Roman Regular"/>
          <w:sz w:val="24"/>
          <w:szCs w:val="24"/>
          <w:lang w:eastAsia="zh-TW"/>
        </w:rPr>
        <w:drawing>
          <wp:inline distT="0" distB="0" distL="0" distR="0">
            <wp:extent cx="4865370" cy="2490470"/>
            <wp:effectExtent l="0" t="0" r="11430" b="5080"/>
            <wp:docPr id="19091825"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pPr>
        <w:tabs>
          <w:tab w:val="left" w:pos="2206"/>
        </w:tabs>
        <w:spacing w:line="360" w:lineRule="auto"/>
        <w:rPr>
          <w:rFonts w:hint="default" w:ascii="Times New Roman Regular" w:hAnsi="Times New Roman Regular" w:cs="Times New Roman Regular"/>
          <w:sz w:val="24"/>
          <w:szCs w:val="24"/>
        </w:rPr>
      </w:pPr>
    </w:p>
    <w:p>
      <w:pPr>
        <w:tabs>
          <w:tab w:val="left" w:pos="2206"/>
        </w:tabs>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Operating expenses</w:t>
      </w:r>
    </w:p>
    <w:p>
      <w:pPr>
        <w:tabs>
          <w:tab w:val="left" w:pos="2206"/>
        </w:tabs>
        <w:spacing w:line="360" w:lineRule="auto"/>
        <w:rPr>
          <w:rFonts w:hint="default" w:ascii="Times New Roman Regular" w:hAnsi="Times New Roman Regular" w:cs="Times New Roman Regular"/>
          <w:sz w:val="24"/>
          <w:szCs w:val="24"/>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96"/>
        <w:gridCol w:w="1007"/>
        <w:gridCol w:w="1004"/>
        <w:gridCol w:w="1004"/>
        <w:gridCol w:w="1150"/>
        <w:gridCol w:w="1296"/>
        <w:gridCol w:w="929"/>
        <w:gridCol w:w="1356"/>
      </w:tblGrid>
      <w:tr>
        <w:tc>
          <w:tcPr>
            <w:tcW w:w="133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Company Name</w:t>
            </w:r>
          </w:p>
        </w:tc>
        <w:tc>
          <w:tcPr>
            <w:tcW w:w="3137" w:type="dxa"/>
            <w:gridSpan w:val="3"/>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Carlsberg</w:t>
            </w:r>
          </w:p>
        </w:tc>
        <w:tc>
          <w:tcPr>
            <w:tcW w:w="101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Carlsberg</w:t>
            </w:r>
          </w:p>
        </w:tc>
        <w:tc>
          <w:tcPr>
            <w:tcW w:w="101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Tsing Tao</w:t>
            </w:r>
          </w:p>
        </w:tc>
        <w:tc>
          <w:tcPr>
            <w:tcW w:w="101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San Miguel</w:t>
            </w:r>
          </w:p>
        </w:tc>
        <w:tc>
          <w:tcPr>
            <w:tcW w:w="101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companies</w:t>
            </w:r>
          </w:p>
        </w:tc>
      </w:tr>
      <w:tr>
        <w:tc>
          <w:tcPr>
            <w:tcW w:w="133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Year</w:t>
            </w:r>
          </w:p>
        </w:tc>
        <w:tc>
          <w:tcPr>
            <w:tcW w:w="106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2021</w:t>
            </w:r>
          </w:p>
        </w:tc>
        <w:tc>
          <w:tcPr>
            <w:tcW w:w="103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2022</w:t>
            </w:r>
          </w:p>
        </w:tc>
        <w:tc>
          <w:tcPr>
            <w:tcW w:w="1038"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2023</w:t>
            </w:r>
          </w:p>
        </w:tc>
        <w:tc>
          <w:tcPr>
            <w:tcW w:w="4049" w:type="dxa"/>
            <w:gridSpan w:val="4"/>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(2021-2023) 3 year average</w:t>
            </w:r>
          </w:p>
        </w:tc>
      </w:tr>
      <w:tr>
        <w:tc>
          <w:tcPr>
            <w:tcW w:w="133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Depreciation and Amortization</w:t>
            </w:r>
          </w:p>
        </w:tc>
        <w:tc>
          <w:tcPr>
            <w:tcW w:w="106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5010.75</w:t>
            </w:r>
          </w:p>
        </w:tc>
        <w:tc>
          <w:tcPr>
            <w:tcW w:w="103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4952.58</w:t>
            </w:r>
          </w:p>
        </w:tc>
        <w:tc>
          <w:tcPr>
            <w:tcW w:w="1038"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4723.47</w:t>
            </w:r>
          </w:p>
        </w:tc>
        <w:tc>
          <w:tcPr>
            <w:tcW w:w="101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4895.6</w:t>
            </w:r>
          </w:p>
        </w:tc>
        <w:tc>
          <w:tcPr>
            <w:tcW w:w="101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111132990</w:t>
            </w:r>
          </w:p>
        </w:tc>
        <w:tc>
          <w:tcPr>
            <w:tcW w:w="101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23384</w:t>
            </w:r>
          </w:p>
        </w:tc>
        <w:tc>
          <w:tcPr>
            <w:tcW w:w="101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37053756.5</w:t>
            </w:r>
          </w:p>
        </w:tc>
      </w:tr>
    </w:tbl>
    <w:p>
      <w:pPr>
        <w:tabs>
          <w:tab w:val="left" w:pos="2206"/>
        </w:tabs>
        <w:spacing w:line="360" w:lineRule="auto"/>
        <w:rPr>
          <w:rFonts w:hint="default" w:ascii="Times New Roman Regular" w:hAnsi="Times New Roman Regular" w:cs="Times New Roman Regular"/>
          <w:sz w:val="24"/>
          <w:szCs w:val="24"/>
        </w:rPr>
      </w:pP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Carlsberg’s operating expense included sales and distribution expenses and administrative expenses. In which, sales and distribution expenses consisted of 34% marketing expenses, 29% sales expense and 37% distribution expenses. Distribution expenses increased by 6% per hl (100Liters) due to the rise of energy prices. </w:t>
      </w:r>
    </w:p>
    <w:p>
      <w:pPr>
        <w:tabs>
          <w:tab w:val="left" w:pos="2206"/>
        </w:tabs>
        <w:spacing w:line="360" w:lineRule="auto"/>
        <w:rPr>
          <w:rFonts w:hint="default" w:ascii="Times New Roman Regular" w:hAnsi="Times New Roman Regular" w:cs="Times New Roman Regular"/>
          <w:sz w:val="24"/>
          <w:szCs w:val="24"/>
          <w:lang w:eastAsia="zh-TW"/>
        </w:rPr>
      </w:pPr>
    </w:p>
    <w:tbl>
      <w:tblPr>
        <w:tblStyle w:val="11"/>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01"/>
        <w:gridCol w:w="1163"/>
        <w:gridCol w:w="1163"/>
        <w:gridCol w:w="1163"/>
        <w:gridCol w:w="1163"/>
        <w:gridCol w:w="910"/>
        <w:gridCol w:w="983"/>
        <w:gridCol w:w="1296"/>
      </w:tblGrid>
      <w:tr>
        <w:trPr>
          <w:jc w:val="center"/>
        </w:trPr>
        <w:tc>
          <w:tcPr>
            <w:tcW w:w="152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Company Name</w:t>
            </w:r>
          </w:p>
        </w:tc>
        <w:tc>
          <w:tcPr>
            <w:tcW w:w="2884" w:type="dxa"/>
            <w:gridSpan w:val="3"/>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Carlsberg</w:t>
            </w:r>
          </w:p>
          <w:p>
            <w:pPr>
              <w:tabs>
                <w:tab w:val="left" w:pos="2206"/>
              </w:tabs>
              <w:spacing w:line="360" w:lineRule="auto"/>
              <w:rPr>
                <w:rFonts w:hint="default" w:ascii="Times New Roman Regular" w:hAnsi="Times New Roman Regular" w:cs="Times New Roman Regular"/>
                <w:sz w:val="24"/>
                <w:szCs w:val="24"/>
              </w:rPr>
            </w:pPr>
          </w:p>
        </w:tc>
        <w:tc>
          <w:tcPr>
            <w:tcW w:w="10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Carlsberg</w:t>
            </w:r>
          </w:p>
        </w:tc>
        <w:tc>
          <w:tcPr>
            <w:tcW w:w="103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Tsing Tao</w:t>
            </w:r>
          </w:p>
        </w:tc>
        <w:tc>
          <w:tcPr>
            <w:tcW w:w="104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San Miguel</w:t>
            </w:r>
          </w:p>
        </w:tc>
        <w:tc>
          <w:tcPr>
            <w:tcW w:w="120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Companies</w:t>
            </w:r>
          </w:p>
        </w:tc>
      </w:tr>
      <w:tr>
        <w:trPr>
          <w:jc w:val="center"/>
        </w:trPr>
        <w:tc>
          <w:tcPr>
            <w:tcW w:w="152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Year</w:t>
            </w:r>
          </w:p>
        </w:tc>
        <w:tc>
          <w:tcPr>
            <w:tcW w:w="71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2021</w:t>
            </w:r>
          </w:p>
        </w:tc>
        <w:tc>
          <w:tcPr>
            <w:tcW w:w="10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2022</w:t>
            </w:r>
          </w:p>
        </w:tc>
        <w:tc>
          <w:tcPr>
            <w:tcW w:w="10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2023</w:t>
            </w:r>
          </w:p>
        </w:tc>
        <w:tc>
          <w:tcPr>
            <w:tcW w:w="4373" w:type="dxa"/>
            <w:gridSpan w:val="4"/>
          </w:tcPr>
          <w:p>
            <w:pPr>
              <w:tabs>
                <w:tab w:val="left" w:pos="2206"/>
              </w:tabs>
              <w:spacing w:line="360" w:lineRule="auto"/>
              <w:ind w:firstLine="960" w:firstLineChars="4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(2021-2023) 3 year average</w:t>
            </w:r>
          </w:p>
        </w:tc>
      </w:tr>
      <w:tr>
        <w:trPr>
          <w:jc w:val="center"/>
        </w:trPr>
        <w:tc>
          <w:tcPr>
            <w:tcW w:w="152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Total assets turnover</w:t>
            </w:r>
          </w:p>
        </w:tc>
        <w:tc>
          <w:tcPr>
            <w:tcW w:w="71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0.53</w:t>
            </w:r>
          </w:p>
        </w:tc>
        <w:tc>
          <w:tcPr>
            <w:tcW w:w="10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0.61</w:t>
            </w:r>
          </w:p>
        </w:tc>
        <w:tc>
          <w:tcPr>
            <w:tcW w:w="10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0.66</w:t>
            </w:r>
          </w:p>
        </w:tc>
        <w:tc>
          <w:tcPr>
            <w:tcW w:w="10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0.6</w:t>
            </w:r>
          </w:p>
        </w:tc>
        <w:tc>
          <w:tcPr>
            <w:tcW w:w="103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67.6</w:t>
            </w:r>
          </w:p>
        </w:tc>
        <w:tc>
          <w:tcPr>
            <w:tcW w:w="104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1.35</w:t>
            </w:r>
          </w:p>
        </w:tc>
        <w:tc>
          <w:tcPr>
            <w:tcW w:w="120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23.18</w:t>
            </w:r>
          </w:p>
        </w:tc>
      </w:tr>
      <w:tr>
        <w:trPr>
          <w:jc w:val="center"/>
        </w:trPr>
        <w:tc>
          <w:tcPr>
            <w:tcW w:w="152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Average Collection Period</w:t>
            </w:r>
          </w:p>
        </w:tc>
        <w:tc>
          <w:tcPr>
            <w:tcW w:w="71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9</w:t>
            </w:r>
          </w:p>
        </w:tc>
        <w:tc>
          <w:tcPr>
            <w:tcW w:w="10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9</w:t>
            </w:r>
          </w:p>
        </w:tc>
        <w:tc>
          <w:tcPr>
            <w:tcW w:w="10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8</w:t>
            </w:r>
          </w:p>
        </w:tc>
        <w:tc>
          <w:tcPr>
            <w:tcW w:w="10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8.6</w:t>
            </w:r>
          </w:p>
        </w:tc>
        <w:tc>
          <w:tcPr>
            <w:tcW w:w="103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1.35</w:t>
            </w:r>
          </w:p>
        </w:tc>
        <w:tc>
          <w:tcPr>
            <w:tcW w:w="104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23.33</w:t>
            </w:r>
          </w:p>
        </w:tc>
        <w:tc>
          <w:tcPr>
            <w:tcW w:w="120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11.09</w:t>
            </w:r>
          </w:p>
        </w:tc>
      </w:tr>
      <w:tr>
        <w:trPr>
          <w:jc w:val="center"/>
        </w:trPr>
        <w:tc>
          <w:tcPr>
            <w:tcW w:w="152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Days’sales in inventory</w:t>
            </w:r>
          </w:p>
        </w:tc>
        <w:tc>
          <w:tcPr>
            <w:tcW w:w="71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55</w:t>
            </w:r>
          </w:p>
        </w:tc>
        <w:tc>
          <w:tcPr>
            <w:tcW w:w="10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54</w:t>
            </w:r>
          </w:p>
        </w:tc>
        <w:tc>
          <w:tcPr>
            <w:tcW w:w="10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52</w:t>
            </w:r>
          </w:p>
        </w:tc>
        <w:tc>
          <w:tcPr>
            <w:tcW w:w="10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53.7</w:t>
            </w:r>
          </w:p>
        </w:tc>
        <w:tc>
          <w:tcPr>
            <w:tcW w:w="103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66.96</w:t>
            </w:r>
          </w:p>
        </w:tc>
        <w:tc>
          <w:tcPr>
            <w:tcW w:w="104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72.67</w:t>
            </w:r>
          </w:p>
        </w:tc>
        <w:tc>
          <w:tcPr>
            <w:tcW w:w="120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64.44</w:t>
            </w:r>
          </w:p>
        </w:tc>
      </w:tr>
      <w:tr>
        <w:trPr>
          <w:jc w:val="center"/>
        </w:trPr>
        <w:tc>
          <w:tcPr>
            <w:tcW w:w="152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Payment period</w:t>
            </w:r>
          </w:p>
        </w:tc>
        <w:tc>
          <w:tcPr>
            <w:tcW w:w="71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12months</w:t>
            </w:r>
          </w:p>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(365 days)</w:t>
            </w:r>
          </w:p>
        </w:tc>
        <w:tc>
          <w:tcPr>
            <w:tcW w:w="10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12months</w:t>
            </w:r>
          </w:p>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(365 days)</w:t>
            </w:r>
          </w:p>
        </w:tc>
        <w:tc>
          <w:tcPr>
            <w:tcW w:w="10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12months</w:t>
            </w:r>
          </w:p>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(365 days)</w:t>
            </w:r>
          </w:p>
        </w:tc>
        <w:tc>
          <w:tcPr>
            <w:tcW w:w="108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12months</w:t>
            </w:r>
          </w:p>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(365 days)</w:t>
            </w:r>
          </w:p>
        </w:tc>
        <w:tc>
          <w:tcPr>
            <w:tcW w:w="1037" w:type="dxa"/>
          </w:tcPr>
          <w:p>
            <w:pPr>
              <w:tabs>
                <w:tab w:val="left" w:pos="2206"/>
              </w:tabs>
              <w:spacing w:line="360" w:lineRule="auto"/>
              <w:rPr>
                <w:rFonts w:hint="default" w:ascii="Times New Roman Regular" w:hAnsi="Times New Roman Regular" w:cs="Times New Roman Regular"/>
                <w:sz w:val="24"/>
                <w:szCs w:val="24"/>
              </w:rPr>
            </w:pPr>
          </w:p>
        </w:tc>
        <w:tc>
          <w:tcPr>
            <w:tcW w:w="104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38.33</w:t>
            </w:r>
          </w:p>
        </w:tc>
        <w:tc>
          <w:tcPr>
            <w:tcW w:w="1206" w:type="dxa"/>
          </w:tcPr>
          <w:p>
            <w:pPr>
              <w:tabs>
                <w:tab w:val="left" w:pos="2206"/>
              </w:tabs>
              <w:spacing w:line="360" w:lineRule="auto"/>
              <w:rPr>
                <w:rFonts w:hint="default" w:ascii="Times New Roman Regular" w:hAnsi="Times New Roman Regular" w:cs="Times New Roman Regular"/>
                <w:sz w:val="24"/>
                <w:szCs w:val="24"/>
              </w:rPr>
            </w:pPr>
          </w:p>
        </w:tc>
      </w:tr>
    </w:tbl>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u w:val="single"/>
        </w:rPr>
        <w:t>Total Assets Turnover</w:t>
      </w: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The ratio is measuring the efficiency of a company for using its assets to generate sales. In FY2023, Carlsberg’s total assets turnover rose to 0.66 , indicating its operating efficiency was improving. Nevertheless, Carlsberg’s total assets turnover was weaker than its competitors. </w:t>
      </w:r>
    </w:p>
    <w:p>
      <w:pPr>
        <w:tabs>
          <w:tab w:val="left" w:pos="2206"/>
        </w:tabs>
        <w:spacing w:line="360" w:lineRule="auto"/>
        <w:rPr>
          <w:rFonts w:hint="default" w:ascii="Times New Roman Bold" w:hAnsi="Times New Roman Bold" w:cs="Times New Roman Bold"/>
          <w:b/>
          <w:bCs/>
          <w:sz w:val="24"/>
          <w:szCs w:val="24"/>
          <w:lang w:eastAsia="zh-TW"/>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lang w:eastAsia="zh-TW"/>
        </w:rPr>
        <w:t>A</w:t>
      </w:r>
      <w:r>
        <w:rPr>
          <w:rFonts w:hint="default" w:ascii="Times New Roman Bold" w:hAnsi="Times New Roman Bold" w:cs="Times New Roman Bold"/>
          <w:b/>
          <w:bCs/>
          <w:sz w:val="24"/>
          <w:szCs w:val="24"/>
          <w:u w:val="single"/>
        </w:rPr>
        <w:t>ccounts Payable Turnover days</w:t>
      </w:r>
    </w:p>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lang w:eastAsia="zh-TW"/>
        </w:rPr>
        <w:t xml:space="preserve">Accounts Payable Turnover days refer to the average number of days that the payable stays unpaid </w:t>
      </w:r>
      <w:r>
        <w:rPr>
          <w:rFonts w:hint="default" w:ascii="Times New Roman Regular" w:hAnsi="Times New Roman Regular" w:cs="Times New Roman Regular"/>
          <w:color w:val="auto"/>
          <w:sz w:val="24"/>
          <w:szCs w:val="24"/>
          <w:lang w:eastAsia="zh-TW"/>
        </w:rPr>
        <w:t>(</w:t>
      </w:r>
      <w:r>
        <w:rPr>
          <w:rFonts w:hint="default" w:ascii="Times New Roman Regular" w:hAnsi="Times New Roman Regular" w:cs="Times New Roman Regular"/>
          <w:color w:val="auto"/>
          <w:sz w:val="24"/>
          <w:szCs w:val="24"/>
          <w:lang w:val="en-US" w:eastAsia="zh-TW"/>
        </w:rPr>
        <w:t>CFI, 2024</w:t>
      </w:r>
      <w:r>
        <w:rPr>
          <w:rFonts w:hint="default" w:ascii="Times New Roman Regular" w:hAnsi="Times New Roman Regular" w:cs="Times New Roman Regular"/>
          <w:color w:val="auto"/>
          <w:sz w:val="24"/>
          <w:szCs w:val="24"/>
          <w:lang w:eastAsia="zh-TW"/>
        </w:rPr>
        <w:t>)</w:t>
      </w:r>
      <w:r>
        <w:rPr>
          <w:rFonts w:hint="default" w:ascii="Times New Roman Regular" w:hAnsi="Times New Roman Regular" w:cs="Times New Roman Regular"/>
          <w:color w:val="auto"/>
          <w:sz w:val="24"/>
          <w:szCs w:val="24"/>
          <w:lang w:val="en-US" w:eastAsia="zh-TW"/>
        </w:rPr>
        <w:t>.</w:t>
      </w:r>
      <w:r>
        <w:rPr>
          <w:rFonts w:hint="default" w:ascii="Times New Roman Regular" w:hAnsi="Times New Roman Regular" w:cs="Times New Roman Regular"/>
          <w:color w:val="auto"/>
          <w:sz w:val="24"/>
          <w:szCs w:val="24"/>
          <w:lang w:eastAsia="zh-TW"/>
        </w:rPr>
        <w:t xml:space="preserve"> </w:t>
      </w:r>
      <w:r>
        <w:rPr>
          <w:rFonts w:hint="default" w:ascii="Times New Roman Regular" w:hAnsi="Times New Roman Regular" w:cs="Times New Roman Regular"/>
          <w:sz w:val="24"/>
          <w:szCs w:val="24"/>
          <w:lang w:eastAsia="zh-TW"/>
        </w:rPr>
        <w:t>The turnover is mainly impacted by the trade payable and COGS. Trade payable stood at DKK22.16B in FY2023 (FY2022: DKK21.92B). The payment terms were mostly less than 180 days, and a number of suppliers engaged in the supplier finance arrangements, with a supply chain finance provider and some fund partners for having the choice to receive the payment earlier</w:t>
      </w:r>
      <w:r>
        <w:rPr>
          <w:rFonts w:hint="default" w:ascii="Times New Roman Regular" w:hAnsi="Times New Roman Regular" w:cs="Times New Roman Regular"/>
          <w:sz w:val="24"/>
          <w:szCs w:val="24"/>
          <w:lang w:val="en-US" w:eastAsia="zh-TW"/>
        </w:rPr>
        <w:t xml:space="preserve"> </w:t>
      </w:r>
      <w:r>
        <w:rPr>
          <w:rFonts w:hint="default" w:ascii="Times New Roman Regular" w:hAnsi="Times New Roman Regular" w:cs="Times New Roman Regular"/>
          <w:color w:val="auto"/>
          <w:sz w:val="24"/>
          <w:szCs w:val="24"/>
          <w:lang w:eastAsia="zh-TW"/>
        </w:rPr>
        <w:t xml:space="preserve">(Carlsberg </w:t>
      </w:r>
      <w:r>
        <w:rPr>
          <w:rFonts w:hint="default" w:ascii="Times New Roman Regular" w:hAnsi="Times New Roman Regular" w:cs="Times New Roman Regular"/>
          <w:color w:val="auto"/>
          <w:sz w:val="24"/>
          <w:szCs w:val="24"/>
          <w:lang w:val="en-US" w:eastAsia="zh-TW"/>
        </w:rPr>
        <w:t>Group, 2023).</w:t>
      </w:r>
      <w:r>
        <w:rPr>
          <w:rFonts w:hint="default" w:ascii="Times New Roman Regular" w:hAnsi="Times New Roman Regular" w:cs="Times New Roman Regular"/>
          <w:sz w:val="24"/>
          <w:szCs w:val="24"/>
          <w:lang w:eastAsia="zh-TW"/>
        </w:rPr>
        <w:t xml:space="preserve"> Therefore, the fund partners which were the financial institutions can help to provide the liquidity to Carlsberg because of the support from number of supply chain finance providers.</w:t>
      </w:r>
    </w:p>
    <w:p>
      <w:pPr>
        <w:tabs>
          <w:tab w:val="left" w:pos="2206"/>
        </w:tabs>
        <w:spacing w:line="360" w:lineRule="auto"/>
        <w:rPr>
          <w:rFonts w:hint="default" w:ascii="Times New Roman Regular" w:hAnsi="Times New Roman Regular" w:cs="Times New Roman Regular"/>
          <w:color w:val="FF0000"/>
          <w:sz w:val="24"/>
          <w:szCs w:val="24"/>
          <w:u w:val="single"/>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rPr>
        <w:t>Inverntor</w:t>
      </w:r>
      <w:r>
        <w:rPr>
          <w:rFonts w:hint="default" w:ascii="Times New Roman Bold" w:hAnsi="Times New Roman Bold" w:cs="Times New Roman Bold"/>
          <w:b/>
          <w:bCs/>
          <w:sz w:val="24"/>
          <w:szCs w:val="24"/>
          <w:u w:val="single"/>
          <w:lang w:eastAsia="zh-TW"/>
        </w:rPr>
        <w:t>y</w:t>
      </w:r>
      <w:r>
        <w:rPr>
          <w:rFonts w:hint="default" w:ascii="Times New Roman Bold" w:hAnsi="Times New Roman Bold" w:cs="Times New Roman Bold"/>
          <w:b/>
          <w:bCs/>
          <w:sz w:val="24"/>
          <w:szCs w:val="24"/>
          <w:u w:val="single"/>
        </w:rPr>
        <w:t xml:space="preserve"> Turnover days</w:t>
      </w: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Inventory turnover days refer to the average number of days a company sells its stock of goods during a given period</w:t>
      </w:r>
      <w:r>
        <w:rPr>
          <w:rFonts w:hint="default" w:ascii="Times New Roman Regular" w:hAnsi="Times New Roman Regular" w:cs="Times New Roman Regular"/>
          <w:color w:val="auto"/>
          <w:sz w:val="24"/>
          <w:szCs w:val="24"/>
          <w:lang w:eastAsia="zh-TW"/>
        </w:rPr>
        <w:t xml:space="preserve"> (</w:t>
      </w:r>
      <w:r>
        <w:rPr>
          <w:rFonts w:hint="default" w:ascii="Times New Roman Regular" w:hAnsi="Times New Roman Regular" w:cs="Times New Roman Regular"/>
          <w:color w:val="auto"/>
          <w:sz w:val="24"/>
          <w:szCs w:val="24"/>
          <w:lang w:val="en-US" w:eastAsia="zh-TW"/>
        </w:rPr>
        <w:t>CFI, 2024</w:t>
      </w:r>
      <w:r>
        <w:rPr>
          <w:rFonts w:hint="default" w:ascii="Times New Roman Regular" w:hAnsi="Times New Roman Regular" w:cs="Times New Roman Regular"/>
          <w:color w:val="auto"/>
          <w:sz w:val="24"/>
          <w:szCs w:val="24"/>
          <w:lang w:eastAsia="zh-TW"/>
        </w:rPr>
        <w:t>)</w:t>
      </w:r>
      <w:r>
        <w:rPr>
          <w:rFonts w:hint="default" w:ascii="Times New Roman Regular" w:hAnsi="Times New Roman Regular" w:cs="Times New Roman Regular"/>
          <w:color w:val="auto"/>
          <w:sz w:val="24"/>
          <w:szCs w:val="24"/>
          <w:lang w:val="en-US" w:eastAsia="zh-TW"/>
        </w:rPr>
        <w:t xml:space="preserve">. </w:t>
      </w:r>
      <w:r>
        <w:rPr>
          <w:rFonts w:hint="default" w:ascii="Times New Roman Regular" w:hAnsi="Times New Roman Regular" w:cs="Times New Roman Regular"/>
          <w:color w:val="auto"/>
          <w:sz w:val="24"/>
          <w:szCs w:val="24"/>
          <w:lang w:eastAsia="zh-TW"/>
        </w:rPr>
        <w:t>I</w:t>
      </w:r>
      <w:r>
        <w:rPr>
          <w:rFonts w:hint="default" w:ascii="Times New Roman Regular" w:hAnsi="Times New Roman Regular" w:cs="Times New Roman Regular"/>
          <w:sz w:val="24"/>
          <w:szCs w:val="24"/>
          <w:lang w:eastAsia="zh-TW"/>
        </w:rPr>
        <w:t xml:space="preserve">nventory Turnover days of Carlsberg reduced to 52 days from 54 days, which also shorter than its competitors as Carlsberg invested significantly in the supply chain system. The investment of the supply chain helped to increase the efficiency of sales process. It also can reduce the deteriorate of the goods. Furthermore, Carlsberg also acted as a market leader for drink industry, as well as the selling area. </w:t>
      </w: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Regular" w:hAnsi="Times New Roman Regular" w:cs="Times New Roman Regular"/>
          <w:sz w:val="24"/>
          <w:szCs w:val="24"/>
          <w:u w:val="single"/>
        </w:rPr>
      </w:pPr>
      <w:bookmarkStart w:id="14" w:name="_Toc176358767"/>
      <w:r>
        <w:rPr>
          <w:rStyle w:val="20"/>
          <w:rFonts w:hint="default" w:ascii="Times New Roman Regular" w:hAnsi="Times New Roman Regular" w:cs="Times New Roman Regular"/>
          <w:color w:val="auto"/>
          <w:sz w:val="24"/>
          <w:szCs w:val="24"/>
        </w:rPr>
        <w:t>2.5 Profitability</w:t>
      </w:r>
      <w:bookmarkEnd w:id="14"/>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17"/>
        <w:gridCol w:w="1217"/>
        <w:gridCol w:w="1217"/>
        <w:gridCol w:w="1217"/>
        <w:gridCol w:w="1217"/>
        <w:gridCol w:w="1217"/>
        <w:gridCol w:w="1217"/>
      </w:tblGrid>
      <w:tr>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Company Name</w:t>
            </w:r>
          </w:p>
        </w:tc>
        <w:tc>
          <w:tcPr>
            <w:tcW w:w="3651" w:type="dxa"/>
            <w:gridSpan w:val="3"/>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Carlsberg</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Carlsberg</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Tsing Tao</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San Miguel</w:t>
            </w:r>
          </w:p>
        </w:tc>
      </w:tr>
      <w:tr>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Year</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2021</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2022</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2023</w:t>
            </w:r>
          </w:p>
        </w:tc>
        <w:tc>
          <w:tcPr>
            <w:tcW w:w="3651" w:type="dxa"/>
            <w:gridSpan w:val="3"/>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(2021-2023) 3 Year average</w:t>
            </w:r>
          </w:p>
        </w:tc>
      </w:tr>
      <w:tr>
        <w:trPr>
          <w:trHeight w:val="505" w:hRule="atLeast"/>
        </w:trPr>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Net Profit</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0.13</w:t>
            </w:r>
          </w:p>
        </w:tc>
        <w:tc>
          <w:tcPr>
            <w:tcW w:w="1217" w:type="dxa"/>
          </w:tcPr>
          <w:p>
            <w:pPr>
              <w:tabs>
                <w:tab w:val="left" w:pos="2206"/>
              </w:tabs>
              <w:spacing w:line="360" w:lineRule="auto"/>
              <w:rPr>
                <w:rFonts w:hint="default" w:ascii="Times New Roman Regular" w:hAnsi="Times New Roman Regular" w:cs="Times New Roman Regular"/>
                <w:sz w:val="24"/>
                <w:szCs w:val="24"/>
              </w:rPr>
            </w:pP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-0.54</w:t>
            </w:r>
          </w:p>
        </w:tc>
        <w:tc>
          <w:tcPr>
            <w:tcW w:w="1217" w:type="dxa"/>
          </w:tcPr>
          <w:p>
            <w:pPr>
              <w:tabs>
                <w:tab w:val="left" w:pos="2206"/>
              </w:tabs>
              <w:spacing w:line="360" w:lineRule="auto"/>
              <w:rPr>
                <w:rFonts w:hint="default" w:ascii="Times New Roman Regular" w:hAnsi="Times New Roman Regular" w:cs="Times New Roman Regular"/>
                <w:sz w:val="24"/>
                <w:szCs w:val="24"/>
              </w:rPr>
            </w:pP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43190947</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48274</w:t>
            </w:r>
          </w:p>
        </w:tc>
      </w:tr>
      <w:tr>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Net Profit growth</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0.18</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-0.99</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-369.31</w:t>
            </w:r>
          </w:p>
        </w:tc>
        <w:tc>
          <w:tcPr>
            <w:tcW w:w="1217" w:type="dxa"/>
          </w:tcPr>
          <w:p>
            <w:pPr>
              <w:tabs>
                <w:tab w:val="left" w:pos="2206"/>
              </w:tabs>
              <w:spacing w:line="360" w:lineRule="auto"/>
              <w:rPr>
                <w:rFonts w:hint="default" w:ascii="Times New Roman Regular" w:hAnsi="Times New Roman Regular" w:cs="Times New Roman Regular"/>
                <w:sz w:val="24"/>
                <w:szCs w:val="24"/>
              </w:rPr>
            </w:pP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35.53</w:t>
            </w:r>
          </w:p>
        </w:tc>
        <w:tc>
          <w:tcPr>
            <w:tcW w:w="1217" w:type="dxa"/>
          </w:tcPr>
          <w:p>
            <w:pPr>
              <w:tabs>
                <w:tab w:val="left" w:pos="2206"/>
              </w:tabs>
              <w:spacing w:line="360" w:lineRule="auto"/>
              <w:rPr>
                <w:rFonts w:hint="default" w:ascii="Times New Roman Regular" w:hAnsi="Times New Roman Regular" w:cs="Times New Roman Regular"/>
                <w:sz w:val="24"/>
                <w:szCs w:val="24"/>
              </w:rPr>
            </w:pPr>
          </w:p>
        </w:tc>
      </w:tr>
      <w:tr>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Gross Profit Margin %</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0.48</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0.46</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0.45</w:t>
            </w:r>
          </w:p>
        </w:tc>
        <w:tc>
          <w:tcPr>
            <w:tcW w:w="1217" w:type="dxa"/>
          </w:tcPr>
          <w:p>
            <w:pPr>
              <w:tabs>
                <w:tab w:val="left" w:pos="2206"/>
              </w:tabs>
              <w:spacing w:line="360" w:lineRule="auto"/>
              <w:rPr>
                <w:rFonts w:hint="default" w:ascii="Times New Roman Regular" w:hAnsi="Times New Roman Regular" w:cs="Times New Roman Regular"/>
                <w:sz w:val="24"/>
                <w:szCs w:val="24"/>
              </w:rPr>
            </w:pP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37.4</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0.385</w:t>
            </w:r>
          </w:p>
        </w:tc>
      </w:tr>
      <w:tr>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Net Progit Margin %</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0.13</w:t>
            </w:r>
          </w:p>
        </w:tc>
        <w:tc>
          <w:tcPr>
            <w:tcW w:w="1217" w:type="dxa"/>
          </w:tcPr>
          <w:p>
            <w:pPr>
              <w:tabs>
                <w:tab w:val="left" w:pos="2206"/>
              </w:tabs>
              <w:spacing w:line="360" w:lineRule="auto"/>
              <w:rPr>
                <w:rFonts w:hint="default" w:ascii="Times New Roman Regular" w:hAnsi="Times New Roman Regular" w:cs="Times New Roman Regular"/>
                <w:sz w:val="24"/>
                <w:szCs w:val="24"/>
              </w:rPr>
            </w:pP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-0.54</w:t>
            </w:r>
          </w:p>
        </w:tc>
        <w:tc>
          <w:tcPr>
            <w:tcW w:w="1217" w:type="dxa"/>
          </w:tcPr>
          <w:p>
            <w:pPr>
              <w:tabs>
                <w:tab w:val="left" w:pos="2206"/>
              </w:tabs>
              <w:spacing w:line="360" w:lineRule="auto"/>
              <w:rPr>
                <w:rFonts w:hint="default" w:ascii="Times New Roman Regular" w:hAnsi="Times New Roman Regular" w:cs="Times New Roman Regular"/>
                <w:sz w:val="24"/>
                <w:szCs w:val="24"/>
              </w:rPr>
            </w:pP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11.81</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0.07</w:t>
            </w:r>
          </w:p>
        </w:tc>
      </w:tr>
    </w:tbl>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rPr>
        <w:t>Gross profit Margin</w:t>
      </w: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Gross profit Margin dropped slightly to 0.45 in FY2023 due to the increase of COGS, mainly from cost of material, such as aluminum (Raw material for Can) and barley. The cost of material stood at DKK 23.62B in FY2023 (FY2022: DKK21.66B). Its Gross profit margin also stood at satisfactory. </w:t>
      </w: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rPr>
        <w:t>Net Proft Margin</w:t>
      </w:r>
    </w:p>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lang w:eastAsia="zh-TW"/>
        </w:rPr>
        <w:t xml:space="preserve">Net profit margin recorded at -0.54 which was in deficit (FY2023 : -DKK39.78B; FY2022: DKK108M) . The net profit was including the continue and discontinue business. However, Carlsberg’s profit from continuing operations slightly decreased to DKK7.97B (FY2022: DKK8.18B) due to higher logistic cost and interest expenses. Due to the deconsolidation of the Russian business, the currency translation and hedging reserves within equity regarding to the Russian business were reinstated from equity to the income statement and involved in the loss from discontinued business. Thus, Carlsberg’s profitability was believed to be recovered in the coming financial year due to excluding the extraordinary event. </w:t>
      </w:r>
    </w:p>
    <w:p>
      <w:pPr>
        <w:tabs>
          <w:tab w:val="left" w:pos="2206"/>
        </w:tabs>
        <w:spacing w:line="360" w:lineRule="auto"/>
        <w:rPr>
          <w:rFonts w:hint="default" w:ascii="Times New Roman Regular" w:hAnsi="Times New Roman Regular" w:cs="Times New Roman Regular"/>
          <w:sz w:val="24"/>
          <w:szCs w:val="24"/>
          <w:u w:val="single"/>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76"/>
        <w:gridCol w:w="1217"/>
        <w:gridCol w:w="1217"/>
        <w:gridCol w:w="1217"/>
        <w:gridCol w:w="1217"/>
        <w:gridCol w:w="1217"/>
        <w:gridCol w:w="1243"/>
      </w:tblGrid>
      <w:tr>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Company Name</w:t>
            </w:r>
          </w:p>
        </w:tc>
        <w:tc>
          <w:tcPr>
            <w:tcW w:w="3651" w:type="dxa"/>
            <w:gridSpan w:val="3"/>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Carlsberg</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Tsing Tao</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San Miguel</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companies</w:t>
            </w:r>
          </w:p>
        </w:tc>
      </w:tr>
      <w:tr>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Year</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2021</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2022</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2023</w:t>
            </w:r>
          </w:p>
        </w:tc>
        <w:tc>
          <w:tcPr>
            <w:tcW w:w="2434" w:type="dxa"/>
            <w:gridSpan w:val="2"/>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2023</w:t>
            </w:r>
          </w:p>
        </w:tc>
        <w:tc>
          <w:tcPr>
            <w:tcW w:w="1217" w:type="dxa"/>
          </w:tcPr>
          <w:p>
            <w:pPr>
              <w:tabs>
                <w:tab w:val="left" w:pos="2206"/>
              </w:tabs>
              <w:spacing w:line="360" w:lineRule="auto"/>
              <w:rPr>
                <w:rFonts w:hint="default" w:ascii="Times New Roman Regular" w:hAnsi="Times New Roman Regular" w:cs="Times New Roman Regular"/>
                <w:sz w:val="24"/>
                <w:szCs w:val="24"/>
              </w:rPr>
            </w:pPr>
          </w:p>
        </w:tc>
      </w:tr>
      <w:tr>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Total Assets Turnover</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0.50</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0.60</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0.60</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68.17%</w:t>
            </w:r>
          </w:p>
        </w:tc>
        <w:tc>
          <w:tcPr>
            <w:tcW w:w="1217" w:type="dxa"/>
          </w:tcPr>
          <w:p>
            <w:pPr>
              <w:tabs>
                <w:tab w:val="left" w:pos="2206"/>
              </w:tabs>
              <w:spacing w:line="360" w:lineRule="auto"/>
              <w:rPr>
                <w:rFonts w:hint="default" w:ascii="Times New Roman Regular" w:hAnsi="Times New Roman Regular" w:cs="Times New Roman Regular"/>
                <w:sz w:val="24"/>
                <w:szCs w:val="24"/>
              </w:rPr>
            </w:pPr>
          </w:p>
        </w:tc>
        <w:tc>
          <w:tcPr>
            <w:tcW w:w="1217" w:type="dxa"/>
          </w:tcPr>
          <w:p>
            <w:pPr>
              <w:tabs>
                <w:tab w:val="left" w:pos="2206"/>
              </w:tabs>
              <w:spacing w:line="360" w:lineRule="auto"/>
              <w:rPr>
                <w:rFonts w:hint="default" w:ascii="Times New Roman Regular" w:hAnsi="Times New Roman Regular" w:cs="Times New Roman Regular"/>
                <w:sz w:val="24"/>
                <w:szCs w:val="24"/>
              </w:rPr>
            </w:pPr>
          </w:p>
        </w:tc>
      </w:tr>
      <w:tr>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Leverage ratio</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2.90</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3.60</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4.80</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74.33%</w:t>
            </w:r>
          </w:p>
        </w:tc>
        <w:tc>
          <w:tcPr>
            <w:tcW w:w="1217" w:type="dxa"/>
          </w:tcPr>
          <w:p>
            <w:pPr>
              <w:tabs>
                <w:tab w:val="left" w:pos="2206"/>
              </w:tabs>
              <w:spacing w:line="360" w:lineRule="auto"/>
              <w:rPr>
                <w:rFonts w:hint="default" w:ascii="Times New Roman Regular" w:hAnsi="Times New Roman Regular" w:cs="Times New Roman Regular"/>
                <w:sz w:val="24"/>
                <w:szCs w:val="24"/>
              </w:rPr>
            </w:pPr>
          </w:p>
        </w:tc>
        <w:tc>
          <w:tcPr>
            <w:tcW w:w="1217" w:type="dxa"/>
          </w:tcPr>
          <w:p>
            <w:pPr>
              <w:tabs>
                <w:tab w:val="left" w:pos="2206"/>
              </w:tabs>
              <w:spacing w:line="360" w:lineRule="auto"/>
              <w:rPr>
                <w:rFonts w:hint="default" w:ascii="Times New Roman Regular" w:hAnsi="Times New Roman Regular" w:cs="Times New Roman Regular"/>
                <w:sz w:val="24"/>
                <w:szCs w:val="24"/>
              </w:rPr>
            </w:pPr>
          </w:p>
        </w:tc>
      </w:tr>
      <w:tr>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Return on Equity(after tax)</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0.18</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-1.71</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19.31%</w:t>
            </w:r>
          </w:p>
        </w:tc>
        <w:tc>
          <w:tcPr>
            <w:tcW w:w="1217" w:type="dxa"/>
          </w:tcPr>
          <w:p>
            <w:pPr>
              <w:tabs>
                <w:tab w:val="left" w:pos="2206"/>
              </w:tabs>
              <w:spacing w:line="360" w:lineRule="auto"/>
              <w:rPr>
                <w:rFonts w:hint="default" w:ascii="Times New Roman Regular" w:hAnsi="Times New Roman Regular" w:cs="Times New Roman Regular"/>
                <w:sz w:val="24"/>
                <w:szCs w:val="24"/>
              </w:rPr>
            </w:pPr>
          </w:p>
        </w:tc>
        <w:tc>
          <w:tcPr>
            <w:tcW w:w="1217" w:type="dxa"/>
          </w:tcPr>
          <w:p>
            <w:pPr>
              <w:tabs>
                <w:tab w:val="left" w:pos="2206"/>
              </w:tabs>
              <w:spacing w:line="360" w:lineRule="auto"/>
              <w:rPr>
                <w:rFonts w:hint="default" w:ascii="Times New Roman Regular" w:hAnsi="Times New Roman Regular" w:cs="Times New Roman Regular"/>
                <w:sz w:val="24"/>
                <w:szCs w:val="24"/>
              </w:rPr>
            </w:pPr>
          </w:p>
        </w:tc>
      </w:tr>
    </w:tbl>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u w:val="single"/>
        </w:rPr>
        <w:t>Total assets turnover</w:t>
      </w:r>
    </w:p>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lang w:eastAsia="zh-TW"/>
        </w:rPr>
        <w:t xml:space="preserve">Carlsberg’s total assets turnover remained steady at 0.6, showing its standard in line with market compared to its competitor. </w:t>
      </w: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rPr>
        <w:t>Leverage ratio/ Return on equity(after tax)</w:t>
      </w:r>
    </w:p>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lang w:eastAsia="zh-TW"/>
        </w:rPr>
        <w:t>Leverage ratio is one of the indicator to show the debt level incurred by a business against balance sheet, income statement or cash flow statement (</w:t>
      </w:r>
      <w:r>
        <w:rPr>
          <w:rFonts w:hint="default" w:ascii="Times New Roman Regular" w:hAnsi="Times New Roman Regular" w:cs="Times New Roman Regular"/>
          <w:sz w:val="24"/>
          <w:szCs w:val="24"/>
          <w:lang w:val="en-US" w:eastAsia="zh-TW"/>
        </w:rPr>
        <w:t>CFI, 2024</w:t>
      </w:r>
      <w:r>
        <w:rPr>
          <w:rFonts w:hint="default" w:ascii="Times New Roman Regular" w:hAnsi="Times New Roman Regular" w:cs="Times New Roman Regular"/>
          <w:sz w:val="24"/>
          <w:szCs w:val="24"/>
          <w:lang w:eastAsia="zh-TW"/>
        </w:rPr>
        <w:t>)</w:t>
      </w:r>
      <w:r>
        <w:rPr>
          <w:rFonts w:hint="default" w:ascii="Times New Roman Regular" w:hAnsi="Times New Roman Regular" w:cs="Times New Roman Regular"/>
          <w:sz w:val="24"/>
          <w:szCs w:val="24"/>
          <w:lang w:val="en-US" w:eastAsia="zh-TW"/>
        </w:rPr>
        <w:t>.</w:t>
      </w:r>
      <w:r>
        <w:rPr>
          <w:rFonts w:hint="default" w:ascii="Times New Roman Regular" w:hAnsi="Times New Roman Regular" w:cs="Times New Roman Regular"/>
          <w:sz w:val="24"/>
          <w:szCs w:val="24"/>
          <w:lang w:eastAsia="zh-TW"/>
        </w:rPr>
        <w:t xml:space="preserve"> Carlsberg’s leverage ratio increased to 4.8 and it was continuously increasing. The reason was mainly due to the increase of the debt. Meanwhile, return on equity was deteriorated to -1.71 because of the negative net profit. Furthermore, the equity also reduced to DKK25.45B due to the drop of retained earnings. </w:t>
      </w:r>
    </w:p>
    <w:p>
      <w:pPr>
        <w:tabs>
          <w:tab w:val="left" w:pos="2206"/>
        </w:tabs>
        <w:spacing w:line="360" w:lineRule="auto"/>
        <w:rPr>
          <w:rFonts w:hint="default" w:ascii="Times New Roman Regular" w:hAnsi="Times New Roman Regular" w:cs="Times New Roman Regular"/>
          <w:sz w:val="24"/>
          <w:szCs w:val="24"/>
          <w:u w:val="single"/>
        </w:rPr>
      </w:pPr>
    </w:p>
    <w:p>
      <w:pPr>
        <w:pStyle w:val="3"/>
        <w:spacing w:line="360" w:lineRule="auto"/>
        <w:rPr>
          <w:rFonts w:hint="default" w:ascii="Times New Roman Regular" w:hAnsi="Times New Roman Regular" w:cs="Times New Roman Regular"/>
          <w:sz w:val="24"/>
          <w:szCs w:val="24"/>
          <w:u w:val="single"/>
        </w:rPr>
      </w:pPr>
      <w:bookmarkStart w:id="15" w:name="_Toc176358768"/>
      <w:r>
        <w:rPr>
          <w:rFonts w:hint="default" w:ascii="Times New Roman Regular" w:hAnsi="Times New Roman Regular" w:cs="Times New Roman Regular"/>
          <w:color w:val="auto"/>
          <w:sz w:val="24"/>
          <w:szCs w:val="24"/>
        </w:rPr>
        <w:t>2.6 Growth ability</w:t>
      </w:r>
      <w:bookmarkEnd w:id="15"/>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49"/>
        <w:gridCol w:w="1217"/>
        <w:gridCol w:w="1217"/>
        <w:gridCol w:w="1217"/>
        <w:gridCol w:w="1217"/>
        <w:gridCol w:w="1217"/>
        <w:gridCol w:w="1217"/>
      </w:tblGrid>
      <w:tr>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Company Name</w:t>
            </w:r>
          </w:p>
        </w:tc>
        <w:tc>
          <w:tcPr>
            <w:tcW w:w="3651" w:type="dxa"/>
            <w:gridSpan w:val="3"/>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Carlsberg</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Carlsberg</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Tsing Tao</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San Miguel</w:t>
            </w:r>
          </w:p>
        </w:tc>
      </w:tr>
      <w:tr>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Year</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2021</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2022</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2023</w:t>
            </w:r>
          </w:p>
        </w:tc>
        <w:tc>
          <w:tcPr>
            <w:tcW w:w="3651" w:type="dxa"/>
            <w:gridSpan w:val="3"/>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2021-2023 ( 3 years average)</w:t>
            </w:r>
          </w:p>
        </w:tc>
      </w:tr>
      <w:tr>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Retained yield(times)</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5.80</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4.80</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1.26</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3.95</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4.85</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255523</w:t>
            </w:r>
          </w:p>
        </w:tc>
      </w:tr>
      <w:tr>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Self-sustainable Growth ratio %</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2.52</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1.91</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0.91</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1.78</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104.27</w:t>
            </w:r>
          </w:p>
        </w:tc>
        <w:tc>
          <w:tcPr>
            <w:tcW w:w="1217"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0.5</w:t>
            </w:r>
          </w:p>
        </w:tc>
      </w:tr>
    </w:tbl>
    <w:p>
      <w:pPr>
        <w:tabs>
          <w:tab w:val="left" w:pos="2206"/>
        </w:tabs>
        <w:spacing w:line="360" w:lineRule="auto"/>
        <w:rPr>
          <w:rFonts w:hint="default" w:ascii="Times New Roman Bold" w:hAnsi="Times New Roman Bold" w:cs="Times New Roman Bold"/>
          <w:b/>
          <w:bCs/>
          <w:sz w:val="24"/>
          <w:szCs w:val="24"/>
          <w:u w:val="single"/>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rPr>
        <w:t>Retained yield</w:t>
      </w: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The retained yield of Carlsberg reduced to 1.26 times due to the profit loss recorded in FY2023. Without considering with FY2023, the retained yield was following with the industry standard as about 4-5 times. Even the retained yield was dropped significantly, its retained earnings stood at DKK23.31B which was also sufficient for its future development. </w:t>
      </w:r>
    </w:p>
    <w:p>
      <w:pPr>
        <w:tabs>
          <w:tab w:val="left" w:pos="2206"/>
        </w:tabs>
        <w:spacing w:line="360" w:lineRule="auto"/>
        <w:rPr>
          <w:rFonts w:hint="default" w:ascii="Times New Roman Bold" w:hAnsi="Times New Roman Bold" w:cs="Times New Roman Bold"/>
          <w:b/>
          <w:bCs/>
          <w:sz w:val="24"/>
          <w:szCs w:val="24"/>
          <w:u w:val="single"/>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rPr>
        <w:t xml:space="preserve">Self-sustaining growth </w:t>
      </w: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rPr>
        <w:t>Self-sustainable Growth ratio</w:t>
      </w:r>
      <w:r>
        <w:rPr>
          <w:rFonts w:hint="default" w:ascii="Times New Roman Regular" w:hAnsi="Times New Roman Regular" w:cs="Times New Roman Regular"/>
          <w:sz w:val="24"/>
          <w:szCs w:val="24"/>
          <w:lang w:eastAsia="zh-TW"/>
        </w:rPr>
        <w:t xml:space="preserve"> is showing the maximum rate of growth that a company can maintain without having to finance growth with extra equity or borrowings (Chris B. Murphy</w:t>
      </w:r>
      <w:r>
        <w:rPr>
          <w:rFonts w:hint="default" w:ascii="Times New Roman Regular" w:hAnsi="Times New Roman Regular" w:cs="Times New Roman Regular"/>
          <w:sz w:val="24"/>
          <w:szCs w:val="24"/>
          <w:lang w:val="en-US" w:eastAsia="zh-TW"/>
        </w:rPr>
        <w:t>,2024</w:t>
      </w:r>
      <w:r>
        <w:rPr>
          <w:rFonts w:hint="default" w:ascii="Times New Roman Regular" w:hAnsi="Times New Roman Regular" w:cs="Times New Roman Regular"/>
          <w:sz w:val="24"/>
          <w:szCs w:val="24"/>
          <w:lang w:eastAsia="zh-TW"/>
        </w:rPr>
        <w:t>)</w:t>
      </w:r>
      <w:r>
        <w:rPr>
          <w:rFonts w:hint="default" w:ascii="Times New Roman Regular" w:hAnsi="Times New Roman Regular" w:cs="Times New Roman Regular"/>
          <w:sz w:val="24"/>
          <w:szCs w:val="24"/>
          <w:lang w:val="en-US" w:eastAsia="zh-TW"/>
        </w:rPr>
        <w:t xml:space="preserve">. </w:t>
      </w:r>
      <w:r>
        <w:rPr>
          <w:rFonts w:hint="default" w:ascii="Times New Roman Regular" w:hAnsi="Times New Roman Regular" w:cs="Times New Roman Regular"/>
          <w:sz w:val="24"/>
          <w:szCs w:val="24"/>
          <w:lang w:eastAsia="zh-TW"/>
        </w:rPr>
        <w:t xml:space="preserve">Carlsberg’s growth ratio was decreasing for the past 3 years, indicating that its business growth would be slow due to its market position. As said before, its business covered for more than 140 countries which was almost the market leader of the industry. Nevertheless, it was also developing the business in China and Vietnam by establish new breweries in order to maintain the sustainable growth rate. </w:t>
      </w:r>
    </w:p>
    <w:p>
      <w:pPr>
        <w:tabs>
          <w:tab w:val="left" w:pos="2206"/>
        </w:tabs>
        <w:spacing w:line="360" w:lineRule="auto"/>
        <w:rPr>
          <w:rFonts w:hint="default" w:ascii="Times New Roman Regular" w:hAnsi="Times New Roman Regular" w:cs="Times New Roman Regular"/>
          <w:sz w:val="24"/>
          <w:szCs w:val="24"/>
          <w:u w:val="single"/>
        </w:rPr>
      </w:pPr>
    </w:p>
    <w:p>
      <w:pPr>
        <w:pStyle w:val="3"/>
        <w:spacing w:line="360" w:lineRule="auto"/>
        <w:rPr>
          <w:rFonts w:hint="default" w:ascii="Times New Roman Regular" w:hAnsi="Times New Roman Regular" w:cs="Times New Roman Regular"/>
          <w:sz w:val="24"/>
          <w:szCs w:val="24"/>
          <w:u w:val="single"/>
          <w:lang w:val="en-US"/>
        </w:rPr>
      </w:pPr>
      <w:bookmarkStart w:id="16" w:name="_Toc176358769"/>
      <w:r>
        <w:rPr>
          <w:rFonts w:hint="default" w:ascii="Times New Roman Regular" w:hAnsi="Times New Roman Regular" w:cs="Times New Roman Regular"/>
          <w:color w:val="auto"/>
          <w:sz w:val="24"/>
          <w:szCs w:val="24"/>
        </w:rPr>
        <w:t>2.7 Stock Market Prospects Analysis</w:t>
      </w:r>
      <w:bookmarkEnd w:id="16"/>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09"/>
        <w:gridCol w:w="1008"/>
        <w:gridCol w:w="1008"/>
        <w:gridCol w:w="1008"/>
        <w:gridCol w:w="1150"/>
        <w:gridCol w:w="1016"/>
        <w:gridCol w:w="1033"/>
        <w:gridCol w:w="1056"/>
      </w:tblGrid>
      <w:tr>
        <w:tc>
          <w:tcPr>
            <w:tcW w:w="1348"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Company Name</w:t>
            </w:r>
          </w:p>
        </w:tc>
        <w:tc>
          <w:tcPr>
            <w:tcW w:w="3024" w:type="dxa"/>
            <w:gridSpan w:val="3"/>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Carlsberg</w:t>
            </w:r>
          </w:p>
        </w:tc>
        <w:tc>
          <w:tcPr>
            <w:tcW w:w="1061"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Carlsberg</w:t>
            </w:r>
          </w:p>
        </w:tc>
        <w:tc>
          <w:tcPr>
            <w:tcW w:w="1016"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Tsing Tao</w:t>
            </w:r>
          </w:p>
        </w:tc>
        <w:tc>
          <w:tcPr>
            <w:tcW w:w="1033"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San Miguel</w:t>
            </w:r>
          </w:p>
        </w:tc>
        <w:tc>
          <w:tcPr>
            <w:tcW w:w="1040"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3 averages</w:t>
            </w:r>
          </w:p>
        </w:tc>
      </w:tr>
      <w:tr>
        <w:tc>
          <w:tcPr>
            <w:tcW w:w="1348"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Year</w:t>
            </w:r>
          </w:p>
        </w:tc>
        <w:tc>
          <w:tcPr>
            <w:tcW w:w="1008"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2021</w:t>
            </w:r>
          </w:p>
        </w:tc>
        <w:tc>
          <w:tcPr>
            <w:tcW w:w="1008"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2022</w:t>
            </w:r>
          </w:p>
        </w:tc>
        <w:tc>
          <w:tcPr>
            <w:tcW w:w="1008"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2023</w:t>
            </w:r>
          </w:p>
        </w:tc>
        <w:tc>
          <w:tcPr>
            <w:tcW w:w="4150" w:type="dxa"/>
            <w:gridSpan w:val="4"/>
          </w:tcPr>
          <w:p>
            <w:pPr>
              <w:tabs>
                <w:tab w:val="left" w:pos="2206"/>
              </w:tabs>
              <w:spacing w:line="360" w:lineRule="auto"/>
              <w:ind w:firstLine="840" w:firstLineChars="3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2021-2023 (3 years average)</w:t>
            </w:r>
          </w:p>
        </w:tc>
      </w:tr>
      <w:tr>
        <w:tc>
          <w:tcPr>
            <w:tcW w:w="1348"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 xml:space="preserve">Earning per share </w:t>
            </w:r>
          </w:p>
        </w:tc>
        <w:tc>
          <w:tcPr>
            <w:tcW w:w="1008"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56.49</w:t>
            </w:r>
          </w:p>
        </w:tc>
        <w:tc>
          <w:tcPr>
            <w:tcW w:w="1008"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58.52</w:t>
            </w:r>
          </w:p>
        </w:tc>
        <w:tc>
          <w:tcPr>
            <w:tcW w:w="1008"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-299.72</w:t>
            </w:r>
          </w:p>
        </w:tc>
        <w:tc>
          <w:tcPr>
            <w:tcW w:w="1061" w:type="dxa"/>
          </w:tcPr>
          <w:p>
            <w:pPr>
              <w:tabs>
                <w:tab w:val="left" w:pos="2206"/>
              </w:tabs>
              <w:spacing w:line="360" w:lineRule="auto"/>
              <w:rPr>
                <w:rFonts w:hint="default" w:ascii="Times New Roman Regular" w:hAnsi="Times New Roman Regular" w:cs="Times New Roman Regular"/>
                <w:sz w:val="24"/>
                <w:szCs w:val="24"/>
                <w:u w:val="none"/>
              </w:rPr>
            </w:pPr>
          </w:p>
        </w:tc>
        <w:tc>
          <w:tcPr>
            <w:tcW w:w="1016"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5.33</w:t>
            </w:r>
          </w:p>
        </w:tc>
        <w:tc>
          <w:tcPr>
            <w:tcW w:w="1033"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0.123</w:t>
            </w:r>
          </w:p>
        </w:tc>
        <w:tc>
          <w:tcPr>
            <w:tcW w:w="1040" w:type="dxa"/>
          </w:tcPr>
          <w:p>
            <w:pPr>
              <w:tabs>
                <w:tab w:val="left" w:pos="2206"/>
              </w:tabs>
              <w:spacing w:line="360" w:lineRule="auto"/>
              <w:rPr>
                <w:rFonts w:hint="default" w:ascii="Times New Roman Regular" w:hAnsi="Times New Roman Regular" w:cs="Times New Roman Regular"/>
                <w:sz w:val="24"/>
                <w:szCs w:val="24"/>
                <w:u w:val="none"/>
              </w:rPr>
            </w:pPr>
          </w:p>
        </w:tc>
      </w:tr>
      <w:tr>
        <w:tc>
          <w:tcPr>
            <w:tcW w:w="1348"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Price-earning ratio</w:t>
            </w:r>
          </w:p>
        </w:tc>
        <w:tc>
          <w:tcPr>
            <w:tcW w:w="1008"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4.77</w:t>
            </w:r>
          </w:p>
        </w:tc>
        <w:tc>
          <w:tcPr>
            <w:tcW w:w="1008"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4.77</w:t>
            </w:r>
          </w:p>
        </w:tc>
        <w:tc>
          <w:tcPr>
            <w:tcW w:w="1008"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4.77</w:t>
            </w:r>
          </w:p>
        </w:tc>
        <w:tc>
          <w:tcPr>
            <w:tcW w:w="1061"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4.77</w:t>
            </w:r>
          </w:p>
        </w:tc>
        <w:tc>
          <w:tcPr>
            <w:tcW w:w="1016"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24.25</w:t>
            </w:r>
          </w:p>
        </w:tc>
        <w:tc>
          <w:tcPr>
            <w:tcW w:w="1033"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10.61</w:t>
            </w:r>
          </w:p>
        </w:tc>
        <w:tc>
          <w:tcPr>
            <w:tcW w:w="1040"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13.19</w:t>
            </w:r>
          </w:p>
        </w:tc>
      </w:tr>
      <w:tr>
        <w:tc>
          <w:tcPr>
            <w:tcW w:w="1348"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Divided yield</w:t>
            </w:r>
          </w:p>
        </w:tc>
        <w:tc>
          <w:tcPr>
            <w:tcW w:w="1008"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2.00</w:t>
            </w:r>
          </w:p>
        </w:tc>
        <w:tc>
          <w:tcPr>
            <w:tcW w:w="1008"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2.60</w:t>
            </w:r>
          </w:p>
        </w:tc>
        <w:tc>
          <w:tcPr>
            <w:tcW w:w="1008"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3.20</w:t>
            </w:r>
          </w:p>
        </w:tc>
        <w:tc>
          <w:tcPr>
            <w:tcW w:w="1061"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2.6</w:t>
            </w:r>
          </w:p>
        </w:tc>
        <w:tc>
          <w:tcPr>
            <w:tcW w:w="1016"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3.30</w:t>
            </w:r>
          </w:p>
        </w:tc>
        <w:tc>
          <w:tcPr>
            <w:tcW w:w="1033"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10.71</w:t>
            </w:r>
          </w:p>
        </w:tc>
        <w:tc>
          <w:tcPr>
            <w:tcW w:w="1040"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5.54</w:t>
            </w:r>
          </w:p>
        </w:tc>
      </w:tr>
    </w:tbl>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Carlsberg’s earning per share stood at negative amount due to its negative profit recorded in FY2023 due to deconsolidation of Russian business. P/E ratio stood steady at 4.77 which was lower than the competitors, but its stock price was truly reflected to its company’s value without overestimated. In addition, Dividend yield increased to 3.2, the stock was still at reasonable level due to the stable dividend yield. </w:t>
      </w:r>
    </w:p>
    <w:p>
      <w:pPr>
        <w:tabs>
          <w:tab w:val="left" w:pos="2206"/>
        </w:tabs>
        <w:spacing w:line="360" w:lineRule="auto"/>
        <w:rPr>
          <w:rFonts w:hint="default" w:ascii="Times New Roman Regular" w:hAnsi="Times New Roman Regular" w:cs="Times New Roman Regular"/>
          <w:sz w:val="24"/>
          <w:szCs w:val="24"/>
          <w:lang w:eastAsia="zh-TW"/>
        </w:rPr>
      </w:pPr>
    </w:p>
    <w:p>
      <w:pPr>
        <w:pStyle w:val="2"/>
        <w:numPr>
          <w:ilvl w:val="0"/>
          <w:numId w:val="1"/>
        </w:numPr>
        <w:spacing w:line="360" w:lineRule="auto"/>
        <w:ind w:left="720" w:leftChars="0" w:hanging="720" w:firstLineChars="0"/>
        <w:jc w:val="left"/>
        <w:rPr>
          <w:rFonts w:hint="default" w:ascii="Times New Roman Regular" w:hAnsi="Times New Roman Regular" w:cs="Times New Roman Regular"/>
          <w:color w:val="auto"/>
          <w:sz w:val="24"/>
          <w:szCs w:val="24"/>
          <w:u w:val="single"/>
        </w:rPr>
      </w:pPr>
      <w:bookmarkStart w:id="17" w:name="_Toc176358770"/>
      <w:r>
        <w:rPr>
          <w:rFonts w:hint="default" w:ascii="Times New Roman Regular" w:hAnsi="Times New Roman Regular" w:cs="Times New Roman Regular"/>
          <w:color w:val="auto"/>
          <w:sz w:val="24"/>
          <w:szCs w:val="24"/>
          <w:lang w:eastAsia="zh-TW"/>
        </w:rPr>
        <w:t>Carlsberg</w:t>
      </w:r>
      <w:r>
        <w:rPr>
          <w:rFonts w:hint="default" w:ascii="Times New Roman Regular" w:hAnsi="Times New Roman Regular" w:cs="Times New Roman Regular"/>
          <w:color w:val="auto"/>
          <w:sz w:val="24"/>
          <w:szCs w:val="24"/>
        </w:rPr>
        <w:t>’s Corporate Governance assessment</w:t>
      </w:r>
      <w:bookmarkEnd w:id="17"/>
    </w:p>
    <w:p>
      <w:pPr>
        <w:pStyle w:val="3"/>
        <w:spacing w:line="360" w:lineRule="auto"/>
        <w:rPr>
          <w:rFonts w:hint="default" w:ascii="Times New Roman Regular" w:hAnsi="Times New Roman Regular" w:cs="Times New Roman Regular"/>
          <w:color w:val="auto"/>
          <w:sz w:val="24"/>
          <w:szCs w:val="24"/>
        </w:rPr>
      </w:pPr>
      <w:bookmarkStart w:id="18" w:name="_Toc176358771"/>
      <w:r>
        <w:rPr>
          <w:rFonts w:hint="default" w:ascii="Times New Roman Regular" w:hAnsi="Times New Roman Regular" w:cs="Times New Roman Regular"/>
          <w:color w:val="auto"/>
          <w:sz w:val="24"/>
          <w:szCs w:val="24"/>
        </w:rPr>
        <w:t>3.1 Corporate Governance of business organization and its impact and importance</w:t>
      </w:r>
      <w:bookmarkEnd w:id="18"/>
      <w:r>
        <w:rPr>
          <w:rFonts w:hint="default" w:ascii="Times New Roman Regular" w:hAnsi="Times New Roman Regular" w:cs="Times New Roman Regular"/>
          <w:color w:val="auto"/>
          <w:sz w:val="24"/>
          <w:szCs w:val="24"/>
          <w:lang w:eastAsia="zh-TW"/>
        </w:rPr>
        <w:t xml:space="preserve"> </w:t>
      </w: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Corporate governance is the system of rules, practices, and process directed and controlled by a company, in order to balance the interest of the company’s stakeholders. There are a lot of benefits of good corporate governance. </w:t>
      </w: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First of all, good corporate governance can reduce the potential for financial loss and hence increase the share price and easier to raise capital. For instance, HSBC was fined for EUR64M in 2021 due to the failure of anti-money laundering</w:t>
      </w:r>
      <w:r>
        <w:rPr>
          <w:rFonts w:hint="default" w:ascii="Times New Roman Regular" w:hAnsi="Times New Roman Regular" w:cs="Times New Roman Regular"/>
          <w:sz w:val="24"/>
          <w:szCs w:val="24"/>
          <w:lang w:val="en-US" w:eastAsia="zh-TW"/>
        </w:rPr>
        <w:t xml:space="preserve"> </w:t>
      </w:r>
      <w:r>
        <w:rPr>
          <w:rFonts w:hint="default" w:ascii="Times New Roman Regular" w:hAnsi="Times New Roman Regular" w:cs="Times New Roman Regular"/>
          <w:sz w:val="24"/>
          <w:szCs w:val="24"/>
          <w:lang w:eastAsia="zh-TW"/>
        </w:rPr>
        <w:t>(</w:t>
      </w:r>
      <w:r>
        <w:rPr>
          <w:rFonts w:hint="default" w:ascii="Times New Roman Regular" w:hAnsi="Times New Roman Regular" w:cs="Times New Roman Regular"/>
          <w:sz w:val="24"/>
          <w:szCs w:val="24"/>
          <w:lang w:val="en-US" w:eastAsia="zh-TW"/>
        </w:rPr>
        <w:t>BBC, 2021</w:t>
      </w:r>
      <w:r>
        <w:rPr>
          <w:rFonts w:hint="default" w:ascii="Times New Roman Regular" w:hAnsi="Times New Roman Regular" w:cs="Times New Roman Regular"/>
          <w:sz w:val="24"/>
          <w:szCs w:val="24"/>
          <w:lang w:eastAsia="zh-TW"/>
        </w:rPr>
        <w:t>)</w:t>
      </w:r>
      <w:r>
        <w:rPr>
          <w:rFonts w:hint="default" w:ascii="Times New Roman Regular" w:hAnsi="Times New Roman Regular" w:cs="Times New Roman Regular"/>
          <w:sz w:val="24"/>
          <w:szCs w:val="24"/>
          <w:lang w:val="en-US" w:eastAsia="zh-TW"/>
        </w:rPr>
        <w:t>.</w:t>
      </w:r>
      <w:r>
        <w:rPr>
          <w:rFonts w:hint="default" w:ascii="Times New Roman Regular" w:hAnsi="Times New Roman Regular" w:cs="Times New Roman Regular"/>
          <w:sz w:val="24"/>
          <w:szCs w:val="24"/>
          <w:lang w:eastAsia="zh-TW"/>
        </w:rPr>
        <w:t xml:space="preserve"> Because of the inadequate corporate governance, HSBC failed to prevent the money laundering in Mexican drug cartels in 2012, lacking of monitoring on money laundering and terrorist financing scenarios from 2008 to 2014 and poor risk assessment in 2016. Those series circumstances reflected that HSBC had to focus on its corporate governance in order to protect its stakeholders by appropriate risk management. </w:t>
      </w:r>
    </w:p>
    <w:p>
      <w:pPr>
        <w:tabs>
          <w:tab w:val="left" w:pos="2206"/>
        </w:tabs>
        <w:spacing w:line="360" w:lineRule="auto"/>
        <w:rPr>
          <w:rFonts w:hint="default" w:ascii="Times New Roman Regular" w:hAnsi="Times New Roman Regular" w:cs="Times New Roman Regular"/>
          <w:sz w:val="24"/>
          <w:szCs w:val="24"/>
          <w:u w:val="single"/>
        </w:rPr>
      </w:pPr>
    </w:p>
    <w:p>
      <w:pPr>
        <w:pStyle w:val="3"/>
        <w:spacing w:line="360" w:lineRule="auto"/>
        <w:rPr>
          <w:rFonts w:hint="default" w:ascii="Times New Roman Regular" w:hAnsi="Times New Roman Regular" w:cs="Times New Roman Regular"/>
          <w:sz w:val="24"/>
          <w:szCs w:val="24"/>
          <w:lang w:eastAsia="zh-TW"/>
        </w:rPr>
      </w:pPr>
      <w:bookmarkStart w:id="19" w:name="_Toc176358772"/>
      <w:r>
        <w:rPr>
          <w:rFonts w:hint="default" w:ascii="Times New Roman Regular" w:hAnsi="Times New Roman Regular" w:cs="Times New Roman Regular"/>
          <w:color w:val="auto"/>
          <w:sz w:val="24"/>
          <w:szCs w:val="24"/>
          <w:lang w:eastAsia="zh-TW"/>
        </w:rPr>
        <w:t>3.2 Carlsberg’s existing Corporate Governance</w:t>
      </w:r>
      <w:bookmarkEnd w:id="19"/>
    </w:p>
    <w:p>
      <w:pPr>
        <w:pStyle w:val="14"/>
        <w:numPr>
          <w:numId w:val="0"/>
        </w:numPr>
        <w:tabs>
          <w:tab w:val="left" w:pos="2206"/>
        </w:tabs>
        <w:spacing w:line="360" w:lineRule="auto"/>
        <w:rPr>
          <w:rFonts w:hint="default" w:ascii="Times New Roman Bold" w:hAnsi="Times New Roman Bold" w:cs="Times New Roman Bold"/>
          <w:b/>
          <w:bCs/>
          <w:sz w:val="24"/>
          <w:szCs w:val="24"/>
          <w:lang w:eastAsia="zh-TW"/>
        </w:rPr>
      </w:pPr>
      <w:r>
        <w:rPr>
          <w:rFonts w:hint="default" w:ascii="Times New Roman Bold" w:hAnsi="Times New Roman Bold" w:cs="Times New Roman Bold"/>
          <w:b/>
          <w:bCs/>
          <w:sz w:val="24"/>
          <w:szCs w:val="24"/>
          <w:lang w:eastAsia="zh-TW"/>
        </w:rPr>
        <w:t>Diversity, Equity and Inclusion</w:t>
      </w:r>
    </w:p>
    <w:p>
      <w:pPr>
        <w:pStyle w:val="14"/>
        <w:tabs>
          <w:tab w:val="left" w:pos="2206"/>
        </w:tabs>
        <w:spacing w:line="360" w:lineRule="auto"/>
        <w:ind w:left="426"/>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Carlsberg committed to gender equality and have composited gender equality and women’s empowerment into its business directions. Getting the gender balance right will pave the way with more representation in different dimensions. Carlsberg target is to meet a share of 30% women in senior management level by the end of 2024</w:t>
      </w:r>
    </w:p>
    <w:p>
      <w:pPr>
        <w:pStyle w:val="14"/>
        <w:tabs>
          <w:tab w:val="left" w:pos="2206"/>
        </w:tabs>
        <w:spacing w:line="360" w:lineRule="auto"/>
        <w:ind w:left="426"/>
        <w:rPr>
          <w:rFonts w:hint="default" w:ascii="Times New Roman Regular" w:hAnsi="Times New Roman Regular" w:cs="Times New Roman Regular"/>
          <w:sz w:val="24"/>
          <w:szCs w:val="24"/>
          <w:lang w:eastAsia="zh-TW"/>
        </w:rPr>
      </w:pPr>
    </w:p>
    <w:p>
      <w:pPr>
        <w:pStyle w:val="14"/>
        <w:tabs>
          <w:tab w:val="left" w:pos="2206"/>
        </w:tabs>
        <w:spacing w:line="360" w:lineRule="auto"/>
        <w:ind w:left="426"/>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rPr>
        <w:drawing>
          <wp:inline distT="0" distB="0" distL="0" distR="0">
            <wp:extent cx="4919980" cy="1504315"/>
            <wp:effectExtent l="0" t="0" r="0" b="0"/>
            <wp:docPr id="1453528009" name="Picture 3" descr="Sustainability » Our ESG programme » Diversity, Equity and Inclus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528009" name="Picture 3" descr="Sustainability » Our ESG programme » Diversity, Equity and Inclusion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4985652" cy="1524915"/>
                    </a:xfrm>
                    <a:prstGeom prst="rect">
                      <a:avLst/>
                    </a:prstGeom>
                    <a:noFill/>
                    <a:ln>
                      <a:noFill/>
                    </a:ln>
                  </pic:spPr>
                </pic:pic>
              </a:graphicData>
            </a:graphic>
          </wp:inline>
        </w:drawing>
      </w:r>
    </w:p>
    <w:p>
      <w:pPr>
        <w:pStyle w:val="14"/>
        <w:tabs>
          <w:tab w:val="left" w:pos="2206"/>
        </w:tabs>
        <w:spacing w:line="360" w:lineRule="auto"/>
        <w:ind w:left="426"/>
        <w:rPr>
          <w:rFonts w:hint="default" w:ascii="Times New Roman Regular" w:hAnsi="Times New Roman Regular" w:cs="Times New Roman Regular"/>
          <w:sz w:val="24"/>
          <w:szCs w:val="24"/>
          <w:lang w:val="en-US" w:eastAsia="zh-TW"/>
        </w:rPr>
      </w:pPr>
      <w:r>
        <w:rPr>
          <w:rFonts w:hint="default" w:ascii="Times New Roman Regular" w:hAnsi="Times New Roman Regular" w:cs="Times New Roman Regular"/>
          <w:sz w:val="24"/>
          <w:szCs w:val="24"/>
          <w:lang w:val="en-US" w:eastAsia="zh-TW"/>
        </w:rPr>
        <w:t xml:space="preserve">Figure 3 Diversity, Equity &amp; Inclusion of Carlsberg Group </w:t>
      </w:r>
    </w:p>
    <w:p>
      <w:pPr>
        <w:pStyle w:val="14"/>
        <w:tabs>
          <w:tab w:val="left" w:pos="2206"/>
        </w:tabs>
        <w:spacing w:line="360" w:lineRule="auto"/>
        <w:ind w:left="426"/>
        <w:rPr>
          <w:rFonts w:hint="default" w:ascii="Times New Roman Bold" w:hAnsi="Times New Roman Bold" w:cs="Times New Roman Bold"/>
          <w:b/>
          <w:bCs/>
          <w:sz w:val="24"/>
          <w:szCs w:val="24"/>
          <w:lang w:eastAsia="zh-TW"/>
        </w:rPr>
      </w:pPr>
    </w:p>
    <w:p>
      <w:pPr>
        <w:pStyle w:val="14"/>
        <w:numPr>
          <w:numId w:val="0"/>
        </w:numPr>
        <w:tabs>
          <w:tab w:val="left" w:pos="2206"/>
        </w:tabs>
        <w:spacing w:line="360" w:lineRule="auto"/>
        <w:ind w:left="66" w:leftChars="0"/>
        <w:rPr>
          <w:rFonts w:hint="default" w:ascii="Times New Roman Bold" w:hAnsi="Times New Roman Bold" w:cs="Times New Roman Bold"/>
          <w:b/>
          <w:bCs/>
          <w:sz w:val="24"/>
          <w:szCs w:val="24"/>
          <w:lang w:eastAsia="zh-TW"/>
        </w:rPr>
      </w:pPr>
      <w:r>
        <w:rPr>
          <w:rFonts w:hint="default" w:ascii="Times New Roman Bold" w:hAnsi="Times New Roman Bold" w:cs="Times New Roman Bold"/>
          <w:b/>
          <w:bCs/>
          <w:sz w:val="24"/>
          <w:szCs w:val="24"/>
          <w:lang w:eastAsia="zh-TW"/>
        </w:rPr>
        <w:t>Business ethics and conduct</w:t>
      </w:r>
    </w:p>
    <w:p>
      <w:pPr>
        <w:pStyle w:val="14"/>
        <w:tabs>
          <w:tab w:val="left" w:pos="2206"/>
        </w:tabs>
        <w:spacing w:line="360" w:lineRule="auto"/>
        <w:ind w:left="426"/>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Honest, sense of responsibility, compliant and showing people respect are Carlsberg’s ethical values. Carlsberg also encouraged the employees to speak up in compliance with their ethics.</w:t>
      </w:r>
    </w:p>
    <w:p>
      <w:pPr>
        <w:pStyle w:val="14"/>
        <w:tabs>
          <w:tab w:val="left" w:pos="2206"/>
        </w:tabs>
        <w:spacing w:line="360" w:lineRule="auto"/>
        <w:ind w:left="426"/>
        <w:rPr>
          <w:rFonts w:hint="default" w:ascii="Times New Roman Bold" w:hAnsi="Times New Roman Bold" w:cs="Times New Roman Bold"/>
          <w:b/>
          <w:bCs/>
          <w:sz w:val="24"/>
          <w:szCs w:val="24"/>
          <w:lang w:eastAsia="zh-TW"/>
        </w:rPr>
      </w:pPr>
    </w:p>
    <w:p>
      <w:pPr>
        <w:pStyle w:val="14"/>
        <w:numPr>
          <w:numId w:val="0"/>
        </w:numPr>
        <w:tabs>
          <w:tab w:val="left" w:pos="2206"/>
        </w:tabs>
        <w:spacing w:line="360" w:lineRule="auto"/>
        <w:ind w:left="66" w:leftChars="0"/>
        <w:rPr>
          <w:rFonts w:hint="default" w:ascii="Times New Roman Bold" w:hAnsi="Times New Roman Bold" w:cs="Times New Roman Bold"/>
          <w:b/>
          <w:bCs/>
          <w:sz w:val="24"/>
          <w:szCs w:val="24"/>
          <w:lang w:eastAsia="zh-TW"/>
        </w:rPr>
      </w:pPr>
      <w:r>
        <w:rPr>
          <w:rFonts w:hint="default" w:ascii="Times New Roman Bold" w:hAnsi="Times New Roman Bold" w:cs="Times New Roman Bold"/>
          <w:b/>
          <w:bCs/>
          <w:sz w:val="24"/>
          <w:szCs w:val="24"/>
          <w:lang w:eastAsia="zh-TW"/>
        </w:rPr>
        <w:t xml:space="preserve">Internal control and risk management </w:t>
      </w:r>
    </w:p>
    <w:p>
      <w:pPr>
        <w:pStyle w:val="14"/>
        <w:tabs>
          <w:tab w:val="left" w:pos="2206"/>
        </w:tabs>
        <w:spacing w:line="360" w:lineRule="auto"/>
        <w:ind w:left="426"/>
        <w:rPr>
          <w:rFonts w:hint="default" w:ascii="Times New Roman Regular" w:hAnsi="Times New Roman Regular" w:cs="Times New Roman Regular"/>
          <w:sz w:val="24"/>
          <w:szCs w:val="24"/>
          <w:lang w:val="en-US" w:eastAsia="zh-TW"/>
        </w:rPr>
      </w:pPr>
      <w:r>
        <w:rPr>
          <w:rFonts w:hint="default" w:ascii="Times New Roman Regular" w:hAnsi="Times New Roman Regular" w:cs="Times New Roman Regular"/>
          <w:sz w:val="24"/>
          <w:szCs w:val="24"/>
          <w:lang w:eastAsia="zh-TW"/>
        </w:rPr>
        <w:t>There is a supervisory board and ExCom for controlling Carlsberg’s control environment. The Audit Committee is accountable for monitoring the effectiveness for the internal control and risk management. Carlsberg has a number of policies and procedure in financial reporting. And it also formalized the financial reporting process for the strategy process, budget process, estimates and monthly reporting on actual performance</w:t>
      </w:r>
      <w:r>
        <w:rPr>
          <w:rFonts w:hint="default" w:ascii="Times New Roman Regular" w:hAnsi="Times New Roman Regular" w:cs="Times New Roman Regular"/>
          <w:sz w:val="24"/>
          <w:szCs w:val="24"/>
          <w:lang w:val="en-US" w:eastAsia="zh-TW"/>
        </w:rPr>
        <w:t xml:space="preserve"> ( Carlsberg Group, 2023</w:t>
      </w:r>
      <w:r>
        <w:rPr>
          <w:rFonts w:hint="default" w:ascii="Times New Roman Regular" w:hAnsi="Times New Roman Regular" w:cs="Times New Roman Regular"/>
          <w:sz w:val="24"/>
          <w:szCs w:val="24"/>
          <w:lang w:eastAsia="zh-TW"/>
        </w:rPr>
        <w:t>)</w:t>
      </w:r>
      <w:r>
        <w:rPr>
          <w:rFonts w:hint="default" w:ascii="Times New Roman Regular" w:hAnsi="Times New Roman Regular" w:cs="Times New Roman Regular"/>
          <w:sz w:val="24"/>
          <w:szCs w:val="24"/>
          <w:lang w:val="en-US" w:eastAsia="zh-TW"/>
        </w:rPr>
        <w:t>.</w:t>
      </w:r>
    </w:p>
    <w:p>
      <w:pPr>
        <w:tabs>
          <w:tab w:val="left" w:pos="2206"/>
        </w:tabs>
        <w:spacing w:line="360" w:lineRule="auto"/>
        <w:rPr>
          <w:rFonts w:hint="default" w:ascii="Times New Roman Regular" w:hAnsi="Times New Roman Regular" w:cs="Times New Roman Regular"/>
          <w:sz w:val="24"/>
          <w:szCs w:val="24"/>
          <w:u w:val="single"/>
          <w:lang w:eastAsia="zh-TW"/>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50"/>
        <w:gridCol w:w="1055"/>
        <w:gridCol w:w="1055"/>
        <w:gridCol w:w="1055"/>
        <w:gridCol w:w="1150"/>
        <w:gridCol w:w="1056"/>
        <w:gridCol w:w="1059"/>
        <w:gridCol w:w="1243"/>
      </w:tblGrid>
      <w:tr>
        <w:tc>
          <w:tcPr>
            <w:tcW w:w="1063"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Company Name</w:t>
            </w:r>
          </w:p>
        </w:tc>
        <w:tc>
          <w:tcPr>
            <w:tcW w:w="3165" w:type="dxa"/>
            <w:gridSpan w:val="3"/>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Carlsberg</w:t>
            </w:r>
          </w:p>
        </w:tc>
        <w:tc>
          <w:tcPr>
            <w:tcW w:w="1064"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Carlsberg</w:t>
            </w:r>
          </w:p>
        </w:tc>
        <w:tc>
          <w:tcPr>
            <w:tcW w:w="1056"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Tsing Tao</w:t>
            </w:r>
          </w:p>
        </w:tc>
        <w:tc>
          <w:tcPr>
            <w:tcW w:w="1059"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San Miguel</w:t>
            </w:r>
          </w:p>
        </w:tc>
        <w:tc>
          <w:tcPr>
            <w:tcW w:w="1115"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3 companies</w:t>
            </w:r>
          </w:p>
        </w:tc>
      </w:tr>
      <w:tr>
        <w:trPr>
          <w:trHeight w:val="90" w:hRule="atLeast"/>
        </w:trPr>
        <w:tc>
          <w:tcPr>
            <w:tcW w:w="1063"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Year</w:t>
            </w:r>
          </w:p>
        </w:tc>
        <w:tc>
          <w:tcPr>
            <w:tcW w:w="1055"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2021</w:t>
            </w:r>
          </w:p>
        </w:tc>
        <w:tc>
          <w:tcPr>
            <w:tcW w:w="1055"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2022</w:t>
            </w:r>
          </w:p>
        </w:tc>
        <w:tc>
          <w:tcPr>
            <w:tcW w:w="1055"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2023</w:t>
            </w:r>
          </w:p>
        </w:tc>
        <w:tc>
          <w:tcPr>
            <w:tcW w:w="4294" w:type="dxa"/>
            <w:gridSpan w:val="4"/>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 xml:space="preserve">   (2021-2023) 3 years average</w:t>
            </w:r>
          </w:p>
        </w:tc>
      </w:tr>
      <w:tr>
        <w:tc>
          <w:tcPr>
            <w:tcW w:w="1063"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ROA (after tax)%</w:t>
            </w:r>
          </w:p>
        </w:tc>
        <w:tc>
          <w:tcPr>
            <w:tcW w:w="1055"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0.06</w:t>
            </w:r>
          </w:p>
        </w:tc>
        <w:tc>
          <w:tcPr>
            <w:tcW w:w="1055" w:type="dxa"/>
          </w:tcPr>
          <w:p>
            <w:pPr>
              <w:tabs>
                <w:tab w:val="left" w:pos="2206"/>
              </w:tabs>
              <w:spacing w:line="360" w:lineRule="auto"/>
              <w:rPr>
                <w:rFonts w:hint="default" w:ascii="Times New Roman Regular" w:hAnsi="Times New Roman Regular" w:cs="Times New Roman Regular"/>
                <w:sz w:val="24"/>
                <w:szCs w:val="24"/>
                <w:u w:val="none"/>
              </w:rPr>
            </w:pPr>
          </w:p>
        </w:tc>
        <w:tc>
          <w:tcPr>
            <w:tcW w:w="1055"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-0.36</w:t>
            </w:r>
          </w:p>
        </w:tc>
        <w:tc>
          <w:tcPr>
            <w:tcW w:w="1064" w:type="dxa"/>
          </w:tcPr>
          <w:p>
            <w:pPr>
              <w:tabs>
                <w:tab w:val="left" w:pos="2206"/>
              </w:tabs>
              <w:spacing w:line="360" w:lineRule="auto"/>
              <w:rPr>
                <w:rFonts w:hint="default" w:ascii="Times New Roman Regular" w:hAnsi="Times New Roman Regular" w:cs="Times New Roman Regular"/>
                <w:sz w:val="24"/>
                <w:szCs w:val="24"/>
                <w:u w:val="none"/>
              </w:rPr>
            </w:pPr>
          </w:p>
        </w:tc>
        <w:tc>
          <w:tcPr>
            <w:tcW w:w="1056"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35.96</w:t>
            </w:r>
          </w:p>
        </w:tc>
        <w:tc>
          <w:tcPr>
            <w:tcW w:w="1059"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6.27</w:t>
            </w:r>
          </w:p>
        </w:tc>
        <w:tc>
          <w:tcPr>
            <w:tcW w:w="1115" w:type="dxa"/>
          </w:tcPr>
          <w:p>
            <w:pPr>
              <w:tabs>
                <w:tab w:val="left" w:pos="2206"/>
              </w:tabs>
              <w:spacing w:line="360" w:lineRule="auto"/>
              <w:rPr>
                <w:rFonts w:hint="default" w:ascii="Times New Roman Regular" w:hAnsi="Times New Roman Regular" w:cs="Times New Roman Regular"/>
                <w:sz w:val="24"/>
                <w:szCs w:val="24"/>
                <w:u w:val="none"/>
              </w:rPr>
            </w:pPr>
          </w:p>
        </w:tc>
      </w:tr>
      <w:tr>
        <w:tc>
          <w:tcPr>
            <w:tcW w:w="1063"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ROE (after tax)%</w:t>
            </w:r>
          </w:p>
        </w:tc>
        <w:tc>
          <w:tcPr>
            <w:tcW w:w="1055"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0.18</w:t>
            </w:r>
          </w:p>
        </w:tc>
        <w:tc>
          <w:tcPr>
            <w:tcW w:w="1055" w:type="dxa"/>
          </w:tcPr>
          <w:p>
            <w:pPr>
              <w:tabs>
                <w:tab w:val="left" w:pos="2206"/>
              </w:tabs>
              <w:spacing w:line="360" w:lineRule="auto"/>
              <w:rPr>
                <w:rFonts w:hint="default" w:ascii="Times New Roman Regular" w:hAnsi="Times New Roman Regular" w:cs="Times New Roman Regular"/>
                <w:sz w:val="24"/>
                <w:szCs w:val="24"/>
                <w:u w:val="none"/>
              </w:rPr>
            </w:pPr>
          </w:p>
        </w:tc>
        <w:tc>
          <w:tcPr>
            <w:tcW w:w="1055"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-1.71</w:t>
            </w:r>
          </w:p>
        </w:tc>
        <w:tc>
          <w:tcPr>
            <w:tcW w:w="1064" w:type="dxa"/>
          </w:tcPr>
          <w:p>
            <w:pPr>
              <w:tabs>
                <w:tab w:val="left" w:pos="2206"/>
              </w:tabs>
              <w:spacing w:line="360" w:lineRule="auto"/>
              <w:rPr>
                <w:rFonts w:hint="default" w:ascii="Times New Roman Regular" w:hAnsi="Times New Roman Regular" w:cs="Times New Roman Regular"/>
                <w:sz w:val="24"/>
                <w:szCs w:val="24"/>
                <w:u w:val="none"/>
              </w:rPr>
            </w:pPr>
          </w:p>
        </w:tc>
        <w:tc>
          <w:tcPr>
            <w:tcW w:w="1056"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21.39</w:t>
            </w:r>
          </w:p>
        </w:tc>
        <w:tc>
          <w:tcPr>
            <w:tcW w:w="1059"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24.4</w:t>
            </w:r>
          </w:p>
        </w:tc>
        <w:tc>
          <w:tcPr>
            <w:tcW w:w="1115" w:type="dxa"/>
          </w:tcPr>
          <w:p>
            <w:pPr>
              <w:tabs>
                <w:tab w:val="left" w:pos="2206"/>
              </w:tabs>
              <w:spacing w:line="360" w:lineRule="auto"/>
              <w:rPr>
                <w:rFonts w:hint="default" w:ascii="Times New Roman Regular" w:hAnsi="Times New Roman Regular" w:cs="Times New Roman Regular"/>
                <w:sz w:val="24"/>
                <w:szCs w:val="24"/>
                <w:u w:val="none"/>
              </w:rPr>
            </w:pPr>
          </w:p>
        </w:tc>
      </w:tr>
    </w:tbl>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Good corporate governance can help to build up good reputation. Good reputation can help to raise fund by various channel, such as bond, equity and borrowings. Though the above table showing negative ROA and ROE of Carlsberg, good corporate governance can mitigate different kind of risk, such as reputation risk, credit risk, political risk, etc. </w:t>
      </w: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Bold" w:hAnsi="Times New Roman Bold" w:cs="Times New Roman Bold"/>
          <w:b/>
          <w:bCs/>
          <w:sz w:val="24"/>
          <w:szCs w:val="24"/>
          <w:u w:val="single"/>
          <w:lang w:eastAsia="zh-TW"/>
        </w:rPr>
      </w:pPr>
      <w:r>
        <w:rPr>
          <w:rFonts w:hint="default" w:ascii="Times New Roman Bold" w:hAnsi="Times New Roman Bold" w:cs="Times New Roman Bold"/>
          <w:b/>
          <w:bCs/>
          <w:sz w:val="24"/>
          <w:szCs w:val="24"/>
          <w:u w:val="single"/>
          <w:lang w:eastAsia="zh-TW"/>
        </w:rPr>
        <w:t>Connected Transaction through the minority shareholders’ interests</w:t>
      </w: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Carlsberg Foundation which is the parent company of Carlsberg received the dividend of DKK 27 per share from Carlsberg. </w:t>
      </w:r>
    </w:p>
    <w:p>
      <w:pPr>
        <w:tabs>
          <w:tab w:val="left" w:pos="2206"/>
        </w:tabs>
        <w:spacing w:line="360" w:lineRule="auto"/>
        <w:rPr>
          <w:rFonts w:hint="default" w:ascii="Times New Roman Bold" w:hAnsi="Times New Roman Bold" w:cs="Times New Roman Bold"/>
          <w:b/>
          <w:bCs/>
          <w:sz w:val="24"/>
          <w:szCs w:val="24"/>
          <w:lang w:eastAsia="zh-TW"/>
        </w:rPr>
      </w:pPr>
    </w:p>
    <w:p>
      <w:pPr>
        <w:tabs>
          <w:tab w:val="left" w:pos="2206"/>
        </w:tabs>
        <w:spacing w:line="360" w:lineRule="auto"/>
        <w:rPr>
          <w:rFonts w:hint="default" w:ascii="Times New Roman Bold" w:hAnsi="Times New Roman Bold" w:cs="Times New Roman Bold"/>
          <w:b/>
          <w:bCs/>
          <w:sz w:val="24"/>
          <w:szCs w:val="24"/>
          <w:u w:val="single"/>
          <w:lang w:eastAsia="zh-TW"/>
        </w:rPr>
      </w:pPr>
      <w:r>
        <w:rPr>
          <w:rFonts w:hint="default" w:ascii="Times New Roman Bold" w:hAnsi="Times New Roman Bold" w:cs="Times New Roman Bold"/>
          <w:b/>
          <w:bCs/>
          <w:sz w:val="24"/>
          <w:szCs w:val="24"/>
          <w:u w:val="single"/>
          <w:lang w:eastAsia="zh-TW"/>
        </w:rPr>
        <w:t>Monitor Board of Director Failure</w:t>
      </w: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Carlsberg supervisory Board has 13 members of whom 8 members were elected by the General Meeting and 5 members were elected by the employees. Furthermore, the supervisory board had assigned an Audit Committee for monitoring the financial reporting process, the internal control and risk management, internal audit , external audit of financial reporting and its independency, ESG process, etc. </w:t>
      </w:r>
    </w:p>
    <w:p>
      <w:pPr>
        <w:tabs>
          <w:tab w:val="left" w:pos="2206"/>
        </w:tabs>
        <w:spacing w:line="360" w:lineRule="auto"/>
        <w:rPr>
          <w:rFonts w:hint="default" w:ascii="Times New Roman Bold" w:hAnsi="Times New Roman Bold" w:cs="Times New Roman Bold"/>
          <w:b/>
          <w:bCs/>
          <w:sz w:val="24"/>
          <w:szCs w:val="24"/>
          <w:u w:val="single"/>
          <w:lang w:eastAsia="zh-TW"/>
        </w:rPr>
      </w:pPr>
      <w:r>
        <w:rPr>
          <w:rFonts w:hint="default" w:ascii="Times New Roman Bold" w:hAnsi="Times New Roman Bold" w:cs="Times New Roman Bold"/>
          <w:b/>
          <w:bCs/>
          <w:sz w:val="24"/>
          <w:szCs w:val="24"/>
          <w:u w:val="single"/>
          <w:lang w:eastAsia="zh-TW"/>
        </w:rPr>
        <w:t>Credit Risk</w:t>
      </w:r>
    </w:p>
    <w:p>
      <w:pPr>
        <w:tabs>
          <w:tab w:val="left" w:pos="2206"/>
        </w:tabs>
        <w:spacing w:line="360" w:lineRule="auto"/>
        <w:rPr>
          <w:rFonts w:hint="default" w:ascii="Times New Roman Regular" w:hAnsi="Times New Roman Regular" w:cs="Times New Roman Regular"/>
          <w:sz w:val="24"/>
          <w:szCs w:val="24"/>
          <w:lang w:val="en-US" w:eastAsia="zh-TW"/>
        </w:rPr>
      </w:pPr>
      <w:r>
        <w:rPr>
          <w:rFonts w:hint="default" w:ascii="Times New Roman Regular" w:hAnsi="Times New Roman Regular" w:cs="Times New Roman Regular"/>
          <w:sz w:val="24"/>
          <w:szCs w:val="24"/>
          <w:lang w:eastAsia="zh-TW"/>
        </w:rPr>
        <w:t>Cash and cash equivalents (including deposits), and derivatives financial instruments with a positive fair value exposed some credit risks for Carlsberg. Carlsberg had credit policy for monitoring its credit risk on cash and cash equivalents and derivatives. First, Carlsberg only entered into financial institutions with credit rating BBB. Second, Carlsberg only entered into FX and aluminum derivatives with existing related bank. The risk was also mitigated by signing ISDA. ISDA is a standardized contract for over-the-counter (OTC) derivatives transactions</w:t>
      </w:r>
      <w:r>
        <w:rPr>
          <w:rFonts w:hint="default" w:ascii="Times New Roman Regular" w:hAnsi="Times New Roman Regular" w:cs="Times New Roman Regular"/>
          <w:sz w:val="24"/>
          <w:szCs w:val="24"/>
          <w:lang w:val="en-US" w:eastAsia="zh-TW"/>
        </w:rPr>
        <w:t xml:space="preserve"> ( James Chen, 2024</w:t>
      </w:r>
      <w:r>
        <w:rPr>
          <w:rFonts w:hint="default" w:ascii="Times New Roman Regular" w:hAnsi="Times New Roman Regular" w:cs="Times New Roman Regular"/>
          <w:sz w:val="24"/>
          <w:szCs w:val="24"/>
          <w:lang w:eastAsia="zh-TW"/>
        </w:rPr>
        <w:t>)</w:t>
      </w:r>
      <w:r>
        <w:rPr>
          <w:rFonts w:hint="default" w:ascii="Times New Roman Regular" w:hAnsi="Times New Roman Regular" w:cs="Times New Roman Regular"/>
          <w:sz w:val="24"/>
          <w:szCs w:val="24"/>
          <w:lang w:val="en-US" w:eastAsia="zh-TW"/>
        </w:rPr>
        <w:t>.</w:t>
      </w: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Furthermore, the credit risk for on trade receivables, which was granted to the buyer by Carlsberg, was assessed locally and monitored by Group level in order to mitigate the credit risk.</w:t>
      </w: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Thus, the credit risk associated by the cash and cash equivalents, derivatives and trade receivables were assessed and monitored by the Group and its subsidiaries. Carlsberg was believed having appropriate policy and procedures to mitigate the credit risk. </w:t>
      </w:r>
    </w:p>
    <w:p>
      <w:pPr>
        <w:tabs>
          <w:tab w:val="left" w:pos="2206"/>
        </w:tabs>
        <w:spacing w:line="360" w:lineRule="auto"/>
        <w:rPr>
          <w:rFonts w:hint="default" w:ascii="Times New Roman Regular" w:hAnsi="Times New Roman Regular" w:cs="Times New Roman Regular"/>
          <w:sz w:val="24"/>
          <w:szCs w:val="24"/>
          <w:lang w:eastAsia="zh-TW"/>
        </w:rPr>
      </w:pPr>
    </w:p>
    <w:p>
      <w:pPr>
        <w:pStyle w:val="3"/>
        <w:spacing w:line="360" w:lineRule="auto"/>
        <w:rPr>
          <w:rFonts w:hint="default" w:ascii="Times New Roman Regular" w:hAnsi="Times New Roman Regular" w:cs="Times New Roman Regular"/>
          <w:sz w:val="24"/>
          <w:szCs w:val="24"/>
        </w:rPr>
      </w:pPr>
      <w:bookmarkStart w:id="20" w:name="_Toc176358773"/>
      <w:r>
        <w:rPr>
          <w:rFonts w:hint="default" w:ascii="Times New Roman Regular" w:hAnsi="Times New Roman Regular" w:cs="Times New Roman Regular"/>
          <w:color w:val="auto"/>
          <w:sz w:val="24"/>
          <w:szCs w:val="24"/>
        </w:rPr>
        <w:t>3.3 Suggestions for improvement</w:t>
      </w:r>
      <w:bookmarkEnd w:id="20"/>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First of all, Carlsberg’s net profit margin was only break-even for the past 3 years due to its high sales and distribution expenses. In which, the marketing expenses and distribution expense were the majority of sales and distribution expenses for Carlsberg. </w:t>
      </w: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Therefore, there are some suggestions for enhancing the net profit margin. Carlsberg can consider to open sales store in order to sell the product directly to its end user. Firstly, the energy price had been risen significantly in recent years, the distribution cost was expected to increase in the future, so distribution cost could be reduced. Secondly, setting up sales store also can help to reduce the marketing expenses. Carlsberg’s marketing expenses was mainly attributable to advertising through various channels. Setting up sales store also can have the effect on reminding its brands to the end-users. </w:t>
      </w: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Besides, the public has more focus on health and well-being. Carlsberg is well-known as a market leader in brewer, so there is a concern that the sales of beer and alcohol will be reduced because the health concern of public is greater than before. Carlsberg may consider to shift some focus on selling the non-alcohol or sport drinks. More and more people would prefer to spend more money on health products, rather than beers. Thus, the net profit can be risen due to higher gross profit and lower marketing expenses.</w:t>
      </w:r>
    </w:p>
    <w:p>
      <w:pPr>
        <w:widowControl/>
        <w:spacing w:line="360" w:lineRule="auto"/>
        <w:jc w:val="left"/>
        <w:rPr>
          <w:rFonts w:hint="default" w:ascii="Times New Roman Regular" w:hAnsi="Times New Roman Regular" w:cs="Times New Roman Regular"/>
          <w:sz w:val="24"/>
          <w:szCs w:val="24"/>
          <w:lang w:eastAsia="zh-TW"/>
        </w:rPr>
      </w:pPr>
    </w:p>
    <w:p>
      <w:pPr>
        <w:pStyle w:val="2"/>
        <w:numPr>
          <w:ilvl w:val="3"/>
          <w:numId w:val="3"/>
        </w:numPr>
        <w:spacing w:line="360" w:lineRule="auto"/>
        <w:rPr>
          <w:rFonts w:hint="default" w:ascii="Times New Roman Regular" w:hAnsi="Times New Roman Regular" w:cs="Times New Roman Regular"/>
          <w:sz w:val="24"/>
          <w:szCs w:val="24"/>
          <w:lang w:eastAsia="zh-TW"/>
        </w:rPr>
      </w:pPr>
      <w:bookmarkStart w:id="21" w:name="_Toc176358774"/>
      <w:r>
        <w:rPr>
          <w:rFonts w:hint="default" w:ascii="Times New Roman Regular" w:hAnsi="Times New Roman Regular" w:cs="Times New Roman Regular"/>
          <w:color w:val="auto"/>
          <w:sz w:val="24"/>
          <w:szCs w:val="24"/>
        </w:rPr>
        <w:t>Investment Project Appraisal</w:t>
      </w:r>
      <w:bookmarkEnd w:id="21"/>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By viewing various dimensions of Carlsberg, the pain point for Carlsberg was having low net profit margin. The problem was mainly attributable to the high sales and distribution expenses. We suggest that Carlsberg could set up a sales and marketing store in order to sell various products directly to the end users and promote the alcohol and non-alcohol drinks to the public. Thus, it could help to reduce the distribution expense and marketing expenses. </w:t>
      </w: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Moreover, facing with the new market trend of more focusing on health lifestyle, people prefer to spend more money on the healthy products and may quit alcohol. Carlsberg is better to deploy more resources on non-alcohol and sport drinks. Thus, setting up a sales and marketing store can help Carlsberg to promote its non-alcohol and sport drinks. As people prefer to spend more money on healthy products, Carlsberg’s gross profit is believed to increase because of selling higher gross profit drinks. </w:t>
      </w:r>
    </w:p>
    <w:p>
      <w:pPr>
        <w:tabs>
          <w:tab w:val="left" w:pos="2206"/>
        </w:tabs>
        <w:spacing w:line="360" w:lineRule="auto"/>
        <w:rPr>
          <w:rFonts w:hint="default" w:ascii="Times New Roman Regular" w:hAnsi="Times New Roman Regular" w:cs="Times New Roman Regular"/>
          <w:color w:val="auto"/>
          <w:sz w:val="24"/>
          <w:szCs w:val="24"/>
          <w:u w:val="single"/>
        </w:rPr>
      </w:pPr>
    </w:p>
    <w:p>
      <w:pPr>
        <w:pStyle w:val="3"/>
        <w:spacing w:line="360" w:lineRule="auto"/>
        <w:rPr>
          <w:rFonts w:hint="default" w:ascii="Times New Roman Regular" w:hAnsi="Times New Roman Regular" w:cs="Times New Roman Regular"/>
          <w:color w:val="auto"/>
          <w:sz w:val="24"/>
          <w:szCs w:val="24"/>
        </w:rPr>
      </w:pPr>
      <w:bookmarkStart w:id="22" w:name="_Toc176358775"/>
      <w:r>
        <w:rPr>
          <w:rFonts w:hint="default" w:ascii="Times New Roman Regular" w:hAnsi="Times New Roman Regular" w:cs="Times New Roman Regular"/>
          <w:color w:val="auto"/>
          <w:sz w:val="24"/>
          <w:szCs w:val="24"/>
          <w:lang w:eastAsia="zh-TW"/>
        </w:rPr>
        <w:t>4.1 Investment Project description</w:t>
      </w:r>
      <w:bookmarkEnd w:id="22"/>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We would like to suggest Carlsberg to open marketing and selling store in order to improve the pain point of its business. </w:t>
      </w: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The store is not only a sales store, but also acting as a marketing store, like beverage tasting, exhibition about Carlsberg and holding different kind of marketing activities. There are about 140 brands under Carlsberg, including alcohol and non alcohol drinks. A lot of people may not recognize all of the products or brands under Carlsberg. The sales and marketing store can help to drive the attentions and provide the information to the public. The exhibition is free entry for attracting more people to visit. Thus, the sales and marketing store can also help to promote its brand, the market share is expected to grow. Furthermore, the living style of the public has been changed for a long time as less time is spent on the television for the people, especially for generation Z. The advertising style is different nowadays. Beverage tasting can provide the new experience for the young people and let them know various Carlsberg’s products in a single visit. Carlsberg’s image can be believed to enhance with lower marketing cost, it can help to improve the net profit margin. </w:t>
      </w: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Moreover, the sales and marketing store is a direct sales point for the end user. The sales point can help to decrease the distribution expense as the products are directly delivered to the end users. Hence, the gross profit margin is expected to increase due to those sales in sales and marketing selling without intermediate involved. Larger gross profit can help to generate higher net profit margin as well.</w:t>
      </w: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As Carlsberg is now developing China and Vietnam market for business expansion, the sales and marketing store is suggested to be opened in Denmark, UK, Vietnam, Hong Kong and China firstly as a testing point, and then Carlsberg can further develop the market in China by opening more sales and marketing stores. Hong Kong is an international and modern city with western and Chinese culture and well-developed legislation system. The store can deliver the marketing effect to the travelers from China in order to expand the China market indirectly. Beijing, Shanghai, Tianjin are also suggested for setting up the sales and marketing stores. We suggested to open around 220 stores all over the world. </w:t>
      </w: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Regular" w:hAnsi="Times New Roman Regular" w:cs="Times New Roman Regular"/>
          <w:sz w:val="24"/>
          <w:szCs w:val="24"/>
          <w:u w:val="single"/>
        </w:rPr>
      </w:pPr>
    </w:p>
    <w:p>
      <w:pPr>
        <w:pStyle w:val="3"/>
        <w:spacing w:line="360" w:lineRule="auto"/>
        <w:rPr>
          <w:rFonts w:hint="default" w:ascii="Times New Roman Regular" w:hAnsi="Times New Roman Regular" w:cs="Times New Roman Regular"/>
          <w:color w:val="auto"/>
          <w:sz w:val="24"/>
          <w:szCs w:val="24"/>
        </w:rPr>
      </w:pPr>
      <w:bookmarkStart w:id="23" w:name="_Toc176358776"/>
      <w:r>
        <w:rPr>
          <w:rFonts w:hint="default" w:ascii="Times New Roman Regular" w:hAnsi="Times New Roman Regular" w:cs="Times New Roman Regular"/>
          <w:color w:val="auto"/>
          <w:sz w:val="24"/>
          <w:szCs w:val="24"/>
        </w:rPr>
        <w:t>4.2 Project items basic information</w:t>
      </w:r>
      <w:bookmarkEnd w:id="23"/>
    </w:p>
    <w:p>
      <w:pPr>
        <w:tabs>
          <w:tab w:val="left" w:pos="2206"/>
        </w:tabs>
        <w:spacing w:line="360" w:lineRule="auto"/>
        <w:rPr>
          <w:rFonts w:hint="default" w:ascii="Times New Roman Regular" w:hAnsi="Times New Roman Regular" w:cs="Times New Roman Regular"/>
          <w:sz w:val="24"/>
          <w:szCs w:val="24"/>
          <w:u w:val="single"/>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794"/>
        <w:gridCol w:w="1520"/>
        <w:gridCol w:w="3581"/>
      </w:tblGrid>
      <w:tr>
        <w:trPr>
          <w:trHeight w:val="302" w:hRule="atLeast"/>
        </w:trPr>
        <w:tc>
          <w:tcPr>
            <w:tcW w:w="379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Project Costs</w:t>
            </w:r>
          </w:p>
        </w:tc>
        <w:tc>
          <w:tcPr>
            <w:tcW w:w="1520" w:type="dxa"/>
          </w:tcPr>
          <w:p>
            <w:pPr>
              <w:tabs>
                <w:tab w:val="left" w:pos="2206"/>
              </w:tabs>
              <w:spacing w:line="360" w:lineRule="auto"/>
              <w:rPr>
                <w:rFonts w:hint="default" w:ascii="Times New Roman Regular" w:hAnsi="Times New Roman Regular" w:cs="Times New Roman Regular"/>
                <w:sz w:val="24"/>
                <w:szCs w:val="24"/>
              </w:rPr>
            </w:pPr>
          </w:p>
        </w:tc>
        <w:tc>
          <w:tcPr>
            <w:tcW w:w="3580"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Remarks</w:t>
            </w:r>
          </w:p>
        </w:tc>
      </w:tr>
      <w:tr>
        <w:trPr>
          <w:trHeight w:val="953" w:hRule="atLeast"/>
        </w:trPr>
        <w:tc>
          <w:tcPr>
            <w:tcW w:w="3794" w:type="dxa"/>
          </w:tcPr>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No of stores </w:t>
            </w:r>
          </w:p>
        </w:tc>
        <w:tc>
          <w:tcPr>
            <w:tcW w:w="1520" w:type="dxa"/>
          </w:tcPr>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220</w:t>
            </w:r>
          </w:p>
        </w:tc>
        <w:tc>
          <w:tcPr>
            <w:tcW w:w="3580" w:type="dxa"/>
          </w:tcPr>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The stores will be set up in China, HK, UK , Vietnam and other countries</w:t>
            </w:r>
          </w:p>
        </w:tc>
      </w:tr>
      <w:tr>
        <w:trPr>
          <w:trHeight w:val="620" w:hRule="atLeast"/>
        </w:trPr>
        <w:tc>
          <w:tcPr>
            <w:tcW w:w="3794" w:type="dxa"/>
          </w:tcPr>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Cost for store, equipment and furniture</w:t>
            </w:r>
          </w:p>
        </w:tc>
        <w:tc>
          <w:tcPr>
            <w:tcW w:w="1520"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HKD </w:t>
            </w:r>
            <w:r>
              <w:rPr>
                <w:rFonts w:hint="default" w:ascii="Times New Roman Regular" w:hAnsi="Times New Roman Regular" w:cs="Times New Roman Regular"/>
                <w:sz w:val="24"/>
                <w:szCs w:val="24"/>
                <w:lang w:eastAsia="zh-TW"/>
              </w:rPr>
              <w:t>7</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eastAsia="zh-TW"/>
              </w:rPr>
              <w:t>3</w:t>
            </w:r>
            <w:r>
              <w:rPr>
                <w:rFonts w:hint="default" w:ascii="Times New Roman Regular" w:hAnsi="Times New Roman Regular" w:cs="Times New Roman Regular"/>
                <w:sz w:val="24"/>
                <w:szCs w:val="24"/>
              </w:rPr>
              <w:t>38M</w:t>
            </w:r>
          </w:p>
        </w:tc>
        <w:tc>
          <w:tcPr>
            <w:tcW w:w="3580" w:type="dxa"/>
          </w:tcPr>
          <w:p>
            <w:pPr>
              <w:tabs>
                <w:tab w:val="left" w:pos="2206"/>
              </w:tabs>
              <w:spacing w:line="360" w:lineRule="auto"/>
              <w:rPr>
                <w:rFonts w:hint="default" w:ascii="Times New Roman Regular" w:hAnsi="Times New Roman Regular" w:cs="Times New Roman Regular"/>
                <w:sz w:val="24"/>
                <w:szCs w:val="24"/>
              </w:rPr>
            </w:pPr>
            <w:bookmarkStart w:id="24" w:name="OLE_LINK2"/>
            <w:r>
              <w:rPr>
                <w:rFonts w:hint="default" w:ascii="Times New Roman Regular" w:hAnsi="Times New Roman Regular" w:cs="Times New Roman Regular"/>
                <w:sz w:val="24"/>
                <w:szCs w:val="24"/>
              </w:rPr>
              <w:t>Total cost of all stores</w:t>
            </w:r>
            <w:bookmarkEnd w:id="24"/>
          </w:p>
        </w:tc>
      </w:tr>
      <w:tr>
        <w:trPr>
          <w:trHeight w:val="620" w:hRule="atLeast"/>
        </w:trPr>
        <w:tc>
          <w:tcPr>
            <w:tcW w:w="379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Decoration </w:t>
            </w:r>
          </w:p>
        </w:tc>
        <w:tc>
          <w:tcPr>
            <w:tcW w:w="1520"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eastAsia="zh-TW"/>
              </w:rPr>
              <w:t>HKD 1,</w:t>
            </w:r>
            <w:r>
              <w:rPr>
                <w:rFonts w:hint="default" w:ascii="Times New Roman Regular" w:hAnsi="Times New Roman Regular" w:cs="Times New Roman Regular"/>
                <w:sz w:val="24"/>
                <w:szCs w:val="24"/>
              </w:rPr>
              <w:t>500M</w:t>
            </w:r>
          </w:p>
        </w:tc>
        <w:tc>
          <w:tcPr>
            <w:tcW w:w="3580"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Total cost of all stores</w:t>
            </w:r>
          </w:p>
        </w:tc>
      </w:tr>
      <w:tr>
        <w:trPr>
          <w:trHeight w:val="620" w:hRule="atLeast"/>
        </w:trPr>
        <w:tc>
          <w:tcPr>
            <w:tcW w:w="379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Total cost</w:t>
            </w:r>
          </w:p>
        </w:tc>
        <w:tc>
          <w:tcPr>
            <w:tcW w:w="1520" w:type="dxa"/>
          </w:tcPr>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HKD 8,538M</w:t>
            </w:r>
          </w:p>
        </w:tc>
        <w:tc>
          <w:tcPr>
            <w:tcW w:w="3580"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vale of the fixed assets</w:t>
            </w:r>
          </w:p>
        </w:tc>
      </w:tr>
      <w:tr>
        <w:trPr>
          <w:trHeight w:val="938" w:hRule="atLeast"/>
        </w:trPr>
        <w:tc>
          <w:tcPr>
            <w:tcW w:w="379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Remaining basic information</w:t>
            </w:r>
          </w:p>
        </w:tc>
        <w:tc>
          <w:tcPr>
            <w:tcW w:w="5101" w:type="dxa"/>
            <w:gridSpan w:val="2"/>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-Allocate 20 staffs for each store</w:t>
            </w:r>
          </w:p>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-Maximize the usage of AI and automatic services in order to reduce the labor cost.</w:t>
            </w:r>
          </w:p>
        </w:tc>
      </w:tr>
      <w:tr>
        <w:trPr>
          <w:trHeight w:val="317" w:hRule="atLeast"/>
        </w:trPr>
        <w:tc>
          <w:tcPr>
            <w:tcW w:w="379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Carlsberg store depreciation years</w:t>
            </w:r>
          </w:p>
        </w:tc>
        <w:tc>
          <w:tcPr>
            <w:tcW w:w="1520" w:type="dxa"/>
          </w:tcPr>
          <w:p>
            <w:pPr>
              <w:tabs>
                <w:tab w:val="left" w:pos="2206"/>
              </w:tabs>
              <w:spacing w:line="360" w:lineRule="auto"/>
              <w:rPr>
                <w:rFonts w:hint="default" w:ascii="Times New Roman Regular" w:hAnsi="Times New Roman Regular" w:cs="Times New Roman Regular"/>
                <w:sz w:val="24"/>
                <w:szCs w:val="24"/>
                <w:u w:val="none"/>
                <w:lang w:eastAsia="zh-TW"/>
              </w:rPr>
            </w:pPr>
            <w:r>
              <w:rPr>
                <w:rFonts w:hint="default" w:ascii="Times New Roman Regular" w:hAnsi="Times New Roman Regular" w:cs="Times New Roman Regular"/>
                <w:sz w:val="24"/>
                <w:szCs w:val="24"/>
                <w:u w:val="none"/>
                <w:lang w:eastAsia="zh-TW"/>
              </w:rPr>
              <w:t>5</w:t>
            </w:r>
          </w:p>
        </w:tc>
        <w:tc>
          <w:tcPr>
            <w:tcW w:w="3580" w:type="dxa"/>
          </w:tcPr>
          <w:p>
            <w:pPr>
              <w:tabs>
                <w:tab w:val="left" w:pos="2206"/>
              </w:tabs>
              <w:spacing w:line="360" w:lineRule="auto"/>
              <w:rPr>
                <w:rFonts w:hint="default" w:ascii="Times New Roman Regular" w:hAnsi="Times New Roman Regular" w:cs="Times New Roman Regular"/>
                <w:sz w:val="24"/>
                <w:szCs w:val="24"/>
                <w:u w:val="none"/>
              </w:rPr>
            </w:pPr>
          </w:p>
        </w:tc>
      </w:tr>
      <w:tr>
        <w:trPr>
          <w:trHeight w:val="302" w:hRule="atLeast"/>
        </w:trPr>
        <w:tc>
          <w:tcPr>
            <w:tcW w:w="379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Decoration period (years)</w:t>
            </w:r>
          </w:p>
        </w:tc>
        <w:tc>
          <w:tcPr>
            <w:tcW w:w="1520" w:type="dxa"/>
          </w:tcPr>
          <w:p>
            <w:pPr>
              <w:tabs>
                <w:tab w:val="left" w:pos="2206"/>
              </w:tabs>
              <w:spacing w:line="360" w:lineRule="auto"/>
              <w:rPr>
                <w:rFonts w:hint="default" w:ascii="Times New Roman Regular" w:hAnsi="Times New Roman Regular" w:cs="Times New Roman Regular"/>
                <w:sz w:val="24"/>
                <w:szCs w:val="24"/>
                <w:u w:val="none"/>
                <w:lang w:eastAsia="zh-TW"/>
              </w:rPr>
            </w:pPr>
            <w:r>
              <w:rPr>
                <w:rFonts w:hint="default" w:ascii="Times New Roman Regular" w:hAnsi="Times New Roman Regular" w:cs="Times New Roman Regular"/>
                <w:sz w:val="24"/>
                <w:szCs w:val="24"/>
                <w:u w:val="none"/>
                <w:lang w:eastAsia="zh-TW"/>
              </w:rPr>
              <w:t>1years</w:t>
            </w:r>
          </w:p>
        </w:tc>
        <w:tc>
          <w:tcPr>
            <w:tcW w:w="3580" w:type="dxa"/>
          </w:tcPr>
          <w:p>
            <w:pPr>
              <w:tabs>
                <w:tab w:val="left" w:pos="2206"/>
              </w:tabs>
              <w:spacing w:line="360" w:lineRule="auto"/>
              <w:rPr>
                <w:rFonts w:hint="default" w:ascii="Times New Roman Regular" w:hAnsi="Times New Roman Regular" w:cs="Times New Roman Regular"/>
                <w:sz w:val="24"/>
                <w:szCs w:val="24"/>
                <w:u w:val="none"/>
              </w:rPr>
            </w:pPr>
          </w:p>
        </w:tc>
      </w:tr>
      <w:tr>
        <w:trPr>
          <w:trHeight w:val="317" w:hRule="atLeast"/>
        </w:trPr>
        <w:tc>
          <w:tcPr>
            <w:tcW w:w="379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Ultimate growth rate</w:t>
            </w:r>
          </w:p>
        </w:tc>
        <w:tc>
          <w:tcPr>
            <w:tcW w:w="1520" w:type="dxa"/>
          </w:tcPr>
          <w:p>
            <w:pPr>
              <w:tabs>
                <w:tab w:val="left" w:pos="2206"/>
              </w:tabs>
              <w:spacing w:line="360" w:lineRule="auto"/>
              <w:rPr>
                <w:rFonts w:hint="default" w:ascii="Times New Roman Regular" w:hAnsi="Times New Roman Regular" w:cs="Times New Roman Regular"/>
                <w:sz w:val="24"/>
                <w:szCs w:val="24"/>
                <w:u w:val="none"/>
                <w:lang w:eastAsia="zh-TW"/>
              </w:rPr>
            </w:pPr>
            <w:r>
              <w:rPr>
                <w:rFonts w:hint="default" w:ascii="Times New Roman Regular" w:hAnsi="Times New Roman Regular" w:cs="Times New Roman Regular"/>
                <w:sz w:val="24"/>
                <w:szCs w:val="24"/>
                <w:u w:val="none"/>
                <w:lang w:eastAsia="zh-TW"/>
              </w:rPr>
              <w:t>3%</w:t>
            </w:r>
          </w:p>
        </w:tc>
        <w:tc>
          <w:tcPr>
            <w:tcW w:w="3580"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Align with the inflation rate</w:t>
            </w:r>
          </w:p>
        </w:tc>
      </w:tr>
      <w:tr>
        <w:trPr>
          <w:trHeight w:val="620" w:hRule="atLeast"/>
        </w:trPr>
        <w:tc>
          <w:tcPr>
            <w:tcW w:w="379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EBITDA (%)</w:t>
            </w:r>
          </w:p>
        </w:tc>
        <w:tc>
          <w:tcPr>
            <w:tcW w:w="1520" w:type="dxa"/>
          </w:tcPr>
          <w:p>
            <w:pPr>
              <w:tabs>
                <w:tab w:val="left" w:pos="2206"/>
              </w:tabs>
              <w:spacing w:line="360" w:lineRule="auto"/>
              <w:rPr>
                <w:rFonts w:hint="default" w:ascii="Times New Roman Regular" w:hAnsi="Times New Roman Regular" w:cs="Times New Roman Regular"/>
                <w:sz w:val="24"/>
                <w:szCs w:val="24"/>
                <w:u w:val="none"/>
                <w:lang w:eastAsia="zh-TW"/>
              </w:rPr>
            </w:pPr>
            <w:r>
              <w:rPr>
                <w:rFonts w:hint="default" w:ascii="Times New Roman Regular" w:hAnsi="Times New Roman Regular" w:cs="Times New Roman Regular"/>
                <w:sz w:val="24"/>
                <w:szCs w:val="24"/>
                <w:u w:val="none"/>
                <w:lang w:eastAsia="zh-TW"/>
              </w:rPr>
              <w:t>20%</w:t>
            </w:r>
          </w:p>
        </w:tc>
        <w:tc>
          <w:tcPr>
            <w:tcW w:w="3580"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 xml:space="preserve">Assume EBITDA ratio will remain steady for the coming 5 years. </w:t>
            </w:r>
          </w:p>
        </w:tc>
      </w:tr>
      <w:tr>
        <w:trPr>
          <w:trHeight w:val="620" w:hRule="atLeast"/>
        </w:trPr>
        <w:tc>
          <w:tcPr>
            <w:tcW w:w="3794"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Operating period (days)</w:t>
            </w:r>
          </w:p>
        </w:tc>
        <w:tc>
          <w:tcPr>
            <w:tcW w:w="1520"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365</w:t>
            </w:r>
          </w:p>
        </w:tc>
        <w:tc>
          <w:tcPr>
            <w:tcW w:w="3580" w:type="dxa"/>
          </w:tcPr>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 xml:space="preserve">The stores will be opened every day </w:t>
            </w:r>
          </w:p>
        </w:tc>
      </w:tr>
    </w:tbl>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rPr>
        <w:t>Carlsberg’s cash an</w:t>
      </w:r>
      <w:r>
        <w:rPr>
          <w:rFonts w:hint="default" w:ascii="Times New Roman Regular" w:hAnsi="Times New Roman Regular" w:cs="Times New Roman Regular"/>
          <w:sz w:val="24"/>
          <w:szCs w:val="24"/>
          <w:lang w:eastAsia="zh-TW"/>
        </w:rPr>
        <w:t>d</w:t>
      </w:r>
      <w:r>
        <w:rPr>
          <w:rFonts w:hint="default" w:ascii="Times New Roman Regular" w:hAnsi="Times New Roman Regular" w:cs="Times New Roman Regular"/>
          <w:sz w:val="24"/>
          <w:szCs w:val="24"/>
        </w:rPr>
        <w:t xml:space="preserve"> cash equivalent stayed affluent as stood at DKK13,382M (HKD 15,523M). We suggest Carlsberg to utilize </w:t>
      </w:r>
      <w:r>
        <w:rPr>
          <w:rFonts w:hint="default" w:ascii="Times New Roman Regular" w:hAnsi="Times New Roman Regular" w:cs="Times New Roman Regular"/>
          <w:sz w:val="24"/>
          <w:szCs w:val="24"/>
          <w:lang w:eastAsia="zh-TW"/>
        </w:rPr>
        <w:t xml:space="preserve">its retained earnings for initiating this project. Retained earning stood at DKK23,306M (Approximately HKD27,035M). 31.5% of the retained earnings, HKD 8,538M will be used for purchasing the store, land, equipment, furniture and decoration. </w:t>
      </w:r>
    </w:p>
    <w:p>
      <w:pPr>
        <w:pStyle w:val="3"/>
        <w:spacing w:line="360" w:lineRule="auto"/>
        <w:rPr>
          <w:rFonts w:hint="default" w:ascii="Times New Roman Regular" w:hAnsi="Times New Roman Regular" w:cs="Times New Roman Regular"/>
          <w:sz w:val="24"/>
          <w:szCs w:val="24"/>
        </w:rPr>
      </w:pPr>
      <w:bookmarkStart w:id="25" w:name="_Toc176358777"/>
      <w:r>
        <w:rPr>
          <w:rFonts w:hint="default" w:ascii="Times New Roman Regular" w:hAnsi="Times New Roman Regular" w:cs="Times New Roman Regular"/>
          <w:color w:val="auto"/>
          <w:sz w:val="24"/>
          <w:szCs w:val="24"/>
        </w:rPr>
        <w:t>4.3 The first-year calculation of sales</w:t>
      </w:r>
      <w:bookmarkEnd w:id="25"/>
    </w:p>
    <w:tbl>
      <w:tblPr>
        <w:tblStyle w:val="11"/>
        <w:tblW w:w="836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15"/>
        <w:gridCol w:w="5850"/>
      </w:tblGrid>
      <w:tr>
        <w:tc>
          <w:tcPr>
            <w:tcW w:w="251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Project items</w:t>
            </w:r>
          </w:p>
        </w:tc>
        <w:tc>
          <w:tcPr>
            <w:tcW w:w="5850"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Remarks</w:t>
            </w:r>
          </w:p>
        </w:tc>
      </w:tr>
      <w:tr>
        <w:tc>
          <w:tcPr>
            <w:tcW w:w="251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Sales (HKD)</w:t>
            </w:r>
          </w:p>
        </w:tc>
        <w:tc>
          <w:tcPr>
            <w:tcW w:w="5850"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3.5%-4% of Carlsberg Revenue in FY2023, average should be 3.7%</w:t>
            </w:r>
          </w:p>
        </w:tc>
      </w:tr>
      <w:tr>
        <w:tc>
          <w:tcPr>
            <w:tcW w:w="251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Increase of sales per year</w:t>
            </w:r>
          </w:p>
        </w:tc>
        <w:tc>
          <w:tcPr>
            <w:tcW w:w="5850"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8.72%</w:t>
            </w:r>
          </w:p>
        </w:tc>
      </w:tr>
      <w:tr>
        <w:tc>
          <w:tcPr>
            <w:tcW w:w="251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Depreciation</w:t>
            </w:r>
          </w:p>
        </w:tc>
        <w:tc>
          <w:tcPr>
            <w:tcW w:w="5850"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Depreciation = -(Building/20+Decoration/5)</w:t>
            </w:r>
          </w:p>
        </w:tc>
      </w:tr>
      <w:tr>
        <w:trPr>
          <w:trHeight w:val="90" w:hRule="atLeast"/>
        </w:trPr>
        <w:tc>
          <w:tcPr>
            <w:tcW w:w="251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Operating expenditure </w:t>
            </w:r>
          </w:p>
        </w:tc>
        <w:tc>
          <w:tcPr>
            <w:tcW w:w="5850"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Average for HKD1M </w:t>
            </w:r>
          </w:p>
        </w:tc>
      </w:tr>
    </w:tbl>
    <w:p>
      <w:pPr>
        <w:tabs>
          <w:tab w:val="left" w:pos="2206"/>
        </w:tabs>
        <w:spacing w:line="360" w:lineRule="auto"/>
        <w:rPr>
          <w:rFonts w:hint="default" w:ascii="Times New Roman Regular" w:hAnsi="Times New Roman Regular" w:cs="Times New Roman Regular"/>
          <w:sz w:val="24"/>
          <w:szCs w:val="24"/>
          <w:u w:val="single"/>
        </w:rPr>
      </w:pPr>
    </w:p>
    <w:p>
      <w:pPr>
        <w:pStyle w:val="3"/>
        <w:spacing w:line="360" w:lineRule="auto"/>
        <w:rPr>
          <w:rFonts w:hint="default" w:ascii="Times New Roman Regular" w:hAnsi="Times New Roman Regular" w:cs="Times New Roman Regular"/>
          <w:sz w:val="24"/>
          <w:szCs w:val="24"/>
          <w:u w:val="single"/>
        </w:rPr>
      </w:pPr>
      <w:bookmarkStart w:id="26" w:name="_Toc176358778"/>
      <w:r>
        <w:rPr>
          <w:rFonts w:hint="default" w:ascii="Times New Roman Regular" w:hAnsi="Times New Roman Regular" w:cs="Times New Roman Regular"/>
          <w:color w:val="auto"/>
          <w:sz w:val="24"/>
          <w:szCs w:val="24"/>
        </w:rPr>
        <w:t>4.4 Computing Tax Cost</w:t>
      </w:r>
      <w:bookmarkEnd w:id="26"/>
    </w:p>
    <w:tbl>
      <w:tblPr>
        <w:tblStyle w:val="11"/>
        <w:tblW w:w="8452"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46"/>
        <w:gridCol w:w="1361"/>
        <w:gridCol w:w="1361"/>
        <w:gridCol w:w="1361"/>
        <w:gridCol w:w="1361"/>
        <w:gridCol w:w="1362"/>
      </w:tblGrid>
      <w:tr>
        <w:trPr>
          <w:trHeight w:val="342" w:hRule="atLeast"/>
        </w:trPr>
        <w:tc>
          <w:tcPr>
            <w:tcW w:w="164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Items</w:t>
            </w:r>
          </w:p>
        </w:tc>
        <w:tc>
          <w:tcPr>
            <w:tcW w:w="136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 year</w:t>
            </w:r>
          </w:p>
        </w:tc>
        <w:tc>
          <w:tcPr>
            <w:tcW w:w="136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 year</w:t>
            </w:r>
          </w:p>
        </w:tc>
        <w:tc>
          <w:tcPr>
            <w:tcW w:w="136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year</w:t>
            </w:r>
          </w:p>
        </w:tc>
        <w:tc>
          <w:tcPr>
            <w:tcW w:w="136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 year</w:t>
            </w:r>
          </w:p>
        </w:tc>
        <w:tc>
          <w:tcPr>
            <w:tcW w:w="136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 year</w:t>
            </w:r>
          </w:p>
        </w:tc>
      </w:tr>
      <w:tr>
        <w:trPr>
          <w:trHeight w:val="1083" w:hRule="atLeast"/>
        </w:trPr>
        <w:tc>
          <w:tcPr>
            <w:tcW w:w="164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Sales =Last sales X (1+ growth rate)</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3,193.7</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3,472.2</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3,775.0</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4,104.1</w:t>
            </w:r>
          </w:p>
        </w:tc>
        <w:tc>
          <w:tcPr>
            <w:tcW w:w="1362"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4,462.0</w:t>
            </w:r>
          </w:p>
        </w:tc>
      </w:tr>
      <w:tr>
        <w:trPr>
          <w:trHeight w:val="342" w:hRule="atLeast"/>
        </w:trPr>
        <w:tc>
          <w:tcPr>
            <w:tcW w:w="164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EBITDA</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638.7</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694.4</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755.0</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820.8</w:t>
            </w:r>
          </w:p>
        </w:tc>
        <w:tc>
          <w:tcPr>
            <w:tcW w:w="1362"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892.4</w:t>
            </w:r>
          </w:p>
        </w:tc>
      </w:tr>
      <w:tr>
        <w:trPr>
          <w:trHeight w:val="342" w:hRule="atLeast"/>
        </w:trPr>
        <w:tc>
          <w:tcPr>
            <w:tcW w:w="164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Depreciation </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(441.9)</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(441.9)</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(441.9)</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(441.9)</w:t>
            </w:r>
          </w:p>
        </w:tc>
        <w:tc>
          <w:tcPr>
            <w:tcW w:w="1362"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(441.9)</w:t>
            </w:r>
          </w:p>
        </w:tc>
      </w:tr>
      <w:tr>
        <w:trPr>
          <w:trHeight w:val="359" w:hRule="atLeast"/>
        </w:trPr>
        <w:tc>
          <w:tcPr>
            <w:tcW w:w="164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EBIT</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195.8</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251.5</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312.1</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377.9</w:t>
            </w:r>
          </w:p>
        </w:tc>
        <w:tc>
          <w:tcPr>
            <w:tcW w:w="1362"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449.5</w:t>
            </w:r>
          </w:p>
        </w:tc>
      </w:tr>
      <w:tr>
        <w:trPr>
          <w:trHeight w:val="1065" w:hRule="atLeast"/>
        </w:trPr>
        <w:tc>
          <w:tcPr>
            <w:tcW w:w="164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Tax Cost (Standard Tax Rate: </w:t>
            </w:r>
            <w:r>
              <w:rPr>
                <w:rFonts w:hint="default" w:ascii="Times New Roman Regular" w:hAnsi="Times New Roman Regular" w:cs="Times New Roman Regular"/>
                <w:sz w:val="24"/>
                <w:szCs w:val="24"/>
                <w:lang w:eastAsia="zh-TW"/>
              </w:rPr>
              <w:t>16.5</w:t>
            </w:r>
            <w:r>
              <w:rPr>
                <w:rFonts w:hint="default" w:ascii="Times New Roman Regular" w:hAnsi="Times New Roman Regular" w:cs="Times New Roman Regular"/>
                <w:sz w:val="24"/>
                <w:szCs w:val="24"/>
              </w:rPr>
              <w:t xml:space="preserve"> %)</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(32.3)</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(41.5)</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(51.5)</w:t>
            </w:r>
          </w:p>
        </w:tc>
        <w:tc>
          <w:tcPr>
            <w:tcW w:w="1361"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(62.4)</w:t>
            </w:r>
          </w:p>
        </w:tc>
        <w:tc>
          <w:tcPr>
            <w:tcW w:w="1362"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(74.2)</w:t>
            </w:r>
          </w:p>
        </w:tc>
      </w:tr>
    </w:tbl>
    <w:p>
      <w:pPr>
        <w:tabs>
          <w:tab w:val="left" w:pos="2206"/>
        </w:tabs>
        <w:spacing w:line="360" w:lineRule="auto"/>
        <w:rPr>
          <w:rFonts w:hint="default" w:ascii="Times New Roman Regular" w:hAnsi="Times New Roman Regular" w:cs="Times New Roman Regular"/>
          <w:sz w:val="24"/>
          <w:szCs w:val="24"/>
          <w:u w:val="single"/>
        </w:rPr>
      </w:pPr>
    </w:p>
    <w:p>
      <w:pPr>
        <w:pStyle w:val="3"/>
        <w:spacing w:line="360" w:lineRule="auto"/>
        <w:rPr>
          <w:rFonts w:hint="default" w:ascii="Times New Roman Regular" w:hAnsi="Times New Roman Regular" w:cs="Times New Roman Regular"/>
          <w:sz w:val="24"/>
          <w:szCs w:val="24"/>
          <w:u w:val="single"/>
        </w:rPr>
      </w:pPr>
      <w:bookmarkStart w:id="27" w:name="_Toc176358779"/>
      <w:r>
        <w:rPr>
          <w:rFonts w:hint="default" w:ascii="Times New Roman Regular" w:hAnsi="Times New Roman Regular" w:cs="Times New Roman Regular"/>
          <w:color w:val="auto"/>
          <w:sz w:val="24"/>
          <w:szCs w:val="24"/>
        </w:rPr>
        <w:t>4.5 Cashflow calculation</w:t>
      </w:r>
      <w:bookmarkEnd w:id="27"/>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83"/>
        <w:gridCol w:w="1172"/>
        <w:gridCol w:w="1159"/>
        <w:gridCol w:w="1160"/>
        <w:gridCol w:w="1160"/>
        <w:gridCol w:w="1160"/>
        <w:gridCol w:w="1160"/>
      </w:tblGrid>
      <w:tr>
        <w:tc>
          <w:tcPr>
            <w:tcW w:w="132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Items</w:t>
            </w:r>
          </w:p>
        </w:tc>
        <w:tc>
          <w:tcPr>
            <w:tcW w:w="117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Initial Cost</w:t>
            </w:r>
          </w:p>
        </w:tc>
        <w:tc>
          <w:tcPr>
            <w:tcW w:w="1159"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 year</w:t>
            </w:r>
          </w:p>
        </w:tc>
        <w:tc>
          <w:tcPr>
            <w:tcW w:w="1160"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 year</w:t>
            </w:r>
          </w:p>
        </w:tc>
        <w:tc>
          <w:tcPr>
            <w:tcW w:w="1160"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year</w:t>
            </w:r>
          </w:p>
        </w:tc>
        <w:tc>
          <w:tcPr>
            <w:tcW w:w="1160"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 year</w:t>
            </w:r>
          </w:p>
        </w:tc>
        <w:tc>
          <w:tcPr>
            <w:tcW w:w="1160"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 year</w:t>
            </w:r>
          </w:p>
        </w:tc>
      </w:tr>
      <w:tr>
        <w:tc>
          <w:tcPr>
            <w:tcW w:w="132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EBITDA</w:t>
            </w:r>
          </w:p>
        </w:tc>
        <w:tc>
          <w:tcPr>
            <w:tcW w:w="1172" w:type="dxa"/>
            <w:shd w:val="clear" w:color="auto" w:fill="AEAAAA" w:themeFill="background2" w:themeFillShade="BF"/>
          </w:tcPr>
          <w:p>
            <w:pPr>
              <w:tabs>
                <w:tab w:val="left" w:pos="2206"/>
              </w:tabs>
              <w:spacing w:line="360" w:lineRule="auto"/>
              <w:rPr>
                <w:rFonts w:hint="default" w:ascii="Times New Roman Regular" w:hAnsi="Times New Roman Regular" w:cs="Times New Roman Regular"/>
                <w:sz w:val="24"/>
                <w:szCs w:val="24"/>
              </w:rPr>
            </w:pPr>
          </w:p>
        </w:tc>
        <w:tc>
          <w:tcPr>
            <w:tcW w:w="1159"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638.7</w:t>
            </w:r>
          </w:p>
        </w:tc>
        <w:tc>
          <w:tcPr>
            <w:tcW w:w="11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694.4</w:t>
            </w:r>
          </w:p>
        </w:tc>
        <w:tc>
          <w:tcPr>
            <w:tcW w:w="11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755.0</w:t>
            </w:r>
          </w:p>
        </w:tc>
        <w:tc>
          <w:tcPr>
            <w:tcW w:w="11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820.8</w:t>
            </w:r>
          </w:p>
        </w:tc>
        <w:tc>
          <w:tcPr>
            <w:tcW w:w="11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892.4</w:t>
            </w:r>
          </w:p>
        </w:tc>
      </w:tr>
      <w:tr>
        <w:tc>
          <w:tcPr>
            <w:tcW w:w="132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Expenditures</w:t>
            </w:r>
          </w:p>
        </w:tc>
        <w:tc>
          <w:tcPr>
            <w:tcW w:w="1172" w:type="dxa"/>
            <w:shd w:val="clear" w:color="auto" w:fill="AEAAAA" w:themeFill="background2" w:themeFillShade="BF"/>
          </w:tcPr>
          <w:p>
            <w:pPr>
              <w:tabs>
                <w:tab w:val="left" w:pos="2206"/>
              </w:tabs>
              <w:spacing w:line="360" w:lineRule="auto"/>
              <w:rPr>
                <w:rFonts w:hint="default" w:ascii="Times New Roman Regular" w:hAnsi="Times New Roman Regular" w:cs="Times New Roman Regular"/>
                <w:sz w:val="24"/>
                <w:szCs w:val="24"/>
              </w:rPr>
            </w:pPr>
          </w:p>
        </w:tc>
        <w:tc>
          <w:tcPr>
            <w:tcW w:w="1159"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(1.0)</w:t>
            </w:r>
          </w:p>
        </w:tc>
        <w:tc>
          <w:tcPr>
            <w:tcW w:w="11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(1.0)</w:t>
            </w:r>
          </w:p>
        </w:tc>
        <w:tc>
          <w:tcPr>
            <w:tcW w:w="11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(1.0)</w:t>
            </w:r>
          </w:p>
        </w:tc>
        <w:tc>
          <w:tcPr>
            <w:tcW w:w="11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(1.0)</w:t>
            </w:r>
          </w:p>
        </w:tc>
        <w:tc>
          <w:tcPr>
            <w:tcW w:w="11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(1.0)</w:t>
            </w:r>
          </w:p>
        </w:tc>
      </w:tr>
      <w:tr>
        <w:tc>
          <w:tcPr>
            <w:tcW w:w="132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Tax Expense</w:t>
            </w:r>
          </w:p>
        </w:tc>
        <w:tc>
          <w:tcPr>
            <w:tcW w:w="1172" w:type="dxa"/>
            <w:shd w:val="clear" w:color="auto" w:fill="AEAAAA" w:themeFill="background2" w:themeFillShade="BF"/>
          </w:tcPr>
          <w:p>
            <w:pPr>
              <w:tabs>
                <w:tab w:val="left" w:pos="2206"/>
              </w:tabs>
              <w:spacing w:line="360" w:lineRule="auto"/>
              <w:rPr>
                <w:rFonts w:hint="default" w:ascii="Times New Roman Regular" w:hAnsi="Times New Roman Regular" w:cs="Times New Roman Regular"/>
                <w:sz w:val="24"/>
                <w:szCs w:val="24"/>
              </w:rPr>
            </w:pPr>
          </w:p>
        </w:tc>
        <w:tc>
          <w:tcPr>
            <w:tcW w:w="1159"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(32.3)</w:t>
            </w:r>
          </w:p>
        </w:tc>
        <w:tc>
          <w:tcPr>
            <w:tcW w:w="11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(41.5)</w:t>
            </w:r>
          </w:p>
        </w:tc>
        <w:tc>
          <w:tcPr>
            <w:tcW w:w="11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(51.5)</w:t>
            </w:r>
          </w:p>
        </w:tc>
        <w:tc>
          <w:tcPr>
            <w:tcW w:w="11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(62.4)</w:t>
            </w:r>
          </w:p>
        </w:tc>
        <w:tc>
          <w:tcPr>
            <w:tcW w:w="11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(74.2)</w:t>
            </w:r>
          </w:p>
        </w:tc>
      </w:tr>
      <w:tr>
        <w:tc>
          <w:tcPr>
            <w:tcW w:w="132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Cash Flow</w:t>
            </w:r>
          </w:p>
        </w:tc>
        <w:tc>
          <w:tcPr>
            <w:tcW w:w="1172" w:type="dxa"/>
          </w:tcPr>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-8,843</w:t>
            </w:r>
          </w:p>
        </w:tc>
        <w:tc>
          <w:tcPr>
            <w:tcW w:w="1159"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605.4</w:t>
            </w:r>
          </w:p>
        </w:tc>
        <w:tc>
          <w:tcPr>
            <w:tcW w:w="11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651.9</w:t>
            </w:r>
          </w:p>
        </w:tc>
        <w:tc>
          <w:tcPr>
            <w:tcW w:w="11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702.5</w:t>
            </w:r>
          </w:p>
        </w:tc>
        <w:tc>
          <w:tcPr>
            <w:tcW w:w="11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757.5</w:t>
            </w:r>
          </w:p>
        </w:tc>
        <w:tc>
          <w:tcPr>
            <w:tcW w:w="11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817.2</w:t>
            </w:r>
          </w:p>
        </w:tc>
      </w:tr>
    </w:tbl>
    <w:p>
      <w:pPr>
        <w:tabs>
          <w:tab w:val="left" w:pos="2206"/>
        </w:tabs>
        <w:spacing w:line="360" w:lineRule="auto"/>
        <w:rPr>
          <w:rFonts w:hint="default" w:ascii="Times New Roman Regular" w:hAnsi="Times New Roman Regular" w:cs="Times New Roman Regular"/>
          <w:sz w:val="24"/>
          <w:szCs w:val="24"/>
        </w:rPr>
      </w:pPr>
    </w:p>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Assumption : </w:t>
      </w:r>
    </w:p>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After the 5</w:t>
      </w:r>
      <w:r>
        <w:rPr>
          <w:rFonts w:hint="default" w:ascii="Times New Roman Regular" w:hAnsi="Times New Roman Regular" w:cs="Times New Roman Regular"/>
          <w:sz w:val="24"/>
          <w:szCs w:val="24"/>
          <w:vertAlign w:val="superscript"/>
        </w:rPr>
        <w:t>th</w:t>
      </w:r>
      <w:r>
        <w:rPr>
          <w:rFonts w:hint="default" w:ascii="Times New Roman Regular" w:hAnsi="Times New Roman Regular" w:cs="Times New Roman Regular"/>
          <w:sz w:val="24"/>
          <w:szCs w:val="24"/>
        </w:rPr>
        <w:t xml:space="preserve"> year , the financial performance will be steady for the following </w:t>
      </w:r>
      <w:r>
        <w:rPr>
          <w:rFonts w:hint="default" w:ascii="Times New Roman Regular" w:hAnsi="Times New Roman Regular" w:cs="Times New Roman Regular"/>
          <w:sz w:val="24"/>
          <w:szCs w:val="24"/>
          <w:lang w:eastAsia="zh-TW"/>
        </w:rPr>
        <w:t>20</w:t>
      </w:r>
      <w:r>
        <w:rPr>
          <w:rFonts w:hint="default" w:ascii="Times New Roman Regular" w:hAnsi="Times New Roman Regular" w:cs="Times New Roman Regular"/>
          <w:sz w:val="24"/>
          <w:szCs w:val="24"/>
        </w:rPr>
        <w:t xml:space="preserve"> years. Due to its business risk is mitigated by diversifying the operation area.</w:t>
      </w:r>
    </w:p>
    <w:p>
      <w:pPr>
        <w:tabs>
          <w:tab w:val="left" w:pos="2206"/>
        </w:tabs>
        <w:spacing w:line="360" w:lineRule="auto"/>
        <w:rPr>
          <w:rFonts w:hint="default" w:ascii="Times New Roman Regular" w:hAnsi="Times New Roman Regular" w:cs="Times New Roman Regular"/>
          <w:sz w:val="24"/>
          <w:szCs w:val="24"/>
          <w:u w:val="single"/>
        </w:rPr>
      </w:pPr>
    </w:p>
    <w:p>
      <w:pPr>
        <w:pStyle w:val="3"/>
        <w:spacing w:line="360" w:lineRule="auto"/>
        <w:rPr>
          <w:rFonts w:hint="default" w:ascii="Times New Roman Regular" w:hAnsi="Times New Roman Regular" w:cs="Times New Roman Regular"/>
          <w:sz w:val="24"/>
          <w:szCs w:val="24"/>
          <w:u w:val="single"/>
        </w:rPr>
      </w:pPr>
      <w:bookmarkStart w:id="28" w:name="_Toc176358780"/>
      <w:r>
        <w:rPr>
          <w:rFonts w:hint="default" w:ascii="Times New Roman Regular" w:hAnsi="Times New Roman Regular" w:cs="Times New Roman Regular"/>
          <w:color w:val="auto"/>
          <w:sz w:val="24"/>
          <w:szCs w:val="24"/>
        </w:rPr>
        <w:t>4.6 ARR and NPV calculation</w:t>
      </w:r>
      <w:bookmarkEnd w:id="28"/>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15"/>
        <w:gridCol w:w="5781"/>
      </w:tblGrid>
      <w:tr>
        <w:tc>
          <w:tcPr>
            <w:tcW w:w="251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ARR</w:t>
            </w:r>
          </w:p>
        </w:tc>
        <w:tc>
          <w:tcPr>
            <w:tcW w:w="5781" w:type="dxa"/>
          </w:tcPr>
          <w:p>
            <w:pPr>
              <w:tabs>
                <w:tab w:val="left" w:pos="2206"/>
              </w:tabs>
              <w:spacing w:line="360" w:lineRule="auto"/>
              <w:rPr>
                <w:rFonts w:hint="default" w:ascii="Times New Roman Regular" w:hAnsi="Times New Roman Regular" w:cs="Times New Roman Regular"/>
                <w:sz w:val="24"/>
                <w:szCs w:val="24"/>
              </w:rPr>
            </w:pPr>
          </w:p>
        </w:tc>
      </w:tr>
      <w:tr>
        <w:tc>
          <w:tcPr>
            <w:tcW w:w="251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Total income for (25) years</w:t>
            </w:r>
          </w:p>
        </w:tc>
        <w:tc>
          <w:tcPr>
            <w:tcW w:w="578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HKD11,153M . Pls refer to the appendix 1</w:t>
            </w:r>
          </w:p>
        </w:tc>
      </w:tr>
      <w:tr>
        <w:tc>
          <w:tcPr>
            <w:tcW w:w="251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Average ARR (A)</w:t>
            </w:r>
          </w:p>
        </w:tc>
        <w:tc>
          <w:tcPr>
            <w:tcW w:w="578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HKD446M</w:t>
            </w:r>
          </w:p>
        </w:tc>
      </w:tr>
      <w:tr>
        <w:tc>
          <w:tcPr>
            <w:tcW w:w="251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Initial cost (B)</w:t>
            </w:r>
          </w:p>
        </w:tc>
        <w:tc>
          <w:tcPr>
            <w:tcW w:w="578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HKD8,843M</w:t>
            </w:r>
          </w:p>
        </w:tc>
      </w:tr>
      <w:tr>
        <w:tc>
          <w:tcPr>
            <w:tcW w:w="2515"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ARR(A/B)</w:t>
            </w:r>
          </w:p>
        </w:tc>
        <w:tc>
          <w:tcPr>
            <w:tcW w:w="578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5.04%</w:t>
            </w:r>
          </w:p>
        </w:tc>
      </w:tr>
    </w:tbl>
    <w:p>
      <w:pPr>
        <w:tabs>
          <w:tab w:val="left" w:pos="2206"/>
        </w:tabs>
        <w:spacing w:line="360" w:lineRule="auto"/>
        <w:rPr>
          <w:rFonts w:hint="default" w:ascii="Times New Roman Regular" w:hAnsi="Times New Roman Regular" w:cs="Times New Roman Regular"/>
          <w:sz w:val="24"/>
          <w:szCs w:val="24"/>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82"/>
        <w:gridCol w:w="1398"/>
        <w:gridCol w:w="1370"/>
        <w:gridCol w:w="1376"/>
        <w:gridCol w:w="1399"/>
        <w:gridCol w:w="1371"/>
      </w:tblGrid>
      <w:tr>
        <w:tc>
          <w:tcPr>
            <w:tcW w:w="1382" w:type="dxa"/>
          </w:tcPr>
          <w:p>
            <w:pPr>
              <w:tabs>
                <w:tab w:val="left" w:pos="2206"/>
              </w:tabs>
              <w:spacing w:line="360" w:lineRule="auto"/>
              <w:rPr>
                <w:rFonts w:hint="default" w:ascii="Times New Roman Regular" w:hAnsi="Times New Roman Regular" w:cs="Times New Roman Regular"/>
                <w:sz w:val="24"/>
                <w:szCs w:val="24"/>
              </w:rPr>
            </w:pPr>
            <w:bookmarkStart w:id="29" w:name="OLE_LINK76"/>
            <w:r>
              <w:rPr>
                <w:rFonts w:hint="default" w:ascii="Times New Roman Regular" w:hAnsi="Times New Roman Regular" w:cs="Times New Roman Regular"/>
                <w:sz w:val="24"/>
                <w:szCs w:val="24"/>
              </w:rPr>
              <w:t>Year</w:t>
            </w:r>
          </w:p>
        </w:tc>
        <w:tc>
          <w:tcPr>
            <w:tcW w:w="1398"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Cashflow</w:t>
            </w:r>
          </w:p>
        </w:tc>
        <w:tc>
          <w:tcPr>
            <w:tcW w:w="1370" w:type="dxa"/>
            <w:tcBorders>
              <w:bottom w:val="single" w:color="auto" w:sz="4" w:space="0"/>
            </w:tcBorders>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PV</w:t>
            </w:r>
          </w:p>
        </w:tc>
        <w:tc>
          <w:tcPr>
            <w:tcW w:w="1376" w:type="dxa"/>
            <w:tcBorders>
              <w:bottom w:val="single" w:color="auto" w:sz="4" w:space="0"/>
            </w:tcBorders>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Year</w:t>
            </w:r>
          </w:p>
        </w:tc>
        <w:tc>
          <w:tcPr>
            <w:tcW w:w="1399" w:type="dxa"/>
            <w:tcBorders>
              <w:bottom w:val="single" w:color="auto" w:sz="4" w:space="0"/>
            </w:tcBorders>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Cashflow</w:t>
            </w:r>
          </w:p>
        </w:tc>
        <w:tc>
          <w:tcPr>
            <w:tcW w:w="1371" w:type="dxa"/>
            <w:tcBorders>
              <w:bottom w:val="single" w:color="auto" w:sz="4" w:space="0"/>
            </w:tcBorders>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PV</w:t>
            </w:r>
          </w:p>
        </w:tc>
      </w:tr>
      <w:tr>
        <w:tc>
          <w:tcPr>
            <w:tcW w:w="138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Initial cost</w:t>
            </w:r>
          </w:p>
        </w:tc>
        <w:tc>
          <w:tcPr>
            <w:tcW w:w="1398"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(8,843)</w:t>
            </w:r>
          </w:p>
        </w:tc>
        <w:tc>
          <w:tcPr>
            <w:tcW w:w="1370" w:type="dxa"/>
            <w:shd w:val="pct10" w:color="auto" w:fill="auto"/>
            <w:vAlign w:val="center"/>
          </w:tcPr>
          <w:p>
            <w:pPr>
              <w:tabs>
                <w:tab w:val="left" w:pos="2206"/>
              </w:tabs>
              <w:spacing w:line="360" w:lineRule="auto"/>
              <w:rPr>
                <w:rFonts w:hint="default" w:ascii="Times New Roman Regular" w:hAnsi="Times New Roman Regular" w:cs="Times New Roman Regular"/>
                <w:sz w:val="24"/>
                <w:szCs w:val="24"/>
              </w:rPr>
            </w:pPr>
          </w:p>
        </w:tc>
        <w:tc>
          <w:tcPr>
            <w:tcW w:w="1376" w:type="dxa"/>
            <w:shd w:val="pct10" w:color="auto" w:fill="auto"/>
          </w:tcPr>
          <w:p>
            <w:pPr>
              <w:tabs>
                <w:tab w:val="left" w:pos="2206"/>
              </w:tabs>
              <w:spacing w:line="360" w:lineRule="auto"/>
              <w:rPr>
                <w:rFonts w:hint="default" w:ascii="Times New Roman Regular" w:hAnsi="Times New Roman Regular" w:cs="Times New Roman Regular"/>
                <w:sz w:val="24"/>
                <w:szCs w:val="24"/>
              </w:rPr>
            </w:pPr>
          </w:p>
        </w:tc>
        <w:tc>
          <w:tcPr>
            <w:tcW w:w="1399" w:type="dxa"/>
            <w:shd w:val="pct10" w:color="auto" w:fill="auto"/>
          </w:tcPr>
          <w:p>
            <w:pPr>
              <w:tabs>
                <w:tab w:val="left" w:pos="2206"/>
              </w:tabs>
              <w:spacing w:line="360" w:lineRule="auto"/>
              <w:rPr>
                <w:rFonts w:hint="default" w:ascii="Times New Roman Regular" w:hAnsi="Times New Roman Regular" w:cs="Times New Roman Regular"/>
                <w:sz w:val="24"/>
                <w:szCs w:val="24"/>
              </w:rPr>
            </w:pPr>
          </w:p>
        </w:tc>
        <w:tc>
          <w:tcPr>
            <w:tcW w:w="1371" w:type="dxa"/>
            <w:shd w:val="pct10" w:color="auto" w:fill="auto"/>
          </w:tcPr>
          <w:p>
            <w:pPr>
              <w:tabs>
                <w:tab w:val="left" w:pos="2206"/>
              </w:tabs>
              <w:spacing w:line="360" w:lineRule="auto"/>
              <w:rPr>
                <w:rFonts w:hint="default" w:ascii="Times New Roman Regular" w:hAnsi="Times New Roman Regular" w:cs="Times New Roman Regular"/>
                <w:sz w:val="24"/>
                <w:szCs w:val="24"/>
              </w:rPr>
            </w:pPr>
          </w:p>
        </w:tc>
      </w:tr>
      <w:tr>
        <w:tc>
          <w:tcPr>
            <w:tcW w:w="138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1st</w:t>
            </w:r>
          </w:p>
        </w:tc>
        <w:tc>
          <w:tcPr>
            <w:tcW w:w="1398"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605.4</w:t>
            </w:r>
          </w:p>
        </w:tc>
        <w:tc>
          <w:tcPr>
            <w:tcW w:w="137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577.6</w:t>
            </w:r>
          </w:p>
        </w:tc>
        <w:tc>
          <w:tcPr>
            <w:tcW w:w="1376" w:type="dxa"/>
            <w:shd w:val="pct10" w:color="auto" w:fill="auto"/>
          </w:tcPr>
          <w:p>
            <w:pPr>
              <w:tabs>
                <w:tab w:val="left" w:pos="2206"/>
              </w:tabs>
              <w:spacing w:line="360" w:lineRule="auto"/>
              <w:rPr>
                <w:rFonts w:hint="default" w:ascii="Times New Roman Regular" w:hAnsi="Times New Roman Regular" w:cs="Times New Roman Regular"/>
                <w:sz w:val="24"/>
                <w:szCs w:val="24"/>
              </w:rPr>
            </w:pPr>
          </w:p>
        </w:tc>
        <w:tc>
          <w:tcPr>
            <w:tcW w:w="1399" w:type="dxa"/>
            <w:shd w:val="pct10" w:color="auto" w:fill="auto"/>
          </w:tcPr>
          <w:p>
            <w:pPr>
              <w:tabs>
                <w:tab w:val="left" w:pos="2206"/>
              </w:tabs>
              <w:spacing w:line="360" w:lineRule="auto"/>
              <w:rPr>
                <w:rFonts w:hint="default" w:ascii="Times New Roman Regular" w:hAnsi="Times New Roman Regular" w:cs="Times New Roman Regular"/>
                <w:sz w:val="24"/>
                <w:szCs w:val="24"/>
              </w:rPr>
            </w:pPr>
          </w:p>
        </w:tc>
        <w:tc>
          <w:tcPr>
            <w:tcW w:w="1371" w:type="dxa"/>
            <w:shd w:val="pct10" w:color="auto" w:fill="auto"/>
          </w:tcPr>
          <w:p>
            <w:pPr>
              <w:tabs>
                <w:tab w:val="left" w:pos="2206"/>
              </w:tabs>
              <w:spacing w:line="360" w:lineRule="auto"/>
              <w:rPr>
                <w:rFonts w:hint="default" w:ascii="Times New Roman Regular" w:hAnsi="Times New Roman Regular" w:cs="Times New Roman Regular"/>
                <w:sz w:val="24"/>
                <w:szCs w:val="24"/>
              </w:rPr>
            </w:pPr>
          </w:p>
        </w:tc>
      </w:tr>
      <w:tr>
        <w:tc>
          <w:tcPr>
            <w:tcW w:w="138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2nd</w:t>
            </w:r>
          </w:p>
        </w:tc>
        <w:tc>
          <w:tcPr>
            <w:tcW w:w="1398"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651.9</w:t>
            </w:r>
          </w:p>
        </w:tc>
        <w:tc>
          <w:tcPr>
            <w:tcW w:w="137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593.5</w:t>
            </w:r>
          </w:p>
        </w:tc>
        <w:tc>
          <w:tcPr>
            <w:tcW w:w="137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zh-CN" w:eastAsia="zh-TW"/>
              </w:rPr>
              <w:t>Year 6-10</w:t>
            </w:r>
          </w:p>
        </w:tc>
        <w:tc>
          <w:tcPr>
            <w:tcW w:w="1399"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4,403.1</w:t>
            </w:r>
          </w:p>
        </w:tc>
        <w:tc>
          <w:tcPr>
            <w:tcW w:w="137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3023.3</w:t>
            </w:r>
          </w:p>
        </w:tc>
      </w:tr>
      <w:tr>
        <w:tc>
          <w:tcPr>
            <w:tcW w:w="138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3rd</w:t>
            </w:r>
          </w:p>
        </w:tc>
        <w:tc>
          <w:tcPr>
            <w:tcW w:w="1398"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702.5</w:t>
            </w:r>
          </w:p>
        </w:tc>
        <w:tc>
          <w:tcPr>
            <w:tcW w:w="137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610.2</w:t>
            </w:r>
          </w:p>
        </w:tc>
        <w:tc>
          <w:tcPr>
            <w:tcW w:w="137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zh-CN" w:eastAsia="zh-TW"/>
              </w:rPr>
              <w:t>Year 11-15</w:t>
            </w:r>
          </w:p>
        </w:tc>
        <w:tc>
          <w:tcPr>
            <w:tcW w:w="1399"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4,981.7</w:t>
            </w:r>
          </w:p>
        </w:tc>
        <w:tc>
          <w:tcPr>
            <w:tcW w:w="137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2704.5</w:t>
            </w:r>
          </w:p>
        </w:tc>
      </w:tr>
      <w:tr>
        <w:tc>
          <w:tcPr>
            <w:tcW w:w="138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4th</w:t>
            </w:r>
          </w:p>
        </w:tc>
        <w:tc>
          <w:tcPr>
            <w:tcW w:w="1398"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757.5</w:t>
            </w:r>
          </w:p>
        </w:tc>
        <w:tc>
          <w:tcPr>
            <w:tcW w:w="137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627.7</w:t>
            </w:r>
          </w:p>
        </w:tc>
        <w:tc>
          <w:tcPr>
            <w:tcW w:w="137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zh-CN" w:eastAsia="zh-TW"/>
              </w:rPr>
              <w:t>Year 16-20</w:t>
            </w:r>
          </w:p>
        </w:tc>
        <w:tc>
          <w:tcPr>
            <w:tcW w:w="1399"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5636.3</w:t>
            </w:r>
          </w:p>
        </w:tc>
        <w:tc>
          <w:tcPr>
            <w:tcW w:w="137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2,419.3</w:t>
            </w:r>
          </w:p>
        </w:tc>
      </w:tr>
      <w:tr>
        <w:tc>
          <w:tcPr>
            <w:tcW w:w="1382"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5th</w:t>
            </w:r>
          </w:p>
        </w:tc>
        <w:tc>
          <w:tcPr>
            <w:tcW w:w="1398"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817.2</w:t>
            </w:r>
          </w:p>
        </w:tc>
        <w:tc>
          <w:tcPr>
            <w:tcW w:w="137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646.2</w:t>
            </w:r>
          </w:p>
        </w:tc>
        <w:tc>
          <w:tcPr>
            <w:tcW w:w="1376"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zh-CN" w:eastAsia="zh-TW"/>
              </w:rPr>
              <w:t>Year 21-25</w:t>
            </w:r>
          </w:p>
        </w:tc>
        <w:tc>
          <w:tcPr>
            <w:tcW w:w="1399"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6,376.9</w:t>
            </w:r>
          </w:p>
        </w:tc>
        <w:tc>
          <w:tcPr>
            <w:tcW w:w="137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2,928.8</w:t>
            </w:r>
          </w:p>
        </w:tc>
      </w:tr>
      <w:tr>
        <w:trPr>
          <w:trHeight w:val="322" w:hRule="atLeast"/>
        </w:trPr>
        <w:tc>
          <w:tcPr>
            <w:tcW w:w="8296" w:type="dxa"/>
            <w:gridSpan w:val="6"/>
          </w:tcPr>
          <w:p>
            <w:pPr>
              <w:tabs>
                <w:tab w:val="left" w:pos="2206"/>
              </w:tabs>
              <w:spacing w:line="360" w:lineRule="auto"/>
              <w:rPr>
                <w:rFonts w:hint="default" w:ascii="Times New Roman Regular" w:hAnsi="Times New Roman Regular" w:cs="Times New Roman Regular"/>
                <w:sz w:val="24"/>
                <w:szCs w:val="24"/>
              </w:rPr>
            </w:pPr>
            <w:bookmarkStart w:id="30" w:name="OLE_LINK14"/>
            <w:bookmarkStart w:id="31" w:name="OLE_LINK15"/>
            <w:r>
              <w:rPr>
                <w:rFonts w:hint="default" w:ascii="Times New Roman Regular" w:hAnsi="Times New Roman Regular" w:cs="Times New Roman Regular"/>
                <w:sz w:val="24"/>
                <w:szCs w:val="24"/>
              </w:rPr>
              <w:t xml:space="preserve">NPV =all cashflow for (25) years---initial cost: </w:t>
            </w:r>
            <w:bookmarkStart w:id="32" w:name="OLE_LINK13"/>
            <w:r>
              <w:rPr>
                <w:rFonts w:hint="default" w:ascii="Times New Roman Regular" w:hAnsi="Times New Roman Regular" w:cs="Times New Roman Regular"/>
                <w:sz w:val="24"/>
                <w:szCs w:val="24"/>
              </w:rPr>
              <w:t>HKD2.309.6M</w:t>
            </w:r>
            <w:bookmarkEnd w:id="30"/>
            <w:bookmarkEnd w:id="32"/>
          </w:p>
        </w:tc>
      </w:tr>
      <w:bookmarkEnd w:id="29"/>
      <w:bookmarkEnd w:id="31"/>
    </w:tbl>
    <w:p>
      <w:pPr>
        <w:tabs>
          <w:tab w:val="left" w:pos="2206"/>
        </w:tabs>
        <w:spacing w:line="360" w:lineRule="auto"/>
        <w:rPr>
          <w:rFonts w:hint="default" w:ascii="Times New Roman Regular" w:hAnsi="Times New Roman Regular" w:cs="Times New Roman Regular"/>
          <w:sz w:val="24"/>
          <w:szCs w:val="24"/>
          <w:u w:val="single"/>
        </w:rPr>
      </w:pPr>
    </w:p>
    <w:p>
      <w:pPr>
        <w:pStyle w:val="3"/>
        <w:spacing w:line="360" w:lineRule="auto"/>
        <w:rPr>
          <w:rFonts w:hint="default" w:ascii="Times New Roman Regular" w:hAnsi="Times New Roman Regular" w:cs="Times New Roman Regular"/>
          <w:sz w:val="24"/>
          <w:szCs w:val="24"/>
        </w:rPr>
      </w:pPr>
      <w:bookmarkStart w:id="33" w:name="_Toc176358781"/>
      <w:r>
        <w:rPr>
          <w:rFonts w:hint="default" w:ascii="Times New Roman Regular" w:hAnsi="Times New Roman Regular" w:cs="Times New Roman Regular"/>
          <w:color w:val="auto"/>
          <w:sz w:val="24"/>
          <w:szCs w:val="24"/>
        </w:rPr>
        <w:t>4.7 Payback period and IRR</w:t>
      </w:r>
      <w:bookmarkEnd w:id="33"/>
      <w:r>
        <w:rPr>
          <w:rFonts w:hint="default" w:ascii="Times New Roman Regular" w:hAnsi="Times New Roman Regular" w:cs="Times New Roman Regular"/>
          <w:color w:val="auto"/>
          <w:sz w:val="24"/>
          <w:szCs w:val="24"/>
        </w:rPr>
        <w:t xml:space="preserve"> </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c>
          <w:tcPr>
            <w:tcW w:w="426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Payback period</w:t>
            </w:r>
          </w:p>
        </w:tc>
        <w:tc>
          <w:tcPr>
            <w:tcW w:w="426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HKD million</w:t>
            </w:r>
          </w:p>
        </w:tc>
      </w:tr>
      <w:tr>
        <w:tc>
          <w:tcPr>
            <w:tcW w:w="426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1-13 profit</w:t>
            </w:r>
          </w:p>
        </w:tc>
        <w:tc>
          <w:tcPr>
            <w:tcW w:w="426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HKD 4,686</w:t>
            </w:r>
          </w:p>
        </w:tc>
      </w:tr>
      <w:tr>
        <w:tc>
          <w:tcPr>
            <w:tcW w:w="426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Initial Cost</w:t>
            </w:r>
          </w:p>
        </w:tc>
        <w:tc>
          <w:tcPr>
            <w:tcW w:w="426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HKD8,843</w:t>
            </w:r>
          </w:p>
        </w:tc>
      </w:tr>
      <w:tr>
        <w:tc>
          <w:tcPr>
            <w:tcW w:w="426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Payback period</w:t>
            </w:r>
          </w:p>
        </w:tc>
        <w:tc>
          <w:tcPr>
            <w:tcW w:w="426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11 Year</w:t>
            </w:r>
          </w:p>
        </w:tc>
      </w:tr>
      <w:tr>
        <w:tc>
          <w:tcPr>
            <w:tcW w:w="426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IRR</w:t>
            </w:r>
          </w:p>
        </w:tc>
        <w:tc>
          <w:tcPr>
            <w:tcW w:w="4261"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9%</w:t>
            </w:r>
          </w:p>
        </w:tc>
      </w:tr>
    </w:tbl>
    <w:p>
      <w:pPr>
        <w:tabs>
          <w:tab w:val="left" w:pos="2206"/>
        </w:tabs>
        <w:spacing w:line="360" w:lineRule="auto"/>
        <w:rPr>
          <w:rFonts w:hint="default" w:ascii="Times New Roman Regular" w:hAnsi="Times New Roman Regular" w:cs="Times New Roman Regular"/>
          <w:sz w:val="24"/>
          <w:szCs w:val="24"/>
          <w:u w:val="single"/>
        </w:rPr>
      </w:pPr>
    </w:p>
    <w:p>
      <w:pPr>
        <w:pStyle w:val="3"/>
        <w:spacing w:line="360" w:lineRule="auto"/>
        <w:rPr>
          <w:rFonts w:hint="default" w:ascii="Times New Roman Regular" w:hAnsi="Times New Roman Regular" w:cs="Times New Roman Regular"/>
          <w:color w:val="auto"/>
          <w:sz w:val="24"/>
          <w:szCs w:val="24"/>
        </w:rPr>
      </w:pPr>
      <w:bookmarkStart w:id="34" w:name="_Toc176358782"/>
      <w:r>
        <w:rPr>
          <w:rFonts w:hint="default" w:ascii="Times New Roman Regular" w:hAnsi="Times New Roman Regular" w:cs="Times New Roman Regular"/>
          <w:color w:val="auto"/>
          <w:sz w:val="24"/>
          <w:szCs w:val="24"/>
        </w:rPr>
        <w:t>4.8 Investment Appraisal</w:t>
      </w:r>
      <w:bookmarkEnd w:id="34"/>
    </w:p>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From the above projection methods, the new projects for the payback period is expected as 11 years and NPV stand at positive value. Thus, the project investment appraisal would bring a positive return. It could help to increase the GPM and net profit for the group. The project is suggested to initiate. </w:t>
      </w:r>
    </w:p>
    <w:p>
      <w:pPr>
        <w:tabs>
          <w:tab w:val="left" w:pos="2206"/>
        </w:tabs>
        <w:spacing w:line="360" w:lineRule="auto"/>
        <w:rPr>
          <w:rFonts w:hint="default" w:ascii="Times New Roman Regular" w:hAnsi="Times New Roman Regular" w:cs="Times New Roman Regular"/>
          <w:sz w:val="24"/>
          <w:szCs w:val="24"/>
          <w:u w:val="single"/>
        </w:rPr>
      </w:pPr>
    </w:p>
    <w:p>
      <w:pPr>
        <w:pStyle w:val="3"/>
        <w:spacing w:line="360" w:lineRule="auto"/>
        <w:rPr>
          <w:rFonts w:hint="default" w:ascii="Times New Roman Regular" w:hAnsi="Times New Roman Regular" w:cs="Times New Roman Regular"/>
          <w:sz w:val="24"/>
          <w:szCs w:val="24"/>
          <w:lang w:eastAsia="zh-TW"/>
        </w:rPr>
      </w:pPr>
      <w:bookmarkStart w:id="35" w:name="_Toc176358783"/>
      <w:r>
        <w:rPr>
          <w:rFonts w:hint="default" w:ascii="Times New Roman Regular" w:hAnsi="Times New Roman Regular" w:cs="Times New Roman Regular"/>
          <w:color w:val="auto"/>
          <w:sz w:val="24"/>
          <w:szCs w:val="24"/>
        </w:rPr>
        <w:t>4.9 New project appraisal methods for analysis</w:t>
      </w:r>
      <w:bookmarkEnd w:id="35"/>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From the above methods and the appendix 1, the following is the analysis of different methods. </w:t>
      </w: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rPr>
        <w:t>-Investment returns:</w:t>
      </w: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The investment return indicated that this 25-years- project has almost 26% return (the sum of 25years profit/initial cost). This method is the simplest, but it neglects the calculation of the future money value. </w:t>
      </w: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rPr>
        <w:t>-ARR:</w:t>
      </w:r>
    </w:p>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lang w:eastAsia="zh-TW"/>
        </w:rPr>
        <w:t xml:space="preserve">ARR stood at 5.04% which is higher than ROE and ROA of Carlsberg in FY 2023. ARR (Average rate of return) is indicating the investment return of long-term project. And ARR is also a simple calculation method for examining the return of a long-term project. But this method is lacking of the consideration of time value of money. </w:t>
      </w: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rPr>
        <w:t>-NPV:</w:t>
      </w:r>
    </w:p>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NPV of the project stood at HKD2.309.6M per the above calculation, </w:t>
      </w:r>
    </w:p>
    <w:p>
      <w:pPr>
        <w:tabs>
          <w:tab w:val="left" w:pos="2206"/>
        </w:tabs>
        <w:spacing w:line="360" w:lineRule="auto"/>
        <w:rPr>
          <w:rFonts w:hint="default" w:ascii="Times New Roman Regular" w:hAnsi="Times New Roman Regular" w:cs="Times New Roman Regular"/>
          <w:sz w:val="24"/>
          <w:szCs w:val="24"/>
          <w:lang w:val="zh-CN" w:eastAsia="zh-TW"/>
        </w:rPr>
      </w:pPr>
      <w:r>
        <w:rPr>
          <w:rFonts w:hint="default" w:ascii="Times New Roman Regular" w:hAnsi="Times New Roman Regular" w:cs="Times New Roman Regular"/>
          <w:sz w:val="24"/>
          <w:szCs w:val="24"/>
          <w:lang w:val="zh-CN" w:eastAsia="zh-TW"/>
        </w:rPr>
        <w:t xml:space="preserve">NPV =all cashflow for (25) years-initial cost=HKD2.309.6M. </w:t>
      </w:r>
    </w:p>
    <w:p>
      <w:pPr>
        <w:tabs>
          <w:tab w:val="left" w:pos="2206"/>
        </w:tabs>
        <w:spacing w:line="360" w:lineRule="auto"/>
        <w:rPr>
          <w:rFonts w:hint="default" w:ascii="Times New Roman Regular" w:hAnsi="Times New Roman Regular" w:cs="Times New Roman Regular"/>
          <w:sz w:val="24"/>
          <w:szCs w:val="24"/>
          <w:lang w:val="zh-CN"/>
        </w:rPr>
      </w:pPr>
      <w:r>
        <w:rPr>
          <w:rFonts w:hint="default" w:ascii="Times New Roman Regular" w:hAnsi="Times New Roman Regular" w:cs="Times New Roman Regular"/>
          <w:sz w:val="24"/>
          <w:szCs w:val="24"/>
          <w:lang w:val="zh-CN"/>
        </w:rPr>
        <w:t xml:space="preserve">This 25-years project’s NPV accounts for positive value, the project is worth to invest. </w:t>
      </w:r>
    </w:p>
    <w:p>
      <w:pPr>
        <w:tabs>
          <w:tab w:val="left" w:pos="2206"/>
        </w:tabs>
        <w:spacing w:line="360" w:lineRule="auto"/>
        <w:rPr>
          <w:rFonts w:hint="default" w:ascii="Times New Roman Regular" w:hAnsi="Times New Roman Regular" w:cs="Times New Roman Regular"/>
          <w:sz w:val="24"/>
          <w:szCs w:val="24"/>
          <w:lang w:val="zh-CN"/>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rPr>
        <w:t>-IRR:</w:t>
      </w:r>
    </w:p>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rPr>
        <w:t xml:space="preserve">IRR is to estimate the profitability of potential investments with the consideration of the time value of money. The proposed project’s IRR accounts for 9%, which is higher than the net income margin of Carlsberg in FY2023. IRR is a comprehensive measure with considering the time value of money, cash flow and risk free factor for long-term and short-term projects. However, an actual project must be impacted by various factors and those factors are obtained via very complicated calculations. And IRR has to assume the intermediate cash flows are reinvested at the same rate which mostly is not in line with reality. </w:t>
      </w:r>
    </w:p>
    <w:p>
      <w:pPr>
        <w:tabs>
          <w:tab w:val="left" w:pos="2206"/>
        </w:tabs>
        <w:spacing w:line="360" w:lineRule="auto"/>
        <w:rPr>
          <w:rFonts w:hint="default" w:ascii="Times New Roman Regular" w:hAnsi="Times New Roman Regular" w:cs="Times New Roman Regular"/>
          <w:sz w:val="24"/>
          <w:szCs w:val="24"/>
          <w:u w:val="single"/>
        </w:rPr>
      </w:pPr>
    </w:p>
    <w:p>
      <w:pPr>
        <w:pStyle w:val="3"/>
        <w:spacing w:line="360" w:lineRule="auto"/>
        <w:rPr>
          <w:rFonts w:hint="default" w:ascii="Times New Roman Regular" w:hAnsi="Times New Roman Regular" w:cs="Times New Roman Regular"/>
          <w:color w:val="auto"/>
          <w:sz w:val="24"/>
          <w:szCs w:val="24"/>
        </w:rPr>
      </w:pPr>
      <w:bookmarkStart w:id="36" w:name="_Toc176358784"/>
      <w:r>
        <w:rPr>
          <w:rFonts w:hint="default" w:ascii="Times New Roman Regular" w:hAnsi="Times New Roman Regular" w:cs="Times New Roman Regular"/>
          <w:color w:val="auto"/>
          <w:sz w:val="24"/>
          <w:szCs w:val="24"/>
        </w:rPr>
        <w:t>4.10 Suggestion for cashflow of new project</w:t>
      </w:r>
      <w:bookmarkEnd w:id="36"/>
    </w:p>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Carlsberg could invest to the new project via its cash injection in the first year due to its cash and cash equivalents is sufficient to support this new project. Cash and cash equivalents of Carlsberg stood at DKK13,382M (HKD15,523M). </w:t>
      </w:r>
    </w:p>
    <w:p>
      <w:pPr>
        <w:tabs>
          <w:tab w:val="left" w:pos="2206"/>
        </w:tabs>
        <w:spacing w:line="360" w:lineRule="auto"/>
        <w:rPr>
          <w:rFonts w:hint="default" w:ascii="Times New Roman Regular" w:hAnsi="Times New Roman Regular" w:cs="Times New Roman Regular"/>
          <w:sz w:val="24"/>
          <w:szCs w:val="24"/>
        </w:rPr>
      </w:pPr>
    </w:p>
    <w:p>
      <w:pPr>
        <w:tabs>
          <w:tab w:val="left" w:pos="2206"/>
        </w:tabs>
        <w:spacing w:line="360" w:lineRule="auto"/>
        <w:rPr>
          <w:rFonts w:hint="default" w:ascii="Times New Roman Regular" w:hAnsi="Times New Roman Regular" w:cs="Times New Roman Regular" w:eastAsiaTheme="majorEastAsia"/>
          <w:b/>
          <w:color w:val="2E54A1" w:themeColor="accent1" w:themeShade="BF"/>
          <w:sz w:val="24"/>
          <w:szCs w:val="24"/>
        </w:rPr>
      </w:pPr>
      <w:r>
        <w:rPr>
          <w:rFonts w:hint="default" w:ascii="Times New Roman Regular" w:hAnsi="Times New Roman Regular" w:cs="Times New Roman Regular"/>
          <w:sz w:val="24"/>
          <w:szCs w:val="24"/>
        </w:rPr>
        <w:t xml:space="preserve">Afterwards, Carlsberg can reinvest by using this new project’s revenue. Those profitable stores could complement the unprofitable stores. Carlsberg can assess the profitability of each store annually, and take appropriate improvements in terms of strategy, location, decoration and etc. The purpose is to optimize the operating efficiency for the new project. </w:t>
      </w:r>
    </w:p>
    <w:p>
      <w:pPr>
        <w:pStyle w:val="2"/>
        <w:spacing w:line="360" w:lineRule="auto"/>
        <w:jc w:val="left"/>
        <w:rPr>
          <w:rFonts w:hint="default" w:ascii="Times New Roman Regular" w:hAnsi="Times New Roman Regular" w:cs="Times New Roman Regular"/>
          <w:color w:val="auto"/>
          <w:sz w:val="24"/>
          <w:szCs w:val="24"/>
        </w:rPr>
      </w:pPr>
      <w:bookmarkStart w:id="37" w:name="_Toc176358785"/>
      <w:r>
        <w:rPr>
          <w:rFonts w:hint="default" w:ascii="Times New Roman Regular" w:hAnsi="Times New Roman Regular" w:cs="Times New Roman Regular"/>
          <w:color w:val="auto"/>
          <w:sz w:val="24"/>
          <w:szCs w:val="24"/>
        </w:rPr>
        <w:t>5. Financing and capital management</w:t>
      </w:r>
      <w:bookmarkEnd w:id="37"/>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Carlsberg can utilize various financing methods for initiating the new project. Below is showing the pros and cons of different methods. </w:t>
      </w:r>
    </w:p>
    <w:p>
      <w:pPr>
        <w:tabs>
          <w:tab w:val="left" w:pos="2206"/>
        </w:tabs>
        <w:spacing w:line="360" w:lineRule="auto"/>
        <w:rPr>
          <w:rFonts w:hint="default" w:ascii="Times New Roman Regular" w:hAnsi="Times New Roman Regular" w:cs="Times New Roman Regular"/>
          <w:color w:val="auto"/>
          <w:sz w:val="24"/>
          <w:szCs w:val="24"/>
          <w:u w:val="single"/>
        </w:rPr>
      </w:pPr>
    </w:p>
    <w:p>
      <w:pPr>
        <w:pStyle w:val="3"/>
        <w:spacing w:line="360" w:lineRule="auto"/>
        <w:rPr>
          <w:rFonts w:hint="default" w:ascii="Times New Roman Regular" w:hAnsi="Times New Roman Regular" w:cs="Times New Roman Regular"/>
          <w:sz w:val="24"/>
          <w:szCs w:val="24"/>
          <w:u w:val="single"/>
        </w:rPr>
      </w:pPr>
      <w:bookmarkStart w:id="38" w:name="_Toc176358786"/>
      <w:r>
        <w:rPr>
          <w:rFonts w:hint="default" w:ascii="Times New Roman Regular" w:hAnsi="Times New Roman Regular" w:cs="Times New Roman Regular"/>
          <w:color w:val="auto"/>
          <w:sz w:val="24"/>
          <w:szCs w:val="24"/>
        </w:rPr>
        <w:t>5.1 Financing Methods for analyzing</w:t>
      </w:r>
      <w:bookmarkEnd w:id="38"/>
    </w:p>
    <w:tbl>
      <w:tblPr>
        <w:tblStyle w:val="11"/>
        <w:tblW w:w="635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63"/>
        <w:gridCol w:w="1460"/>
        <w:gridCol w:w="1462"/>
        <w:gridCol w:w="1467"/>
      </w:tblGrid>
      <w:tr>
        <w:tc>
          <w:tcPr>
            <w:tcW w:w="1963" w:type="dxa"/>
          </w:tcPr>
          <w:p>
            <w:pPr>
              <w:tabs>
                <w:tab w:val="left" w:pos="2206"/>
              </w:tabs>
              <w:spacing w:line="360" w:lineRule="auto"/>
              <w:rPr>
                <w:rFonts w:hint="default" w:ascii="Times New Roman Regular" w:hAnsi="Times New Roman Regular" w:cs="Times New Roman Regular"/>
                <w:sz w:val="24"/>
                <w:szCs w:val="24"/>
              </w:rPr>
            </w:pPr>
          </w:p>
        </w:tc>
        <w:tc>
          <w:tcPr>
            <w:tcW w:w="4389" w:type="dxa"/>
            <w:gridSpan w:val="3"/>
          </w:tcPr>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rPr>
              <w:t>Carlsberg</w:t>
            </w:r>
            <w:r>
              <w:rPr>
                <w:rFonts w:hint="default" w:ascii="Times New Roman Regular" w:hAnsi="Times New Roman Regular" w:cs="Times New Roman Regular"/>
                <w:sz w:val="24"/>
                <w:szCs w:val="24"/>
                <w:lang w:eastAsia="zh-TW"/>
              </w:rPr>
              <w:t xml:space="preserve"> (DKK million)</w:t>
            </w:r>
          </w:p>
        </w:tc>
      </w:tr>
      <w:tr>
        <w:tc>
          <w:tcPr>
            <w:tcW w:w="196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Year</w:t>
            </w:r>
          </w:p>
        </w:tc>
        <w:tc>
          <w:tcPr>
            <w:tcW w:w="14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2021</w:t>
            </w:r>
          </w:p>
        </w:tc>
        <w:tc>
          <w:tcPr>
            <w:tcW w:w="1462"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2022</w:t>
            </w:r>
          </w:p>
        </w:tc>
        <w:tc>
          <w:tcPr>
            <w:tcW w:w="1467"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2023</w:t>
            </w:r>
          </w:p>
        </w:tc>
      </w:tr>
      <w:tr>
        <w:tc>
          <w:tcPr>
            <w:tcW w:w="196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Cash and equivalents</w:t>
            </w:r>
          </w:p>
        </w:tc>
        <w:tc>
          <w:tcPr>
            <w:tcW w:w="14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8,344</w:t>
            </w:r>
          </w:p>
        </w:tc>
        <w:tc>
          <w:tcPr>
            <w:tcW w:w="1462" w:type="dxa"/>
            <w:vAlign w:val="center"/>
          </w:tcPr>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8,163</w:t>
            </w:r>
          </w:p>
        </w:tc>
        <w:tc>
          <w:tcPr>
            <w:tcW w:w="1467" w:type="dxa"/>
            <w:vAlign w:val="center"/>
          </w:tcPr>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13,382</w:t>
            </w:r>
          </w:p>
        </w:tc>
      </w:tr>
      <w:tr>
        <w:tc>
          <w:tcPr>
            <w:tcW w:w="1963" w:type="dxa"/>
          </w:tcPr>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Borrowings</w:t>
            </w:r>
          </w:p>
        </w:tc>
        <w:tc>
          <w:tcPr>
            <w:tcW w:w="14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28,931</w:t>
            </w:r>
          </w:p>
        </w:tc>
        <w:tc>
          <w:tcPr>
            <w:tcW w:w="1462" w:type="dxa"/>
            <w:vAlign w:val="center"/>
          </w:tcPr>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28,646</w:t>
            </w:r>
          </w:p>
        </w:tc>
        <w:tc>
          <w:tcPr>
            <w:tcW w:w="1467" w:type="dxa"/>
            <w:vAlign w:val="center"/>
          </w:tcPr>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39,101</w:t>
            </w:r>
          </w:p>
        </w:tc>
      </w:tr>
      <w:tr>
        <w:tc>
          <w:tcPr>
            <w:tcW w:w="196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Cash ratio</w:t>
            </w:r>
          </w:p>
        </w:tc>
        <w:tc>
          <w:tcPr>
            <w:tcW w:w="14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0.19</w:t>
            </w:r>
          </w:p>
        </w:tc>
        <w:tc>
          <w:tcPr>
            <w:tcW w:w="1462"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0.18</w:t>
            </w:r>
          </w:p>
        </w:tc>
        <w:tc>
          <w:tcPr>
            <w:tcW w:w="1467"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0.28</w:t>
            </w:r>
          </w:p>
        </w:tc>
      </w:tr>
      <w:tr>
        <w:tc>
          <w:tcPr>
            <w:tcW w:w="196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Retained profit</w:t>
            </w:r>
          </w:p>
        </w:tc>
        <w:tc>
          <w:tcPr>
            <w:tcW w:w="14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71,271</w:t>
            </w:r>
          </w:p>
        </w:tc>
        <w:tc>
          <w:tcPr>
            <w:tcW w:w="1462"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eastAsia="zh-TW"/>
              </w:rPr>
              <w:t>70,776</w:t>
            </w:r>
          </w:p>
        </w:tc>
        <w:tc>
          <w:tcPr>
            <w:tcW w:w="1467"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eastAsia="zh-TW"/>
              </w:rPr>
              <w:t>23,306</w:t>
            </w:r>
          </w:p>
        </w:tc>
      </w:tr>
      <w:tr>
        <w:tc>
          <w:tcPr>
            <w:tcW w:w="196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Net debt ratio</w:t>
            </w:r>
          </w:p>
        </w:tc>
        <w:tc>
          <w:tcPr>
            <w:tcW w:w="14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0.55</w:t>
            </w:r>
          </w:p>
        </w:tc>
        <w:tc>
          <w:tcPr>
            <w:tcW w:w="1462"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0.59</w:t>
            </w:r>
          </w:p>
        </w:tc>
        <w:tc>
          <w:tcPr>
            <w:tcW w:w="1467"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1.00</w:t>
            </w:r>
          </w:p>
        </w:tc>
      </w:tr>
      <w:tr>
        <w:tc>
          <w:tcPr>
            <w:tcW w:w="196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Net interest Expense</w:t>
            </w:r>
          </w:p>
        </w:tc>
        <w:tc>
          <w:tcPr>
            <w:tcW w:w="14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956</w:t>
            </w:r>
          </w:p>
        </w:tc>
        <w:tc>
          <w:tcPr>
            <w:tcW w:w="1462"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1,072</w:t>
            </w:r>
          </w:p>
        </w:tc>
        <w:tc>
          <w:tcPr>
            <w:tcW w:w="1467"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1,539</w:t>
            </w:r>
          </w:p>
        </w:tc>
      </w:tr>
      <w:tr>
        <w:tc>
          <w:tcPr>
            <w:tcW w:w="1963" w:type="dxa"/>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Net interest expenses/turnover</w:t>
            </w:r>
          </w:p>
        </w:tc>
        <w:tc>
          <w:tcPr>
            <w:tcW w:w="1460"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8.34</w:t>
            </w:r>
          </w:p>
        </w:tc>
        <w:tc>
          <w:tcPr>
            <w:tcW w:w="1462"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11.80</w:t>
            </w:r>
          </w:p>
        </w:tc>
        <w:tc>
          <w:tcPr>
            <w:tcW w:w="1467" w:type="dxa"/>
            <w:vAlign w:val="center"/>
          </w:tcPr>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color w:val="000000"/>
                <w:sz w:val="24"/>
                <w:szCs w:val="24"/>
              </w:rPr>
              <w:t>8.44</w:t>
            </w:r>
          </w:p>
        </w:tc>
      </w:tr>
    </w:tbl>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Bold" w:hAnsi="Times New Roman Bold" w:cs="Times New Roman Bold"/>
          <w:b/>
          <w:bCs/>
          <w:sz w:val="24"/>
          <w:szCs w:val="24"/>
          <w:u w:val="single"/>
          <w:lang w:eastAsia="zh-TW"/>
        </w:rPr>
      </w:pPr>
      <w:r>
        <w:rPr>
          <w:rFonts w:hint="default" w:ascii="Times New Roman Bold" w:hAnsi="Times New Roman Bold" w:cs="Times New Roman Bold"/>
          <w:b/>
          <w:bCs/>
          <w:sz w:val="24"/>
          <w:szCs w:val="24"/>
          <w:u w:val="single"/>
        </w:rPr>
        <w:t xml:space="preserve">- </w:t>
      </w:r>
      <w:bookmarkStart w:id="39" w:name="OLE_LINK16"/>
      <w:r>
        <w:rPr>
          <w:rFonts w:hint="default" w:ascii="Times New Roman Bold" w:hAnsi="Times New Roman Bold" w:cs="Times New Roman Bold"/>
          <w:b/>
          <w:bCs/>
          <w:sz w:val="24"/>
          <w:szCs w:val="24"/>
          <w:u w:val="single"/>
        </w:rPr>
        <w:t>Cash payments</w:t>
      </w:r>
      <w:bookmarkEnd w:id="39"/>
    </w:p>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lang w:eastAsia="zh-TW"/>
        </w:rPr>
        <w:t xml:space="preserve">Carlsberg can invest into the new project by utilizing its cash and cash equivalents or retained profit. Though retained profit reduced to DKK23.3B, retained profit was still sufficient to support the new project. Retained profit is come from a certain percentage of profit and can be used for the company’s development. The advantage for using this method won’t increase the interest expense and the debt level. However, using cash payment would weaken the liquidity of the company, especially Carlsberg having low current ratio. </w:t>
      </w: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Bold" w:hAnsi="Times New Roman Bold" w:cs="Times New Roman Bold"/>
          <w:b/>
          <w:bCs/>
          <w:sz w:val="24"/>
          <w:szCs w:val="24"/>
          <w:u w:val="single"/>
        </w:rPr>
      </w:pPr>
      <w:r>
        <w:rPr>
          <w:rFonts w:hint="default" w:ascii="Times New Roman Bold" w:hAnsi="Times New Roman Bold" w:cs="Times New Roman Bold"/>
          <w:b/>
          <w:bCs/>
          <w:sz w:val="24"/>
          <w:szCs w:val="24"/>
          <w:u w:val="single"/>
        </w:rPr>
        <w:t>-Bank loan financing</w:t>
      </w:r>
    </w:p>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rPr>
        <w:t xml:space="preserve">As of 31 Dec 2023, Carlsberg has unutilized credit facility of EUR2B (approximately HKD 17.42B). </w:t>
      </w:r>
      <w:r>
        <w:rPr>
          <w:rFonts w:hint="default" w:ascii="Times New Roman Regular" w:hAnsi="Times New Roman Regular" w:cs="Times New Roman Regular"/>
          <w:sz w:val="24"/>
          <w:szCs w:val="24"/>
          <w:lang w:eastAsia="zh-TW"/>
        </w:rPr>
        <w:t xml:space="preserve">The average floating rate and fixed rate for the bank borrowings are 4.1% and 4.5% respectively. Using this method would increase the interest expense, especially during this high interest rate moment. Also, due to the majority of bank loan in EUR, Carlsberg also exposed to exchange risk. However, as Carlsberg was a multinational company and the business was diversified in different area, the exchange risk could be mitigated by its diversified business. Utilizing the available facility can help to increase the liquidity. </w:t>
      </w: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Bold" w:hAnsi="Times New Roman Bold" w:cs="Times New Roman Bold"/>
          <w:b/>
          <w:bCs/>
          <w:sz w:val="24"/>
          <w:szCs w:val="24"/>
          <w:u w:val="single"/>
          <w:lang w:eastAsia="zh-TW"/>
        </w:rPr>
      </w:pPr>
      <w:r>
        <w:rPr>
          <w:rFonts w:hint="default" w:ascii="Times New Roman Bold" w:hAnsi="Times New Roman Bold" w:cs="Times New Roman Bold"/>
          <w:b/>
          <w:bCs/>
          <w:sz w:val="24"/>
          <w:szCs w:val="24"/>
          <w:u w:val="single"/>
        </w:rPr>
        <w:t>-</w:t>
      </w:r>
      <w:r>
        <w:rPr>
          <w:rFonts w:hint="default" w:ascii="Times New Roman Bold" w:hAnsi="Times New Roman Bold" w:cs="Times New Roman Bold"/>
          <w:b/>
          <w:bCs/>
          <w:sz w:val="24"/>
          <w:szCs w:val="24"/>
          <w:u w:val="single"/>
          <w:lang w:eastAsia="zh-TW"/>
        </w:rPr>
        <w:t>Bond issuing</w:t>
      </w: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 xml:space="preserve">Carlsberg issued bonds with carrying amount of DKK29.27B in FY2023. Issuing bonds is another way to finance its new project by debt financing. Bond issuing also would increase the interest expense and debt level. However, its issued bonds always had longer payment period, like 3-5 years, Carlsberg only needed to repay the principal on maturity. And Carlsberg can choose to refinance when the bond is mature, it could ensure to sustain a good liquidity for the company. It is crucial that Carlsberg need to maintain a good credit rating as the bond investors and banks would base on this factor to determine if they should finance the company or not. </w:t>
      </w:r>
    </w:p>
    <w:p>
      <w:pPr>
        <w:tabs>
          <w:tab w:val="left" w:pos="2206"/>
        </w:tabs>
        <w:spacing w:line="360" w:lineRule="auto"/>
        <w:rPr>
          <w:rFonts w:hint="default" w:ascii="Times New Roman Regular" w:hAnsi="Times New Roman Regular" w:cs="Times New Roman Regular"/>
          <w:sz w:val="24"/>
          <w:szCs w:val="24"/>
          <w:lang w:eastAsia="zh-TW"/>
        </w:rPr>
      </w:pPr>
    </w:p>
    <w:p>
      <w:pPr>
        <w:tabs>
          <w:tab w:val="left" w:pos="2206"/>
        </w:tabs>
        <w:spacing w:line="360" w:lineRule="auto"/>
        <w:rPr>
          <w:rFonts w:hint="default" w:ascii="Times New Roman Bold" w:hAnsi="Times New Roman Bold" w:cs="Times New Roman Bold"/>
          <w:b/>
          <w:bCs/>
          <w:sz w:val="24"/>
          <w:szCs w:val="24"/>
          <w:u w:val="single"/>
          <w:lang w:eastAsia="zh-TW"/>
        </w:rPr>
      </w:pPr>
      <w:r>
        <w:rPr>
          <w:rFonts w:hint="default" w:ascii="Times New Roman Bold" w:hAnsi="Times New Roman Bold" w:cs="Times New Roman Bold"/>
          <w:b/>
          <w:bCs/>
          <w:sz w:val="24"/>
          <w:szCs w:val="24"/>
          <w:u w:val="single"/>
          <w:lang w:eastAsia="zh-TW"/>
        </w:rPr>
        <w:t>Time to maturity for non-current borrowings</w:t>
      </w:r>
    </w:p>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u w:val="single"/>
        </w:rPr>
        <w:drawing>
          <wp:inline distT="0" distB="0" distL="0" distR="0">
            <wp:extent cx="5290185" cy="1637665"/>
            <wp:effectExtent l="0" t="0" r="5715" b="635"/>
            <wp:docPr id="113340771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407719" name="Picture 1" descr="A screenshot of a graph&#10;&#10;Description automatically generated"/>
                    <pic:cNvPicPr>
                      <a:picLocks noChangeAspect="1"/>
                    </pic:cNvPicPr>
                  </pic:nvPicPr>
                  <pic:blipFill>
                    <a:blip r:embed="rId12"/>
                    <a:srcRect l="-301" t="20464" r="-1"/>
                    <a:stretch>
                      <a:fillRect/>
                    </a:stretch>
                  </pic:blipFill>
                  <pic:spPr>
                    <a:xfrm>
                      <a:off x="0" y="0"/>
                      <a:ext cx="5290213" cy="1637886"/>
                    </a:xfrm>
                    <a:prstGeom prst="rect">
                      <a:avLst/>
                    </a:prstGeom>
                    <a:ln>
                      <a:noFill/>
                    </a:ln>
                  </pic:spPr>
                </pic:pic>
              </a:graphicData>
            </a:graphic>
          </wp:inline>
        </w:drawing>
      </w:r>
    </w:p>
    <w:p>
      <w:pPr>
        <w:tabs>
          <w:tab w:val="left" w:pos="2206"/>
        </w:tabs>
        <w:spacing w:line="360" w:lineRule="auto"/>
        <w:rPr>
          <w:rFonts w:hint="default" w:ascii="Times New Roman Regular" w:hAnsi="Times New Roman Regular" w:cs="Times New Roman Regular"/>
          <w:sz w:val="24"/>
          <w:szCs w:val="24"/>
          <w:lang w:eastAsia="zh-TW"/>
        </w:rPr>
      </w:pPr>
      <w:r>
        <w:rPr>
          <w:rFonts w:hint="default" w:ascii="Times New Roman Regular" w:hAnsi="Times New Roman Regular" w:cs="Times New Roman Regular"/>
          <w:sz w:val="24"/>
          <w:szCs w:val="24"/>
          <w:lang w:eastAsia="zh-TW"/>
        </w:rPr>
        <w:t>Source: Carlsberg annual report FY2023</w:t>
      </w:r>
    </w:p>
    <w:p>
      <w:pPr>
        <w:tabs>
          <w:tab w:val="left" w:pos="2206"/>
        </w:tabs>
        <w:spacing w:line="360" w:lineRule="auto"/>
        <w:rPr>
          <w:rFonts w:hint="default" w:ascii="Times New Roman Regular" w:hAnsi="Times New Roman Regular" w:cs="Times New Roman Regular"/>
          <w:sz w:val="24"/>
          <w:szCs w:val="24"/>
          <w:lang w:eastAsia="zh-TW"/>
        </w:rPr>
      </w:pPr>
    </w:p>
    <w:p>
      <w:pPr>
        <w:pStyle w:val="3"/>
        <w:spacing w:line="360" w:lineRule="auto"/>
        <w:rPr>
          <w:rFonts w:hint="default" w:ascii="Times New Roman Regular" w:hAnsi="Times New Roman Regular" w:cs="Times New Roman Regular"/>
          <w:color w:val="auto"/>
          <w:sz w:val="24"/>
          <w:szCs w:val="24"/>
        </w:rPr>
      </w:pPr>
      <w:bookmarkStart w:id="40" w:name="_Toc176358787"/>
      <w:r>
        <w:rPr>
          <w:rFonts w:hint="default" w:ascii="Times New Roman Regular" w:hAnsi="Times New Roman Regular" w:cs="Times New Roman Regular"/>
          <w:color w:val="auto"/>
          <w:sz w:val="24"/>
          <w:szCs w:val="24"/>
        </w:rPr>
        <w:t>5.2 Financing method proposed</w:t>
      </w:r>
      <w:bookmarkEnd w:id="40"/>
    </w:p>
    <w:p>
      <w:pPr>
        <w:tabs>
          <w:tab w:val="left" w:pos="2206"/>
        </w:tabs>
        <w:spacing w:line="360" w:lineRule="auto"/>
        <w:rPr>
          <w:rFonts w:hint="default" w:ascii="Times New Roman Regular" w:hAnsi="Times New Roman Regular" w:cs="Times New Roman Regular"/>
          <w:sz w:val="24"/>
          <w:szCs w:val="24"/>
          <w:u w:val="single"/>
        </w:rPr>
      </w:pPr>
      <w:r>
        <w:rPr>
          <w:rFonts w:hint="default" w:ascii="Times New Roman Regular" w:hAnsi="Times New Roman Regular" w:cs="Times New Roman Regular"/>
          <w:sz w:val="24"/>
          <w:szCs w:val="24"/>
        </w:rPr>
        <w:t xml:space="preserve">With the above analysis, Carlsberg should use Cash payments for initiate the new project. </w:t>
      </w:r>
    </w:p>
    <w:tbl>
      <w:tblPr>
        <w:tblStyle w:val="5"/>
        <w:tblW w:w="9170" w:type="dxa"/>
        <w:tblInd w:w="0" w:type="dxa"/>
        <w:tblLayout w:type="autofit"/>
        <w:tblCellMar>
          <w:top w:w="0" w:type="dxa"/>
          <w:left w:w="108" w:type="dxa"/>
          <w:bottom w:w="0" w:type="dxa"/>
          <w:right w:w="108" w:type="dxa"/>
        </w:tblCellMar>
      </w:tblPr>
      <w:tblGrid>
        <w:gridCol w:w="2398"/>
        <w:gridCol w:w="1732"/>
        <w:gridCol w:w="1530"/>
        <w:gridCol w:w="1800"/>
        <w:gridCol w:w="1710"/>
      </w:tblGrid>
      <w:tr>
        <w:trPr>
          <w:trHeight w:val="305" w:hRule="atLeast"/>
        </w:trPr>
        <w:tc>
          <w:tcPr>
            <w:tcW w:w="2398" w:type="dxa"/>
            <w:tcBorders>
              <w:top w:val="single" w:color="auto" w:sz="8" w:space="0"/>
              <w:left w:val="single" w:color="auto" w:sz="8" w:space="0"/>
              <w:bottom w:val="single" w:color="auto" w:sz="8" w:space="0"/>
              <w:right w:val="single" w:color="auto" w:sz="8" w:space="0"/>
            </w:tcBorders>
            <w:shd w:val="clear" w:color="auto" w:fill="FFFFFF" w:themeFill="background1"/>
            <w:vAlign w:val="center"/>
          </w:tcPr>
          <w:p>
            <w:pPr>
              <w:widowControl/>
              <w:spacing w:line="360" w:lineRule="auto"/>
              <w:rPr>
                <w:rFonts w:hint="default" w:ascii="Times New Roman Regular" w:hAnsi="Times New Roman Regular" w:eastAsia="Times New Roman" w:cs="Times New Roman Regular"/>
                <w:color w:val="000000"/>
                <w:kern w:val="0"/>
                <w:sz w:val="24"/>
                <w:szCs w:val="24"/>
              </w:rPr>
            </w:pPr>
          </w:p>
        </w:tc>
        <w:tc>
          <w:tcPr>
            <w:tcW w:w="3262" w:type="dxa"/>
            <w:gridSpan w:val="2"/>
            <w:tcBorders>
              <w:top w:val="single" w:color="auto" w:sz="8" w:space="0"/>
              <w:left w:val="nil"/>
              <w:bottom w:val="single" w:color="auto" w:sz="8" w:space="0"/>
              <w:right w:val="single" w:color="auto" w:sz="8" w:space="0"/>
            </w:tcBorders>
            <w:shd w:val="clear" w:color="auto" w:fill="FEF2CA" w:themeFill="accent3" w:themeFillTint="33"/>
            <w:vAlign w:val="center"/>
          </w:tcPr>
          <w:p>
            <w:pPr>
              <w:widowControl/>
              <w:spacing w:line="360" w:lineRule="auto"/>
              <w:rPr>
                <w:rFonts w:hint="default" w:ascii="Times New Roman Regular" w:hAnsi="Times New Roman Regular" w:eastAsia="Times New Roman" w:cs="Times New Roman Regular"/>
                <w:color w:val="000000"/>
                <w:kern w:val="0"/>
                <w:sz w:val="24"/>
                <w:szCs w:val="24"/>
                <w:u w:val="single"/>
              </w:rPr>
            </w:pPr>
            <w:r>
              <w:rPr>
                <w:rFonts w:hint="default" w:ascii="Times New Roman Regular" w:hAnsi="Times New Roman Regular" w:eastAsia="Times New Roman" w:cs="Times New Roman Regular"/>
                <w:color w:val="000000"/>
                <w:kern w:val="0"/>
                <w:sz w:val="24"/>
                <w:szCs w:val="24"/>
                <w:u w:val="single"/>
              </w:rPr>
              <w:t>Actual</w:t>
            </w:r>
          </w:p>
        </w:tc>
        <w:tc>
          <w:tcPr>
            <w:tcW w:w="1800" w:type="dxa"/>
            <w:tcBorders>
              <w:top w:val="single" w:color="auto" w:sz="8" w:space="0"/>
              <w:left w:val="nil"/>
              <w:bottom w:val="single" w:color="auto" w:sz="8" w:space="0"/>
              <w:right w:val="single" w:color="auto" w:sz="8" w:space="0"/>
            </w:tcBorders>
            <w:shd w:val="clear" w:color="auto" w:fill="FEF2CA" w:themeFill="accent3" w:themeFillTint="33"/>
          </w:tcPr>
          <w:p>
            <w:pPr>
              <w:widowControl/>
              <w:spacing w:line="360" w:lineRule="auto"/>
              <w:rPr>
                <w:rFonts w:hint="default" w:ascii="Times New Roman Regular" w:hAnsi="Times New Roman Regular" w:eastAsia="Times New Roman" w:cs="Times New Roman Regular"/>
                <w:color w:val="000000"/>
                <w:kern w:val="0"/>
                <w:sz w:val="24"/>
                <w:szCs w:val="24"/>
                <w:u w:val="single"/>
              </w:rPr>
            </w:pPr>
            <w:r>
              <w:rPr>
                <w:rFonts w:hint="default" w:ascii="Times New Roman Regular" w:hAnsi="Times New Roman Regular" w:eastAsia="Times New Roman" w:cs="Times New Roman Regular"/>
                <w:color w:val="000000"/>
                <w:kern w:val="0"/>
                <w:sz w:val="24"/>
                <w:szCs w:val="24"/>
                <w:u w:val="single"/>
              </w:rPr>
              <w:t>Target</w:t>
            </w:r>
          </w:p>
        </w:tc>
        <w:tc>
          <w:tcPr>
            <w:tcW w:w="1710" w:type="dxa"/>
            <w:vMerge w:val="restart"/>
            <w:tcBorders>
              <w:top w:val="single" w:color="auto" w:sz="8" w:space="0"/>
              <w:left w:val="single" w:color="auto" w:sz="8" w:space="0"/>
              <w:right w:val="single" w:color="auto" w:sz="8" w:space="0"/>
            </w:tcBorders>
            <w:shd w:val="clear" w:color="auto" w:fill="F9DBDE" w:themeFill="accent6" w:themeFillTint="33"/>
            <w:vAlign w:val="center"/>
          </w:tcPr>
          <w:p>
            <w:pPr>
              <w:spacing w:line="360" w:lineRule="auto"/>
              <w:rPr>
                <w:rFonts w:hint="default" w:ascii="Times New Roman Regular" w:hAnsi="Times New Roman Regular" w:eastAsia="Times New Roman" w:cs="Times New Roman Regular"/>
                <w:color w:val="000000"/>
                <w:kern w:val="0"/>
                <w:sz w:val="24"/>
                <w:szCs w:val="24"/>
                <w:u w:val="single"/>
              </w:rPr>
            </w:pPr>
            <w:r>
              <w:rPr>
                <w:rFonts w:hint="default" w:ascii="Times New Roman Regular" w:hAnsi="Times New Roman Regular" w:eastAsia="Times New Roman" w:cs="Times New Roman Regular"/>
                <w:color w:val="000000"/>
                <w:kern w:val="0"/>
                <w:sz w:val="24"/>
                <w:szCs w:val="24"/>
                <w:u w:val="single"/>
              </w:rPr>
              <w:t>Industry value</w:t>
            </w:r>
          </w:p>
        </w:tc>
      </w:tr>
      <w:tr>
        <w:trPr>
          <w:trHeight w:val="305" w:hRule="atLeast"/>
        </w:trPr>
        <w:tc>
          <w:tcPr>
            <w:tcW w:w="2398" w:type="dxa"/>
            <w:tcBorders>
              <w:top w:val="single" w:color="auto" w:sz="8" w:space="0"/>
              <w:left w:val="single" w:color="auto" w:sz="8" w:space="0"/>
              <w:bottom w:val="single" w:color="auto" w:sz="8" w:space="0"/>
              <w:right w:val="single" w:color="auto" w:sz="8" w:space="0"/>
            </w:tcBorders>
            <w:shd w:val="clear" w:color="auto" w:fill="E3F1D9" w:themeFill="accent4" w:themeFillTint="33"/>
            <w:vAlign w:val="center"/>
          </w:tcPr>
          <w:p>
            <w:pPr>
              <w:widowControl/>
              <w:spacing w:line="360" w:lineRule="auto"/>
              <w:rPr>
                <w:rFonts w:hint="default" w:ascii="Times New Roman Regular" w:hAnsi="Times New Roman Regular" w:eastAsia="Times New Roman" w:cs="Times New Roman Regular"/>
                <w:color w:val="000000"/>
                <w:kern w:val="0"/>
                <w:sz w:val="24"/>
                <w:szCs w:val="24"/>
              </w:rPr>
            </w:pPr>
            <w:r>
              <w:rPr>
                <w:rFonts w:hint="default" w:ascii="Times New Roman Regular" w:hAnsi="Times New Roman Regular" w:eastAsia="Times New Roman" w:cs="Times New Roman Regular"/>
                <w:color w:val="000000"/>
                <w:kern w:val="0"/>
                <w:sz w:val="24"/>
                <w:szCs w:val="24"/>
              </w:rPr>
              <w:t>Financial items</w:t>
            </w:r>
          </w:p>
        </w:tc>
        <w:tc>
          <w:tcPr>
            <w:tcW w:w="1732" w:type="dxa"/>
            <w:tcBorders>
              <w:top w:val="single" w:color="auto" w:sz="8" w:space="0"/>
              <w:left w:val="nil"/>
              <w:bottom w:val="single" w:color="auto" w:sz="8" w:space="0"/>
              <w:right w:val="single" w:color="auto" w:sz="8" w:space="0"/>
            </w:tcBorders>
            <w:shd w:val="clear" w:color="auto" w:fill="FEF2CA" w:themeFill="accent3" w:themeFillTint="33"/>
            <w:vAlign w:val="center"/>
          </w:tcPr>
          <w:p>
            <w:pPr>
              <w:widowControl/>
              <w:spacing w:line="360" w:lineRule="auto"/>
              <w:rPr>
                <w:rFonts w:hint="default" w:ascii="Times New Roman Regular" w:hAnsi="Times New Roman Regular" w:eastAsia="Times New Roman" w:cs="Times New Roman Regular"/>
                <w:color w:val="000000"/>
                <w:kern w:val="0"/>
                <w:sz w:val="24"/>
                <w:szCs w:val="24"/>
                <w:u w:val="none"/>
              </w:rPr>
            </w:pPr>
            <w:r>
              <w:rPr>
                <w:rFonts w:hint="default" w:ascii="Times New Roman Regular" w:hAnsi="Times New Roman Regular" w:eastAsia="Times New Roman" w:cs="Times New Roman Regular"/>
                <w:color w:val="000000"/>
                <w:kern w:val="0"/>
                <w:sz w:val="24"/>
                <w:szCs w:val="24"/>
                <w:u w:val="none"/>
                <w:lang w:val="zh-CN" w:eastAsia="zh-TW"/>
              </w:rPr>
              <w:t>2022</w:t>
            </w:r>
          </w:p>
        </w:tc>
        <w:tc>
          <w:tcPr>
            <w:tcW w:w="1530" w:type="dxa"/>
            <w:tcBorders>
              <w:top w:val="single" w:color="auto" w:sz="8" w:space="0"/>
              <w:left w:val="nil"/>
              <w:bottom w:val="single" w:color="auto" w:sz="8" w:space="0"/>
              <w:right w:val="single" w:color="auto" w:sz="8" w:space="0"/>
            </w:tcBorders>
            <w:shd w:val="clear" w:color="auto" w:fill="FEF2CA" w:themeFill="accent3" w:themeFillTint="33"/>
            <w:vAlign w:val="center"/>
          </w:tcPr>
          <w:p>
            <w:pPr>
              <w:widowControl/>
              <w:spacing w:line="360" w:lineRule="auto"/>
              <w:rPr>
                <w:rFonts w:hint="default" w:ascii="Times New Roman Regular" w:hAnsi="Times New Roman Regular" w:eastAsia="Times New Roman" w:cs="Times New Roman Regular"/>
                <w:color w:val="000000"/>
                <w:kern w:val="0"/>
                <w:sz w:val="24"/>
                <w:szCs w:val="24"/>
                <w:u w:val="none"/>
              </w:rPr>
            </w:pPr>
            <w:r>
              <w:rPr>
                <w:rFonts w:hint="default" w:ascii="Times New Roman Regular" w:hAnsi="Times New Roman Regular" w:eastAsia="Times New Roman" w:cs="Times New Roman Regular"/>
                <w:color w:val="000000"/>
                <w:kern w:val="0"/>
                <w:sz w:val="24"/>
                <w:szCs w:val="24"/>
                <w:u w:val="none"/>
                <w:lang w:val="zh-CN" w:eastAsia="zh-TW"/>
              </w:rPr>
              <w:t>2023</w:t>
            </w:r>
          </w:p>
        </w:tc>
        <w:tc>
          <w:tcPr>
            <w:tcW w:w="1800" w:type="dxa"/>
            <w:tcBorders>
              <w:top w:val="single" w:color="auto" w:sz="8" w:space="0"/>
              <w:left w:val="nil"/>
              <w:bottom w:val="single" w:color="auto" w:sz="8" w:space="0"/>
              <w:right w:val="single" w:color="auto" w:sz="8" w:space="0"/>
            </w:tcBorders>
            <w:shd w:val="clear" w:color="auto" w:fill="FEF2CA" w:themeFill="accent3" w:themeFillTint="33"/>
          </w:tcPr>
          <w:p>
            <w:pPr>
              <w:widowControl/>
              <w:spacing w:line="360" w:lineRule="auto"/>
              <w:rPr>
                <w:rFonts w:hint="default" w:ascii="Times New Roman Regular" w:hAnsi="Times New Roman Regular" w:eastAsia="Times New Roman" w:cs="Times New Roman Regular"/>
                <w:color w:val="000000"/>
                <w:kern w:val="0"/>
                <w:sz w:val="24"/>
                <w:szCs w:val="24"/>
                <w:u w:val="none"/>
              </w:rPr>
            </w:pPr>
            <w:r>
              <w:rPr>
                <w:rFonts w:hint="default" w:ascii="Times New Roman Regular" w:hAnsi="Times New Roman Regular" w:eastAsia="Times New Roman" w:cs="Times New Roman Regular"/>
                <w:color w:val="000000"/>
                <w:kern w:val="0"/>
                <w:sz w:val="24"/>
                <w:szCs w:val="24"/>
                <w:u w:val="none"/>
              </w:rPr>
              <w:t>2024</w:t>
            </w:r>
          </w:p>
        </w:tc>
        <w:tc>
          <w:tcPr>
            <w:tcW w:w="1710" w:type="dxa"/>
            <w:vMerge w:val="continue"/>
            <w:tcBorders>
              <w:left w:val="single" w:color="auto" w:sz="8" w:space="0"/>
              <w:bottom w:val="single" w:color="auto" w:sz="8" w:space="0"/>
              <w:right w:val="single" w:color="auto" w:sz="8" w:space="0"/>
            </w:tcBorders>
            <w:shd w:val="clear" w:color="auto" w:fill="F9DBDE" w:themeFill="accent6" w:themeFillTint="33"/>
            <w:vAlign w:val="center"/>
          </w:tcPr>
          <w:p>
            <w:pPr>
              <w:widowControl/>
              <w:spacing w:line="360" w:lineRule="auto"/>
              <w:rPr>
                <w:rFonts w:hint="default" w:ascii="Times New Roman Regular" w:hAnsi="Times New Roman Regular" w:eastAsia="Times New Roman" w:cs="Times New Roman Regular"/>
                <w:color w:val="000000"/>
                <w:kern w:val="0"/>
                <w:sz w:val="24"/>
                <w:szCs w:val="24"/>
                <w:u w:val="single"/>
              </w:rPr>
            </w:pPr>
          </w:p>
        </w:tc>
      </w:tr>
      <w:tr>
        <w:trPr>
          <w:trHeight w:val="305" w:hRule="atLeast"/>
        </w:trPr>
        <w:tc>
          <w:tcPr>
            <w:tcW w:w="2398" w:type="dxa"/>
            <w:tcBorders>
              <w:top w:val="nil"/>
              <w:left w:val="single" w:color="auto" w:sz="8" w:space="0"/>
              <w:bottom w:val="single" w:color="auto" w:sz="8" w:space="0"/>
              <w:right w:val="single" w:color="auto" w:sz="8" w:space="0"/>
            </w:tcBorders>
            <w:shd w:val="clear" w:color="auto" w:fill="E3F1D9" w:themeFill="accent4" w:themeFillTint="33"/>
            <w:vAlign w:val="center"/>
          </w:tcPr>
          <w:p>
            <w:pPr>
              <w:widowControl/>
              <w:spacing w:line="360" w:lineRule="auto"/>
              <w:rPr>
                <w:rFonts w:hint="default" w:ascii="Times New Roman Regular" w:hAnsi="Times New Roman Regular" w:eastAsia="Times New Roman" w:cs="Times New Roman Regular"/>
                <w:color w:val="000000"/>
                <w:kern w:val="0"/>
                <w:sz w:val="24"/>
                <w:szCs w:val="24"/>
                <w:u w:val="none"/>
              </w:rPr>
            </w:pPr>
            <w:bookmarkStart w:id="41" w:name="_Hlk175816671"/>
            <w:r>
              <w:rPr>
                <w:rFonts w:hint="default" w:ascii="Times New Roman Regular" w:hAnsi="Times New Roman Regular" w:eastAsia="Times New Roman" w:cs="Times New Roman Regular"/>
                <w:color w:val="000000"/>
                <w:kern w:val="0"/>
                <w:sz w:val="24"/>
                <w:szCs w:val="24"/>
                <w:u w:val="none"/>
              </w:rPr>
              <w:t xml:space="preserve">Fixed Asset to LTL Ratio </w:t>
            </w:r>
          </w:p>
        </w:tc>
        <w:tc>
          <w:tcPr>
            <w:tcW w:w="1732" w:type="dxa"/>
            <w:tcBorders>
              <w:top w:val="nil"/>
              <w:left w:val="nil"/>
              <w:bottom w:val="single" w:color="auto" w:sz="8" w:space="0"/>
              <w:right w:val="single" w:color="auto" w:sz="8" w:space="0"/>
            </w:tcBorders>
            <w:shd w:val="clear" w:color="auto" w:fill="auto"/>
            <w:vAlign w:val="center"/>
          </w:tcPr>
          <w:p>
            <w:pPr>
              <w:widowControl/>
              <w:spacing w:line="360" w:lineRule="auto"/>
              <w:rPr>
                <w:rFonts w:hint="default" w:ascii="Times New Roman Regular" w:hAnsi="Times New Roman Regular" w:eastAsia="Times New Roman" w:cs="Times New Roman Regular"/>
                <w:color w:val="000000"/>
                <w:kern w:val="0"/>
                <w:sz w:val="24"/>
                <w:szCs w:val="24"/>
              </w:rPr>
            </w:pPr>
            <w:r>
              <w:rPr>
                <w:rFonts w:hint="default" w:ascii="Times New Roman Regular" w:hAnsi="Times New Roman Regular" w:eastAsia="Times New Roman" w:cs="Times New Roman Regular"/>
                <w:color w:val="000000"/>
                <w:kern w:val="0"/>
                <w:sz w:val="24"/>
                <w:szCs w:val="24"/>
                <w:lang w:val="zh-CN" w:eastAsia="zh-TW"/>
              </w:rPr>
              <w:t>1.04</w:t>
            </w:r>
          </w:p>
        </w:tc>
        <w:tc>
          <w:tcPr>
            <w:tcW w:w="1530" w:type="dxa"/>
            <w:tcBorders>
              <w:top w:val="nil"/>
              <w:left w:val="nil"/>
              <w:bottom w:val="single" w:color="auto" w:sz="8" w:space="0"/>
              <w:right w:val="single" w:color="auto" w:sz="8" w:space="0"/>
            </w:tcBorders>
            <w:shd w:val="clear" w:color="auto" w:fill="auto"/>
            <w:vAlign w:val="center"/>
          </w:tcPr>
          <w:p>
            <w:pPr>
              <w:widowControl/>
              <w:spacing w:line="360" w:lineRule="auto"/>
              <w:rPr>
                <w:rFonts w:hint="default" w:ascii="Times New Roman Regular" w:hAnsi="Times New Roman Regular" w:eastAsia="Times New Roman" w:cs="Times New Roman Regular"/>
                <w:color w:val="000000"/>
                <w:kern w:val="0"/>
                <w:sz w:val="24"/>
                <w:szCs w:val="24"/>
              </w:rPr>
            </w:pPr>
            <w:r>
              <w:rPr>
                <w:rFonts w:hint="default" w:ascii="Times New Roman Regular" w:hAnsi="Times New Roman Regular" w:eastAsia="Times New Roman" w:cs="Times New Roman Regular"/>
                <w:color w:val="000000"/>
                <w:kern w:val="0"/>
                <w:sz w:val="24"/>
                <w:szCs w:val="24"/>
                <w:lang w:val="zh-CN" w:eastAsia="zh-TW"/>
              </w:rPr>
              <w:t>0.79</w:t>
            </w:r>
          </w:p>
        </w:tc>
        <w:tc>
          <w:tcPr>
            <w:tcW w:w="1800" w:type="dxa"/>
            <w:tcBorders>
              <w:top w:val="single" w:color="auto" w:sz="8" w:space="0"/>
              <w:left w:val="nil"/>
              <w:bottom w:val="single" w:color="auto" w:sz="8" w:space="0"/>
              <w:right w:val="single" w:color="auto" w:sz="8" w:space="0"/>
            </w:tcBorders>
          </w:tcPr>
          <w:p>
            <w:pPr>
              <w:widowControl/>
              <w:spacing w:line="360" w:lineRule="auto"/>
              <w:rPr>
                <w:rFonts w:hint="default" w:ascii="Times New Roman Regular" w:hAnsi="Times New Roman Regular" w:eastAsia="Times New Roman" w:cs="Times New Roman Regular"/>
                <w:color w:val="000000"/>
                <w:kern w:val="0"/>
                <w:sz w:val="24"/>
                <w:szCs w:val="24"/>
              </w:rPr>
            </w:pPr>
            <w:r>
              <w:rPr>
                <w:rFonts w:hint="default" w:ascii="Times New Roman Regular" w:hAnsi="Times New Roman Regular" w:eastAsia="Times New Roman" w:cs="Times New Roman Regular"/>
                <w:color w:val="000000"/>
                <w:kern w:val="0"/>
                <w:sz w:val="24"/>
                <w:szCs w:val="24"/>
              </w:rPr>
              <w:t>1.05</w:t>
            </w:r>
          </w:p>
        </w:tc>
        <w:tc>
          <w:tcPr>
            <w:tcW w:w="1710" w:type="dxa"/>
            <w:tcBorders>
              <w:top w:val="nil"/>
              <w:left w:val="single" w:color="auto" w:sz="8" w:space="0"/>
              <w:bottom w:val="single" w:color="auto" w:sz="8" w:space="0"/>
              <w:right w:val="single" w:color="auto" w:sz="8" w:space="0"/>
            </w:tcBorders>
            <w:shd w:val="clear" w:color="auto" w:fill="auto"/>
            <w:vAlign w:val="center"/>
          </w:tcPr>
          <w:p>
            <w:pPr>
              <w:widowControl/>
              <w:spacing w:line="360" w:lineRule="auto"/>
              <w:rPr>
                <w:rFonts w:hint="default" w:ascii="Times New Roman Regular" w:hAnsi="Times New Roman Regular" w:eastAsia="Times New Roman" w:cs="Times New Roman Regular"/>
                <w:color w:val="000000"/>
                <w:kern w:val="0"/>
                <w:sz w:val="24"/>
                <w:szCs w:val="24"/>
              </w:rPr>
            </w:pPr>
            <w:r>
              <w:rPr>
                <w:rFonts w:hint="default" w:ascii="Times New Roman Regular" w:hAnsi="Times New Roman Regular" w:eastAsia="Times New Roman" w:cs="Times New Roman Regular"/>
                <w:color w:val="000000"/>
                <w:kern w:val="0"/>
                <w:sz w:val="24"/>
                <w:szCs w:val="24"/>
              </w:rPr>
              <w:t>1.0-3.0</w:t>
            </w:r>
          </w:p>
        </w:tc>
      </w:tr>
      <w:tr>
        <w:trPr>
          <w:trHeight w:val="305" w:hRule="atLeast"/>
        </w:trPr>
        <w:tc>
          <w:tcPr>
            <w:tcW w:w="2398" w:type="dxa"/>
            <w:tcBorders>
              <w:top w:val="nil"/>
              <w:left w:val="single" w:color="auto" w:sz="8" w:space="0"/>
              <w:bottom w:val="single" w:color="auto" w:sz="8" w:space="0"/>
              <w:right w:val="single" w:color="auto" w:sz="8" w:space="0"/>
            </w:tcBorders>
            <w:shd w:val="clear" w:color="auto" w:fill="E3F1D9" w:themeFill="accent4" w:themeFillTint="33"/>
            <w:vAlign w:val="center"/>
          </w:tcPr>
          <w:p>
            <w:pPr>
              <w:widowControl/>
              <w:spacing w:line="360" w:lineRule="auto"/>
              <w:rPr>
                <w:rFonts w:hint="default" w:ascii="Times New Roman Regular" w:hAnsi="Times New Roman Regular" w:eastAsia="Times New Roman" w:cs="Times New Roman Regular"/>
                <w:color w:val="000000"/>
                <w:kern w:val="0"/>
                <w:sz w:val="24"/>
                <w:szCs w:val="24"/>
                <w:u w:val="none"/>
              </w:rPr>
            </w:pPr>
            <w:r>
              <w:rPr>
                <w:rFonts w:hint="default" w:ascii="Times New Roman Regular" w:hAnsi="Times New Roman Regular" w:eastAsia="Times New Roman" w:cs="Times New Roman Regular"/>
                <w:color w:val="000000"/>
                <w:kern w:val="0"/>
                <w:sz w:val="24"/>
                <w:szCs w:val="24"/>
                <w:u w:val="none"/>
              </w:rPr>
              <w:t xml:space="preserve">Debt/ Equity Ratio </w:t>
            </w:r>
          </w:p>
        </w:tc>
        <w:tc>
          <w:tcPr>
            <w:tcW w:w="1732" w:type="dxa"/>
            <w:tcBorders>
              <w:top w:val="nil"/>
              <w:left w:val="nil"/>
              <w:bottom w:val="single" w:color="auto" w:sz="8" w:space="0"/>
              <w:right w:val="single" w:color="auto" w:sz="8" w:space="0"/>
            </w:tcBorders>
            <w:shd w:val="clear" w:color="auto" w:fill="auto"/>
            <w:vAlign w:val="center"/>
          </w:tcPr>
          <w:p>
            <w:pPr>
              <w:widowControl/>
              <w:spacing w:line="360" w:lineRule="auto"/>
              <w:rPr>
                <w:rFonts w:hint="default" w:ascii="Times New Roman Regular" w:hAnsi="Times New Roman Regular" w:eastAsia="Times New Roman" w:cs="Times New Roman Regular"/>
                <w:color w:val="000000"/>
                <w:kern w:val="0"/>
                <w:sz w:val="24"/>
                <w:szCs w:val="24"/>
              </w:rPr>
            </w:pPr>
            <w:r>
              <w:rPr>
                <w:rFonts w:hint="default" w:ascii="Times New Roman Regular" w:hAnsi="Times New Roman Regular" w:eastAsia="Times New Roman" w:cs="Times New Roman Regular"/>
                <w:color w:val="000000"/>
                <w:kern w:val="0"/>
                <w:sz w:val="24"/>
                <w:szCs w:val="24"/>
                <w:lang w:val="zh-CN" w:eastAsia="zh-TW"/>
              </w:rPr>
              <w:t>0.83</w:t>
            </w:r>
          </w:p>
        </w:tc>
        <w:tc>
          <w:tcPr>
            <w:tcW w:w="1530" w:type="dxa"/>
            <w:tcBorders>
              <w:top w:val="nil"/>
              <w:left w:val="nil"/>
              <w:bottom w:val="single" w:color="auto" w:sz="8" w:space="0"/>
              <w:right w:val="single" w:color="auto" w:sz="8" w:space="0"/>
            </w:tcBorders>
            <w:shd w:val="clear" w:color="auto" w:fill="auto"/>
            <w:vAlign w:val="center"/>
          </w:tcPr>
          <w:p>
            <w:pPr>
              <w:widowControl/>
              <w:spacing w:line="360" w:lineRule="auto"/>
              <w:rPr>
                <w:rFonts w:hint="default" w:ascii="Times New Roman Regular" w:hAnsi="Times New Roman Regular" w:eastAsia="Times New Roman" w:cs="Times New Roman Regular"/>
                <w:color w:val="000000"/>
                <w:kern w:val="0"/>
                <w:sz w:val="24"/>
                <w:szCs w:val="24"/>
              </w:rPr>
            </w:pPr>
            <w:r>
              <w:rPr>
                <w:rFonts w:hint="default" w:ascii="Times New Roman Regular" w:hAnsi="Times New Roman Regular" w:eastAsia="Times New Roman" w:cs="Times New Roman Regular"/>
                <w:color w:val="000000"/>
                <w:kern w:val="0"/>
                <w:sz w:val="24"/>
                <w:szCs w:val="24"/>
                <w:lang w:val="zh-CN" w:eastAsia="zh-TW"/>
              </w:rPr>
              <w:t>1.52</w:t>
            </w:r>
          </w:p>
        </w:tc>
        <w:tc>
          <w:tcPr>
            <w:tcW w:w="1800" w:type="dxa"/>
            <w:tcBorders>
              <w:top w:val="single" w:color="auto" w:sz="8" w:space="0"/>
              <w:left w:val="nil"/>
              <w:bottom w:val="single" w:color="auto" w:sz="8" w:space="0"/>
              <w:right w:val="single" w:color="auto" w:sz="8" w:space="0"/>
            </w:tcBorders>
          </w:tcPr>
          <w:p>
            <w:pPr>
              <w:widowControl/>
              <w:spacing w:line="360" w:lineRule="auto"/>
              <w:rPr>
                <w:rFonts w:hint="default" w:ascii="Times New Roman Regular" w:hAnsi="Times New Roman Regular" w:eastAsia="Times New Roman" w:cs="Times New Roman Regular"/>
                <w:color w:val="000000"/>
                <w:kern w:val="0"/>
                <w:sz w:val="24"/>
                <w:szCs w:val="24"/>
              </w:rPr>
            </w:pPr>
            <w:r>
              <w:rPr>
                <w:rFonts w:hint="default" w:ascii="Times New Roman Regular" w:hAnsi="Times New Roman Regular" w:eastAsia="Times New Roman" w:cs="Times New Roman Regular"/>
                <w:color w:val="000000"/>
                <w:kern w:val="0"/>
                <w:sz w:val="24"/>
                <w:szCs w:val="24"/>
              </w:rPr>
              <w:t>1.0</w:t>
            </w:r>
          </w:p>
        </w:tc>
        <w:tc>
          <w:tcPr>
            <w:tcW w:w="1710" w:type="dxa"/>
            <w:tcBorders>
              <w:top w:val="nil"/>
              <w:left w:val="single" w:color="auto" w:sz="8" w:space="0"/>
              <w:bottom w:val="single" w:color="auto" w:sz="8" w:space="0"/>
              <w:right w:val="single" w:color="auto" w:sz="8" w:space="0"/>
            </w:tcBorders>
            <w:shd w:val="clear" w:color="auto" w:fill="auto"/>
            <w:vAlign w:val="center"/>
          </w:tcPr>
          <w:p>
            <w:pPr>
              <w:widowControl/>
              <w:spacing w:line="360" w:lineRule="auto"/>
              <w:rPr>
                <w:rFonts w:hint="default" w:ascii="Times New Roman Regular" w:hAnsi="Times New Roman Regular" w:eastAsia="Times New Roman" w:cs="Times New Roman Regular"/>
                <w:color w:val="000000"/>
                <w:kern w:val="0"/>
                <w:sz w:val="24"/>
                <w:szCs w:val="24"/>
              </w:rPr>
            </w:pPr>
            <w:r>
              <w:rPr>
                <w:rFonts w:hint="default" w:ascii="Times New Roman Regular" w:hAnsi="Times New Roman Regular" w:eastAsia="Times New Roman" w:cs="Times New Roman Regular"/>
                <w:color w:val="000000"/>
                <w:kern w:val="0"/>
                <w:sz w:val="24"/>
                <w:szCs w:val="24"/>
              </w:rPr>
              <w:t>0.5-1.5</w:t>
            </w:r>
          </w:p>
        </w:tc>
      </w:tr>
      <w:tr>
        <w:trPr>
          <w:trHeight w:val="305" w:hRule="atLeast"/>
        </w:trPr>
        <w:tc>
          <w:tcPr>
            <w:tcW w:w="2398" w:type="dxa"/>
            <w:tcBorders>
              <w:top w:val="nil"/>
              <w:left w:val="single" w:color="auto" w:sz="8" w:space="0"/>
              <w:bottom w:val="single" w:color="auto" w:sz="8" w:space="0"/>
              <w:right w:val="single" w:color="auto" w:sz="8" w:space="0"/>
            </w:tcBorders>
            <w:shd w:val="clear" w:color="auto" w:fill="E3F1D9" w:themeFill="accent4" w:themeFillTint="33"/>
            <w:vAlign w:val="center"/>
          </w:tcPr>
          <w:p>
            <w:pPr>
              <w:widowControl/>
              <w:spacing w:line="360" w:lineRule="auto"/>
              <w:rPr>
                <w:rFonts w:hint="default" w:ascii="Times New Roman Regular" w:hAnsi="Times New Roman Regular" w:eastAsia="Times New Roman" w:cs="Times New Roman Regular"/>
                <w:color w:val="000000"/>
                <w:kern w:val="0"/>
                <w:sz w:val="24"/>
                <w:szCs w:val="24"/>
                <w:u w:val="none"/>
              </w:rPr>
            </w:pPr>
            <w:r>
              <w:rPr>
                <w:rFonts w:hint="default" w:ascii="Times New Roman Regular" w:hAnsi="Times New Roman Regular" w:eastAsia="Times New Roman" w:cs="Times New Roman Regular"/>
                <w:color w:val="000000"/>
                <w:kern w:val="0"/>
                <w:sz w:val="24"/>
                <w:szCs w:val="24"/>
                <w:u w:val="none"/>
              </w:rPr>
              <w:t xml:space="preserve">Interest expense to sales </w:t>
            </w:r>
          </w:p>
        </w:tc>
        <w:tc>
          <w:tcPr>
            <w:tcW w:w="1732" w:type="dxa"/>
            <w:tcBorders>
              <w:top w:val="nil"/>
              <w:left w:val="nil"/>
              <w:bottom w:val="single" w:color="auto" w:sz="8" w:space="0"/>
              <w:right w:val="single" w:color="auto" w:sz="8" w:space="0"/>
            </w:tcBorders>
            <w:shd w:val="clear" w:color="auto" w:fill="auto"/>
            <w:vAlign w:val="center"/>
          </w:tcPr>
          <w:p>
            <w:pPr>
              <w:widowControl/>
              <w:spacing w:line="360" w:lineRule="auto"/>
              <w:rPr>
                <w:rFonts w:hint="default" w:ascii="Times New Roman Regular" w:hAnsi="Times New Roman Regular" w:eastAsia="Times New Roman" w:cs="Times New Roman Regular"/>
                <w:color w:val="000000"/>
                <w:kern w:val="0"/>
                <w:sz w:val="24"/>
                <w:szCs w:val="24"/>
              </w:rPr>
            </w:pPr>
            <w:r>
              <w:rPr>
                <w:rFonts w:hint="default" w:ascii="Times New Roman Regular" w:hAnsi="Times New Roman Regular" w:eastAsia="Times New Roman" w:cs="Times New Roman Regular"/>
                <w:color w:val="000000"/>
                <w:kern w:val="0"/>
                <w:sz w:val="24"/>
                <w:szCs w:val="24"/>
                <w:lang w:val="zh-CN" w:eastAsia="zh-TW"/>
              </w:rPr>
              <w:t>0.02</w:t>
            </w:r>
          </w:p>
        </w:tc>
        <w:tc>
          <w:tcPr>
            <w:tcW w:w="1530" w:type="dxa"/>
            <w:tcBorders>
              <w:top w:val="nil"/>
              <w:left w:val="nil"/>
              <w:bottom w:val="single" w:color="auto" w:sz="8" w:space="0"/>
              <w:right w:val="single" w:color="auto" w:sz="8" w:space="0"/>
            </w:tcBorders>
            <w:shd w:val="clear" w:color="auto" w:fill="auto"/>
            <w:vAlign w:val="center"/>
          </w:tcPr>
          <w:p>
            <w:pPr>
              <w:widowControl/>
              <w:spacing w:line="360" w:lineRule="auto"/>
              <w:rPr>
                <w:rFonts w:hint="default" w:ascii="Times New Roman Regular" w:hAnsi="Times New Roman Regular" w:eastAsia="Times New Roman" w:cs="Times New Roman Regular"/>
                <w:color w:val="000000"/>
                <w:kern w:val="0"/>
                <w:sz w:val="24"/>
                <w:szCs w:val="24"/>
              </w:rPr>
            </w:pPr>
            <w:r>
              <w:rPr>
                <w:rFonts w:hint="default" w:ascii="Times New Roman Regular" w:hAnsi="Times New Roman Regular" w:eastAsia="Times New Roman" w:cs="Times New Roman Regular"/>
                <w:color w:val="000000"/>
                <w:kern w:val="0"/>
                <w:sz w:val="24"/>
                <w:szCs w:val="24"/>
                <w:lang w:val="zh-CN" w:eastAsia="zh-TW"/>
              </w:rPr>
              <w:t>0.02</w:t>
            </w:r>
          </w:p>
        </w:tc>
        <w:tc>
          <w:tcPr>
            <w:tcW w:w="1800" w:type="dxa"/>
            <w:tcBorders>
              <w:top w:val="single" w:color="auto" w:sz="8" w:space="0"/>
              <w:left w:val="nil"/>
              <w:bottom w:val="single" w:color="auto" w:sz="8" w:space="0"/>
              <w:right w:val="single" w:color="auto" w:sz="8" w:space="0"/>
            </w:tcBorders>
          </w:tcPr>
          <w:p>
            <w:pPr>
              <w:widowControl/>
              <w:spacing w:line="360" w:lineRule="auto"/>
              <w:rPr>
                <w:rFonts w:hint="default" w:ascii="Times New Roman Regular" w:hAnsi="Times New Roman Regular" w:eastAsia="Times New Roman" w:cs="Times New Roman Regular"/>
                <w:color w:val="000000"/>
                <w:kern w:val="0"/>
                <w:sz w:val="24"/>
                <w:szCs w:val="24"/>
              </w:rPr>
            </w:pPr>
            <w:r>
              <w:rPr>
                <w:rFonts w:hint="default" w:ascii="Times New Roman Regular" w:hAnsi="Times New Roman Regular" w:eastAsia="Times New Roman" w:cs="Times New Roman Regular"/>
                <w:color w:val="000000"/>
                <w:kern w:val="0"/>
                <w:sz w:val="24"/>
                <w:szCs w:val="24"/>
              </w:rPr>
              <w:t>0.02</w:t>
            </w:r>
          </w:p>
        </w:tc>
        <w:tc>
          <w:tcPr>
            <w:tcW w:w="1710" w:type="dxa"/>
            <w:tcBorders>
              <w:top w:val="nil"/>
              <w:left w:val="single" w:color="auto" w:sz="8" w:space="0"/>
              <w:bottom w:val="single" w:color="auto" w:sz="8" w:space="0"/>
              <w:right w:val="single" w:color="auto" w:sz="8" w:space="0"/>
            </w:tcBorders>
            <w:shd w:val="clear" w:color="auto" w:fill="auto"/>
            <w:vAlign w:val="center"/>
          </w:tcPr>
          <w:p>
            <w:pPr>
              <w:widowControl/>
              <w:spacing w:line="360" w:lineRule="auto"/>
              <w:rPr>
                <w:rFonts w:hint="default" w:ascii="Times New Roman Regular" w:hAnsi="Times New Roman Regular" w:eastAsia="Times New Roman" w:cs="Times New Roman Regular"/>
                <w:color w:val="000000"/>
                <w:kern w:val="0"/>
                <w:sz w:val="24"/>
                <w:szCs w:val="24"/>
              </w:rPr>
            </w:pPr>
            <w:r>
              <w:rPr>
                <w:rFonts w:hint="default" w:ascii="Times New Roman Regular" w:hAnsi="Times New Roman Regular" w:eastAsia="Times New Roman" w:cs="Times New Roman Regular"/>
                <w:color w:val="000000"/>
                <w:kern w:val="0"/>
                <w:sz w:val="24"/>
                <w:szCs w:val="24"/>
              </w:rPr>
              <w:t>1.0-5.0</w:t>
            </w:r>
          </w:p>
        </w:tc>
      </w:tr>
      <w:tr>
        <w:trPr>
          <w:trHeight w:val="305" w:hRule="atLeast"/>
        </w:trPr>
        <w:tc>
          <w:tcPr>
            <w:tcW w:w="2398" w:type="dxa"/>
            <w:tcBorders>
              <w:top w:val="nil"/>
              <w:left w:val="single" w:color="auto" w:sz="8" w:space="0"/>
              <w:bottom w:val="single" w:color="auto" w:sz="8" w:space="0"/>
              <w:right w:val="single" w:color="auto" w:sz="8" w:space="0"/>
            </w:tcBorders>
            <w:shd w:val="clear" w:color="auto" w:fill="E3F1D9" w:themeFill="accent4" w:themeFillTint="33"/>
            <w:vAlign w:val="center"/>
          </w:tcPr>
          <w:p>
            <w:pPr>
              <w:widowControl/>
              <w:spacing w:line="360" w:lineRule="auto"/>
              <w:rPr>
                <w:rFonts w:hint="default" w:ascii="Times New Roman Regular" w:hAnsi="Times New Roman Regular" w:eastAsia="Times New Roman" w:cs="Times New Roman Regular"/>
                <w:color w:val="000000"/>
                <w:kern w:val="0"/>
                <w:sz w:val="24"/>
                <w:szCs w:val="24"/>
                <w:u w:val="none"/>
              </w:rPr>
            </w:pPr>
            <w:r>
              <w:rPr>
                <w:rFonts w:hint="default" w:ascii="Times New Roman Regular" w:hAnsi="Times New Roman Regular" w:eastAsia="Times New Roman" w:cs="Times New Roman Regular"/>
                <w:color w:val="000000"/>
                <w:kern w:val="0"/>
                <w:sz w:val="24"/>
                <w:szCs w:val="24"/>
                <w:u w:val="none"/>
              </w:rPr>
              <w:t>Debt ratio</w:t>
            </w:r>
          </w:p>
        </w:tc>
        <w:tc>
          <w:tcPr>
            <w:tcW w:w="1732" w:type="dxa"/>
            <w:tcBorders>
              <w:top w:val="nil"/>
              <w:left w:val="nil"/>
              <w:bottom w:val="single" w:color="auto" w:sz="8" w:space="0"/>
              <w:right w:val="single" w:color="auto" w:sz="8" w:space="0"/>
            </w:tcBorders>
            <w:shd w:val="clear" w:color="auto" w:fill="auto"/>
            <w:vAlign w:val="center"/>
          </w:tcPr>
          <w:p>
            <w:pPr>
              <w:widowControl/>
              <w:spacing w:line="360" w:lineRule="auto"/>
              <w:rPr>
                <w:rFonts w:hint="default" w:ascii="Times New Roman Regular" w:hAnsi="Times New Roman Regular" w:eastAsia="Times New Roman" w:cs="Times New Roman Regular"/>
                <w:color w:val="000000"/>
                <w:kern w:val="0"/>
                <w:sz w:val="24"/>
                <w:szCs w:val="24"/>
              </w:rPr>
            </w:pPr>
            <w:r>
              <w:rPr>
                <w:rFonts w:hint="default" w:ascii="Times New Roman Regular" w:hAnsi="Times New Roman Regular" w:eastAsia="Times New Roman" w:cs="Times New Roman Regular"/>
                <w:color w:val="000000"/>
                <w:kern w:val="0"/>
                <w:sz w:val="24"/>
                <w:szCs w:val="24"/>
                <w:lang w:val="zh-CN" w:eastAsia="zh-TW"/>
              </w:rPr>
              <w:t>0.25</w:t>
            </w:r>
          </w:p>
        </w:tc>
        <w:tc>
          <w:tcPr>
            <w:tcW w:w="1530" w:type="dxa"/>
            <w:tcBorders>
              <w:top w:val="nil"/>
              <w:left w:val="nil"/>
              <w:bottom w:val="single" w:color="auto" w:sz="8" w:space="0"/>
              <w:right w:val="single" w:color="auto" w:sz="8" w:space="0"/>
            </w:tcBorders>
            <w:shd w:val="clear" w:color="auto" w:fill="auto"/>
            <w:vAlign w:val="center"/>
          </w:tcPr>
          <w:p>
            <w:pPr>
              <w:widowControl/>
              <w:spacing w:line="360" w:lineRule="auto"/>
              <w:rPr>
                <w:rFonts w:hint="default" w:ascii="Times New Roman Regular" w:hAnsi="Times New Roman Regular" w:eastAsia="Times New Roman" w:cs="Times New Roman Regular"/>
                <w:color w:val="000000"/>
                <w:kern w:val="0"/>
                <w:sz w:val="24"/>
                <w:szCs w:val="24"/>
              </w:rPr>
            </w:pPr>
            <w:r>
              <w:rPr>
                <w:rFonts w:hint="default" w:ascii="Times New Roman Regular" w:hAnsi="Times New Roman Regular" w:eastAsia="Times New Roman" w:cs="Times New Roman Regular"/>
                <w:color w:val="000000"/>
                <w:kern w:val="0"/>
                <w:sz w:val="24"/>
                <w:szCs w:val="24"/>
                <w:lang w:val="zh-CN" w:eastAsia="zh-TW"/>
              </w:rPr>
              <w:t>0.35</w:t>
            </w:r>
          </w:p>
        </w:tc>
        <w:tc>
          <w:tcPr>
            <w:tcW w:w="1800" w:type="dxa"/>
            <w:tcBorders>
              <w:top w:val="single" w:color="auto" w:sz="8" w:space="0"/>
              <w:left w:val="nil"/>
              <w:bottom w:val="single" w:color="auto" w:sz="8" w:space="0"/>
              <w:right w:val="single" w:color="auto" w:sz="8" w:space="0"/>
            </w:tcBorders>
          </w:tcPr>
          <w:p>
            <w:pPr>
              <w:widowControl/>
              <w:spacing w:line="360" w:lineRule="auto"/>
              <w:rPr>
                <w:rFonts w:hint="default" w:ascii="Times New Roman Regular" w:hAnsi="Times New Roman Regular" w:eastAsia="Times New Roman" w:cs="Times New Roman Regular"/>
                <w:color w:val="000000"/>
                <w:kern w:val="0"/>
                <w:sz w:val="24"/>
                <w:szCs w:val="24"/>
              </w:rPr>
            </w:pPr>
            <w:r>
              <w:rPr>
                <w:rFonts w:hint="default" w:ascii="Times New Roman Regular" w:hAnsi="Times New Roman Regular" w:eastAsia="Times New Roman" w:cs="Times New Roman Regular"/>
                <w:color w:val="000000"/>
                <w:kern w:val="0"/>
                <w:sz w:val="24"/>
                <w:szCs w:val="24"/>
              </w:rPr>
              <w:t>0.35</w:t>
            </w:r>
          </w:p>
        </w:tc>
        <w:tc>
          <w:tcPr>
            <w:tcW w:w="1710" w:type="dxa"/>
            <w:tcBorders>
              <w:top w:val="nil"/>
              <w:left w:val="single" w:color="auto" w:sz="8" w:space="0"/>
              <w:bottom w:val="single" w:color="auto" w:sz="8" w:space="0"/>
              <w:right w:val="single" w:color="auto" w:sz="8" w:space="0"/>
            </w:tcBorders>
            <w:shd w:val="clear" w:color="auto" w:fill="auto"/>
            <w:vAlign w:val="center"/>
          </w:tcPr>
          <w:p>
            <w:pPr>
              <w:widowControl/>
              <w:spacing w:line="360" w:lineRule="auto"/>
              <w:rPr>
                <w:rFonts w:hint="default" w:ascii="Times New Roman Regular" w:hAnsi="Times New Roman Regular" w:eastAsia="Times New Roman" w:cs="Times New Roman Regular"/>
                <w:color w:val="000000"/>
                <w:kern w:val="0"/>
                <w:sz w:val="24"/>
                <w:szCs w:val="24"/>
              </w:rPr>
            </w:pPr>
            <w:r>
              <w:rPr>
                <w:rFonts w:hint="default" w:ascii="Times New Roman Regular" w:hAnsi="Times New Roman Regular" w:eastAsia="Times New Roman" w:cs="Times New Roman Regular"/>
                <w:color w:val="000000"/>
                <w:kern w:val="0"/>
                <w:sz w:val="24"/>
                <w:szCs w:val="24"/>
              </w:rPr>
              <w:t>0.3-0.6</w:t>
            </w:r>
          </w:p>
        </w:tc>
      </w:tr>
      <w:bookmarkEnd w:id="41"/>
    </w:tbl>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Source:</w:t>
      </w:r>
      <w:r>
        <w:rPr>
          <w:rFonts w:hint="default" w:ascii="Times New Roman Regular" w:hAnsi="Times New Roman Regular" w:cs="Times New Roman Regular"/>
          <w:color w:val="000000"/>
          <w:sz w:val="24"/>
          <w:szCs w:val="24"/>
          <w:shd w:val="clear" w:color="auto" w:fill="F7F7F7"/>
        </w:rPr>
        <w:t xml:space="preserve"> IBISWorld, Statista, and </w:t>
      </w:r>
      <w:r>
        <w:rPr>
          <w:rFonts w:hint="default" w:ascii="Times New Roman Regular" w:hAnsi="Times New Roman Regular" w:cs="Times New Roman Regular"/>
          <w:sz w:val="24"/>
          <w:szCs w:val="24"/>
        </w:rPr>
        <w:t>Euromonitor</w:t>
      </w: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Considering the above actual ratio, Fixed assets to LTL ratio and Debt/Equity ratio stood marginal, bank loan financing and bond issuing were not suggested to apply. Thus, investing by cash or retained profit is suggested to use due to its affluent level. </w:t>
      </w:r>
    </w:p>
    <w:p>
      <w:pPr>
        <w:tabs>
          <w:tab w:val="left" w:pos="2206"/>
        </w:tabs>
        <w:spacing w:line="360" w:lineRule="auto"/>
        <w:rPr>
          <w:rFonts w:hint="default" w:ascii="Times New Roman Regular" w:hAnsi="Times New Roman Regular" w:cs="Times New Roman Regular"/>
          <w:sz w:val="24"/>
          <w:szCs w:val="24"/>
          <w:u w:val="single"/>
        </w:rPr>
      </w:pPr>
    </w:p>
    <w:p>
      <w:pPr>
        <w:widowControl/>
        <w:spacing w:line="360" w:lineRule="auto"/>
        <w:jc w:val="left"/>
        <w:rPr>
          <w:rFonts w:hint="default" w:ascii="Times New Roman Regular" w:hAnsi="Times New Roman Regular" w:cs="Times New Roman Regular" w:eastAsiaTheme="majorEastAsia"/>
          <w:b/>
          <w:color w:val="2E54A1" w:themeColor="accent1" w:themeShade="BF"/>
          <w:sz w:val="24"/>
          <w:szCs w:val="24"/>
        </w:rPr>
      </w:pPr>
      <w:r>
        <w:rPr>
          <w:rFonts w:hint="default" w:ascii="Times New Roman Regular" w:hAnsi="Times New Roman Regular" w:cs="Times New Roman Regular"/>
          <w:sz w:val="24"/>
          <w:szCs w:val="24"/>
        </w:rPr>
        <w:br w:type="page"/>
      </w:r>
    </w:p>
    <w:p>
      <w:pPr>
        <w:pStyle w:val="2"/>
        <w:numPr>
          <w:ilvl w:val="0"/>
          <w:numId w:val="4"/>
        </w:numPr>
        <w:spacing w:line="360" w:lineRule="auto"/>
        <w:jc w:val="left"/>
        <w:rPr>
          <w:rFonts w:hint="default" w:ascii="Times New Roman Regular" w:hAnsi="Times New Roman Regular" w:cs="Times New Roman Regular"/>
          <w:color w:val="auto"/>
          <w:sz w:val="24"/>
          <w:szCs w:val="24"/>
        </w:rPr>
      </w:pPr>
      <w:bookmarkStart w:id="42" w:name="_Toc176358788"/>
      <w:r>
        <w:rPr>
          <w:rFonts w:hint="default" w:ascii="Times New Roman Regular" w:hAnsi="Times New Roman Regular" w:cs="Times New Roman Regular"/>
          <w:color w:val="auto"/>
          <w:sz w:val="24"/>
          <w:szCs w:val="24"/>
        </w:rPr>
        <w:t>Recommendations and audit program</w:t>
      </w:r>
      <w:bookmarkEnd w:id="42"/>
    </w:p>
    <w:p>
      <w:pPr>
        <w:tabs>
          <w:tab w:val="left" w:pos="2206"/>
        </w:tabs>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Based on the above analysis, we propose the audit program to concern following points, </w:t>
      </w:r>
    </w:p>
    <w:p>
      <w:pPr>
        <w:pStyle w:val="14"/>
        <w:numPr>
          <w:ilvl w:val="6"/>
          <w:numId w:val="1"/>
        </w:numPr>
        <w:tabs>
          <w:tab w:val="left" w:pos="220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Liquidity and Cash level below the market benchmark</w:t>
      </w:r>
    </w:p>
    <w:p>
      <w:pPr>
        <w:pStyle w:val="14"/>
        <w:tabs>
          <w:tab w:val="left" w:pos="2206"/>
        </w:tabs>
        <w:spacing w:line="360" w:lineRule="auto"/>
        <w:ind w:left="36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Current ratio and Quick ratio stayed below par and cash ratio was lower than its peers for 3 consecutive years. In order to improve this potential problem, Carlsberg should diversify its business for shortening the debtors payment period. </w:t>
      </w:r>
    </w:p>
    <w:p>
      <w:pPr>
        <w:pStyle w:val="14"/>
        <w:numPr>
          <w:ilvl w:val="6"/>
          <w:numId w:val="1"/>
        </w:numPr>
        <w:tabs>
          <w:tab w:val="left" w:pos="220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Credit Risk for granting On-trade loan for the number of buyers</w:t>
      </w:r>
    </w:p>
    <w:p>
      <w:pPr>
        <w:pStyle w:val="14"/>
        <w:tabs>
          <w:tab w:val="left" w:pos="2206"/>
        </w:tabs>
        <w:spacing w:line="360" w:lineRule="auto"/>
        <w:ind w:left="36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Granting the on-trade loan to buyers has potential credit risk for Carlsberg. Carlsberg should have a comprehensive monitoring policy and procedure for those buyers in order to ensure the repayment. </w:t>
      </w:r>
    </w:p>
    <w:p>
      <w:pPr>
        <w:pStyle w:val="14"/>
        <w:numPr>
          <w:ilvl w:val="6"/>
          <w:numId w:val="1"/>
        </w:numPr>
        <w:tabs>
          <w:tab w:val="left" w:pos="2206"/>
        </w:tabs>
        <w:spacing w:line="36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Exposed to the economic instability and Geopolitical Tension</w:t>
      </w:r>
    </w:p>
    <w:p>
      <w:pPr>
        <w:pStyle w:val="14"/>
        <w:tabs>
          <w:tab w:val="left" w:pos="2206"/>
        </w:tabs>
        <w:spacing w:line="360" w:lineRule="auto"/>
        <w:ind w:left="36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Carlsberg was impacted by macroeconomic challenge associated by war and geopolitical conflicts. The geopolitical conflicts may also ultimately force Carlsberg to exit or restructure. Carlsberg should continue to diversify its products and closely monitor the global geopolitical situations. </w:t>
      </w:r>
    </w:p>
    <w:p>
      <w:pPr>
        <w:widowControl/>
        <w:spacing w:line="360" w:lineRule="auto"/>
        <w:jc w:val="left"/>
        <w:rPr>
          <w:rFonts w:hint="default" w:ascii="Times New Roman Regular" w:hAnsi="Times New Roman Regular" w:cs="Times New Roman Regular" w:eastAsiaTheme="majorEastAsia"/>
          <w:b/>
          <w:color w:val="2E54A1" w:themeColor="accent1" w:themeShade="BF"/>
          <w:sz w:val="24"/>
          <w:szCs w:val="24"/>
        </w:rPr>
      </w:pPr>
    </w:p>
    <w:p>
      <w:pPr>
        <w:pStyle w:val="2"/>
        <w:numPr>
          <w:ilvl w:val="0"/>
          <w:numId w:val="4"/>
        </w:numPr>
        <w:spacing w:line="360" w:lineRule="auto"/>
        <w:rPr>
          <w:rFonts w:hint="default" w:ascii="Times New Roman Regular" w:hAnsi="Times New Roman Regular" w:cs="Times New Roman Regular"/>
          <w:sz w:val="24"/>
          <w:szCs w:val="24"/>
        </w:rPr>
      </w:pPr>
      <w:bookmarkStart w:id="43" w:name="_Toc176358789"/>
      <w:r>
        <w:rPr>
          <w:rFonts w:hint="default" w:ascii="Times New Roman Regular" w:hAnsi="Times New Roman Regular" w:cs="Times New Roman Regular"/>
          <w:color w:val="auto"/>
          <w:sz w:val="24"/>
          <w:szCs w:val="24"/>
        </w:rPr>
        <w:t>Conclusion and Recommendations</w:t>
      </w:r>
      <w:bookmarkEnd w:id="43"/>
    </w:p>
    <w:p>
      <w:pPr>
        <w:tabs>
          <w:tab w:val="left" w:pos="2206"/>
        </w:tabs>
        <w:spacing w:line="360" w:lineRule="auto"/>
        <w:ind w:right="18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Although Carlsberg’s liquidity and debt level stayed in fair level only, and the profitability was weakened by the deconsolidation of the business in Russia, its overall financial performance stayed satisfactory due to various financing channel, reputation and strong credit rating. Adapting with the trend of increasing environmental and health concern, we suggest Carlsberg to set up sales and marketing stores by cash payment for promoting its diversified products, including the non-alcohol and sport drinks. The proposed investment is believed to effectively increase the gross profit margin and decrease the distribution cost. </w:t>
      </w: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Regular" w:hAnsi="Times New Roman Regular" w:cs="Times New Roman Regular"/>
          <w:sz w:val="24"/>
          <w:szCs w:val="24"/>
          <w:u w:val="single"/>
        </w:rPr>
      </w:pPr>
    </w:p>
    <w:p>
      <w:pPr>
        <w:widowControl/>
        <w:spacing w:line="360" w:lineRule="auto"/>
        <w:jc w:val="left"/>
        <w:rPr>
          <w:rFonts w:hint="default" w:ascii="Times New Roman Regular" w:hAnsi="Times New Roman Regular" w:cs="Times New Roman Regular" w:eastAsiaTheme="majorEastAsia"/>
          <w:b/>
          <w:color w:val="2E54A1" w:themeColor="accent1" w:themeShade="BF"/>
          <w:sz w:val="24"/>
          <w:szCs w:val="24"/>
        </w:rPr>
      </w:pPr>
      <w:r>
        <w:rPr>
          <w:rFonts w:hint="default" w:ascii="Times New Roman Regular" w:hAnsi="Times New Roman Regular" w:cs="Times New Roman Regular"/>
          <w:sz w:val="24"/>
          <w:szCs w:val="24"/>
        </w:rPr>
        <w:br w:type="page"/>
      </w:r>
    </w:p>
    <w:p>
      <w:pPr>
        <w:pStyle w:val="2"/>
        <w:spacing w:line="360" w:lineRule="auto"/>
        <w:rPr>
          <w:rFonts w:hint="default" w:ascii="Times New Roman Regular" w:hAnsi="Times New Roman Regular" w:cs="Times New Roman Regular"/>
          <w:color w:val="auto"/>
          <w:sz w:val="24"/>
          <w:szCs w:val="24"/>
          <w:u w:val="none"/>
        </w:rPr>
      </w:pPr>
      <w:bookmarkStart w:id="44" w:name="_Toc176358790"/>
      <w:r>
        <w:rPr>
          <w:rFonts w:hint="default" w:ascii="Times New Roman Regular" w:hAnsi="Times New Roman Regular" w:cs="Times New Roman Regular"/>
          <w:color w:val="auto"/>
          <w:sz w:val="24"/>
          <w:szCs w:val="24"/>
          <w:u w:val="none"/>
        </w:rPr>
        <w:t>References</w:t>
      </w:r>
      <w:bookmarkEnd w:id="44"/>
    </w:p>
    <w:p>
      <w:pPr>
        <w:tabs>
          <w:tab w:val="left" w:pos="2206"/>
        </w:tabs>
        <w:spacing w:line="360" w:lineRule="auto"/>
        <w:rPr>
          <w:rFonts w:hint="default" w:ascii="Times New Roman Regular" w:hAnsi="Times New Roman Regular" w:cs="Times New Roman Regular"/>
          <w:sz w:val="24"/>
          <w:szCs w:val="24"/>
          <w:u w:val="none"/>
        </w:rPr>
      </w:pPr>
    </w:p>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Carlsberg Group (2024) About Us</w:t>
      </w:r>
    </w:p>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Available at:</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fldChar w:fldCharType="begin"/>
      </w:r>
      <w:r>
        <w:rPr>
          <w:rFonts w:hint="default" w:ascii="Times New Roman Regular" w:hAnsi="Times New Roman Regular" w:cs="Times New Roman Regular"/>
          <w:sz w:val="24"/>
          <w:szCs w:val="24"/>
          <w:u w:val="none"/>
        </w:rPr>
        <w:instrText xml:space="preserve"> HYPERLINK "https://www.carlsberggroup.com/who-we-are/about-the-carlsberg-group/" </w:instrText>
      </w:r>
      <w:r>
        <w:rPr>
          <w:rFonts w:hint="default" w:ascii="Times New Roman Regular" w:hAnsi="Times New Roman Regular" w:cs="Times New Roman Regular"/>
          <w:sz w:val="24"/>
          <w:szCs w:val="24"/>
          <w:u w:val="none"/>
        </w:rPr>
        <w:fldChar w:fldCharType="separate"/>
      </w:r>
      <w:r>
        <w:rPr>
          <w:rStyle w:val="6"/>
          <w:rFonts w:hint="default" w:ascii="Times New Roman Regular" w:hAnsi="Times New Roman Regular" w:cs="Times New Roman Regular"/>
          <w:sz w:val="24"/>
          <w:szCs w:val="24"/>
        </w:rPr>
        <w:t>https://www.carlsberggroup.com/who-we-are/about-the-carlsberg-group/</w:t>
      </w:r>
      <w:r>
        <w:rPr>
          <w:rFonts w:hint="default" w:ascii="Times New Roman Regular" w:hAnsi="Times New Roman Regular" w:cs="Times New Roman Regular"/>
          <w:sz w:val="24"/>
          <w:szCs w:val="24"/>
          <w:u w:val="none"/>
        </w:rPr>
        <w:fldChar w:fldCharType="end"/>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(Accessed:</w:t>
      </w:r>
      <w:r>
        <w:rPr>
          <w:rFonts w:hint="default" w:ascii="Times New Roman Regular" w:hAnsi="Times New Roman Regular" w:cs="Times New Roman Regular"/>
          <w:sz w:val="24"/>
          <w:szCs w:val="24"/>
          <w:u w:val="none"/>
          <w:lang w:val="en-US"/>
        </w:rPr>
        <w:t xml:space="preserve"> 2</w:t>
      </w:r>
      <w:r>
        <w:rPr>
          <w:rFonts w:hint="default" w:ascii="Times New Roman Regular" w:hAnsi="Times New Roman Regular" w:cs="Times New Roman Regular"/>
          <w:sz w:val="24"/>
          <w:szCs w:val="24"/>
          <w:u w:val="none"/>
        </w:rPr>
        <w:t xml:space="preserve">0 </w:t>
      </w:r>
      <w:r>
        <w:rPr>
          <w:rFonts w:hint="default" w:ascii="Times New Roman Regular" w:hAnsi="Times New Roman Regular" w:cs="Times New Roman Regular"/>
          <w:sz w:val="24"/>
          <w:szCs w:val="24"/>
          <w:u w:val="none"/>
          <w:lang w:val="en-US"/>
        </w:rPr>
        <w:t xml:space="preserve">Aug </w:t>
      </w:r>
      <w:r>
        <w:rPr>
          <w:rFonts w:hint="default" w:ascii="Times New Roman Regular" w:hAnsi="Times New Roman Regular" w:cs="Times New Roman Regular"/>
          <w:sz w:val="24"/>
          <w:szCs w:val="24"/>
          <w:u w:val="none"/>
        </w:rPr>
        <w:t>2024)</w:t>
      </w:r>
    </w:p>
    <w:p>
      <w:pPr>
        <w:tabs>
          <w:tab w:val="left" w:pos="2206"/>
        </w:tabs>
        <w:spacing w:line="360" w:lineRule="auto"/>
        <w:rPr>
          <w:rFonts w:hint="default" w:ascii="Times New Roman Regular" w:hAnsi="Times New Roman Regular" w:cs="Times New Roman Regular"/>
          <w:sz w:val="24"/>
          <w:szCs w:val="24"/>
          <w:u w:val="none"/>
        </w:rPr>
      </w:pPr>
    </w:p>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Reuters (2024) Carlsberg becomes no.2 in Greece with Olympic Brewery takeover</w:t>
      </w:r>
    </w:p>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Available</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 xml:space="preserve">at: </w:t>
      </w:r>
      <w:r>
        <w:rPr>
          <w:rFonts w:hint="default" w:ascii="Times New Roman Regular" w:hAnsi="Times New Roman Regular" w:cs="Times New Roman Regular"/>
          <w:sz w:val="24"/>
          <w:szCs w:val="24"/>
          <w:u w:val="none"/>
        </w:rPr>
        <w:fldChar w:fldCharType="begin"/>
      </w:r>
      <w:r>
        <w:rPr>
          <w:rFonts w:hint="default" w:ascii="Times New Roman Regular" w:hAnsi="Times New Roman Regular" w:cs="Times New Roman Regular"/>
          <w:sz w:val="24"/>
          <w:szCs w:val="24"/>
          <w:u w:val="none"/>
        </w:rPr>
        <w:instrText xml:space="preserve"> HYPERLINK "https://www.reuters.com/article/business/carlsberg-becomes-no2-in-greece-with-olympic-brewery-takeover-idUSKCN0J20KX/" </w:instrText>
      </w:r>
      <w:r>
        <w:rPr>
          <w:rFonts w:hint="default" w:ascii="Times New Roman Regular" w:hAnsi="Times New Roman Regular" w:cs="Times New Roman Regular"/>
          <w:sz w:val="24"/>
          <w:szCs w:val="24"/>
          <w:u w:val="none"/>
        </w:rPr>
        <w:fldChar w:fldCharType="separate"/>
      </w:r>
      <w:r>
        <w:rPr>
          <w:rStyle w:val="6"/>
          <w:rFonts w:hint="default" w:ascii="Times New Roman Regular" w:hAnsi="Times New Roman Regular" w:cs="Times New Roman Regular"/>
          <w:sz w:val="24"/>
          <w:szCs w:val="24"/>
        </w:rPr>
        <w:t>https://www.reuters.com/article/business/carlsberg-becomes-no2-in-greece-with-olympic-brewery-takeover-idUSKCN0J20KX/</w:t>
      </w:r>
      <w:r>
        <w:rPr>
          <w:rFonts w:hint="default" w:ascii="Times New Roman Regular" w:hAnsi="Times New Roman Regular" w:cs="Times New Roman Regular"/>
          <w:sz w:val="24"/>
          <w:szCs w:val="24"/>
          <w:u w:val="none"/>
        </w:rPr>
        <w:fldChar w:fldCharType="end"/>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(Accessed:</w:t>
      </w:r>
      <w:r>
        <w:rPr>
          <w:rFonts w:hint="default" w:ascii="Times New Roman Regular" w:hAnsi="Times New Roman Regular" w:cs="Times New Roman Regular"/>
          <w:sz w:val="24"/>
          <w:szCs w:val="24"/>
          <w:u w:val="none"/>
          <w:lang w:val="en-US"/>
        </w:rPr>
        <w:t xml:space="preserve"> 2</w:t>
      </w:r>
      <w:r>
        <w:rPr>
          <w:rFonts w:hint="default" w:ascii="Times New Roman Regular" w:hAnsi="Times New Roman Regular" w:cs="Times New Roman Regular"/>
          <w:sz w:val="24"/>
          <w:szCs w:val="24"/>
          <w:u w:val="none"/>
        </w:rPr>
        <w:t>0 Aug 2024)</w:t>
      </w:r>
    </w:p>
    <w:p>
      <w:pPr>
        <w:tabs>
          <w:tab w:val="left" w:pos="2206"/>
        </w:tabs>
        <w:spacing w:line="360" w:lineRule="auto"/>
        <w:rPr>
          <w:rFonts w:hint="default" w:ascii="Times New Roman Regular" w:hAnsi="Times New Roman Regular" w:cs="Times New Roman Regular"/>
          <w:sz w:val="24"/>
          <w:szCs w:val="24"/>
          <w:u w:val="none"/>
        </w:rPr>
      </w:pPr>
    </w:p>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Carlsberg Group (2024) Beers you love</w:t>
      </w:r>
    </w:p>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 xml:space="preserve">Available at: </w:t>
      </w:r>
      <w:r>
        <w:rPr>
          <w:rFonts w:hint="default" w:ascii="Times New Roman Regular" w:hAnsi="Times New Roman Regular" w:cs="Times New Roman Regular"/>
          <w:sz w:val="24"/>
          <w:szCs w:val="24"/>
          <w:u w:val="none"/>
        </w:rPr>
        <w:fldChar w:fldCharType="begin"/>
      </w:r>
      <w:r>
        <w:rPr>
          <w:rFonts w:hint="default" w:ascii="Times New Roman Regular" w:hAnsi="Times New Roman Regular" w:cs="Times New Roman Regular"/>
          <w:sz w:val="24"/>
          <w:szCs w:val="24"/>
          <w:u w:val="none"/>
        </w:rPr>
        <w:instrText xml:space="preserve"> HYPERLINK "https://www.carlsberggroup.com/beers-you-love/?p=3" </w:instrText>
      </w:r>
      <w:r>
        <w:rPr>
          <w:rFonts w:hint="default" w:ascii="Times New Roman Regular" w:hAnsi="Times New Roman Regular" w:cs="Times New Roman Regular"/>
          <w:sz w:val="24"/>
          <w:szCs w:val="24"/>
          <w:u w:val="none"/>
        </w:rPr>
        <w:fldChar w:fldCharType="separate"/>
      </w:r>
      <w:r>
        <w:rPr>
          <w:rStyle w:val="6"/>
          <w:rFonts w:hint="default" w:ascii="Times New Roman Regular" w:hAnsi="Times New Roman Regular" w:cs="Times New Roman Regular"/>
          <w:sz w:val="24"/>
          <w:szCs w:val="24"/>
        </w:rPr>
        <w:t>https://www.carlsberggroup.com/beers-you-love/?p=3</w:t>
      </w:r>
      <w:r>
        <w:rPr>
          <w:rFonts w:hint="default" w:ascii="Times New Roman Regular" w:hAnsi="Times New Roman Regular" w:cs="Times New Roman Regular"/>
          <w:sz w:val="24"/>
          <w:szCs w:val="24"/>
          <w:u w:val="none"/>
        </w:rPr>
        <w:fldChar w:fldCharType="end"/>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(Accessed:</w:t>
      </w:r>
      <w:r>
        <w:rPr>
          <w:rFonts w:hint="default" w:ascii="Times New Roman Regular" w:hAnsi="Times New Roman Regular" w:cs="Times New Roman Regular"/>
          <w:sz w:val="24"/>
          <w:szCs w:val="24"/>
          <w:u w:val="none"/>
          <w:lang w:val="en-US"/>
        </w:rPr>
        <w:t>2</w:t>
      </w:r>
      <w:r>
        <w:rPr>
          <w:rFonts w:hint="default" w:ascii="Times New Roman Regular" w:hAnsi="Times New Roman Regular" w:cs="Times New Roman Regular"/>
          <w:sz w:val="24"/>
          <w:szCs w:val="24"/>
          <w:u w:val="none"/>
        </w:rPr>
        <w:t>0 Aug 2024)</w:t>
      </w:r>
    </w:p>
    <w:p>
      <w:pPr>
        <w:tabs>
          <w:tab w:val="left" w:pos="2206"/>
        </w:tabs>
        <w:spacing w:line="360" w:lineRule="auto"/>
        <w:rPr>
          <w:rFonts w:hint="default" w:ascii="Times New Roman Regular" w:hAnsi="Times New Roman Regular" w:cs="Times New Roman Regular"/>
          <w:sz w:val="24"/>
          <w:szCs w:val="24"/>
          <w:u w:val="none"/>
        </w:rPr>
      </w:pPr>
    </w:p>
    <w:p>
      <w:pPr>
        <w:tabs>
          <w:tab w:val="left" w:pos="2206"/>
        </w:tabs>
        <w:spacing w:line="360" w:lineRule="auto"/>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rPr>
        <w:t xml:space="preserve">Carlsberg Group (2024) </w:t>
      </w:r>
      <w:r>
        <w:rPr>
          <w:rFonts w:hint="default" w:ascii="Times New Roman Regular" w:hAnsi="Times New Roman Regular" w:cs="Times New Roman Regular"/>
          <w:sz w:val="24"/>
          <w:szCs w:val="24"/>
          <w:u w:val="none"/>
          <w:lang w:val="en-US"/>
        </w:rPr>
        <w:t>Who we are</w:t>
      </w:r>
    </w:p>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 xml:space="preserve">Available at: </w:t>
      </w:r>
      <w:r>
        <w:rPr>
          <w:rFonts w:hint="default" w:ascii="Times New Roman Regular" w:hAnsi="Times New Roman Regular" w:cs="Times New Roman Regular"/>
          <w:sz w:val="24"/>
          <w:szCs w:val="24"/>
          <w:u w:val="none"/>
        </w:rPr>
        <w:fldChar w:fldCharType="begin"/>
      </w:r>
      <w:r>
        <w:rPr>
          <w:rFonts w:hint="default" w:ascii="Times New Roman Regular" w:hAnsi="Times New Roman Regular" w:cs="Times New Roman Regular"/>
          <w:sz w:val="24"/>
          <w:szCs w:val="24"/>
          <w:u w:val="none"/>
        </w:rPr>
        <w:instrText xml:space="preserve"> HYPERLINK "https://www.carlsberggroup.com/who-we-are/about-the-carlsberg-group/" </w:instrText>
      </w:r>
      <w:r>
        <w:rPr>
          <w:rFonts w:hint="default" w:ascii="Times New Roman Regular" w:hAnsi="Times New Roman Regular" w:cs="Times New Roman Regular"/>
          <w:sz w:val="24"/>
          <w:szCs w:val="24"/>
          <w:u w:val="none"/>
        </w:rPr>
        <w:fldChar w:fldCharType="separate"/>
      </w:r>
      <w:r>
        <w:rPr>
          <w:rStyle w:val="6"/>
          <w:rFonts w:hint="default" w:ascii="Times New Roman Regular" w:hAnsi="Times New Roman Regular" w:cs="Times New Roman Regular"/>
          <w:sz w:val="24"/>
          <w:szCs w:val="24"/>
        </w:rPr>
        <w:t>https://www.carlsberggroup.com/who-we-are/about-the-carlsberg-group/</w:t>
      </w:r>
      <w:r>
        <w:rPr>
          <w:rFonts w:hint="default" w:ascii="Times New Roman Regular" w:hAnsi="Times New Roman Regular" w:cs="Times New Roman Regular"/>
          <w:sz w:val="24"/>
          <w:szCs w:val="24"/>
          <w:u w:val="none"/>
        </w:rPr>
        <w:fldChar w:fldCharType="end"/>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(Accessed:</w:t>
      </w:r>
      <w:r>
        <w:rPr>
          <w:rFonts w:hint="default" w:ascii="Times New Roman Regular" w:hAnsi="Times New Roman Regular" w:cs="Times New Roman Regular"/>
          <w:sz w:val="24"/>
          <w:szCs w:val="24"/>
          <w:u w:val="none"/>
          <w:lang w:val="en-US"/>
        </w:rPr>
        <w:t xml:space="preserve"> 2</w:t>
      </w:r>
      <w:r>
        <w:rPr>
          <w:rFonts w:hint="default" w:ascii="Times New Roman Regular" w:hAnsi="Times New Roman Regular" w:cs="Times New Roman Regular"/>
          <w:sz w:val="24"/>
          <w:szCs w:val="24"/>
          <w:u w:val="none"/>
        </w:rPr>
        <w:t>0 Aug 2024)</w:t>
      </w:r>
    </w:p>
    <w:p>
      <w:pPr>
        <w:tabs>
          <w:tab w:val="left" w:pos="2206"/>
        </w:tabs>
        <w:spacing w:line="360" w:lineRule="auto"/>
        <w:rPr>
          <w:rFonts w:hint="default" w:ascii="Times New Roman Regular" w:hAnsi="Times New Roman Regular" w:cs="Times New Roman Regular"/>
          <w:sz w:val="24"/>
          <w:szCs w:val="24"/>
          <w:u w:val="none"/>
        </w:rPr>
      </w:pPr>
    </w:p>
    <w:p>
      <w:pPr>
        <w:tabs>
          <w:tab w:val="left" w:pos="2206"/>
        </w:tabs>
        <w:spacing w:line="360" w:lineRule="auto"/>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lang w:val="en-US"/>
        </w:rPr>
        <w:t>Inverstopedia</w:t>
      </w:r>
      <w:r>
        <w:rPr>
          <w:rFonts w:hint="default" w:ascii="Times New Roman Regular" w:hAnsi="Times New Roman Regular" w:cs="Times New Roman Regular"/>
          <w:sz w:val="24"/>
          <w:szCs w:val="24"/>
          <w:u w:val="none"/>
        </w:rPr>
        <w:t xml:space="preserve"> (2024) </w:t>
      </w:r>
      <w:r>
        <w:rPr>
          <w:rFonts w:hint="default" w:ascii="Times New Roman Regular" w:hAnsi="Times New Roman Regular" w:cs="Times New Roman Regular"/>
          <w:sz w:val="24"/>
          <w:szCs w:val="24"/>
          <w:u w:val="none"/>
          <w:lang w:val="en-US"/>
        </w:rPr>
        <w:t>What is the Altman Z-score</w:t>
      </w:r>
    </w:p>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 xml:space="preserve">Available at: </w:t>
      </w:r>
      <w:r>
        <w:rPr>
          <w:rFonts w:hint="default" w:ascii="Times New Roman Regular" w:hAnsi="Times New Roman Regular" w:cs="Times New Roman Regular"/>
          <w:sz w:val="24"/>
          <w:szCs w:val="24"/>
          <w:u w:val="none"/>
        </w:rPr>
        <w:fldChar w:fldCharType="begin"/>
      </w:r>
      <w:r>
        <w:rPr>
          <w:rFonts w:hint="default" w:ascii="Times New Roman Regular" w:hAnsi="Times New Roman Regular" w:cs="Times New Roman Regular"/>
          <w:sz w:val="24"/>
          <w:szCs w:val="24"/>
          <w:u w:val="none"/>
        </w:rPr>
        <w:instrText xml:space="preserve"> HYPERLINK "https://www.investopedia.com/terms/a/altman.asp#:~:text=A%20score%20below%201.8%20signals%20the%20company%20is,stock%20if%20the%20value%20is%20closer%20to%201.8" </w:instrText>
      </w:r>
      <w:r>
        <w:rPr>
          <w:rFonts w:hint="default" w:ascii="Times New Roman Regular" w:hAnsi="Times New Roman Regular" w:cs="Times New Roman Regular"/>
          <w:sz w:val="24"/>
          <w:szCs w:val="24"/>
          <w:u w:val="none"/>
        </w:rPr>
        <w:fldChar w:fldCharType="separate"/>
      </w:r>
      <w:r>
        <w:rPr>
          <w:rStyle w:val="6"/>
          <w:rFonts w:hint="default" w:ascii="Times New Roman Regular" w:hAnsi="Times New Roman Regular" w:cs="Times New Roman Regular"/>
          <w:sz w:val="24"/>
          <w:szCs w:val="24"/>
        </w:rPr>
        <w:t>https://www.investopedia.com/terms/a/altman.asp#:~:text=A%20score%20below%201.8%20signals%20the%20company%20is,stock%20if%20the%20value%20is%20closer%20to%201.8</w:t>
      </w:r>
      <w:r>
        <w:rPr>
          <w:rFonts w:hint="default" w:ascii="Times New Roman Regular" w:hAnsi="Times New Roman Regular" w:cs="Times New Roman Regular"/>
          <w:sz w:val="24"/>
          <w:szCs w:val="24"/>
          <w:u w:val="none"/>
        </w:rPr>
        <w:fldChar w:fldCharType="end"/>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(Accessed:</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20 Aug 2024)</w:t>
      </w:r>
    </w:p>
    <w:p>
      <w:pPr>
        <w:tabs>
          <w:tab w:val="left" w:pos="2206"/>
        </w:tabs>
        <w:spacing w:line="360" w:lineRule="auto"/>
        <w:rPr>
          <w:rFonts w:hint="default" w:ascii="Times New Roman Regular" w:hAnsi="Times New Roman Regular" w:cs="Times New Roman Regular"/>
          <w:sz w:val="24"/>
          <w:szCs w:val="24"/>
          <w:u w:val="none"/>
        </w:rPr>
      </w:pPr>
    </w:p>
    <w:p>
      <w:pPr>
        <w:tabs>
          <w:tab w:val="left" w:pos="2206"/>
        </w:tabs>
        <w:spacing w:line="360" w:lineRule="auto"/>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lang w:val="en-US"/>
        </w:rPr>
        <w:t>CFI</w:t>
      </w:r>
      <w:r>
        <w:rPr>
          <w:rFonts w:hint="default" w:ascii="Times New Roman Regular" w:hAnsi="Times New Roman Regular" w:cs="Times New Roman Regular"/>
          <w:sz w:val="24"/>
          <w:szCs w:val="24"/>
          <w:u w:val="none"/>
        </w:rPr>
        <w:t xml:space="preserve"> (2024) Intangible Assets</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Available at:</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fldChar w:fldCharType="begin"/>
      </w:r>
      <w:r>
        <w:rPr>
          <w:rFonts w:hint="default" w:ascii="Times New Roman Regular" w:hAnsi="Times New Roman Regular" w:cs="Times New Roman Regular"/>
          <w:sz w:val="24"/>
          <w:szCs w:val="24"/>
          <w:u w:val="none"/>
        </w:rPr>
        <w:instrText xml:space="preserve"> HYPERLINK "https://corporatefinanceinstitute.com/resources/accounting/intangible-assets/" </w:instrText>
      </w:r>
      <w:r>
        <w:rPr>
          <w:rFonts w:hint="default" w:ascii="Times New Roman Regular" w:hAnsi="Times New Roman Regular" w:cs="Times New Roman Regular"/>
          <w:sz w:val="24"/>
          <w:szCs w:val="24"/>
          <w:u w:val="none"/>
        </w:rPr>
        <w:fldChar w:fldCharType="separate"/>
      </w:r>
      <w:r>
        <w:rPr>
          <w:rStyle w:val="6"/>
          <w:rFonts w:hint="default" w:ascii="Times New Roman Regular" w:hAnsi="Times New Roman Regular" w:cs="Times New Roman Regular"/>
          <w:sz w:val="24"/>
          <w:szCs w:val="24"/>
        </w:rPr>
        <w:t>https://corporatefinanceinstitute.com/resources/accounting/intangible-assets/</w:t>
      </w:r>
      <w:r>
        <w:rPr>
          <w:rFonts w:hint="default" w:ascii="Times New Roman Regular" w:hAnsi="Times New Roman Regular" w:cs="Times New Roman Regular"/>
          <w:sz w:val="24"/>
          <w:szCs w:val="24"/>
          <w:u w:val="none"/>
        </w:rPr>
        <w:fldChar w:fldCharType="end"/>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(Accessed: 2</w:t>
      </w:r>
      <w:r>
        <w:rPr>
          <w:rFonts w:hint="default" w:ascii="Times New Roman Regular" w:hAnsi="Times New Roman Regular" w:cs="Times New Roman Regular"/>
          <w:sz w:val="24"/>
          <w:szCs w:val="24"/>
          <w:u w:val="none"/>
          <w:lang w:val="en-US"/>
        </w:rPr>
        <w:t>2</w:t>
      </w:r>
      <w:r>
        <w:rPr>
          <w:rFonts w:hint="default" w:ascii="Times New Roman Regular" w:hAnsi="Times New Roman Regular" w:cs="Times New Roman Regular"/>
          <w:sz w:val="24"/>
          <w:szCs w:val="24"/>
          <w:u w:val="none"/>
        </w:rPr>
        <w:t xml:space="preserve"> Aug 2024)</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Fitch Ratings</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(202</w:t>
      </w:r>
      <w:r>
        <w:rPr>
          <w:rFonts w:hint="default" w:ascii="Times New Roman Regular" w:hAnsi="Times New Roman Regular" w:cs="Times New Roman Regular"/>
          <w:sz w:val="24"/>
          <w:szCs w:val="24"/>
          <w:u w:val="none"/>
          <w:lang w:val="en-US"/>
        </w:rPr>
        <w:t>2</w:t>
      </w:r>
      <w:r>
        <w:rPr>
          <w:rFonts w:hint="default" w:ascii="Times New Roman Regular" w:hAnsi="Times New Roman Regular" w:cs="Times New Roman Regular"/>
          <w:sz w:val="24"/>
          <w:szCs w:val="24"/>
          <w:u w:val="none"/>
        </w:rPr>
        <w:t>) Fitch Affirms Carlsberg at BBB+</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Outlook Stable</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Available at:</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fldChar w:fldCharType="begin"/>
      </w:r>
      <w:r>
        <w:rPr>
          <w:rFonts w:hint="default" w:ascii="Times New Roman Regular" w:hAnsi="Times New Roman Regular" w:cs="Times New Roman Regular"/>
          <w:sz w:val="24"/>
          <w:szCs w:val="24"/>
          <w:u w:val="none"/>
        </w:rPr>
        <w:instrText xml:space="preserve"> HYPERLINK "https://www.fitchratings.com/research/corporate-finance/fitch-affirms-carlsberg-at-bbb-outlook-stable-09-06-2022" </w:instrText>
      </w:r>
      <w:r>
        <w:rPr>
          <w:rFonts w:hint="default" w:ascii="Times New Roman Regular" w:hAnsi="Times New Roman Regular" w:cs="Times New Roman Regular"/>
          <w:sz w:val="24"/>
          <w:szCs w:val="24"/>
          <w:u w:val="none"/>
        </w:rPr>
        <w:fldChar w:fldCharType="separate"/>
      </w:r>
      <w:r>
        <w:rPr>
          <w:rStyle w:val="6"/>
          <w:rFonts w:hint="default" w:ascii="Times New Roman Regular" w:hAnsi="Times New Roman Regular" w:cs="Times New Roman Regular"/>
          <w:sz w:val="24"/>
          <w:szCs w:val="24"/>
        </w:rPr>
        <w:t>https://www.fitchratings.com/research/corporate-finance/fitch-affirms-carlsberg-at-bbb-outlook-stable-09-06-2022</w:t>
      </w:r>
      <w:r>
        <w:rPr>
          <w:rFonts w:hint="default" w:ascii="Times New Roman Regular" w:hAnsi="Times New Roman Regular" w:cs="Times New Roman Regular"/>
          <w:sz w:val="24"/>
          <w:szCs w:val="24"/>
          <w:u w:val="none"/>
        </w:rPr>
        <w:fldChar w:fldCharType="end"/>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(Accessed: 22 Aug 2024)</w:t>
      </w:r>
    </w:p>
    <w:p>
      <w:pPr>
        <w:tabs>
          <w:tab w:val="left" w:pos="2206"/>
        </w:tabs>
        <w:spacing w:line="360" w:lineRule="auto"/>
        <w:rPr>
          <w:rFonts w:hint="default" w:ascii="Times New Roman Regular" w:hAnsi="Times New Roman Regular" w:cs="Times New Roman Regular"/>
          <w:sz w:val="24"/>
          <w:szCs w:val="24"/>
          <w:u w:val="none"/>
        </w:rPr>
      </w:pP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lang w:val="en-US"/>
        </w:rPr>
        <w:t>CFI</w:t>
      </w:r>
      <w:r>
        <w:rPr>
          <w:rFonts w:hint="default" w:ascii="Times New Roman Regular" w:hAnsi="Times New Roman Regular" w:cs="Times New Roman Regular"/>
          <w:sz w:val="24"/>
          <w:szCs w:val="24"/>
          <w:u w:val="none"/>
        </w:rPr>
        <w:t xml:space="preserve"> (2022)</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Current Ratio Formula</w:t>
      </w:r>
    </w:p>
    <w:p>
      <w:pPr>
        <w:tabs>
          <w:tab w:val="left" w:pos="2206"/>
        </w:tabs>
        <w:spacing w:line="360" w:lineRule="auto"/>
        <w:ind w:left="120" w:hanging="120" w:hangingChars="50"/>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rPr>
        <w:t>Available at:</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fldChar w:fldCharType="begin"/>
      </w:r>
      <w:r>
        <w:rPr>
          <w:rFonts w:hint="default" w:ascii="Times New Roman Regular" w:hAnsi="Times New Roman Regular" w:cs="Times New Roman Regular"/>
          <w:sz w:val="24"/>
          <w:szCs w:val="24"/>
          <w:u w:val="none"/>
        </w:rPr>
        <w:instrText xml:space="preserve"> HYPERLINK "https://corporatefinanceinstitute.com/resources/accounting/current-ratio-formula/" </w:instrText>
      </w:r>
      <w:r>
        <w:rPr>
          <w:rFonts w:hint="default" w:ascii="Times New Roman Regular" w:hAnsi="Times New Roman Regular" w:cs="Times New Roman Regular"/>
          <w:sz w:val="24"/>
          <w:szCs w:val="24"/>
          <w:u w:val="none"/>
        </w:rPr>
        <w:fldChar w:fldCharType="separate"/>
      </w:r>
      <w:r>
        <w:rPr>
          <w:rStyle w:val="6"/>
          <w:rFonts w:hint="default" w:ascii="Times New Roman Regular" w:hAnsi="Times New Roman Regular" w:cs="Times New Roman Regular"/>
          <w:sz w:val="24"/>
          <w:szCs w:val="24"/>
        </w:rPr>
        <w:t>https://corporatefinanceinstitute.com/resources/accounting/current-ratio-formula/</w:t>
      </w:r>
      <w:r>
        <w:rPr>
          <w:rFonts w:hint="default" w:ascii="Times New Roman Regular" w:hAnsi="Times New Roman Regular" w:cs="Times New Roman Regular"/>
          <w:sz w:val="24"/>
          <w:szCs w:val="24"/>
          <w:u w:val="none"/>
        </w:rPr>
        <w:fldChar w:fldCharType="end"/>
      </w:r>
      <w:r>
        <w:rPr>
          <w:rFonts w:hint="default" w:ascii="Times New Roman Regular" w:hAnsi="Times New Roman Regular" w:cs="Times New Roman Regular"/>
          <w:sz w:val="24"/>
          <w:szCs w:val="24"/>
          <w:u w:val="none"/>
          <w:lang w:val="en-US"/>
        </w:rPr>
        <w:t xml:space="preserve"> </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(Accessed: 22 Aug 2024)</w:t>
      </w:r>
    </w:p>
    <w:p>
      <w:pPr>
        <w:tabs>
          <w:tab w:val="left" w:pos="2206"/>
        </w:tabs>
        <w:spacing w:line="360" w:lineRule="auto"/>
        <w:rPr>
          <w:rFonts w:hint="default" w:ascii="Times New Roman Regular" w:hAnsi="Times New Roman Regular" w:cs="Times New Roman Regular"/>
          <w:sz w:val="24"/>
          <w:szCs w:val="24"/>
          <w:u w:val="none"/>
        </w:rPr>
      </w:pPr>
    </w:p>
    <w:p>
      <w:pPr>
        <w:tabs>
          <w:tab w:val="left" w:pos="2206"/>
        </w:tabs>
        <w:spacing w:line="360" w:lineRule="auto"/>
        <w:ind w:left="120" w:hanging="120" w:hangingChars="50"/>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rPr>
        <w:t>CFI (2022) C</w:t>
      </w:r>
      <w:r>
        <w:rPr>
          <w:rFonts w:hint="default" w:ascii="Times New Roman Regular" w:hAnsi="Times New Roman Regular" w:cs="Times New Roman Regular"/>
          <w:sz w:val="24"/>
          <w:szCs w:val="24"/>
          <w:u w:val="none"/>
          <w:lang w:val="en-US"/>
        </w:rPr>
        <w:t xml:space="preserve">ash Ratio </w:t>
      </w:r>
    </w:p>
    <w:p>
      <w:pPr>
        <w:tabs>
          <w:tab w:val="left" w:pos="2206"/>
        </w:tabs>
        <w:spacing w:line="360" w:lineRule="auto"/>
        <w:ind w:left="120" w:hanging="120" w:hangingChars="50"/>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rPr>
        <w:t xml:space="preserve">Available at: </w:t>
      </w:r>
      <w:r>
        <w:rPr>
          <w:rFonts w:hint="default" w:ascii="Times New Roman Regular" w:hAnsi="Times New Roman Regular" w:cs="Times New Roman Regular"/>
          <w:sz w:val="24"/>
          <w:szCs w:val="24"/>
          <w:u w:val="none"/>
        </w:rPr>
        <w:fldChar w:fldCharType="begin"/>
      </w:r>
      <w:r>
        <w:rPr>
          <w:rFonts w:hint="default" w:ascii="Times New Roman Regular" w:hAnsi="Times New Roman Regular" w:cs="Times New Roman Regular"/>
          <w:sz w:val="24"/>
          <w:szCs w:val="24"/>
          <w:u w:val="none"/>
        </w:rPr>
        <w:instrText xml:space="preserve"> HYPERLINK "https://corporatefinanceinstitute.com/resources/accounting/cash-ratio-formula/" </w:instrText>
      </w:r>
      <w:r>
        <w:rPr>
          <w:rFonts w:hint="default" w:ascii="Times New Roman Regular" w:hAnsi="Times New Roman Regular" w:cs="Times New Roman Regular"/>
          <w:sz w:val="24"/>
          <w:szCs w:val="24"/>
          <w:u w:val="none"/>
        </w:rPr>
        <w:fldChar w:fldCharType="separate"/>
      </w:r>
      <w:r>
        <w:rPr>
          <w:rStyle w:val="6"/>
          <w:rFonts w:hint="default" w:ascii="Times New Roman Regular" w:hAnsi="Times New Roman Regular" w:cs="Times New Roman Regular"/>
          <w:sz w:val="24"/>
          <w:szCs w:val="24"/>
        </w:rPr>
        <w:t>https://corporatefinanceinstitute.com/resources/accounting/cash-ratio-formula/</w:t>
      </w:r>
      <w:r>
        <w:rPr>
          <w:rFonts w:hint="default" w:ascii="Times New Roman Regular" w:hAnsi="Times New Roman Regular" w:cs="Times New Roman Regular"/>
          <w:sz w:val="24"/>
          <w:szCs w:val="24"/>
          <w:u w:val="none"/>
        </w:rPr>
        <w:fldChar w:fldCharType="end"/>
      </w:r>
      <w:r>
        <w:rPr>
          <w:rFonts w:hint="default" w:ascii="Times New Roman Regular" w:hAnsi="Times New Roman Regular" w:cs="Times New Roman Regular"/>
          <w:sz w:val="24"/>
          <w:szCs w:val="24"/>
          <w:u w:val="none"/>
          <w:lang w:val="en-US"/>
        </w:rPr>
        <w:t xml:space="preserve"> </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(Accessed: 22 Aug 2024)</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Inverstopedia (2024) What is the</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Interest Coverage Ratio</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 xml:space="preserve">Available at: </w:t>
      </w:r>
      <w:r>
        <w:rPr>
          <w:rFonts w:hint="default" w:ascii="Times New Roman Regular" w:hAnsi="Times New Roman Regular" w:cs="Times New Roman Regular"/>
          <w:sz w:val="24"/>
          <w:szCs w:val="24"/>
          <w:u w:val="none"/>
        </w:rPr>
        <w:fldChar w:fldCharType="begin"/>
      </w:r>
      <w:r>
        <w:rPr>
          <w:rFonts w:hint="default" w:ascii="Times New Roman Regular" w:hAnsi="Times New Roman Regular" w:cs="Times New Roman Regular"/>
          <w:sz w:val="24"/>
          <w:szCs w:val="24"/>
          <w:u w:val="none"/>
        </w:rPr>
        <w:instrText xml:space="preserve"> HYPERLINK "https://corporatefinanceinstitute.com/resources/accounting/cash-ratio-formula/" </w:instrText>
      </w:r>
      <w:r>
        <w:rPr>
          <w:rFonts w:hint="default" w:ascii="Times New Roman Regular" w:hAnsi="Times New Roman Regular" w:cs="Times New Roman Regular"/>
          <w:sz w:val="24"/>
          <w:szCs w:val="24"/>
          <w:u w:val="none"/>
        </w:rPr>
        <w:fldChar w:fldCharType="separate"/>
      </w:r>
      <w:r>
        <w:rPr>
          <w:rStyle w:val="6"/>
          <w:rFonts w:hint="default" w:ascii="Times New Roman Regular" w:hAnsi="Times New Roman Regular" w:cs="Times New Roman Regular"/>
          <w:sz w:val="24"/>
          <w:szCs w:val="24"/>
        </w:rPr>
        <w:t>https://corporatefinanceinstitute.com/resources/accounting/cash-ratio-formula/</w:t>
      </w:r>
      <w:r>
        <w:rPr>
          <w:rFonts w:hint="default" w:ascii="Times New Roman Regular" w:hAnsi="Times New Roman Regular" w:cs="Times New Roman Regular"/>
          <w:sz w:val="24"/>
          <w:szCs w:val="24"/>
          <w:u w:val="none"/>
        </w:rPr>
        <w:fldChar w:fldCharType="end"/>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(Accessed: 22 Aug 2024)</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CFI (202</w:t>
      </w:r>
      <w:r>
        <w:rPr>
          <w:rFonts w:hint="default" w:ascii="Times New Roman Regular" w:hAnsi="Times New Roman Regular" w:cs="Times New Roman Regular"/>
          <w:sz w:val="24"/>
          <w:szCs w:val="24"/>
          <w:u w:val="none"/>
          <w:lang w:val="en-US"/>
        </w:rPr>
        <w:t>4</w:t>
      </w:r>
      <w:r>
        <w:rPr>
          <w:rFonts w:hint="default" w:ascii="Times New Roman Regular" w:hAnsi="Times New Roman Regular" w:cs="Times New Roman Regular"/>
          <w:sz w:val="24"/>
          <w:szCs w:val="24"/>
          <w:u w:val="none"/>
        </w:rPr>
        <w:t>) Accounts Payable Turnover Ratio</w:t>
      </w:r>
    </w:p>
    <w:p>
      <w:pPr>
        <w:tabs>
          <w:tab w:val="left" w:pos="2206"/>
        </w:tabs>
        <w:spacing w:line="360" w:lineRule="auto"/>
        <w:ind w:left="120" w:hanging="120" w:hangingChars="50"/>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rPr>
        <w:t>Available at:</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fldChar w:fldCharType="begin"/>
      </w:r>
      <w:r>
        <w:rPr>
          <w:rFonts w:hint="default" w:ascii="Times New Roman Regular" w:hAnsi="Times New Roman Regular" w:cs="Times New Roman Regular"/>
          <w:sz w:val="24"/>
          <w:szCs w:val="24"/>
          <w:u w:val="none"/>
        </w:rPr>
        <w:instrText xml:space="preserve"> HYPERLINK "https://corporatefinanceinstitute.com/resources/accounting/accounts-payable-turnover-ratio/#:~:text=Accounts%20Payable%20Turnover%20in%20Days%20The%20accounts%20payable,divide%20365%20days%20by%20the%20payable%20turnover%20ratio" </w:instrText>
      </w:r>
      <w:r>
        <w:rPr>
          <w:rFonts w:hint="default" w:ascii="Times New Roman Regular" w:hAnsi="Times New Roman Regular" w:cs="Times New Roman Regular"/>
          <w:sz w:val="24"/>
          <w:szCs w:val="24"/>
          <w:u w:val="none"/>
        </w:rPr>
        <w:fldChar w:fldCharType="separate"/>
      </w:r>
      <w:r>
        <w:rPr>
          <w:rStyle w:val="6"/>
          <w:rFonts w:hint="default" w:ascii="Times New Roman Regular" w:hAnsi="Times New Roman Regular" w:cs="Times New Roman Regular"/>
          <w:sz w:val="24"/>
          <w:szCs w:val="24"/>
        </w:rPr>
        <w:t>https://corporatefinanceinstitute.com/resources/accounting/accounts-payable-turnover-ratio/#:~:text=Accounts%20Payable%20Turnover%20in%20Days%20The%20accounts%20payable,divide%20365%20days%20by%20the%20payable%20turnover%20ratio</w:t>
      </w:r>
      <w:r>
        <w:rPr>
          <w:rFonts w:hint="default" w:ascii="Times New Roman Regular" w:hAnsi="Times New Roman Regular" w:cs="Times New Roman Regular"/>
          <w:sz w:val="24"/>
          <w:szCs w:val="24"/>
          <w:u w:val="none"/>
        </w:rPr>
        <w:fldChar w:fldCharType="end"/>
      </w:r>
      <w:r>
        <w:rPr>
          <w:rFonts w:hint="default" w:ascii="Times New Roman Regular" w:hAnsi="Times New Roman Regular" w:cs="Times New Roman Regular"/>
          <w:sz w:val="24"/>
          <w:szCs w:val="24"/>
          <w:u w:val="none"/>
          <w:lang w:val="en-US"/>
        </w:rPr>
        <w:t xml:space="preserve"> </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(Accessed: 22 Aug 2024)</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CFI (2024)</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lang w:val="en-US"/>
        </w:rPr>
        <w:t>I</w:t>
      </w:r>
      <w:r>
        <w:rPr>
          <w:rFonts w:hint="default" w:ascii="Times New Roman Regular" w:hAnsi="Times New Roman Regular" w:cs="Times New Roman Regular"/>
          <w:sz w:val="24"/>
          <w:szCs w:val="24"/>
          <w:u w:val="none"/>
        </w:rPr>
        <w:t>nventory-turnover</w:t>
      </w:r>
      <w:r>
        <w:rPr>
          <w:rFonts w:hint="default" w:ascii="Times New Roman Regular" w:hAnsi="Times New Roman Regular" w:cs="Times New Roman Regular"/>
          <w:sz w:val="24"/>
          <w:szCs w:val="24"/>
          <w:u w:val="none"/>
        </w:rPr>
        <w:t xml:space="preserve"> </w:t>
      </w:r>
    </w:p>
    <w:p>
      <w:pPr>
        <w:tabs>
          <w:tab w:val="left" w:pos="2206"/>
        </w:tabs>
        <w:spacing w:line="360" w:lineRule="auto"/>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rPr>
        <w:t xml:space="preserve">Available at:  </w:t>
      </w:r>
      <w:r>
        <w:rPr>
          <w:rFonts w:hint="default" w:ascii="Times New Roman Regular" w:hAnsi="Times New Roman Regular" w:cs="Times New Roman Regular"/>
          <w:sz w:val="24"/>
          <w:szCs w:val="24"/>
          <w:u w:val="none"/>
        </w:rPr>
        <w:fldChar w:fldCharType="begin"/>
      </w:r>
      <w:r>
        <w:rPr>
          <w:rFonts w:hint="default" w:ascii="Times New Roman Regular" w:hAnsi="Times New Roman Regular" w:cs="Times New Roman Regular"/>
          <w:sz w:val="24"/>
          <w:szCs w:val="24"/>
          <w:u w:val="none"/>
        </w:rPr>
        <w:instrText xml:space="preserve"> HYPERLINK "https://corporatefinanceinstitute.com/resources/accounting/inventory-turnover/" </w:instrText>
      </w:r>
      <w:r>
        <w:rPr>
          <w:rFonts w:hint="default" w:ascii="Times New Roman Regular" w:hAnsi="Times New Roman Regular" w:cs="Times New Roman Regular"/>
          <w:sz w:val="24"/>
          <w:szCs w:val="24"/>
          <w:u w:val="none"/>
        </w:rPr>
        <w:fldChar w:fldCharType="separate"/>
      </w:r>
      <w:r>
        <w:rPr>
          <w:rStyle w:val="6"/>
          <w:rFonts w:hint="default" w:ascii="Times New Roman Regular" w:hAnsi="Times New Roman Regular" w:cs="Times New Roman Regular"/>
          <w:sz w:val="24"/>
          <w:szCs w:val="24"/>
        </w:rPr>
        <w:t>https://corporatefinanceinstitute.com/resources/accounting/inventory-turnover/</w:t>
      </w:r>
      <w:r>
        <w:rPr>
          <w:rFonts w:hint="default" w:ascii="Times New Roman Regular" w:hAnsi="Times New Roman Regular" w:cs="Times New Roman Regular"/>
          <w:sz w:val="24"/>
          <w:szCs w:val="24"/>
          <w:u w:val="none"/>
        </w:rPr>
        <w:fldChar w:fldCharType="end"/>
      </w:r>
      <w:r>
        <w:rPr>
          <w:rFonts w:hint="default" w:ascii="Times New Roman Regular" w:hAnsi="Times New Roman Regular" w:cs="Times New Roman Regular"/>
          <w:sz w:val="24"/>
          <w:szCs w:val="24"/>
          <w:u w:val="none"/>
          <w:lang w:val="en-US"/>
        </w:rPr>
        <w:t xml:space="preserve"> </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(Accessed: 22 Aug 2024)</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 xml:space="preserve">CFI (2024) </w:t>
      </w:r>
      <w:r>
        <w:rPr>
          <w:rFonts w:hint="default" w:ascii="Times New Roman Regular" w:hAnsi="Times New Roman Regular" w:cs="Times New Roman Regular"/>
          <w:sz w:val="24"/>
          <w:szCs w:val="24"/>
          <w:u w:val="none"/>
        </w:rPr>
        <w:t>leverage-ratios</w:t>
      </w:r>
    </w:p>
    <w:p>
      <w:pPr>
        <w:tabs>
          <w:tab w:val="left" w:pos="2206"/>
        </w:tabs>
        <w:spacing w:line="360" w:lineRule="auto"/>
        <w:ind w:left="120" w:hanging="120" w:hangingChars="50"/>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rPr>
        <w:t xml:space="preserve">Available at: </w:t>
      </w:r>
      <w:r>
        <w:rPr>
          <w:rFonts w:hint="default" w:ascii="Times New Roman Regular" w:hAnsi="Times New Roman Regular" w:cs="Times New Roman Regular"/>
          <w:sz w:val="24"/>
          <w:szCs w:val="24"/>
          <w:u w:val="none"/>
        </w:rPr>
        <w:fldChar w:fldCharType="begin"/>
      </w:r>
      <w:r>
        <w:rPr>
          <w:rFonts w:hint="default" w:ascii="Times New Roman Regular" w:hAnsi="Times New Roman Regular" w:cs="Times New Roman Regular"/>
          <w:sz w:val="24"/>
          <w:szCs w:val="24"/>
          <w:u w:val="none"/>
        </w:rPr>
        <w:instrText xml:space="preserve"> HYPERLINK "https://corporatefinanceinstitute.com/resources/accounting/leverage-ratios/" </w:instrText>
      </w:r>
      <w:r>
        <w:rPr>
          <w:rFonts w:hint="default" w:ascii="Times New Roman Regular" w:hAnsi="Times New Roman Regular" w:cs="Times New Roman Regular"/>
          <w:sz w:val="24"/>
          <w:szCs w:val="24"/>
          <w:u w:val="none"/>
        </w:rPr>
        <w:fldChar w:fldCharType="separate"/>
      </w:r>
      <w:r>
        <w:rPr>
          <w:rStyle w:val="6"/>
          <w:rFonts w:hint="default" w:ascii="Times New Roman Regular" w:hAnsi="Times New Roman Regular" w:cs="Times New Roman Regular"/>
          <w:sz w:val="24"/>
          <w:szCs w:val="24"/>
        </w:rPr>
        <w:t>https://corporatefinanceinstitute.com/resources/accounting/leverage-ratios/</w:t>
      </w:r>
      <w:r>
        <w:rPr>
          <w:rFonts w:hint="default" w:ascii="Times New Roman Regular" w:hAnsi="Times New Roman Regular" w:cs="Times New Roman Regular"/>
          <w:sz w:val="24"/>
          <w:szCs w:val="24"/>
          <w:u w:val="none"/>
        </w:rPr>
        <w:fldChar w:fldCharType="end"/>
      </w:r>
      <w:r>
        <w:rPr>
          <w:rFonts w:hint="default" w:ascii="Times New Roman Regular" w:hAnsi="Times New Roman Regular" w:cs="Times New Roman Regular"/>
          <w:sz w:val="24"/>
          <w:szCs w:val="24"/>
          <w:u w:val="none"/>
          <w:lang w:val="en-US"/>
        </w:rPr>
        <w:t xml:space="preserve"> </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(Accessed: 22 Aug 2024)</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p>
    <w:p>
      <w:pPr>
        <w:tabs>
          <w:tab w:val="left" w:pos="2206"/>
        </w:tabs>
        <w:spacing w:line="360" w:lineRule="auto"/>
        <w:ind w:left="120" w:hanging="120" w:hangingChars="50"/>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rPr>
        <w:t>Inverstopedia (2024)</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Sustainable Growth Rate (SGR): Definition, Meaning, and Limitations</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 xml:space="preserve">Available at: </w:t>
      </w:r>
      <w:r>
        <w:rPr>
          <w:rFonts w:hint="default" w:ascii="Times New Roman Regular" w:hAnsi="Times New Roman Regular" w:cs="Times New Roman Regular"/>
          <w:sz w:val="24"/>
          <w:szCs w:val="24"/>
          <w:u w:val="none"/>
        </w:rPr>
        <w:fldChar w:fldCharType="begin"/>
      </w:r>
      <w:r>
        <w:rPr>
          <w:rFonts w:hint="default" w:ascii="Times New Roman Regular" w:hAnsi="Times New Roman Regular" w:cs="Times New Roman Regular"/>
          <w:sz w:val="24"/>
          <w:szCs w:val="24"/>
          <w:u w:val="none"/>
        </w:rPr>
        <w:instrText xml:space="preserve"> HYPERLINK "https://www.investopedia.com/terms/s/sustainablegrowthrate.asp" </w:instrText>
      </w:r>
      <w:r>
        <w:rPr>
          <w:rFonts w:hint="default" w:ascii="Times New Roman Regular" w:hAnsi="Times New Roman Regular" w:cs="Times New Roman Regular"/>
          <w:sz w:val="24"/>
          <w:szCs w:val="24"/>
          <w:u w:val="none"/>
        </w:rPr>
        <w:fldChar w:fldCharType="separate"/>
      </w:r>
      <w:r>
        <w:rPr>
          <w:rStyle w:val="6"/>
          <w:rFonts w:hint="default" w:ascii="Times New Roman Regular" w:hAnsi="Times New Roman Regular" w:cs="Times New Roman Regular"/>
          <w:sz w:val="24"/>
          <w:szCs w:val="24"/>
        </w:rPr>
        <w:t>https://www.investopedia.com/terms/s/sustainablegrowthrate.asp</w:t>
      </w:r>
      <w:r>
        <w:rPr>
          <w:rFonts w:hint="default" w:ascii="Times New Roman Regular" w:hAnsi="Times New Roman Regular" w:cs="Times New Roman Regular"/>
          <w:sz w:val="24"/>
          <w:szCs w:val="24"/>
          <w:u w:val="none"/>
        </w:rPr>
        <w:fldChar w:fldCharType="end"/>
      </w:r>
      <w:r>
        <w:rPr>
          <w:rFonts w:hint="default" w:ascii="Times New Roman Regular" w:hAnsi="Times New Roman Regular" w:cs="Times New Roman Regular"/>
          <w:sz w:val="24"/>
          <w:szCs w:val="24"/>
          <w:u w:val="none"/>
          <w:lang w:val="en-US"/>
        </w:rPr>
        <w:t xml:space="preserve"> </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(Accessed: 22 Aug 2024)</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lang w:val="en-US"/>
        </w:rPr>
        <w:t xml:space="preserve">BBC </w:t>
      </w:r>
      <w:r>
        <w:rPr>
          <w:rFonts w:hint="default" w:ascii="Times New Roman Regular" w:hAnsi="Times New Roman Regular" w:cs="Times New Roman Regular"/>
          <w:sz w:val="24"/>
          <w:szCs w:val="24"/>
          <w:u w:val="none"/>
        </w:rPr>
        <w:t>(202</w:t>
      </w:r>
      <w:r>
        <w:rPr>
          <w:rFonts w:hint="default" w:ascii="Times New Roman Regular" w:hAnsi="Times New Roman Regular" w:cs="Times New Roman Regular"/>
          <w:sz w:val="24"/>
          <w:szCs w:val="24"/>
          <w:u w:val="none"/>
          <w:lang w:val="en-US"/>
        </w:rPr>
        <w:t>1</w:t>
      </w:r>
      <w:r>
        <w:rPr>
          <w:rFonts w:hint="default" w:ascii="Times New Roman Regular" w:hAnsi="Times New Roman Regular" w:cs="Times New Roman Regular"/>
          <w:sz w:val="24"/>
          <w:szCs w:val="24"/>
          <w:u w:val="none"/>
        </w:rPr>
        <w:t>)</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t>HSBC fined £64m for anti-money laundering failings</w:t>
      </w:r>
    </w:p>
    <w:p>
      <w:pPr>
        <w:tabs>
          <w:tab w:val="left" w:pos="2206"/>
        </w:tabs>
        <w:spacing w:line="360" w:lineRule="auto"/>
        <w:ind w:left="120" w:hanging="120" w:hangingChars="50"/>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rPr>
        <w:t xml:space="preserve">Available at: </w:t>
      </w:r>
      <w:r>
        <w:rPr>
          <w:rFonts w:hint="default" w:ascii="Times New Roman Regular" w:hAnsi="Times New Roman Regular" w:cs="Times New Roman Regular"/>
          <w:sz w:val="24"/>
          <w:szCs w:val="24"/>
          <w:u w:val="none"/>
        </w:rPr>
        <w:fldChar w:fldCharType="begin"/>
      </w:r>
      <w:r>
        <w:rPr>
          <w:rFonts w:hint="default" w:ascii="Times New Roman Regular" w:hAnsi="Times New Roman Regular" w:cs="Times New Roman Regular"/>
          <w:sz w:val="24"/>
          <w:szCs w:val="24"/>
          <w:u w:val="none"/>
        </w:rPr>
        <w:instrText xml:space="preserve"> HYPERLINK "https://www.bbc.com/news/business-59689581" </w:instrText>
      </w:r>
      <w:r>
        <w:rPr>
          <w:rFonts w:hint="default" w:ascii="Times New Roman Regular" w:hAnsi="Times New Roman Regular" w:cs="Times New Roman Regular"/>
          <w:sz w:val="24"/>
          <w:szCs w:val="24"/>
          <w:u w:val="none"/>
        </w:rPr>
        <w:fldChar w:fldCharType="separate"/>
      </w:r>
      <w:r>
        <w:rPr>
          <w:rStyle w:val="6"/>
          <w:rFonts w:hint="default" w:ascii="Times New Roman Regular" w:hAnsi="Times New Roman Regular" w:cs="Times New Roman Regular"/>
          <w:sz w:val="24"/>
          <w:szCs w:val="24"/>
        </w:rPr>
        <w:t>https://www.bbc.com/news/business-59689581</w:t>
      </w:r>
      <w:r>
        <w:rPr>
          <w:rFonts w:hint="default" w:ascii="Times New Roman Regular" w:hAnsi="Times New Roman Regular" w:cs="Times New Roman Regular"/>
          <w:sz w:val="24"/>
          <w:szCs w:val="24"/>
          <w:u w:val="none"/>
        </w:rPr>
        <w:fldChar w:fldCharType="end"/>
      </w:r>
      <w:r>
        <w:rPr>
          <w:rFonts w:hint="default" w:ascii="Times New Roman Regular" w:hAnsi="Times New Roman Regular" w:cs="Times New Roman Regular"/>
          <w:sz w:val="24"/>
          <w:szCs w:val="24"/>
          <w:u w:val="none"/>
          <w:lang w:val="en-US"/>
        </w:rPr>
        <w:t xml:space="preserve"> </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(Accessed: 22 Aug 2024)</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lang w:val="en-US"/>
        </w:rPr>
        <w:t>Carlsberg</w:t>
      </w:r>
      <w:r>
        <w:rPr>
          <w:rFonts w:hint="default" w:ascii="Times New Roman Regular" w:hAnsi="Times New Roman Regular" w:cs="Times New Roman Regular"/>
          <w:sz w:val="24"/>
          <w:szCs w:val="24"/>
          <w:u w:val="none"/>
        </w:rPr>
        <w:t xml:space="preserve"> (202</w:t>
      </w:r>
      <w:r>
        <w:rPr>
          <w:rFonts w:hint="default" w:ascii="Times New Roman Regular" w:hAnsi="Times New Roman Regular" w:cs="Times New Roman Regular"/>
          <w:sz w:val="24"/>
          <w:szCs w:val="24"/>
          <w:u w:val="none"/>
          <w:lang w:val="en-US"/>
        </w:rPr>
        <w:t>4</w:t>
      </w:r>
      <w:r>
        <w:rPr>
          <w:rFonts w:hint="default" w:ascii="Times New Roman Regular" w:hAnsi="Times New Roman Regular" w:cs="Times New Roman Regular"/>
          <w:sz w:val="24"/>
          <w:szCs w:val="24"/>
          <w:u w:val="none"/>
        </w:rPr>
        <w:t>) Internal Control &amp; Risk Management</w:t>
      </w:r>
    </w:p>
    <w:p>
      <w:pPr>
        <w:tabs>
          <w:tab w:val="left" w:pos="2206"/>
        </w:tabs>
        <w:spacing w:line="360" w:lineRule="auto"/>
        <w:ind w:left="120" w:hanging="120" w:hangingChars="50"/>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rPr>
        <w:t>Available at:</w:t>
      </w:r>
      <w:r>
        <w:rPr>
          <w:rFonts w:hint="default" w:ascii="Times New Roman Regular" w:hAnsi="Times New Roman Regular" w:cs="Times New Roman Regular"/>
          <w:sz w:val="24"/>
          <w:szCs w:val="24"/>
          <w:u w:val="none"/>
          <w:lang w:val="en-US"/>
        </w:rPr>
        <w:t xml:space="preserve"> </w:t>
      </w:r>
      <w:r>
        <w:rPr>
          <w:rFonts w:hint="default" w:ascii="Times New Roman Regular" w:hAnsi="Times New Roman Regular" w:cs="Times New Roman Regular"/>
          <w:sz w:val="24"/>
          <w:szCs w:val="24"/>
          <w:u w:val="none"/>
        </w:rPr>
        <w:fldChar w:fldCharType="begin"/>
      </w:r>
      <w:r>
        <w:rPr>
          <w:rFonts w:hint="default" w:ascii="Times New Roman Regular" w:hAnsi="Times New Roman Regular" w:cs="Times New Roman Regular"/>
          <w:sz w:val="24"/>
          <w:szCs w:val="24"/>
          <w:u w:val="none"/>
        </w:rPr>
        <w:instrText xml:space="preserve"> HYPERLINK "https://www.carlsberggroup.com/who-we-are/corporate-governance/internal-control-risk-management/" </w:instrText>
      </w:r>
      <w:r>
        <w:rPr>
          <w:rFonts w:hint="default" w:ascii="Times New Roman Regular" w:hAnsi="Times New Roman Regular" w:cs="Times New Roman Regular"/>
          <w:sz w:val="24"/>
          <w:szCs w:val="24"/>
          <w:u w:val="none"/>
        </w:rPr>
        <w:fldChar w:fldCharType="separate"/>
      </w:r>
      <w:r>
        <w:rPr>
          <w:rStyle w:val="6"/>
          <w:rFonts w:hint="default" w:ascii="Times New Roman Regular" w:hAnsi="Times New Roman Regular" w:cs="Times New Roman Regular"/>
          <w:sz w:val="24"/>
          <w:szCs w:val="24"/>
        </w:rPr>
        <w:t>https://www.carlsberggroup.com/who-we-are/corporate-governance/internal-control-risk-management/</w:t>
      </w:r>
      <w:r>
        <w:rPr>
          <w:rFonts w:hint="default" w:ascii="Times New Roman Regular" w:hAnsi="Times New Roman Regular" w:cs="Times New Roman Regular"/>
          <w:sz w:val="24"/>
          <w:szCs w:val="24"/>
          <w:u w:val="none"/>
        </w:rPr>
        <w:fldChar w:fldCharType="end"/>
      </w:r>
      <w:r>
        <w:rPr>
          <w:rFonts w:hint="default" w:ascii="Times New Roman Regular" w:hAnsi="Times New Roman Regular" w:cs="Times New Roman Regular"/>
          <w:sz w:val="24"/>
          <w:szCs w:val="24"/>
          <w:u w:val="none"/>
          <w:lang w:val="en-US"/>
        </w:rPr>
        <w:t xml:space="preserve"> </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(Accessed: 22 Aug 2024)</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p>
    <w:p>
      <w:pPr>
        <w:tabs>
          <w:tab w:val="left" w:pos="2206"/>
        </w:tabs>
        <w:spacing w:line="360" w:lineRule="auto"/>
        <w:ind w:left="120" w:hanging="120" w:hangingChars="50"/>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rPr>
        <w:t xml:space="preserve">Inverstopedia (2024) ISDA Master Agreement: Definition, What It Does, and Requirements Available at: </w:t>
      </w:r>
      <w:r>
        <w:rPr>
          <w:rFonts w:hint="default" w:ascii="Times New Roman Regular" w:hAnsi="Times New Roman Regular" w:cs="Times New Roman Regular"/>
          <w:sz w:val="24"/>
          <w:szCs w:val="24"/>
          <w:u w:val="none"/>
        </w:rPr>
        <w:fldChar w:fldCharType="begin"/>
      </w:r>
      <w:r>
        <w:rPr>
          <w:rFonts w:hint="default" w:ascii="Times New Roman Regular" w:hAnsi="Times New Roman Regular" w:cs="Times New Roman Regular"/>
          <w:sz w:val="24"/>
          <w:szCs w:val="24"/>
          <w:u w:val="none"/>
        </w:rPr>
        <w:instrText xml:space="preserve"> HYPERLINK "https://www.investopedia.com/terms/i/isda-master-agreement.asp" </w:instrText>
      </w:r>
      <w:r>
        <w:rPr>
          <w:rFonts w:hint="default" w:ascii="Times New Roman Regular" w:hAnsi="Times New Roman Regular" w:cs="Times New Roman Regular"/>
          <w:sz w:val="24"/>
          <w:szCs w:val="24"/>
          <w:u w:val="none"/>
        </w:rPr>
        <w:fldChar w:fldCharType="separate"/>
      </w:r>
      <w:r>
        <w:rPr>
          <w:rStyle w:val="6"/>
          <w:rFonts w:hint="default" w:ascii="Times New Roman Regular" w:hAnsi="Times New Roman Regular" w:cs="Times New Roman Regular"/>
          <w:sz w:val="24"/>
          <w:szCs w:val="24"/>
        </w:rPr>
        <w:t>https://www.investopedia.com/terms/i/isda-master-agreement.asp</w:t>
      </w:r>
      <w:r>
        <w:rPr>
          <w:rFonts w:hint="default" w:ascii="Times New Roman Regular" w:hAnsi="Times New Roman Regular" w:cs="Times New Roman Regular"/>
          <w:sz w:val="24"/>
          <w:szCs w:val="24"/>
          <w:u w:val="none"/>
        </w:rPr>
        <w:fldChar w:fldCharType="end"/>
      </w:r>
      <w:r>
        <w:rPr>
          <w:rFonts w:hint="default" w:ascii="Times New Roman Regular" w:hAnsi="Times New Roman Regular" w:cs="Times New Roman Regular"/>
          <w:sz w:val="24"/>
          <w:szCs w:val="24"/>
          <w:u w:val="none"/>
          <w:lang w:val="en-US"/>
        </w:rPr>
        <w:t xml:space="preserve"> </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r>
        <w:rPr>
          <w:rFonts w:hint="default" w:ascii="Times New Roman Regular" w:hAnsi="Times New Roman Regular" w:cs="Times New Roman Regular"/>
          <w:sz w:val="24"/>
          <w:szCs w:val="24"/>
          <w:u w:val="none"/>
        </w:rPr>
        <w:t>(Accessed: 22 Aug 2024)</w:t>
      </w: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p>
    <w:p>
      <w:pPr>
        <w:tabs>
          <w:tab w:val="left" w:pos="2206"/>
        </w:tabs>
        <w:spacing w:line="360" w:lineRule="auto"/>
        <w:ind w:left="120" w:hanging="120" w:hangingChars="50"/>
        <w:rPr>
          <w:rFonts w:hint="default" w:ascii="Times New Roman Regular" w:hAnsi="Times New Roman Regular" w:cs="Times New Roman Regular"/>
          <w:sz w:val="24"/>
          <w:szCs w:val="24"/>
          <w:u w:val="none"/>
        </w:rPr>
      </w:pPr>
    </w:p>
    <w:p>
      <w:pPr>
        <w:tabs>
          <w:tab w:val="left" w:pos="2206"/>
        </w:tabs>
        <w:spacing w:line="360" w:lineRule="auto"/>
        <w:rPr>
          <w:rFonts w:hint="default" w:ascii="Times New Roman Regular" w:hAnsi="Times New Roman Regular" w:cs="Times New Roman Regular"/>
          <w:sz w:val="24"/>
          <w:szCs w:val="24"/>
          <w:u w:val="none"/>
          <w:lang w:val="en-US"/>
        </w:rPr>
      </w:pPr>
    </w:p>
    <w:p>
      <w:pPr>
        <w:tabs>
          <w:tab w:val="left" w:pos="2206"/>
        </w:tabs>
        <w:spacing w:line="360" w:lineRule="auto"/>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lang w:val="en-US"/>
        </w:rPr>
        <w:t>Figure 1</w:t>
      </w:r>
    </w:p>
    <w:p>
      <w:pPr>
        <w:tabs>
          <w:tab w:val="left" w:pos="2206"/>
        </w:tabs>
        <w:spacing w:line="360" w:lineRule="auto"/>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lang w:val="en-US"/>
        </w:rPr>
        <w:t xml:space="preserve">Carlsberg Group (2024) Shareholders </w:t>
      </w:r>
    </w:p>
    <w:p>
      <w:pPr>
        <w:tabs>
          <w:tab w:val="left" w:pos="2206"/>
        </w:tabs>
        <w:spacing w:line="360" w:lineRule="auto"/>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lang w:val="en-US"/>
        </w:rPr>
        <w:t>Available at: https://www.carlsberggroup.com/investor-relations/shareholders/(Accessed:20 Aug 2024)</w:t>
      </w:r>
    </w:p>
    <w:p>
      <w:pPr>
        <w:tabs>
          <w:tab w:val="left" w:pos="2206"/>
        </w:tabs>
        <w:spacing w:line="360" w:lineRule="auto"/>
        <w:rPr>
          <w:rFonts w:hint="default" w:ascii="Times New Roman Regular" w:hAnsi="Times New Roman Regular" w:cs="Times New Roman Regular"/>
          <w:sz w:val="24"/>
          <w:szCs w:val="24"/>
          <w:u w:val="none"/>
          <w:lang w:val="en-US"/>
        </w:rPr>
      </w:pPr>
    </w:p>
    <w:p>
      <w:pPr>
        <w:tabs>
          <w:tab w:val="left" w:pos="2206"/>
        </w:tabs>
        <w:spacing w:line="360" w:lineRule="auto"/>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lang w:val="en-US"/>
        </w:rPr>
        <w:t>Figure 2</w:t>
      </w:r>
    </w:p>
    <w:p>
      <w:pPr>
        <w:tabs>
          <w:tab w:val="left" w:pos="2206"/>
        </w:tabs>
        <w:spacing w:line="360" w:lineRule="auto"/>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lang w:val="en-US"/>
        </w:rPr>
        <w:t xml:space="preserve">Yahoo Finance (2024) Summary </w:t>
      </w:r>
    </w:p>
    <w:p>
      <w:pPr>
        <w:tabs>
          <w:tab w:val="left" w:pos="2206"/>
        </w:tabs>
        <w:spacing w:line="360" w:lineRule="auto"/>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lang w:val="en-US"/>
        </w:rPr>
        <w:t xml:space="preserve">Available at: </w:t>
      </w:r>
      <w:r>
        <w:rPr>
          <w:rFonts w:hint="default" w:ascii="Times New Roman Regular" w:hAnsi="Times New Roman Regular" w:cs="Times New Roman Regular"/>
          <w:sz w:val="24"/>
          <w:szCs w:val="24"/>
          <w:u w:val="none"/>
          <w:lang w:val="en-US"/>
        </w:rPr>
        <w:fldChar w:fldCharType="begin"/>
      </w:r>
      <w:r>
        <w:rPr>
          <w:rFonts w:hint="default" w:ascii="Times New Roman Regular" w:hAnsi="Times New Roman Regular" w:cs="Times New Roman Regular"/>
          <w:sz w:val="24"/>
          <w:szCs w:val="24"/>
          <w:u w:val="none"/>
          <w:lang w:val="en-US"/>
        </w:rPr>
        <w:instrText xml:space="preserve"> HYPERLINK "https://finance.yahoo.com/quote/DKKHKD=X/?guccounter=1&amp;guce_referrer=aHR0cHM6Ly93d3cuYmluZy5jb20v&amp;guce_referrer_sig=AQAAAMvk__1ofX2u_fNoWxvQaQKdJGbtkYLtUWcSRqiXvVIEdiYu31Ir-schGclBOSET74boq9P-JC8bjotahYI3u5pNYd63CNAhaIi2IggFf_vjlcsYg-XJ5O_yEthR1-o6k0CA1llCs_7MFMFItTXOVDCfLdXn1Qz1u2JX13wktH-u" </w:instrText>
      </w:r>
      <w:r>
        <w:rPr>
          <w:rFonts w:hint="default" w:ascii="Times New Roman Regular" w:hAnsi="Times New Roman Regular" w:cs="Times New Roman Regular"/>
          <w:sz w:val="24"/>
          <w:szCs w:val="24"/>
          <w:u w:val="none"/>
          <w:lang w:val="en-US"/>
        </w:rPr>
        <w:fldChar w:fldCharType="separate"/>
      </w:r>
      <w:r>
        <w:rPr>
          <w:rStyle w:val="6"/>
          <w:rFonts w:hint="default" w:ascii="Times New Roman Regular" w:hAnsi="Times New Roman Regular" w:cs="Times New Roman Regular"/>
          <w:sz w:val="24"/>
          <w:szCs w:val="24"/>
          <w:lang w:val="en-US"/>
        </w:rPr>
        <w:t>https://finance.yahoo.com/quote/DKKHKD=X/?guccounter=1&amp;guce_referrer=aHR0cHM6Ly93d3cuYmluZy5jb20v&amp;guce_referrer_sig=AQAAAMvk__1ofX2u_fNoWxvQaQKdJGbtkYLtUWcSRqiXvVIEdiYu31Ir-schGclBOSET74boq9P-JC8bjotahYI3u5pNYd63CNAhaIi2IggFf_vjlcsYg-XJ5O_yEthR1-o6k0CA1llCs_7MFMFItTXOVDCfLdXn1Qz1u2JX13wktH-u</w:t>
      </w:r>
      <w:r>
        <w:rPr>
          <w:rFonts w:hint="default" w:ascii="Times New Roman Regular" w:hAnsi="Times New Roman Regular" w:cs="Times New Roman Regular"/>
          <w:sz w:val="24"/>
          <w:szCs w:val="24"/>
          <w:u w:val="none"/>
          <w:lang w:val="en-US"/>
        </w:rPr>
        <w:fldChar w:fldCharType="end"/>
      </w:r>
      <w:r>
        <w:rPr>
          <w:rFonts w:hint="default" w:ascii="Times New Roman Regular" w:hAnsi="Times New Roman Regular" w:cs="Times New Roman Regular"/>
          <w:sz w:val="24"/>
          <w:szCs w:val="24"/>
          <w:u w:val="none"/>
          <w:lang w:val="en-US"/>
        </w:rPr>
        <w:t xml:space="preserve"> (Accessed:20 Aug 2024)</w:t>
      </w:r>
    </w:p>
    <w:p>
      <w:pPr>
        <w:tabs>
          <w:tab w:val="left" w:pos="2206"/>
        </w:tabs>
        <w:spacing w:line="360" w:lineRule="auto"/>
        <w:rPr>
          <w:rFonts w:hint="default" w:ascii="Times New Roman Regular" w:hAnsi="Times New Roman Regular" w:cs="Times New Roman Regular"/>
          <w:sz w:val="24"/>
          <w:szCs w:val="24"/>
          <w:u w:val="none"/>
          <w:lang w:val="en-US"/>
        </w:rPr>
      </w:pPr>
    </w:p>
    <w:p>
      <w:pPr>
        <w:tabs>
          <w:tab w:val="left" w:pos="2206"/>
        </w:tabs>
        <w:spacing w:line="360" w:lineRule="auto"/>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lang w:val="en-US"/>
        </w:rPr>
        <w:t xml:space="preserve">Figure 3 </w:t>
      </w:r>
    </w:p>
    <w:p>
      <w:pPr>
        <w:tabs>
          <w:tab w:val="left" w:pos="2206"/>
        </w:tabs>
        <w:spacing w:line="360" w:lineRule="auto"/>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lang w:val="en-US"/>
        </w:rPr>
        <w:t>Diversity, Equity &amp; Inclusion of Carlsberg Group</w:t>
      </w:r>
    </w:p>
    <w:p>
      <w:pPr>
        <w:tabs>
          <w:tab w:val="left" w:pos="2206"/>
        </w:tabs>
        <w:spacing w:line="360" w:lineRule="auto"/>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lang w:val="en-US"/>
        </w:rPr>
        <w:t xml:space="preserve">Available at: </w:t>
      </w:r>
      <w:r>
        <w:rPr>
          <w:rFonts w:hint="default" w:ascii="Times New Roman Regular" w:hAnsi="Times New Roman Regular" w:cs="Times New Roman Regular"/>
          <w:sz w:val="24"/>
          <w:szCs w:val="24"/>
          <w:u w:val="none"/>
          <w:lang w:val="en-US"/>
        </w:rPr>
        <w:fldChar w:fldCharType="begin"/>
      </w:r>
      <w:r>
        <w:rPr>
          <w:rFonts w:hint="default" w:ascii="Times New Roman Regular" w:hAnsi="Times New Roman Regular" w:cs="Times New Roman Regular"/>
          <w:sz w:val="24"/>
          <w:szCs w:val="24"/>
          <w:u w:val="none"/>
          <w:lang w:val="en-US"/>
        </w:rPr>
        <w:instrText xml:space="preserve"> HYPERLINK "https://www.carlsberggroup.com/who-we-are/corporate-governance/diversity/" </w:instrText>
      </w:r>
      <w:r>
        <w:rPr>
          <w:rFonts w:hint="default" w:ascii="Times New Roman Regular" w:hAnsi="Times New Roman Regular" w:cs="Times New Roman Regular"/>
          <w:sz w:val="24"/>
          <w:szCs w:val="24"/>
          <w:u w:val="none"/>
          <w:lang w:val="en-US"/>
        </w:rPr>
        <w:fldChar w:fldCharType="separate"/>
      </w:r>
      <w:r>
        <w:rPr>
          <w:rStyle w:val="6"/>
          <w:rFonts w:hint="default" w:ascii="Times New Roman Regular" w:hAnsi="Times New Roman Regular" w:cs="Times New Roman Regular"/>
          <w:sz w:val="24"/>
          <w:szCs w:val="24"/>
          <w:lang w:val="en-US"/>
        </w:rPr>
        <w:t>https://www.carlsberggroup.com/who-we-are/corporate-governance/diversity/</w:t>
      </w:r>
      <w:r>
        <w:rPr>
          <w:rFonts w:hint="default" w:ascii="Times New Roman Regular" w:hAnsi="Times New Roman Regular" w:cs="Times New Roman Regular"/>
          <w:sz w:val="24"/>
          <w:szCs w:val="24"/>
          <w:u w:val="none"/>
          <w:lang w:val="en-US"/>
        </w:rPr>
        <w:fldChar w:fldCharType="end"/>
      </w:r>
      <w:r>
        <w:rPr>
          <w:rFonts w:hint="default" w:ascii="Times New Roman Regular" w:hAnsi="Times New Roman Regular" w:cs="Times New Roman Regular"/>
          <w:sz w:val="24"/>
          <w:szCs w:val="24"/>
          <w:u w:val="none"/>
          <w:lang w:val="en-US"/>
        </w:rPr>
        <w:t xml:space="preserve"> </w:t>
      </w:r>
    </w:p>
    <w:p>
      <w:pPr>
        <w:tabs>
          <w:tab w:val="left" w:pos="2206"/>
        </w:tabs>
        <w:spacing w:line="360" w:lineRule="auto"/>
        <w:rPr>
          <w:rFonts w:hint="default" w:ascii="Times New Roman Regular" w:hAnsi="Times New Roman Regular" w:cs="Times New Roman Regular"/>
          <w:sz w:val="24"/>
          <w:szCs w:val="24"/>
          <w:u w:val="none"/>
          <w:lang w:val="en-US"/>
        </w:rPr>
      </w:pPr>
      <w:r>
        <w:rPr>
          <w:rFonts w:hint="default" w:ascii="Times New Roman Regular" w:hAnsi="Times New Roman Regular" w:cs="Times New Roman Regular"/>
          <w:sz w:val="24"/>
          <w:szCs w:val="24"/>
          <w:u w:val="none"/>
          <w:lang w:val="en-US"/>
        </w:rPr>
        <w:t>(Accessed:20 Aug 2024)</w:t>
      </w:r>
    </w:p>
    <w:p>
      <w:pPr>
        <w:tabs>
          <w:tab w:val="left" w:pos="2206"/>
        </w:tabs>
        <w:spacing w:line="360" w:lineRule="auto"/>
        <w:rPr>
          <w:rFonts w:hint="default" w:ascii="Times New Roman Regular" w:hAnsi="Times New Roman Regular" w:cs="Times New Roman Regular"/>
          <w:sz w:val="24"/>
          <w:szCs w:val="24"/>
          <w:u w:val="none"/>
          <w:lang w:val="en-US"/>
        </w:rPr>
      </w:pPr>
    </w:p>
    <w:p>
      <w:pPr>
        <w:tabs>
          <w:tab w:val="left" w:pos="2206"/>
        </w:tabs>
        <w:spacing w:line="360" w:lineRule="auto"/>
        <w:rPr>
          <w:rFonts w:hint="default" w:ascii="Times New Roman Regular" w:hAnsi="Times New Roman Regular" w:cs="Times New Roman Regular"/>
          <w:sz w:val="24"/>
          <w:szCs w:val="24"/>
          <w:u w:val="none"/>
          <w:lang w:val="en-US"/>
        </w:rPr>
      </w:pPr>
    </w:p>
    <w:p>
      <w:pPr>
        <w:tabs>
          <w:tab w:val="left" w:pos="2206"/>
        </w:tabs>
        <w:spacing w:line="360" w:lineRule="auto"/>
        <w:rPr>
          <w:rFonts w:hint="default" w:ascii="Times New Roman Regular" w:hAnsi="Times New Roman Regular" w:cs="Times New Roman Regular"/>
          <w:sz w:val="24"/>
          <w:szCs w:val="24"/>
          <w:u w:val="none"/>
          <w:lang w:val="en-US"/>
        </w:rPr>
      </w:pPr>
    </w:p>
    <w:p>
      <w:pPr>
        <w:tabs>
          <w:tab w:val="left" w:pos="2206"/>
        </w:tabs>
        <w:spacing w:line="360" w:lineRule="auto"/>
        <w:rPr>
          <w:rFonts w:hint="default" w:ascii="Times New Roman Regular" w:hAnsi="Times New Roman Regular" w:cs="Times New Roman Regular"/>
          <w:sz w:val="24"/>
          <w:szCs w:val="24"/>
          <w:u w:val="single"/>
        </w:rPr>
      </w:pPr>
    </w:p>
    <w:p>
      <w:pPr>
        <w:tabs>
          <w:tab w:val="left" w:pos="2206"/>
        </w:tabs>
        <w:spacing w:line="360" w:lineRule="auto"/>
        <w:rPr>
          <w:rFonts w:hint="default" w:ascii="Times New Roman Regular" w:hAnsi="Times New Roman Regular" w:cs="Times New Roman Regular"/>
          <w:sz w:val="24"/>
          <w:szCs w:val="24"/>
          <w:u w:val="single"/>
        </w:rPr>
      </w:pPr>
    </w:p>
    <w:p>
      <w:pPr>
        <w:widowControl/>
        <w:spacing w:line="360" w:lineRule="auto"/>
        <w:jc w:val="left"/>
        <w:rPr>
          <w:rFonts w:hint="default" w:ascii="Times New Roman Regular" w:hAnsi="Times New Roman Regular" w:cs="Times New Roman Regular" w:eastAsiaTheme="majorEastAsia"/>
          <w:b/>
          <w:color w:val="2E54A1" w:themeColor="accent1" w:themeShade="BF"/>
          <w:sz w:val="24"/>
          <w:szCs w:val="24"/>
        </w:rPr>
      </w:pPr>
      <w:r>
        <w:rPr>
          <w:rFonts w:hint="default" w:ascii="Times New Roman Regular" w:hAnsi="Times New Roman Regular" w:cs="Times New Roman Regular"/>
          <w:sz w:val="24"/>
          <w:szCs w:val="24"/>
        </w:rPr>
        <w:br w:type="page"/>
      </w:r>
    </w:p>
    <w:p>
      <w:pPr>
        <w:pStyle w:val="2"/>
        <w:spacing w:line="360" w:lineRule="auto"/>
        <w:rPr>
          <w:rFonts w:hint="default" w:ascii="Times New Roman Regular" w:hAnsi="Times New Roman Regular" w:cs="Times New Roman Regular"/>
          <w:sz w:val="24"/>
          <w:szCs w:val="24"/>
        </w:rPr>
      </w:pPr>
      <w:bookmarkStart w:id="45" w:name="_Toc176358791"/>
      <w:r>
        <w:rPr>
          <w:rFonts w:hint="default" w:ascii="Times New Roman Regular" w:hAnsi="Times New Roman Regular" w:cs="Times New Roman Regular"/>
          <w:sz w:val="24"/>
          <w:szCs w:val="24"/>
        </w:rPr>
        <w:t>Appendix 1</w:t>
      </w:r>
      <w:bookmarkEnd w:id="45"/>
    </w:p>
    <w:p>
      <w:pPr>
        <w:tabs>
          <w:tab w:val="left" w:pos="2206"/>
        </w:tabs>
        <w:spacing w:line="360" w:lineRule="auto"/>
        <w:rPr>
          <w:rFonts w:hint="default" w:ascii="Times New Roman Regular" w:hAnsi="Times New Roman Regular" w:cs="Times New Roman Regular"/>
          <w:sz w:val="24"/>
          <w:szCs w:val="24"/>
          <w:u w:val="single"/>
        </w:rPr>
      </w:pPr>
    </w:p>
    <w:tbl>
      <w:tblPr>
        <w:tblStyle w:val="5"/>
        <w:tblW w:w="10287"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25"/>
        <w:gridCol w:w="1034"/>
        <w:gridCol w:w="2132"/>
        <w:gridCol w:w="2132"/>
        <w:gridCol w:w="2132"/>
        <w:gridCol w:w="2132"/>
      </w:tblGrid>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Yr</w:t>
            </w:r>
          </w:p>
        </w:tc>
        <w:tc>
          <w:tcPr>
            <w:tcW w:w="2132"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Microsoft JhengHei" w:cs="Times New Roman"/>
                <w:color w:val="000000"/>
                <w:kern w:val="0"/>
                <w:sz w:val="22"/>
                <w:szCs w:val="22"/>
              </w:rPr>
              <w:t>現金流</w:t>
            </w:r>
            <w:r>
              <w:rPr>
                <w:rFonts w:ascii="Times New Roman" w:hAnsi="Times New Roman" w:eastAsia="Times New Roman" w:cs="Times New Roman"/>
                <w:color w:val="000000"/>
                <w:kern w:val="0"/>
                <w:sz w:val="22"/>
                <w:szCs w:val="22"/>
              </w:rPr>
              <w:t xml:space="preserve"> CASHFLOW in/(out)</w:t>
            </w:r>
          </w:p>
        </w:tc>
        <w:tc>
          <w:tcPr>
            <w:tcW w:w="2132"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CUM CASHFLOW </w:t>
            </w:r>
            <w:r>
              <w:rPr>
                <w:rFonts w:ascii="Times New Roman" w:hAnsi="Times New Roman" w:eastAsia="Microsoft JhengHei" w:cs="Times New Roman"/>
                <w:color w:val="000000"/>
                <w:kern w:val="0"/>
                <w:sz w:val="22"/>
                <w:szCs w:val="22"/>
              </w:rPr>
              <w:t>現金流</w:t>
            </w:r>
          </w:p>
        </w:tc>
        <w:tc>
          <w:tcPr>
            <w:tcW w:w="2132"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Microsoft JhengHei" w:cs="Times New Roman"/>
                <w:color w:val="000000"/>
                <w:kern w:val="0"/>
                <w:sz w:val="22"/>
                <w:szCs w:val="22"/>
              </w:rPr>
              <w:t>現值現金流</w:t>
            </w:r>
          </w:p>
        </w:tc>
        <w:tc>
          <w:tcPr>
            <w:tcW w:w="2132"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Microsoft JhengHei" w:cs="Times New Roman"/>
                <w:color w:val="000000"/>
                <w:kern w:val="0"/>
                <w:sz w:val="22"/>
                <w:szCs w:val="22"/>
              </w:rPr>
              <w:t>淨利潤值</w:t>
            </w:r>
            <w:r>
              <w:rPr>
                <w:rFonts w:ascii="Times New Roman" w:hAnsi="Times New Roman" w:eastAsia="Times New Roman" w:cs="Times New Roman"/>
                <w:color w:val="000000"/>
                <w:kern w:val="0"/>
                <w:sz w:val="22"/>
                <w:szCs w:val="22"/>
              </w:rPr>
              <w:t xml:space="preserve"> PROFIT</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(8,843)</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(8,843)</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(8,843)</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(8,843)</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605.4</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(8,238)</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577.6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164</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651.9</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(7,586)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593.5</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210</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3</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702.5</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(6,883)</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610.2</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261</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757.5</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(6,126)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627.7</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316</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817.2</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(5,308)</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646.2</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375</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837.7</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(4,471)</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631.9</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384.7</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7</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858.6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(3,612)</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618.0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394.3</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880.1</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(2,732)</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604.4</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404.2</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9</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902.1</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(1,830)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591.0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414.3</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924.6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(905)</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578.0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424.7</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11</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947.7</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42</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565.3</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435.3</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12</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971.4</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1,014</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552.8</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446.2</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13</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995.7</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2,010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540.6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457.3</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14</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1,020.6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3,030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528.7</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468.7</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15</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1,046.1</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4,076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517.1</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480.5</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1,072.3</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5,149</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505.7</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492.5</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17</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1,099.1</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6,248</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494.5</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504.8</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18</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1,126.6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7,374</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483.6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517.4</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19</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1,154.7</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8,529</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473.0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530.3</w:t>
            </w:r>
          </w:p>
        </w:tc>
      </w:tr>
      <w:tr>
        <w:trPr>
          <w:gridBefore w:val="1"/>
          <w:wBefore w:w="725" w:type="dxa"/>
          <w:trHeight w:val="54" w:hRule="atLeast"/>
          <w:jc w:val="center"/>
        </w:trPr>
        <w:tc>
          <w:tcPr>
            <w:tcW w:w="1034" w:type="dxa"/>
            <w:shd w:val="clear" w:color="auto" w:fill="auto"/>
            <w:noWrap/>
            <w:vAlign w:val="center"/>
          </w:tcPr>
          <w:p>
            <w:pPr>
              <w:widowControl/>
              <w:rPr>
                <w:rFonts w:ascii="Times New Roman" w:hAnsi="Times New Roman" w:eastAsia="Times New Roman" w:cs="Times New Roman"/>
                <w:color w:val="000000"/>
                <w:kern w:val="0"/>
                <w:sz w:val="22"/>
                <w:szCs w:val="22"/>
              </w:rPr>
            </w:pPr>
            <w:bookmarkStart w:id="46" w:name="_Hlk175676662"/>
            <w:r>
              <w:rPr>
                <w:rFonts w:ascii="Times New Roman" w:hAnsi="Times New Roman" w:eastAsia="Times New Roman" w:cs="Times New Roman"/>
                <w:color w:val="000000"/>
                <w:kern w:val="0"/>
                <w:sz w:val="22"/>
                <w:szCs w:val="22"/>
              </w:rPr>
              <w:t>20</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1,183.6</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9,713</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462.5</w:t>
            </w:r>
          </w:p>
        </w:tc>
        <w:tc>
          <w:tcPr>
            <w:tcW w:w="2132" w:type="dxa"/>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543.6</w:t>
            </w:r>
          </w:p>
        </w:tc>
      </w:tr>
      <w:bookmarkEnd w:id="46"/>
      <w:tr>
        <w:trPr>
          <w:gridBefore w:val="1"/>
          <w:wBefore w:w="725" w:type="dxa"/>
          <w:trHeight w:val="109" w:hRule="atLeast"/>
          <w:jc w:val="center"/>
        </w:trPr>
        <w:tc>
          <w:tcPr>
            <w:tcW w:w="1034" w:type="dxa"/>
            <w:tcBorders>
              <w:top w:val="single" w:color="auto" w:sz="4" w:space="0"/>
              <w:left w:val="single" w:color="auto" w:sz="4" w:space="0"/>
              <w:bottom w:val="single" w:color="auto" w:sz="4" w:space="0"/>
              <w:right w:val="single" w:color="auto" w:sz="4" w:space="0"/>
            </w:tcBorders>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21</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1,213.2</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10,926</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452.3</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557.2</w:t>
            </w:r>
          </w:p>
        </w:tc>
      </w:tr>
      <w:tr>
        <w:trPr>
          <w:gridBefore w:val="1"/>
          <w:wBefore w:w="725" w:type="dxa"/>
          <w:trHeight w:val="54" w:hRule="atLeast"/>
          <w:jc w:val="center"/>
        </w:trPr>
        <w:tc>
          <w:tcPr>
            <w:tcW w:w="1034" w:type="dxa"/>
            <w:tcBorders>
              <w:top w:val="single" w:color="auto" w:sz="4" w:space="0"/>
              <w:left w:val="single" w:color="auto" w:sz="4" w:space="0"/>
              <w:bottom w:val="single" w:color="auto" w:sz="4" w:space="0"/>
              <w:right w:val="single" w:color="auto" w:sz="4" w:space="0"/>
            </w:tcBorders>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22</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1,243.5</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12,169</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442.4</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571.1</w:t>
            </w:r>
          </w:p>
        </w:tc>
      </w:tr>
      <w:tr>
        <w:trPr>
          <w:gridBefore w:val="1"/>
          <w:wBefore w:w="725" w:type="dxa"/>
          <w:trHeight w:val="54" w:hRule="atLeast"/>
          <w:jc w:val="center"/>
        </w:trPr>
        <w:tc>
          <w:tcPr>
            <w:tcW w:w="1034" w:type="dxa"/>
            <w:tcBorders>
              <w:top w:val="single" w:color="auto" w:sz="4" w:space="0"/>
              <w:left w:val="single" w:color="auto" w:sz="4" w:space="0"/>
              <w:bottom w:val="single" w:color="auto" w:sz="4" w:space="0"/>
              <w:right w:val="single" w:color="auto" w:sz="4" w:space="0"/>
            </w:tcBorders>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23</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1,274.6</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13,444</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432.6</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585.4</w:t>
            </w:r>
          </w:p>
        </w:tc>
      </w:tr>
      <w:tr>
        <w:trPr>
          <w:gridBefore w:val="1"/>
          <w:wBefore w:w="725" w:type="dxa"/>
          <w:trHeight w:val="54" w:hRule="atLeast"/>
          <w:jc w:val="center"/>
        </w:trPr>
        <w:tc>
          <w:tcPr>
            <w:tcW w:w="1034" w:type="dxa"/>
            <w:tcBorders>
              <w:top w:val="single" w:color="auto" w:sz="4" w:space="0"/>
              <w:left w:val="single" w:color="auto" w:sz="4" w:space="0"/>
              <w:bottom w:val="single" w:color="auto" w:sz="4" w:space="0"/>
              <w:right w:val="single" w:color="auto" w:sz="4" w:space="0"/>
            </w:tcBorders>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24</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1,306.5</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14,750</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423.1</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600.0</w:t>
            </w:r>
          </w:p>
        </w:tc>
      </w:tr>
      <w:tr>
        <w:trPr>
          <w:gridBefore w:val="1"/>
          <w:wBefore w:w="725" w:type="dxa"/>
          <w:trHeight w:val="79" w:hRule="atLeast"/>
          <w:jc w:val="center"/>
        </w:trPr>
        <w:tc>
          <w:tcPr>
            <w:tcW w:w="1034" w:type="dxa"/>
            <w:tcBorders>
              <w:top w:val="single" w:color="auto" w:sz="4" w:space="0"/>
              <w:left w:val="single" w:color="auto" w:sz="4" w:space="0"/>
              <w:bottom w:val="single" w:color="auto" w:sz="4" w:space="0"/>
              <w:right w:val="single" w:color="auto" w:sz="4" w:space="0"/>
            </w:tcBorders>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25</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1,339.1</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16,090</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413.8</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615.0</w:t>
            </w:r>
          </w:p>
        </w:tc>
      </w:tr>
      <w:tr>
        <w:trPr>
          <w:trHeight w:val="79" w:hRule="atLeast"/>
          <w:jc w:val="center"/>
        </w:trPr>
        <w:tc>
          <w:tcPr>
            <w:tcW w:w="1759" w:type="dxa"/>
            <w:gridSpan w:val="2"/>
            <w:tcBorders>
              <w:top w:val="single" w:color="auto" w:sz="4" w:space="0"/>
              <w:left w:val="single" w:color="auto" w:sz="4" w:space="0"/>
              <w:bottom w:val="single" w:color="auto" w:sz="4" w:space="0"/>
              <w:right w:val="single" w:color="auto" w:sz="4" w:space="0"/>
            </w:tcBorders>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Total</w:t>
            </w:r>
            <w:r>
              <w:rPr>
                <w:rFonts w:hint="default" w:ascii="Times New Roman" w:hAnsi="Times New Roman" w:eastAsia="Times New Roman" w:cs="Times New Roman"/>
                <w:color w:val="000000"/>
                <w:kern w:val="0"/>
                <w:sz w:val="22"/>
                <w:szCs w:val="22"/>
                <w:lang w:val="en-US"/>
              </w:rPr>
              <w:t xml:space="preserve"> </w:t>
            </w:r>
            <w:r>
              <w:rPr>
                <w:rFonts w:ascii="Times New Roman" w:hAnsi="Times New Roman" w:eastAsia="Times New Roman" w:cs="Times New Roman"/>
                <w:color w:val="000000"/>
                <w:kern w:val="0"/>
                <w:sz w:val="22"/>
                <w:szCs w:val="22"/>
              </w:rPr>
              <w:t>(From Year 0 to Year 20)</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                             16,089.5 </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                               58,029.1 </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              4,523.5 </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                2,309.6 </w:t>
            </w:r>
          </w:p>
        </w:tc>
      </w:tr>
      <w:tr>
        <w:trPr>
          <w:trHeight w:val="79" w:hRule="atLeast"/>
          <w:jc w:val="center"/>
        </w:trPr>
        <w:tc>
          <w:tcPr>
            <w:tcW w:w="1759" w:type="dxa"/>
            <w:gridSpan w:val="2"/>
            <w:tcBorders>
              <w:top w:val="single" w:color="auto" w:sz="4" w:space="0"/>
              <w:left w:val="single" w:color="auto" w:sz="4" w:space="0"/>
              <w:bottom w:val="single" w:color="auto" w:sz="4" w:space="0"/>
              <w:right w:val="single" w:color="auto" w:sz="4" w:space="0"/>
            </w:tcBorders>
            <w:shd w:val="clear" w:color="auto" w:fill="auto"/>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Total (From Year 1 to Year 20)</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                             24,932.5 </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                               66,872.1 </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            13,366.5 </w:t>
            </w:r>
          </w:p>
        </w:tc>
        <w:tc>
          <w:tcPr>
            <w:tcW w:w="2132" w:type="dxa"/>
            <w:tcBorders>
              <w:top w:val="single" w:color="auto" w:sz="4" w:space="0"/>
              <w:left w:val="single" w:color="auto" w:sz="4" w:space="0"/>
              <w:bottom w:val="single" w:color="auto" w:sz="4" w:space="0"/>
              <w:right w:val="single" w:color="auto" w:sz="4" w:space="0"/>
            </w:tcBorders>
            <w:shd w:val="clear" w:color="000000" w:fill="EBF1DE"/>
            <w:noWrap/>
            <w:vAlign w:val="center"/>
          </w:tcPr>
          <w:p>
            <w:pPr>
              <w:widowControl/>
              <w:rPr>
                <w:rFonts w:ascii="Times New Roman" w:hAnsi="Times New Roman" w:eastAsia="Times New Roman" w:cs="Times New Roman"/>
                <w:color w:val="000000"/>
                <w:kern w:val="0"/>
                <w:sz w:val="22"/>
                <w:szCs w:val="22"/>
              </w:rPr>
            </w:pPr>
            <w:r>
              <w:rPr>
                <w:rFonts w:ascii="Times New Roman" w:hAnsi="Times New Roman" w:eastAsia="Times New Roman" w:cs="Times New Roman"/>
                <w:color w:val="000000"/>
                <w:kern w:val="0"/>
                <w:sz w:val="22"/>
                <w:szCs w:val="22"/>
              </w:rPr>
              <w:t xml:space="preserve">              11,152.6 </w:t>
            </w:r>
          </w:p>
        </w:tc>
      </w:tr>
    </w:tbl>
    <w:p>
      <w:pPr>
        <w:tabs>
          <w:tab w:val="left" w:pos="2206"/>
        </w:tabs>
        <w:rPr>
          <w:rFonts w:ascii="Times New Roman" w:hAnsi="Times New Roman" w:cs="Times New Roman"/>
          <w:sz w:val="22"/>
          <w:szCs w:val="22"/>
          <w:u w:val="single"/>
        </w:rPr>
      </w:pPr>
    </w:p>
    <w:sectPr>
      <w:footerReference r:id="rId5" w:type="first"/>
      <w:footerReference r:id="rId4" w:type="default"/>
      <w:pgSz w:w="11906" w:h="16838"/>
      <w:pgMar w:top="1440" w:right="1440" w:bottom="1440" w:left="1440" w:header="850" w:footer="994" w:gutter="0"/>
      <w:pgNumType w:start="1"/>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汉仪书宋二KW"/>
    <w:panose1 w:val="00000000000000000000"/>
    <w:charset w:val="86"/>
    <w:family w:val="auto"/>
    <w:pitch w:val="default"/>
    <w:sig w:usb0="00000000" w:usb1="00000000" w:usb2="00000000" w:usb3="00000000" w:csb0="00000000" w:csb1="00000000"/>
  </w:font>
  <w:font w:name="新細明體">
    <w:altName w:val="宋体-繁"/>
    <w:panose1 w:val="02020500000000000000"/>
    <w:charset w:val="86"/>
    <w:family w:val="roman"/>
    <w:pitch w:val="default"/>
    <w:sig w:usb0="A00002FF" w:usb1="28CFFCFA" w:usb2="00000016" w:usb3="00000000" w:csb0="00100001" w:csb1="00000000"/>
  </w:font>
  <w:font w:name="Arial">
    <w:panose1 w:val="020B0604020202090204"/>
    <w:charset w:val="00"/>
    <w:family w:val="swiss"/>
    <w:pitch w:val="default"/>
    <w:sig w:usb0="E0000AFF" w:usb1="00007843" w:usb2="00000001" w:usb3="00000000" w:csb0="400001BF" w:csb1="DFF7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細明體">
    <w:altName w:val="苹方-简"/>
    <w:panose1 w:val="02020509000000000000"/>
    <w:charset w:val="00"/>
    <w:family w:val="modern"/>
    <w:pitch w:val="default"/>
    <w:sig w:usb0="A00002FF" w:usb1="28CFFCFA" w:usb2="00000016" w:usb3="00000000" w:csb0="00100001" w:csb1="00000000"/>
  </w:font>
  <w:font w:name="Calibri">
    <w:altName w:val="Helvetica Neue"/>
    <w:panose1 w:val="020F0502020204030204"/>
    <w:charset w:val="00"/>
    <w:family w:val="swiss"/>
    <w:pitch w:val="default"/>
    <w:sig w:usb0="00000000" w:usb1="00000000" w:usb2="00000001" w:usb3="00000000" w:csb0="0000019F" w:csb1="00000000"/>
  </w:font>
  <w:font w:name="新細明體">
    <w:altName w:val="宋体-繁"/>
    <w:panose1 w:val="00000000000000000000"/>
    <w:charset w:val="86"/>
    <w:family w:val="auto"/>
    <w:pitch w:val="default"/>
    <w:sig w:usb0="00000000" w:usb1="00000000" w:usb2="00000000" w:usb3="00000000" w:csb0="00000000" w:csb1="00000000"/>
  </w:font>
  <w:font w:name="新細明體">
    <w:altName w:val="宋体-繁"/>
    <w:panose1 w:val="00000000000000000000"/>
    <w:charset w:val="00"/>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Carlsberg Sans">
    <w:altName w:val="苹方-简"/>
    <w:panose1 w:val="00000000000000000000"/>
    <w:charset w:val="00"/>
    <w:family w:val="swiss"/>
    <w:pitch w:val="default"/>
    <w:sig w:usb0="00000000" w:usb1="00000000" w:usb2="00000000" w:usb3="00000000" w:csb0="00000001" w:csb1="00000000"/>
  </w:font>
  <w:font w:name="Symbol">
    <w:altName w:val="Kingsoft Sign"/>
    <w:panose1 w:val="05050102010706020507"/>
    <w:charset w:val="02"/>
    <w:family w:val="roman"/>
    <w:pitch w:val="default"/>
    <w:sig w:usb0="00000000" w:usb1="00000000" w:usb2="00000000" w:usb3="00000000" w:csb0="80000000" w:csb1="00000000"/>
  </w:font>
  <w:font w:name="Microsoft JhengHei">
    <w:altName w:val="汉仪中简黑简"/>
    <w:panose1 w:val="020B0604030504040204"/>
    <w:charset w:val="88"/>
    <w:family w:val="swiss"/>
    <w:pitch w:val="default"/>
    <w:sig w:usb0="00000000" w:usb1="00000000" w:usb2="00000016" w:usb3="00000000" w:csb0="00100009"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冬青黑體簡體中文">
    <w:panose1 w:val="020B0300000000000000"/>
    <w:charset w:val="86"/>
    <w:family w:val="auto"/>
    <w:pitch w:val="default"/>
    <w:sig w:usb0="A00002BF" w:usb1="1ACF7CFA" w:usb2="00000016" w:usb3="00000000" w:csb0="00060007" w:csb1="00000000"/>
  </w:font>
  <w:font w:name="宋体-繁">
    <w:panose1 w:val="02010600040101010101"/>
    <w:charset w:val="86"/>
    <w:family w:val="auto"/>
    <w:pitch w:val="default"/>
    <w:sig w:usb0="00000287" w:usb1="080F0000" w:usb2="00000000" w:usb3="00000000" w:csb0="0004009F" w:csb1="DFD70000"/>
  </w:font>
  <w:font w:name="Kingsoft Sign">
    <w:panose1 w:val="05050102010706020507"/>
    <w:charset w:val="00"/>
    <w:family w:val="auto"/>
    <w:pitch w:val="default"/>
    <w:sig w:usb0="00000000" w:usb1="10000000" w:usb2="00000000" w:usb3="00000000" w:csb0="00000001" w:csb1="00000000"/>
  </w:font>
  <w:font w:name="汉仪中简黑简">
    <w:panose1 w:val="00020600040101010101"/>
    <w:charset w:val="86"/>
    <w:family w:val="auto"/>
    <w:pitch w:val="default"/>
    <w:sig w:usb0="A00002BF" w:usb1="18EF7CFA" w:usb2="00000016" w:usb3="00000000" w:csb0="00040000" w:csb1="00000000"/>
  </w:font>
  <w:font w:name="宋体-简">
    <w:panose1 w:val="02010800040101010101"/>
    <w:charset w:val="86"/>
    <w:family w:val="auto"/>
    <w:pitch w:val="default"/>
    <w:sig w:usb0="00000001" w:usb1="080F0000" w:usb2="00000000" w:usb3="00000000" w:csb0="00040000" w:csb1="00000000"/>
  </w:font>
  <w:font w:name="苹方-简">
    <w:panose1 w:val="020B0400000000000000"/>
    <w:charset w:val="86"/>
    <w:family w:val="auto"/>
    <w:pitch w:val="default"/>
    <w:sig w:usb0="A00002FF" w:usb1="7ACFFDFB" w:usb2="00000017" w:usb3="00000000" w:csb0="00040001" w:csb1="00000000"/>
  </w:font>
  <w:font w:name="Times New Roman Regular">
    <w:panose1 w:val="02020503050405090304"/>
    <w:charset w:val="00"/>
    <w:family w:val="auto"/>
    <w:pitch w:val="default"/>
    <w:sig w:usb0="E0000AFF" w:usb1="00007843" w:usb2="00000001" w:usb3="00000000" w:csb0="400001BF" w:csb1="DFF70000"/>
  </w:font>
  <w:font w:name="Times New Roman Bold">
    <w:panose1 w:val="02020503050405090304"/>
    <w:charset w:val="00"/>
    <w:family w:val="auto"/>
    <w:pitch w:val="default"/>
    <w:sig w:usb0="E0000AFF" w:usb1="00007843" w:usb2="00000001" w:usb3="00000000" w:csb0="400001BF" w:csb1="DFF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jc w:val="right"/>
    </w:pPr>
  </w:p>
  <w:p>
    <w:pPr>
      <w:pStyle w:val="1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34693802"/>
      <w:docPartObj>
        <w:docPartGallery w:val="AutoText"/>
      </w:docPartObj>
    </w:sdtPr>
    <w:sdtContent>
      <w:p>
        <w:pPr>
          <w:pStyle w:val="10"/>
          <w:jc w:val="right"/>
        </w:pPr>
        <w:r>
          <w:fldChar w:fldCharType="begin"/>
        </w:r>
        <w:r>
          <w:instrText xml:space="preserve"> PAGE   \* MERGEFORMAT </w:instrText>
        </w:r>
        <w:r>
          <w:fldChar w:fldCharType="separate"/>
        </w:r>
        <w:r>
          <w:t>2</w:t>
        </w:r>
        <w:r>
          <w:fldChar w:fldCharType="end"/>
        </w:r>
      </w:p>
    </w:sdtContent>
  </w:sdt>
  <w:p>
    <w:pPr>
      <w:pStyle w:val="10"/>
      <w:jc w:val="righ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05429296"/>
      <w:docPartObj>
        <w:docPartGallery w:val="AutoText"/>
      </w:docPartObj>
    </w:sdtPr>
    <w:sdtContent>
      <w:p>
        <w:pPr>
          <w:pStyle w:val="10"/>
          <w:jc w:val="right"/>
        </w:pPr>
        <w:r>
          <w:fldChar w:fldCharType="begin"/>
        </w:r>
        <w:r>
          <w:instrText xml:space="preserve"> PAGE   \* MERGEFORMAT </w:instrText>
        </w:r>
        <w:r>
          <w:fldChar w:fldCharType="separate"/>
        </w:r>
        <w:r>
          <w:t>2</w:t>
        </w:r>
        <w:r>
          <w:fldChar w:fldCharType="end"/>
        </w:r>
      </w:p>
    </w:sdtContent>
  </w:sdt>
  <w:p>
    <w:pPr>
      <w:pStyle w:val="10"/>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0AE6A40"/>
    <w:multiLevelType w:val="multilevel"/>
    <w:tmpl w:val="50AE6A40"/>
    <w:lvl w:ilvl="0" w:tentative="0">
      <w:start w:val="1"/>
      <w:numFmt w:val="decimal"/>
      <w:lvlText w:val="%1."/>
      <w:lvlJc w:val="left"/>
      <w:pPr>
        <w:ind w:left="720" w:hanging="720"/>
      </w:pPr>
      <w:rPr>
        <w:rFonts w:hint="default"/>
        <w:b/>
      </w:rPr>
    </w:lvl>
    <w:lvl w:ilvl="1" w:tentative="0">
      <w:start w:val="1"/>
      <w:numFmt w:val="decimal"/>
      <w:isLgl/>
      <w:lvlText w:val="%1.%2"/>
      <w:lvlJc w:val="left"/>
      <w:pPr>
        <w:ind w:left="360" w:hanging="36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bullet"/>
      <w:lvlText w:val=""/>
      <w:lvlJc w:val="left"/>
      <w:pPr>
        <w:ind w:left="360" w:hanging="360"/>
      </w:pPr>
      <w:rPr>
        <w:rFonts w:hint="default" w:ascii="Symbol" w:hAnsi="Symbol"/>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440" w:hanging="1440"/>
      </w:pPr>
      <w:rPr>
        <w:rFonts w:hint="default"/>
      </w:rPr>
    </w:lvl>
  </w:abstractNum>
  <w:abstractNum w:abstractNumId="1">
    <w:nsid w:val="5CF32092"/>
    <w:multiLevelType w:val="multilevel"/>
    <w:tmpl w:val="5CF32092"/>
    <w:lvl w:ilvl="0" w:tentative="0">
      <w:start w:val="1"/>
      <w:numFmt w:val="upperLetter"/>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36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70830F3C"/>
    <w:multiLevelType w:val="multilevel"/>
    <w:tmpl w:val="70830F3C"/>
    <w:lvl w:ilvl="0" w:tentative="0">
      <w:start w:val="6"/>
      <w:numFmt w:val="decimal"/>
      <w:lvlText w:val="%1."/>
      <w:lvlJc w:val="left"/>
      <w:pPr>
        <w:ind w:left="720" w:hanging="720"/>
      </w:pPr>
      <w:rPr>
        <w:rFonts w:hint="default"/>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3">
    <w:nsid w:val="7298726B"/>
    <w:multiLevelType w:val="multilevel"/>
    <w:tmpl w:val="7298726B"/>
    <w:lvl w:ilvl="0" w:tentative="0">
      <w:start w:val="1"/>
      <w:numFmt w:val="upperRoman"/>
      <w:lvlText w:val="%1."/>
      <w:lvlJc w:val="left"/>
      <w:pPr>
        <w:ind w:left="1080" w:hanging="72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87"/>
  <w:embedSystemFonts/>
  <w:documentProtection w:enforcement="0"/>
  <w:defaultTabStop w:val="420"/>
  <w:drawingGridHorizontalSpacing w:val="105"/>
  <w:drawingGridVerticalSpacing w:val="156"/>
  <w:displayHorizontalDrawingGridEvery w:val="2"/>
  <w:displayVerticalDrawingGridEvery w:val="2"/>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BF31A5"/>
    <w:rsid w:val="00004977"/>
    <w:rsid w:val="000076E7"/>
    <w:rsid w:val="0000788F"/>
    <w:rsid w:val="00014506"/>
    <w:rsid w:val="000201F0"/>
    <w:rsid w:val="00032C49"/>
    <w:rsid w:val="00036C6F"/>
    <w:rsid w:val="000439E5"/>
    <w:rsid w:val="00043ECD"/>
    <w:rsid w:val="00056B9B"/>
    <w:rsid w:val="00065299"/>
    <w:rsid w:val="00065CE9"/>
    <w:rsid w:val="000673C7"/>
    <w:rsid w:val="00076C19"/>
    <w:rsid w:val="00084A94"/>
    <w:rsid w:val="00085A46"/>
    <w:rsid w:val="00085AF1"/>
    <w:rsid w:val="00087890"/>
    <w:rsid w:val="000933DB"/>
    <w:rsid w:val="000934A4"/>
    <w:rsid w:val="000939D5"/>
    <w:rsid w:val="00097EA5"/>
    <w:rsid w:val="000A08A7"/>
    <w:rsid w:val="000A2652"/>
    <w:rsid w:val="000A2AB2"/>
    <w:rsid w:val="000A4E2F"/>
    <w:rsid w:val="000B2EC4"/>
    <w:rsid w:val="000C08DA"/>
    <w:rsid w:val="000C179A"/>
    <w:rsid w:val="000C21BD"/>
    <w:rsid w:val="000C34F2"/>
    <w:rsid w:val="000C4BD6"/>
    <w:rsid w:val="000C6318"/>
    <w:rsid w:val="000D2BE4"/>
    <w:rsid w:val="000E702E"/>
    <w:rsid w:val="00100995"/>
    <w:rsid w:val="00105B7A"/>
    <w:rsid w:val="00110560"/>
    <w:rsid w:val="001201B9"/>
    <w:rsid w:val="00126E14"/>
    <w:rsid w:val="001275C8"/>
    <w:rsid w:val="0013738C"/>
    <w:rsid w:val="00140E6B"/>
    <w:rsid w:val="00154613"/>
    <w:rsid w:val="00157696"/>
    <w:rsid w:val="00160A77"/>
    <w:rsid w:val="001618CF"/>
    <w:rsid w:val="00162CD6"/>
    <w:rsid w:val="001737B6"/>
    <w:rsid w:val="00183AD4"/>
    <w:rsid w:val="00190815"/>
    <w:rsid w:val="00193D19"/>
    <w:rsid w:val="00197BBF"/>
    <w:rsid w:val="001A3039"/>
    <w:rsid w:val="001A443E"/>
    <w:rsid w:val="001A49C1"/>
    <w:rsid w:val="001A7A2F"/>
    <w:rsid w:val="001B45DF"/>
    <w:rsid w:val="001B5046"/>
    <w:rsid w:val="001C1452"/>
    <w:rsid w:val="001C28C6"/>
    <w:rsid w:val="001C56F8"/>
    <w:rsid w:val="001C6B29"/>
    <w:rsid w:val="001C7A24"/>
    <w:rsid w:val="001D07E7"/>
    <w:rsid w:val="001D2E31"/>
    <w:rsid w:val="001E69CF"/>
    <w:rsid w:val="001F28F6"/>
    <w:rsid w:val="001F2A0D"/>
    <w:rsid w:val="00207B1D"/>
    <w:rsid w:val="002127D0"/>
    <w:rsid w:val="00213802"/>
    <w:rsid w:val="00220A36"/>
    <w:rsid w:val="00227A3F"/>
    <w:rsid w:val="00236D4B"/>
    <w:rsid w:val="00236D6C"/>
    <w:rsid w:val="00237AB1"/>
    <w:rsid w:val="00237AF9"/>
    <w:rsid w:val="00251303"/>
    <w:rsid w:val="00252B38"/>
    <w:rsid w:val="0025359E"/>
    <w:rsid w:val="002561ED"/>
    <w:rsid w:val="00256CE5"/>
    <w:rsid w:val="00256FBA"/>
    <w:rsid w:val="00262FF7"/>
    <w:rsid w:val="0027063B"/>
    <w:rsid w:val="00274E5F"/>
    <w:rsid w:val="0027566C"/>
    <w:rsid w:val="00276CCB"/>
    <w:rsid w:val="00277C8D"/>
    <w:rsid w:val="002856DB"/>
    <w:rsid w:val="002903DE"/>
    <w:rsid w:val="002927CB"/>
    <w:rsid w:val="002930C1"/>
    <w:rsid w:val="002A1EB2"/>
    <w:rsid w:val="002A2B66"/>
    <w:rsid w:val="002A4913"/>
    <w:rsid w:val="002A587C"/>
    <w:rsid w:val="002A7454"/>
    <w:rsid w:val="002B2992"/>
    <w:rsid w:val="002B3E5D"/>
    <w:rsid w:val="002B5A54"/>
    <w:rsid w:val="002B763C"/>
    <w:rsid w:val="002C3572"/>
    <w:rsid w:val="002C595E"/>
    <w:rsid w:val="002E23E1"/>
    <w:rsid w:val="002E41EF"/>
    <w:rsid w:val="002E6C33"/>
    <w:rsid w:val="002F4239"/>
    <w:rsid w:val="002F51C6"/>
    <w:rsid w:val="0030305D"/>
    <w:rsid w:val="00303BB7"/>
    <w:rsid w:val="00312866"/>
    <w:rsid w:val="003218FC"/>
    <w:rsid w:val="00331021"/>
    <w:rsid w:val="00333197"/>
    <w:rsid w:val="00340EEF"/>
    <w:rsid w:val="00346906"/>
    <w:rsid w:val="00350058"/>
    <w:rsid w:val="00354333"/>
    <w:rsid w:val="003561B5"/>
    <w:rsid w:val="00356F36"/>
    <w:rsid w:val="00363D85"/>
    <w:rsid w:val="00364483"/>
    <w:rsid w:val="003711C5"/>
    <w:rsid w:val="00375A95"/>
    <w:rsid w:val="00390170"/>
    <w:rsid w:val="003943F9"/>
    <w:rsid w:val="00395413"/>
    <w:rsid w:val="003A05C2"/>
    <w:rsid w:val="003A0AD9"/>
    <w:rsid w:val="003A2B4A"/>
    <w:rsid w:val="003A4ACA"/>
    <w:rsid w:val="003A5193"/>
    <w:rsid w:val="003A6FAE"/>
    <w:rsid w:val="003B3971"/>
    <w:rsid w:val="003B422A"/>
    <w:rsid w:val="003B4653"/>
    <w:rsid w:val="003B6325"/>
    <w:rsid w:val="003C6AD6"/>
    <w:rsid w:val="003D0C04"/>
    <w:rsid w:val="003E3999"/>
    <w:rsid w:val="003F3D5B"/>
    <w:rsid w:val="003F5BB3"/>
    <w:rsid w:val="003F6656"/>
    <w:rsid w:val="00410A62"/>
    <w:rsid w:val="00411356"/>
    <w:rsid w:val="0041649B"/>
    <w:rsid w:val="004240F1"/>
    <w:rsid w:val="004268B4"/>
    <w:rsid w:val="00442692"/>
    <w:rsid w:val="004441BE"/>
    <w:rsid w:val="00444FF5"/>
    <w:rsid w:val="0044623F"/>
    <w:rsid w:val="00450C54"/>
    <w:rsid w:val="0046297D"/>
    <w:rsid w:val="00463354"/>
    <w:rsid w:val="00464202"/>
    <w:rsid w:val="00465CD3"/>
    <w:rsid w:val="004677A1"/>
    <w:rsid w:val="004740CD"/>
    <w:rsid w:val="00477A80"/>
    <w:rsid w:val="00491C56"/>
    <w:rsid w:val="004A0755"/>
    <w:rsid w:val="004A2138"/>
    <w:rsid w:val="004A24B2"/>
    <w:rsid w:val="004A4631"/>
    <w:rsid w:val="004B0D16"/>
    <w:rsid w:val="004B6C77"/>
    <w:rsid w:val="004C52C9"/>
    <w:rsid w:val="004C52CD"/>
    <w:rsid w:val="004D0EBA"/>
    <w:rsid w:val="004D2055"/>
    <w:rsid w:val="004E10B9"/>
    <w:rsid w:val="004E38DC"/>
    <w:rsid w:val="004E4412"/>
    <w:rsid w:val="004F57D5"/>
    <w:rsid w:val="00503FE6"/>
    <w:rsid w:val="005154C0"/>
    <w:rsid w:val="00517447"/>
    <w:rsid w:val="0051767A"/>
    <w:rsid w:val="0052158C"/>
    <w:rsid w:val="00522BED"/>
    <w:rsid w:val="005251FD"/>
    <w:rsid w:val="00527A89"/>
    <w:rsid w:val="00532F4E"/>
    <w:rsid w:val="005350C1"/>
    <w:rsid w:val="00535ADE"/>
    <w:rsid w:val="00541393"/>
    <w:rsid w:val="00543C7E"/>
    <w:rsid w:val="00552E0B"/>
    <w:rsid w:val="00564638"/>
    <w:rsid w:val="00565070"/>
    <w:rsid w:val="00572DC3"/>
    <w:rsid w:val="00573C2F"/>
    <w:rsid w:val="0057438B"/>
    <w:rsid w:val="00577763"/>
    <w:rsid w:val="0058753E"/>
    <w:rsid w:val="00593AE5"/>
    <w:rsid w:val="00596884"/>
    <w:rsid w:val="00597C5A"/>
    <w:rsid w:val="005A25D1"/>
    <w:rsid w:val="005B1448"/>
    <w:rsid w:val="005B4AA4"/>
    <w:rsid w:val="005B6B0B"/>
    <w:rsid w:val="005C7A9A"/>
    <w:rsid w:val="005C7F9A"/>
    <w:rsid w:val="005D02CA"/>
    <w:rsid w:val="005D7C7A"/>
    <w:rsid w:val="005E2BFF"/>
    <w:rsid w:val="005E4231"/>
    <w:rsid w:val="005E6829"/>
    <w:rsid w:val="005E6DCF"/>
    <w:rsid w:val="005F109E"/>
    <w:rsid w:val="005F143D"/>
    <w:rsid w:val="00603C5A"/>
    <w:rsid w:val="006044B1"/>
    <w:rsid w:val="0060668B"/>
    <w:rsid w:val="00610914"/>
    <w:rsid w:val="00612253"/>
    <w:rsid w:val="00613636"/>
    <w:rsid w:val="0061495F"/>
    <w:rsid w:val="00622309"/>
    <w:rsid w:val="0063649C"/>
    <w:rsid w:val="0064058D"/>
    <w:rsid w:val="00642201"/>
    <w:rsid w:val="00642A67"/>
    <w:rsid w:val="00643713"/>
    <w:rsid w:val="00647E90"/>
    <w:rsid w:val="0065384B"/>
    <w:rsid w:val="006659AF"/>
    <w:rsid w:val="0067421E"/>
    <w:rsid w:val="00682F0F"/>
    <w:rsid w:val="006870CE"/>
    <w:rsid w:val="006937E8"/>
    <w:rsid w:val="00693C16"/>
    <w:rsid w:val="00696EB6"/>
    <w:rsid w:val="006A1EAD"/>
    <w:rsid w:val="006B428E"/>
    <w:rsid w:val="006C5AAD"/>
    <w:rsid w:val="006C64DD"/>
    <w:rsid w:val="006D280A"/>
    <w:rsid w:val="006D2F66"/>
    <w:rsid w:val="006E2949"/>
    <w:rsid w:val="006E6477"/>
    <w:rsid w:val="006F7878"/>
    <w:rsid w:val="00700132"/>
    <w:rsid w:val="0070253F"/>
    <w:rsid w:val="007034B6"/>
    <w:rsid w:val="007056F1"/>
    <w:rsid w:val="00721418"/>
    <w:rsid w:val="0072375C"/>
    <w:rsid w:val="0074036D"/>
    <w:rsid w:val="007429CE"/>
    <w:rsid w:val="007443EF"/>
    <w:rsid w:val="00753A79"/>
    <w:rsid w:val="00753A93"/>
    <w:rsid w:val="007541DD"/>
    <w:rsid w:val="00754621"/>
    <w:rsid w:val="0075676A"/>
    <w:rsid w:val="00757D6E"/>
    <w:rsid w:val="007609F6"/>
    <w:rsid w:val="007639E4"/>
    <w:rsid w:val="00771AC1"/>
    <w:rsid w:val="00773259"/>
    <w:rsid w:val="00785B04"/>
    <w:rsid w:val="00793A8E"/>
    <w:rsid w:val="007B0C16"/>
    <w:rsid w:val="007B1B8A"/>
    <w:rsid w:val="007B39FC"/>
    <w:rsid w:val="007B3DF3"/>
    <w:rsid w:val="007C4191"/>
    <w:rsid w:val="007D1BCD"/>
    <w:rsid w:val="007D3DD8"/>
    <w:rsid w:val="007E38B0"/>
    <w:rsid w:val="008006F6"/>
    <w:rsid w:val="00802A0E"/>
    <w:rsid w:val="008140D4"/>
    <w:rsid w:val="0081786F"/>
    <w:rsid w:val="0082186C"/>
    <w:rsid w:val="00824712"/>
    <w:rsid w:val="008319F7"/>
    <w:rsid w:val="008348DC"/>
    <w:rsid w:val="00841559"/>
    <w:rsid w:val="008417C2"/>
    <w:rsid w:val="00846605"/>
    <w:rsid w:val="008563E7"/>
    <w:rsid w:val="008653EC"/>
    <w:rsid w:val="00874B50"/>
    <w:rsid w:val="00884DE8"/>
    <w:rsid w:val="00885271"/>
    <w:rsid w:val="00885A8F"/>
    <w:rsid w:val="008866A2"/>
    <w:rsid w:val="00887AB9"/>
    <w:rsid w:val="008918CD"/>
    <w:rsid w:val="00893ADF"/>
    <w:rsid w:val="00897CCE"/>
    <w:rsid w:val="008A5FAF"/>
    <w:rsid w:val="008B09B4"/>
    <w:rsid w:val="008B28D0"/>
    <w:rsid w:val="008B55EB"/>
    <w:rsid w:val="008C067A"/>
    <w:rsid w:val="008D0555"/>
    <w:rsid w:val="008D4715"/>
    <w:rsid w:val="008D5F3C"/>
    <w:rsid w:val="008D73C2"/>
    <w:rsid w:val="008E3153"/>
    <w:rsid w:val="008F4F04"/>
    <w:rsid w:val="008F57EE"/>
    <w:rsid w:val="00900769"/>
    <w:rsid w:val="00912A19"/>
    <w:rsid w:val="0092561E"/>
    <w:rsid w:val="00925FBF"/>
    <w:rsid w:val="009264B9"/>
    <w:rsid w:val="00926E76"/>
    <w:rsid w:val="0093181A"/>
    <w:rsid w:val="0093288C"/>
    <w:rsid w:val="00933BED"/>
    <w:rsid w:val="009420B3"/>
    <w:rsid w:val="00942281"/>
    <w:rsid w:val="00944C89"/>
    <w:rsid w:val="00951C3A"/>
    <w:rsid w:val="009622DA"/>
    <w:rsid w:val="009624B8"/>
    <w:rsid w:val="009705C3"/>
    <w:rsid w:val="00973972"/>
    <w:rsid w:val="00974F28"/>
    <w:rsid w:val="00975141"/>
    <w:rsid w:val="00976078"/>
    <w:rsid w:val="00982A8A"/>
    <w:rsid w:val="00985C26"/>
    <w:rsid w:val="0099295D"/>
    <w:rsid w:val="00995175"/>
    <w:rsid w:val="00995F66"/>
    <w:rsid w:val="00996484"/>
    <w:rsid w:val="0099690C"/>
    <w:rsid w:val="009A2436"/>
    <w:rsid w:val="009A402B"/>
    <w:rsid w:val="009A4D78"/>
    <w:rsid w:val="009A5B08"/>
    <w:rsid w:val="009A70A5"/>
    <w:rsid w:val="009A70C0"/>
    <w:rsid w:val="009B245A"/>
    <w:rsid w:val="009B3335"/>
    <w:rsid w:val="009B4E52"/>
    <w:rsid w:val="009B6451"/>
    <w:rsid w:val="009B6B2C"/>
    <w:rsid w:val="009B737B"/>
    <w:rsid w:val="009C1088"/>
    <w:rsid w:val="009C3647"/>
    <w:rsid w:val="009D30A5"/>
    <w:rsid w:val="009D568C"/>
    <w:rsid w:val="009E03CB"/>
    <w:rsid w:val="009E4CF3"/>
    <w:rsid w:val="009E58AE"/>
    <w:rsid w:val="009E6165"/>
    <w:rsid w:val="009F113D"/>
    <w:rsid w:val="009F2116"/>
    <w:rsid w:val="009F2189"/>
    <w:rsid w:val="00A0155A"/>
    <w:rsid w:val="00A11675"/>
    <w:rsid w:val="00A13CB7"/>
    <w:rsid w:val="00A25D02"/>
    <w:rsid w:val="00A27764"/>
    <w:rsid w:val="00A27BED"/>
    <w:rsid w:val="00A3364E"/>
    <w:rsid w:val="00A37DA0"/>
    <w:rsid w:val="00A400A2"/>
    <w:rsid w:val="00A41BBA"/>
    <w:rsid w:val="00A428EB"/>
    <w:rsid w:val="00A43896"/>
    <w:rsid w:val="00A535CA"/>
    <w:rsid w:val="00A54043"/>
    <w:rsid w:val="00A55350"/>
    <w:rsid w:val="00A55651"/>
    <w:rsid w:val="00A55A43"/>
    <w:rsid w:val="00A61883"/>
    <w:rsid w:val="00A65B23"/>
    <w:rsid w:val="00A737A3"/>
    <w:rsid w:val="00A7795E"/>
    <w:rsid w:val="00AA3369"/>
    <w:rsid w:val="00AB71F0"/>
    <w:rsid w:val="00AC243D"/>
    <w:rsid w:val="00AC3C02"/>
    <w:rsid w:val="00AC42A4"/>
    <w:rsid w:val="00AC44D2"/>
    <w:rsid w:val="00AC46CD"/>
    <w:rsid w:val="00AD180F"/>
    <w:rsid w:val="00AD318C"/>
    <w:rsid w:val="00AD3EE5"/>
    <w:rsid w:val="00AD4AA8"/>
    <w:rsid w:val="00AD722F"/>
    <w:rsid w:val="00AE37D3"/>
    <w:rsid w:val="00AE55FF"/>
    <w:rsid w:val="00AE5964"/>
    <w:rsid w:val="00AE5E91"/>
    <w:rsid w:val="00AE603B"/>
    <w:rsid w:val="00AF4ABF"/>
    <w:rsid w:val="00AF6D95"/>
    <w:rsid w:val="00B05F0C"/>
    <w:rsid w:val="00B11F9F"/>
    <w:rsid w:val="00B24C64"/>
    <w:rsid w:val="00B24F02"/>
    <w:rsid w:val="00B3199E"/>
    <w:rsid w:val="00B3707D"/>
    <w:rsid w:val="00B53DB6"/>
    <w:rsid w:val="00B54AF2"/>
    <w:rsid w:val="00B61D3C"/>
    <w:rsid w:val="00B62357"/>
    <w:rsid w:val="00B7109F"/>
    <w:rsid w:val="00B7150B"/>
    <w:rsid w:val="00B808DC"/>
    <w:rsid w:val="00B83645"/>
    <w:rsid w:val="00B93588"/>
    <w:rsid w:val="00B93F06"/>
    <w:rsid w:val="00BA081E"/>
    <w:rsid w:val="00BA0EC9"/>
    <w:rsid w:val="00BA404F"/>
    <w:rsid w:val="00BA6F7A"/>
    <w:rsid w:val="00BB0340"/>
    <w:rsid w:val="00BB4916"/>
    <w:rsid w:val="00BB6836"/>
    <w:rsid w:val="00BC0482"/>
    <w:rsid w:val="00BC499D"/>
    <w:rsid w:val="00BC5902"/>
    <w:rsid w:val="00BC73D6"/>
    <w:rsid w:val="00BE1B0F"/>
    <w:rsid w:val="00BE4581"/>
    <w:rsid w:val="00BF02DE"/>
    <w:rsid w:val="00C05604"/>
    <w:rsid w:val="00C11964"/>
    <w:rsid w:val="00C152D9"/>
    <w:rsid w:val="00C3042D"/>
    <w:rsid w:val="00C32A26"/>
    <w:rsid w:val="00C32B58"/>
    <w:rsid w:val="00C3379A"/>
    <w:rsid w:val="00C42087"/>
    <w:rsid w:val="00C4608A"/>
    <w:rsid w:val="00C47289"/>
    <w:rsid w:val="00C5343C"/>
    <w:rsid w:val="00C60193"/>
    <w:rsid w:val="00C7142D"/>
    <w:rsid w:val="00C801CF"/>
    <w:rsid w:val="00C8467B"/>
    <w:rsid w:val="00C925E5"/>
    <w:rsid w:val="00CA01CC"/>
    <w:rsid w:val="00CA6721"/>
    <w:rsid w:val="00CB1C98"/>
    <w:rsid w:val="00CB2408"/>
    <w:rsid w:val="00CB3782"/>
    <w:rsid w:val="00CB427F"/>
    <w:rsid w:val="00CB43DA"/>
    <w:rsid w:val="00CC0D76"/>
    <w:rsid w:val="00CC6ADF"/>
    <w:rsid w:val="00CD245D"/>
    <w:rsid w:val="00CD3BFD"/>
    <w:rsid w:val="00CE0C9B"/>
    <w:rsid w:val="00CE3517"/>
    <w:rsid w:val="00CE5D4C"/>
    <w:rsid w:val="00CF7DC3"/>
    <w:rsid w:val="00D21C44"/>
    <w:rsid w:val="00D2385A"/>
    <w:rsid w:val="00D25E00"/>
    <w:rsid w:val="00D330EB"/>
    <w:rsid w:val="00D405BD"/>
    <w:rsid w:val="00D41D05"/>
    <w:rsid w:val="00D42A96"/>
    <w:rsid w:val="00D44C23"/>
    <w:rsid w:val="00D47E4A"/>
    <w:rsid w:val="00D54BB6"/>
    <w:rsid w:val="00D563E4"/>
    <w:rsid w:val="00D70638"/>
    <w:rsid w:val="00D80BD5"/>
    <w:rsid w:val="00D87A7A"/>
    <w:rsid w:val="00D927D8"/>
    <w:rsid w:val="00D93648"/>
    <w:rsid w:val="00D939CE"/>
    <w:rsid w:val="00D93E4B"/>
    <w:rsid w:val="00D94BD7"/>
    <w:rsid w:val="00DA03AE"/>
    <w:rsid w:val="00DA31E0"/>
    <w:rsid w:val="00DC3C98"/>
    <w:rsid w:val="00DC5006"/>
    <w:rsid w:val="00DC6C81"/>
    <w:rsid w:val="00DD0E91"/>
    <w:rsid w:val="00DD4A34"/>
    <w:rsid w:val="00DD59E7"/>
    <w:rsid w:val="00DE2462"/>
    <w:rsid w:val="00DE5F95"/>
    <w:rsid w:val="00DE6FF8"/>
    <w:rsid w:val="00DE78F3"/>
    <w:rsid w:val="00DF4836"/>
    <w:rsid w:val="00E00FF1"/>
    <w:rsid w:val="00E016F5"/>
    <w:rsid w:val="00E06537"/>
    <w:rsid w:val="00E10FB3"/>
    <w:rsid w:val="00E13534"/>
    <w:rsid w:val="00E15DFB"/>
    <w:rsid w:val="00E22816"/>
    <w:rsid w:val="00E23EF2"/>
    <w:rsid w:val="00E26E0C"/>
    <w:rsid w:val="00E34098"/>
    <w:rsid w:val="00E4550F"/>
    <w:rsid w:val="00E479A2"/>
    <w:rsid w:val="00E5367A"/>
    <w:rsid w:val="00E5428D"/>
    <w:rsid w:val="00E542B7"/>
    <w:rsid w:val="00E62848"/>
    <w:rsid w:val="00E64D26"/>
    <w:rsid w:val="00E83B0C"/>
    <w:rsid w:val="00E845D5"/>
    <w:rsid w:val="00E856FE"/>
    <w:rsid w:val="00E867B0"/>
    <w:rsid w:val="00E91099"/>
    <w:rsid w:val="00E910B1"/>
    <w:rsid w:val="00E912CC"/>
    <w:rsid w:val="00E9721E"/>
    <w:rsid w:val="00E97F85"/>
    <w:rsid w:val="00EA1ACA"/>
    <w:rsid w:val="00EA227D"/>
    <w:rsid w:val="00EA4791"/>
    <w:rsid w:val="00EA6624"/>
    <w:rsid w:val="00EB13C1"/>
    <w:rsid w:val="00EB5A1C"/>
    <w:rsid w:val="00EB6D62"/>
    <w:rsid w:val="00EB7455"/>
    <w:rsid w:val="00EC26CC"/>
    <w:rsid w:val="00EC3967"/>
    <w:rsid w:val="00EC3AD3"/>
    <w:rsid w:val="00ED2CF1"/>
    <w:rsid w:val="00ED2E6B"/>
    <w:rsid w:val="00EE00E8"/>
    <w:rsid w:val="00EE60AD"/>
    <w:rsid w:val="00EF00C1"/>
    <w:rsid w:val="00F00972"/>
    <w:rsid w:val="00F0290E"/>
    <w:rsid w:val="00F03A12"/>
    <w:rsid w:val="00F12057"/>
    <w:rsid w:val="00F12E26"/>
    <w:rsid w:val="00F13B91"/>
    <w:rsid w:val="00F169B9"/>
    <w:rsid w:val="00F2149E"/>
    <w:rsid w:val="00F2714F"/>
    <w:rsid w:val="00F363C1"/>
    <w:rsid w:val="00F47041"/>
    <w:rsid w:val="00F50045"/>
    <w:rsid w:val="00F51E2C"/>
    <w:rsid w:val="00F65472"/>
    <w:rsid w:val="00F71FE7"/>
    <w:rsid w:val="00F7200F"/>
    <w:rsid w:val="00F720E9"/>
    <w:rsid w:val="00F7282E"/>
    <w:rsid w:val="00F85F4B"/>
    <w:rsid w:val="00F86734"/>
    <w:rsid w:val="00F91EFA"/>
    <w:rsid w:val="00FA277E"/>
    <w:rsid w:val="00FB5DB9"/>
    <w:rsid w:val="00FC1009"/>
    <w:rsid w:val="00FC5234"/>
    <w:rsid w:val="00FC581E"/>
    <w:rsid w:val="00FD1619"/>
    <w:rsid w:val="00FD1AA6"/>
    <w:rsid w:val="00FE02F3"/>
    <w:rsid w:val="00FE1319"/>
    <w:rsid w:val="00FE2A3F"/>
    <w:rsid w:val="00FE2AE6"/>
    <w:rsid w:val="00FE71C0"/>
    <w:rsid w:val="00FF5086"/>
    <w:rsid w:val="00FF60C5"/>
    <w:rsid w:val="09972AFA"/>
    <w:rsid w:val="11D95855"/>
    <w:rsid w:val="14717A98"/>
    <w:rsid w:val="1DD41B28"/>
    <w:rsid w:val="20BA2989"/>
    <w:rsid w:val="21FDE1B4"/>
    <w:rsid w:val="2853026D"/>
    <w:rsid w:val="2FEF110B"/>
    <w:rsid w:val="33A3EDC1"/>
    <w:rsid w:val="37D9B780"/>
    <w:rsid w:val="3DE523FB"/>
    <w:rsid w:val="434C171D"/>
    <w:rsid w:val="43966372"/>
    <w:rsid w:val="441D1023"/>
    <w:rsid w:val="44F1FBB1"/>
    <w:rsid w:val="46FB746F"/>
    <w:rsid w:val="47DE176B"/>
    <w:rsid w:val="4FBF31A5"/>
    <w:rsid w:val="52DF4132"/>
    <w:rsid w:val="5869275E"/>
    <w:rsid w:val="5DF72B16"/>
    <w:rsid w:val="5EA60265"/>
    <w:rsid w:val="67805B2A"/>
    <w:rsid w:val="6FEB1B50"/>
    <w:rsid w:val="71CFDE7D"/>
    <w:rsid w:val="73D0517B"/>
    <w:rsid w:val="753EE691"/>
    <w:rsid w:val="758A54A3"/>
    <w:rsid w:val="75AF4691"/>
    <w:rsid w:val="77D225A7"/>
    <w:rsid w:val="77FF7B7C"/>
    <w:rsid w:val="7B0E5FF1"/>
    <w:rsid w:val="7CFE739C"/>
    <w:rsid w:val="9AFFD93E"/>
    <w:rsid w:val="9FFFC497"/>
    <w:rsid w:val="BBA384D0"/>
    <w:rsid w:val="BDF154E1"/>
    <w:rsid w:val="D5E7DE0E"/>
    <w:rsid w:val="E3CFA769"/>
    <w:rsid w:val="EFFA1CC4"/>
    <w:rsid w:val="F5D6F712"/>
    <w:rsid w:val="F7EFBC1E"/>
    <w:rsid w:val="FDBFA654"/>
    <w:rsid w:val="FECF40A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39" w:semiHidden="0" w:name="toc 1"/>
    <w:lsdException w:unhideWhenUsed="0"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8"/>
    <w:qFormat/>
    <w:uiPriority w:val="0"/>
    <w:pPr>
      <w:keepNext/>
      <w:keepLines/>
      <w:spacing w:before="240"/>
      <w:outlineLvl w:val="0"/>
    </w:pPr>
    <w:rPr>
      <w:rFonts w:asciiTheme="majorHAnsi" w:hAnsiTheme="majorHAnsi" w:eastAsiaTheme="majorEastAsia" w:cstheme="majorBidi"/>
      <w:b/>
      <w:color w:val="2E54A1" w:themeColor="accent1" w:themeShade="BF"/>
      <w:sz w:val="60"/>
      <w:szCs w:val="32"/>
    </w:rPr>
  </w:style>
  <w:style w:type="paragraph" w:styleId="3">
    <w:name w:val="heading 2"/>
    <w:basedOn w:val="1"/>
    <w:next w:val="1"/>
    <w:link w:val="20"/>
    <w:unhideWhenUsed/>
    <w:qFormat/>
    <w:uiPriority w:val="0"/>
    <w:pPr>
      <w:keepNext/>
      <w:keepLines/>
      <w:spacing w:before="40"/>
      <w:outlineLvl w:val="1"/>
    </w:pPr>
    <w:rPr>
      <w:rFonts w:asciiTheme="majorHAnsi" w:hAnsiTheme="majorHAnsi" w:eastAsiaTheme="majorEastAsia" w:cstheme="majorBidi"/>
      <w:b/>
      <w:color w:val="2E54A1" w:themeColor="accent1" w:themeShade="BF"/>
      <w:sz w:val="40"/>
      <w:szCs w:val="26"/>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character" w:styleId="6">
    <w:name w:val="Hyperlink"/>
    <w:basedOn w:val="4"/>
    <w:uiPriority w:val="99"/>
    <w:rPr>
      <w:color w:val="0026E5" w:themeColor="hyperlink"/>
      <w:u w:val="single"/>
      <w14:textFill>
        <w14:solidFill>
          <w14:schemeClr w14:val="hlink"/>
        </w14:solidFill>
      </w14:textFill>
    </w:rPr>
  </w:style>
  <w:style w:type="paragraph" w:styleId="7">
    <w:name w:val="header"/>
    <w:basedOn w:val="1"/>
    <w:link w:val="15"/>
    <w:qFormat/>
    <w:uiPriority w:val="0"/>
    <w:pPr>
      <w:tabs>
        <w:tab w:val="center" w:pos="4680"/>
        <w:tab w:val="right" w:pos="9360"/>
      </w:tabs>
    </w:pPr>
  </w:style>
  <w:style w:type="paragraph" w:styleId="8">
    <w:name w:val="toc 2"/>
    <w:basedOn w:val="1"/>
    <w:next w:val="1"/>
    <w:autoRedefine/>
    <w:uiPriority w:val="39"/>
    <w:pPr>
      <w:spacing w:after="100"/>
      <w:ind w:left="210"/>
    </w:pPr>
  </w:style>
  <w:style w:type="paragraph" w:styleId="9">
    <w:name w:val="toc 1"/>
    <w:basedOn w:val="1"/>
    <w:next w:val="1"/>
    <w:autoRedefine/>
    <w:uiPriority w:val="39"/>
    <w:pPr>
      <w:spacing w:after="100"/>
    </w:pPr>
  </w:style>
  <w:style w:type="paragraph" w:styleId="10">
    <w:name w:val="footer"/>
    <w:basedOn w:val="1"/>
    <w:link w:val="16"/>
    <w:uiPriority w:val="99"/>
    <w:pPr>
      <w:tabs>
        <w:tab w:val="center" w:pos="4680"/>
        <w:tab w:val="right" w:pos="9360"/>
      </w:tabs>
    </w:pPr>
  </w:style>
  <w:style w:type="table" w:styleId="11">
    <w:name w:val="Table Grid"/>
    <w:basedOn w:val="5"/>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2">
    <w:name w:val="Unresolved Mention1"/>
    <w:basedOn w:val="4"/>
    <w:semiHidden/>
    <w:unhideWhenUsed/>
    <w:uiPriority w:val="99"/>
    <w:rPr>
      <w:color w:val="605E5C"/>
      <w:shd w:val="clear" w:color="auto" w:fill="E1DFDD"/>
    </w:rPr>
  </w:style>
  <w:style w:type="paragraph" w:customStyle="1" w:styleId="13">
    <w:name w:val="Default"/>
    <w:uiPriority w:val="0"/>
    <w:pPr>
      <w:autoSpaceDE w:val="0"/>
      <w:autoSpaceDN w:val="0"/>
      <w:adjustRightInd w:val="0"/>
    </w:pPr>
    <w:rPr>
      <w:rFonts w:ascii="Carlsberg Sans" w:hAnsi="Carlsberg Sans" w:eastAsia="SimSun" w:cs="Carlsberg Sans"/>
      <w:color w:val="000000"/>
      <w:sz w:val="24"/>
      <w:szCs w:val="24"/>
      <w:lang w:val="en-US" w:eastAsia="zh-CN" w:bidi="ar-SA"/>
    </w:rPr>
  </w:style>
  <w:style w:type="paragraph" w:styleId="14">
    <w:name w:val="List Paragraph"/>
    <w:basedOn w:val="1"/>
    <w:unhideWhenUsed/>
    <w:uiPriority w:val="99"/>
    <w:pPr>
      <w:ind w:left="720"/>
      <w:contextualSpacing/>
    </w:pPr>
  </w:style>
  <w:style w:type="character" w:customStyle="1" w:styleId="15">
    <w:name w:val="Header Char"/>
    <w:basedOn w:val="4"/>
    <w:link w:val="7"/>
    <w:uiPriority w:val="0"/>
    <w:rPr>
      <w:rFonts w:asciiTheme="minorHAnsi" w:hAnsiTheme="minorHAnsi" w:eastAsiaTheme="minorEastAsia" w:cstheme="minorBidi"/>
      <w:kern w:val="2"/>
      <w:sz w:val="21"/>
      <w:szCs w:val="24"/>
    </w:rPr>
  </w:style>
  <w:style w:type="character" w:customStyle="1" w:styleId="16">
    <w:name w:val="Footer Char"/>
    <w:basedOn w:val="4"/>
    <w:link w:val="10"/>
    <w:qFormat/>
    <w:uiPriority w:val="99"/>
    <w:rPr>
      <w:rFonts w:asciiTheme="minorHAnsi" w:hAnsiTheme="minorHAnsi" w:eastAsiaTheme="minorEastAsia" w:cstheme="minorBidi"/>
      <w:kern w:val="2"/>
      <w:sz w:val="21"/>
      <w:szCs w:val="24"/>
    </w:rPr>
  </w:style>
  <w:style w:type="character" w:customStyle="1" w:styleId="17">
    <w:name w:val="Unresolved Mention"/>
    <w:basedOn w:val="4"/>
    <w:semiHidden/>
    <w:unhideWhenUsed/>
    <w:uiPriority w:val="99"/>
    <w:rPr>
      <w:color w:val="605E5C"/>
      <w:shd w:val="clear" w:color="auto" w:fill="E1DFDD"/>
    </w:rPr>
  </w:style>
  <w:style w:type="character" w:customStyle="1" w:styleId="18">
    <w:name w:val="Heading 1 Char"/>
    <w:basedOn w:val="4"/>
    <w:link w:val="2"/>
    <w:uiPriority w:val="0"/>
    <w:rPr>
      <w:rFonts w:asciiTheme="majorHAnsi" w:hAnsiTheme="majorHAnsi" w:eastAsiaTheme="majorEastAsia" w:cstheme="majorBidi"/>
      <w:b/>
      <w:color w:val="2E54A1" w:themeColor="accent1" w:themeShade="BF"/>
      <w:kern w:val="2"/>
      <w:sz w:val="60"/>
      <w:szCs w:val="32"/>
      <w:lang w:val="en-US" w:eastAsia="zh-CN"/>
    </w:rPr>
  </w:style>
  <w:style w:type="paragraph" w:customStyle="1" w:styleId="19">
    <w:name w:val="TOC Heading"/>
    <w:basedOn w:val="2"/>
    <w:next w:val="1"/>
    <w:unhideWhenUsed/>
    <w:qFormat/>
    <w:uiPriority w:val="39"/>
    <w:pPr>
      <w:widowControl/>
      <w:spacing w:line="259" w:lineRule="auto"/>
      <w:jc w:val="left"/>
      <w:outlineLvl w:val="9"/>
    </w:pPr>
    <w:rPr>
      <w:kern w:val="0"/>
      <w:lang w:eastAsia="en-US"/>
    </w:rPr>
  </w:style>
  <w:style w:type="character" w:customStyle="1" w:styleId="20">
    <w:name w:val="Heading 2 Char"/>
    <w:basedOn w:val="4"/>
    <w:link w:val="3"/>
    <w:uiPriority w:val="0"/>
    <w:rPr>
      <w:rFonts w:asciiTheme="majorHAnsi" w:hAnsiTheme="majorHAnsi" w:eastAsiaTheme="majorEastAsia" w:cstheme="majorBidi"/>
      <w:b/>
      <w:color w:val="2E54A1" w:themeColor="accent1" w:themeShade="BF"/>
      <w:kern w:val="2"/>
      <w:sz w:val="40"/>
      <w:szCs w:val="26"/>
      <w:lang w:val="en-US" w:eastAsia="zh-CN"/>
    </w:rPr>
  </w:style>
</w:styles>
</file>

<file path=word/_rels/document.xml.rels><?xml version="1.0" encoding="UTF-8" standalone="yes"?>
<Relationships xmlns="http://schemas.openxmlformats.org/package/2006/relationships"><Relationship Id="rId9" Type="http://schemas.openxmlformats.org/officeDocument/2006/relationships/chart" Target="charts/chart1.xml"/><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image" Target="media/image4.png"/><Relationship Id="rId11" Type="http://schemas.openxmlformats.org/officeDocument/2006/relationships/image" Target="media/image3.png"/><Relationship Id="rId10" Type="http://schemas.openxmlformats.org/officeDocument/2006/relationships/chart" Target="charts/chart2.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Workbook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zh-TW" sz="1600" b="1" i="0" u="none" strike="noStrike" kern="1200" baseline="0">
                <a:solidFill>
                  <a:schemeClr val="tx2"/>
                </a:solidFill>
                <a:latin typeface="+mn-lt"/>
                <a:ea typeface="+mn-ea"/>
                <a:cs typeface="+mn-cs"/>
              </a:defRPr>
            </a:pPr>
            <a:r>
              <a:rPr lang="en-US"/>
              <a:t>Aggregation of sales by area in FY2023  </a:t>
            </a:r>
            <a:endParaRPr lang="en-US"/>
          </a:p>
        </c:rich>
      </c:tx>
      <c:layout/>
      <c:overlay val="0"/>
      <c:spPr>
        <a:noFill/>
        <a:ln>
          <a:noFill/>
        </a:ln>
        <a:effectLst/>
      </c:spPr>
    </c:title>
    <c:autoTitleDeleted val="0"/>
    <c:plotArea>
      <c:layout/>
      <c:pieChart>
        <c:varyColors val="1"/>
        <c:ser>
          <c:idx val="0"/>
          <c:order val="0"/>
          <c:spPr/>
          <c:explosion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dPt>
          <c:dLbls>
            <c:spPr>
              <a:noFill/>
              <a:ln>
                <a:noFill/>
              </a:ln>
              <a:effectLst/>
            </c:spPr>
            <c:txPr>
              <a:bodyPr rot="0" spcFirstLastPara="1" vertOverflow="ellipsis" vert="horz" wrap="square" lIns="38100" tIns="19050" rIns="38100" bIns="19050" anchor="ctr" anchorCtr="1">
                <a:spAutoFit/>
              </a:bodyPr>
              <a:lstStyle/>
              <a:p>
                <a:pPr>
                  <a:defRPr lang="zh-TW" sz="900" b="0" i="0" u="none" strike="noStrike" kern="1200" baseline="0">
                    <a:solidFill>
                      <a:schemeClr val="tx2"/>
                    </a:solidFill>
                    <a:latin typeface="+mn-lt"/>
                    <a:ea typeface="+mn-ea"/>
                    <a:cs typeface="+mn-cs"/>
                  </a:defRPr>
                </a:pPr>
              </a:p>
            </c:txPr>
            <c:dLblPos val="ctr"/>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a:solidFill>
                        <a:schemeClr val="tx2">
                          <a:lumMod val="35000"/>
                          <a:lumOff val="65000"/>
                        </a:schemeClr>
                      </a:solidFill>
                    </a:ln>
                    <a:effectLst/>
                  </c:spPr>
                </c15:leaderLines>
              </c:ext>
            </c:extLst>
          </c:dLbls>
          <c:cat>
            <c:strRef>
              <c:f>Sheet1!$A$1:$A$4</c:f>
              <c:strCache>
                <c:ptCount val="3"/>
                <c:pt idx="0">
                  <c:v>Western Europe</c:v>
                </c:pt>
                <c:pt idx="1">
                  <c:v>Asia</c:v>
                </c:pt>
                <c:pt idx="2">
                  <c:v>Central &amp; Eastern Europe</c:v>
                </c:pt>
              </c:strCache>
            </c:strRef>
          </c:cat>
          <c:val>
            <c:numRef>
              <c:f>Sheet1!$B$1:$B$4</c:f>
              <c:numCache>
                <c:formatCode>0.0%</c:formatCode>
                <c:ptCount val="4"/>
                <c:pt idx="0">
                  <c:v>0.507272578978848</c:v>
                </c:pt>
                <c:pt idx="1">
                  <c:v>0.316567886466206</c:v>
                </c:pt>
                <c:pt idx="2">
                  <c:v>0.176159534554945</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zh-TW" sz="900" b="0" i="0" u="none" strike="noStrike" kern="1200" baseline="0">
              <a:solidFill>
                <a:schemeClr val="tx2"/>
              </a:solidFill>
              <a:latin typeface="+mn-lt"/>
              <a:ea typeface="+mn-ea"/>
              <a:cs typeface="+mn-cs"/>
            </a:defRPr>
          </a:pPr>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lang="zh-TW"/>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zh-TW" sz="1400" b="0" i="0" u="none" strike="noStrike" kern="1200" spc="0" baseline="0">
                <a:solidFill>
                  <a:schemeClr val="tx1">
                    <a:lumMod val="65000"/>
                    <a:lumOff val="35000"/>
                  </a:schemeClr>
                </a:solidFill>
                <a:latin typeface="+mn-lt"/>
                <a:ea typeface="+mn-ea"/>
                <a:cs typeface="+mn-cs"/>
              </a:defRPr>
            </a:pPr>
            <a:r>
              <a:rPr lang="en-US"/>
              <a:t>Revenue of Carlsberg Group in</a:t>
            </a:r>
            <a:r>
              <a:rPr lang="en-US" baseline="0"/>
              <a:t> 2019-2023 </a:t>
            </a:r>
            <a:endParaRPr lang="en-US" baseline="0"/>
          </a:p>
          <a:p>
            <a:pPr>
              <a:defRPr lang="zh-TW" sz="1400" b="0" i="0" u="none" strike="noStrike" kern="1200" spc="0" baseline="0">
                <a:solidFill>
                  <a:schemeClr val="tx1">
                    <a:lumMod val="65000"/>
                    <a:lumOff val="35000"/>
                  </a:schemeClr>
                </a:solidFill>
                <a:latin typeface="+mn-lt"/>
                <a:ea typeface="+mn-ea"/>
                <a:cs typeface="+mn-cs"/>
              </a:defRPr>
            </a:pPr>
            <a:r>
              <a:rPr lang="en-US" baseline="0"/>
              <a:t>(DKK million)</a:t>
            </a:r>
            <a:endParaRPr lang="en-US"/>
          </a:p>
        </c:rich>
      </c:tx>
      <c:layout>
        <c:manualLayout>
          <c:xMode val="edge"/>
          <c:yMode val="edge"/>
          <c:x val="0.153262752884159"/>
          <c:y val="0.0305966343702193"/>
        </c:manualLayout>
      </c:layout>
      <c:overlay val="0"/>
      <c:spPr>
        <a:noFill/>
        <a:ln>
          <a:noFill/>
        </a:ln>
        <a:effectLst/>
      </c:spPr>
    </c:title>
    <c:autoTitleDeleted val="0"/>
    <c:plotArea>
      <c:layout/>
      <c:barChart>
        <c:barDir val="col"/>
        <c:grouping val="clustered"/>
        <c:varyColors val="0"/>
        <c:ser>
          <c:idx val="0"/>
          <c:order val="0"/>
          <c:tx>
            <c:strRef>
              <c:f>Sheet1!$B$1</c:f>
              <c:strCache>
                <c:ptCount val="1"/>
                <c:pt idx="0">
                  <c:v>Sales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zh-TW"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Sheet1!$A$2:$A$6</c:f>
              <c:numCache>
                <c:formatCode>General</c:formatCode>
                <c:ptCount val="5"/>
                <c:pt idx="0">
                  <c:v>2019</c:v>
                </c:pt>
                <c:pt idx="1">
                  <c:v>2020</c:v>
                </c:pt>
                <c:pt idx="2">
                  <c:v>2021</c:v>
                </c:pt>
                <c:pt idx="3">
                  <c:v>2022</c:v>
                </c:pt>
                <c:pt idx="4">
                  <c:v>2023</c:v>
                </c:pt>
              </c:numCache>
            </c:numRef>
          </c:cat>
          <c:val>
            <c:numRef>
              <c:f>Sheet1!$B$2:$B$6</c:f>
              <c:numCache>
                <c:formatCode>#,##0</c:formatCode>
                <c:ptCount val="5"/>
                <c:pt idx="0">
                  <c:v>65902</c:v>
                </c:pt>
                <c:pt idx="1">
                  <c:v>58541</c:v>
                </c:pt>
                <c:pt idx="2">
                  <c:v>60097</c:v>
                </c:pt>
                <c:pt idx="3">
                  <c:v>70265</c:v>
                </c:pt>
                <c:pt idx="4">
                  <c:v>73585</c:v>
                </c:pt>
              </c:numCache>
            </c:numRef>
          </c:val>
        </c:ser>
        <c:dLbls>
          <c:showLegendKey val="0"/>
          <c:showVal val="1"/>
          <c:showCatName val="0"/>
          <c:showSerName val="0"/>
          <c:showPercent val="0"/>
          <c:showBubbleSize val="0"/>
        </c:dLbls>
        <c:gapWidth val="150"/>
        <c:axId val="953603360"/>
        <c:axId val="1957867200"/>
      </c:barChart>
      <c:catAx>
        <c:axId val="953603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zh-TW" sz="900" b="0" i="0" u="none" strike="noStrike" kern="1200" baseline="0">
                <a:solidFill>
                  <a:schemeClr val="tx1">
                    <a:lumMod val="65000"/>
                    <a:lumOff val="35000"/>
                  </a:schemeClr>
                </a:solidFill>
                <a:latin typeface="+mn-lt"/>
                <a:ea typeface="+mn-ea"/>
                <a:cs typeface="+mn-cs"/>
              </a:defRPr>
            </a:pPr>
          </a:p>
        </c:txPr>
        <c:crossAx val="1957867200"/>
        <c:crosses val="autoZero"/>
        <c:auto val="1"/>
        <c:lblAlgn val="ctr"/>
        <c:lblOffset val="100"/>
        <c:noMultiLvlLbl val="0"/>
      </c:catAx>
      <c:valAx>
        <c:axId val="19578672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lang="zh-TW" sz="900" b="0" i="0" u="none" strike="noStrike" kern="1200" baseline="0">
                <a:solidFill>
                  <a:schemeClr val="tx1">
                    <a:lumMod val="65000"/>
                    <a:lumOff val="35000"/>
                  </a:schemeClr>
                </a:solidFill>
                <a:latin typeface="+mn-lt"/>
                <a:ea typeface="+mn-ea"/>
                <a:cs typeface="+mn-cs"/>
              </a:defRPr>
            </a:pPr>
          </a:p>
        </c:txPr>
        <c:crossAx val="95360336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zh-TW"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TW"/>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37</Pages>
  <Words>7389</Words>
  <Characters>42121</Characters>
  <Lines>351</Lines>
  <Paragraphs>98</Paragraphs>
  <TotalTime>92</TotalTime>
  <ScaleCrop>false</ScaleCrop>
  <LinksUpToDate>false</LinksUpToDate>
  <CharactersWithSpaces>49412</CharactersWithSpaces>
  <Application>WPS Office_6.7.1.8828_F1E327BC-269C-435d-A152-05C5408002CA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2024-08-27T09:20:00Z</dcterms:created>
  <dc:creator>WPS_1713497042</dc:creator>
  <cp:lastModifiedBy>WPS_1713497042</cp:lastModifiedBy>
  <cp:lastPrinted>2024-09-04T14:03:00Z</cp:lastPrinted>
  <dcterms:modified xsi:type="dcterms:W3CDTF">2024-09-05T00:34:16Z</dcterms:modified>
  <cp:revision>140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1028-6.7.1.8828</vt:lpwstr>
  </property>
  <property fmtid="{D5CDD505-2E9C-101B-9397-08002B2CF9AE}" pid="3" name="ICV">
    <vt:lpwstr>BC7B5CC42C9912D8088CD8664101A0B0_43</vt:lpwstr>
  </property>
</Properties>
</file>