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E0C77" w14:textId="6E45B602" w:rsidR="005516CF" w:rsidRDefault="00AF472B" w:rsidP="00AF472B">
      <w:pPr>
        <w:jc w:val="center"/>
        <w:rPr>
          <w:sz w:val="32"/>
          <w:szCs w:val="32"/>
        </w:rPr>
      </w:pPr>
      <w:r w:rsidRPr="00AF472B">
        <w:rPr>
          <w:sz w:val="32"/>
          <w:szCs w:val="32"/>
        </w:rPr>
        <w:t>Determining the concentration of Hydrochloric Acid using Sodium Hydroxide (Titration)</w:t>
      </w:r>
    </w:p>
    <w:p w14:paraId="2E02FE9F" w14:textId="43EEE25E" w:rsidR="00AF472B" w:rsidRDefault="00AF472B" w:rsidP="00AF472B">
      <w:pPr>
        <w:jc w:val="center"/>
        <w:rPr>
          <w:sz w:val="32"/>
          <w:szCs w:val="32"/>
        </w:rPr>
      </w:pPr>
      <w:r>
        <w:rPr>
          <w:sz w:val="32"/>
          <w:szCs w:val="32"/>
        </w:rPr>
        <w:t xml:space="preserve">Lab report 2 </w:t>
      </w:r>
    </w:p>
    <w:p w14:paraId="285B9C64" w14:textId="77777777" w:rsidR="007B2A50" w:rsidRDefault="00AF472B" w:rsidP="007B2A50">
      <w:pPr>
        <w:jc w:val="center"/>
      </w:pPr>
      <w:r>
        <w:t xml:space="preserve">David </w:t>
      </w:r>
      <w:r w:rsidR="007B2A50">
        <w:t xml:space="preserve">Tolhurst </w:t>
      </w:r>
    </w:p>
    <w:p w14:paraId="3258D2C4" w14:textId="030D17ED" w:rsidR="007B2A50" w:rsidRDefault="007B2A50" w:rsidP="007B2A50">
      <w:pPr>
        <w:jc w:val="center"/>
      </w:pPr>
      <w:r>
        <w:t>2222916</w:t>
      </w:r>
    </w:p>
    <w:p w14:paraId="4C109B5B" w14:textId="4CED7769" w:rsidR="00AF472B" w:rsidRPr="00AF472B" w:rsidRDefault="00AF472B" w:rsidP="00AF472B">
      <w:pPr>
        <w:jc w:val="center"/>
      </w:pPr>
      <w:r>
        <w:t xml:space="preserve">  27/03/2023</w:t>
      </w:r>
    </w:p>
    <w:p w14:paraId="517BD448" w14:textId="77777777" w:rsidR="00AF472B" w:rsidRDefault="00AF472B" w:rsidP="00AF472B">
      <w:pPr>
        <w:jc w:val="center"/>
        <w:rPr>
          <w:sz w:val="32"/>
          <w:szCs w:val="32"/>
        </w:rPr>
      </w:pPr>
    </w:p>
    <w:p w14:paraId="05E11D03" w14:textId="5919EC12" w:rsidR="00AF472B" w:rsidRPr="00AF472B" w:rsidRDefault="00AF472B" w:rsidP="00AF472B">
      <w:pPr>
        <w:jc w:val="center"/>
        <w:rPr>
          <w:noProof/>
        </w:rPr>
      </w:pPr>
      <w:r w:rsidRPr="00AF472B">
        <w:rPr>
          <w:noProof/>
        </w:rPr>
        <w:drawing>
          <wp:inline distT="0" distB="0" distL="0" distR="0" wp14:anchorId="5282520C" wp14:editId="3562DC5A">
            <wp:extent cx="3738879" cy="2804160"/>
            <wp:effectExtent l="0" t="0" r="0" b="0"/>
            <wp:docPr id="2" name="Picture 2" descr="A group of beakers with liquid in th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beakers with liquid in them&#10;&#10;Description automatically generated with medium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54459" cy="2815845"/>
                    </a:xfrm>
                    <a:prstGeom prst="rect">
                      <a:avLst/>
                    </a:prstGeom>
                    <a:noFill/>
                    <a:ln>
                      <a:noFill/>
                    </a:ln>
                  </pic:spPr>
                </pic:pic>
              </a:graphicData>
            </a:graphic>
          </wp:inline>
        </w:drawing>
      </w:r>
    </w:p>
    <w:p w14:paraId="4E0F1689" w14:textId="77777777" w:rsidR="00AF472B" w:rsidRDefault="00AF472B" w:rsidP="00AF472B">
      <w:pPr>
        <w:tabs>
          <w:tab w:val="left" w:pos="2220"/>
        </w:tabs>
      </w:pPr>
    </w:p>
    <w:p w14:paraId="449DB45E" w14:textId="77777777" w:rsidR="00AF472B" w:rsidRDefault="00AF472B" w:rsidP="00AF472B">
      <w:pPr>
        <w:tabs>
          <w:tab w:val="left" w:pos="2220"/>
        </w:tabs>
      </w:pPr>
    </w:p>
    <w:p w14:paraId="0AD8DD5B" w14:textId="523E5F6D" w:rsidR="00AF472B" w:rsidRPr="00EB6C3D" w:rsidRDefault="00AF472B" w:rsidP="00AF472B">
      <w:pPr>
        <w:tabs>
          <w:tab w:val="left" w:pos="2220"/>
        </w:tabs>
        <w:rPr>
          <w:sz w:val="28"/>
          <w:szCs w:val="28"/>
        </w:rPr>
      </w:pPr>
      <w:r w:rsidRPr="00EB6C3D">
        <w:rPr>
          <w:sz w:val="28"/>
          <w:szCs w:val="28"/>
        </w:rPr>
        <w:t>Aim:</w:t>
      </w:r>
    </w:p>
    <w:p w14:paraId="2F40B21E" w14:textId="711D447A" w:rsidR="00AF472B" w:rsidRDefault="00AF472B" w:rsidP="00AF472B">
      <w:pPr>
        <w:tabs>
          <w:tab w:val="left" w:pos="2220"/>
        </w:tabs>
      </w:pPr>
      <w:r w:rsidRPr="00AF472B">
        <w:t>To determine the concentration of a solution of hydrochloric acid (HCL) using a standard solution of sodium hydroxide (NaOH)</w:t>
      </w:r>
      <w:r w:rsidRPr="00AF472B">
        <w:tab/>
      </w:r>
      <w:r>
        <w:t>this will be done by using the method of titration.</w:t>
      </w:r>
    </w:p>
    <w:p w14:paraId="32549EE9" w14:textId="77777777" w:rsidR="00AF472B" w:rsidRDefault="00AF472B" w:rsidP="00AF472B">
      <w:pPr>
        <w:tabs>
          <w:tab w:val="left" w:pos="2220"/>
        </w:tabs>
      </w:pPr>
    </w:p>
    <w:p w14:paraId="7148CCFC" w14:textId="249A65C1" w:rsidR="00AF472B" w:rsidRPr="00EB6C3D" w:rsidRDefault="00AF472B" w:rsidP="00AF472B">
      <w:pPr>
        <w:tabs>
          <w:tab w:val="left" w:pos="2220"/>
        </w:tabs>
        <w:rPr>
          <w:sz w:val="28"/>
          <w:szCs w:val="28"/>
        </w:rPr>
      </w:pPr>
      <w:r w:rsidRPr="00EB6C3D">
        <w:rPr>
          <w:sz w:val="28"/>
          <w:szCs w:val="28"/>
        </w:rPr>
        <w:t>Main objectives:</w:t>
      </w:r>
    </w:p>
    <w:p w14:paraId="03117A37" w14:textId="5BC5E43C" w:rsidR="00AF472B" w:rsidRDefault="00AF472B" w:rsidP="00AF472B">
      <w:pPr>
        <w:tabs>
          <w:tab w:val="left" w:pos="2220"/>
        </w:tabs>
      </w:pPr>
      <w:r>
        <w:t xml:space="preserve">By method of Titration, </w:t>
      </w:r>
      <w:r w:rsidR="00EB6C3D">
        <w:t>observe</w:t>
      </w:r>
      <w:r>
        <w:t xml:space="preserve"> what exact volume of NaOH is needed to completely neutralise a HCL solution of unknown concentration.</w:t>
      </w:r>
    </w:p>
    <w:p w14:paraId="1B8C7E9C" w14:textId="77777777" w:rsidR="00EB6C3D" w:rsidRDefault="00EB6C3D" w:rsidP="00AF472B">
      <w:pPr>
        <w:tabs>
          <w:tab w:val="left" w:pos="2220"/>
        </w:tabs>
      </w:pPr>
      <w:r>
        <w:t xml:space="preserve">Use the observed volume of NaOH used to neutralise the HCL solution to calculate its molarity. </w:t>
      </w:r>
    </w:p>
    <w:p w14:paraId="192A71C7" w14:textId="77777777" w:rsidR="00EB6C3D" w:rsidRDefault="00EB6C3D" w:rsidP="00AF472B">
      <w:pPr>
        <w:tabs>
          <w:tab w:val="left" w:pos="2220"/>
        </w:tabs>
        <w:rPr>
          <w:sz w:val="28"/>
          <w:szCs w:val="28"/>
        </w:rPr>
      </w:pPr>
      <w:r>
        <w:rPr>
          <w:sz w:val="28"/>
          <w:szCs w:val="28"/>
        </w:rPr>
        <w:t>Theory:</w:t>
      </w:r>
    </w:p>
    <w:p w14:paraId="3A73B59C" w14:textId="5B491D43" w:rsidR="003661FC" w:rsidRDefault="00C346AC" w:rsidP="00AF472B">
      <w:pPr>
        <w:tabs>
          <w:tab w:val="left" w:pos="2220"/>
        </w:tabs>
      </w:pPr>
      <w:r>
        <w:lastRenderedPageBreak/>
        <w:t xml:space="preserve">Titration is a very reliable, </w:t>
      </w:r>
      <w:r w:rsidR="00E35E6E">
        <w:t>well-known</w:t>
      </w:r>
      <w:r>
        <w:t xml:space="preserve"> method of analysing</w:t>
      </w:r>
      <w:r w:rsidR="00E35E6E">
        <w:t xml:space="preserve"> the molarity of a substance. The method itself involves the addition of a reactant which is known as the titrant to the substance of unknown molarity. The substance with unknown molarity is known as the analyte. The titrant is added to the analyte until a chemical reaction occurs. Acid-based titration is the most common method used, this is where and acidic solution is reacted with a base solution until it can be observed that the acid has been fully neutralised </w:t>
      </w:r>
      <w:r w:rsidR="003661FC">
        <w:t xml:space="preserve">using </w:t>
      </w:r>
      <w:r w:rsidR="00E35E6E">
        <w:t>an indicator, in this case phenolphthalein</w:t>
      </w:r>
      <w:r w:rsidR="003661FC">
        <w:t xml:space="preserve"> </w:t>
      </w:r>
      <w:r w:rsidR="00E77601">
        <w:t>with an approximate p</w:t>
      </w:r>
      <w:r w:rsidR="00643694">
        <w:t>H</w:t>
      </w:r>
      <w:r w:rsidR="00E77601">
        <w:t xml:space="preserve"> 8.5</w:t>
      </w:r>
      <w:r w:rsidR="003661FC">
        <w:t>. This report studies the neutralisation reaction of HCL and NaOH.</w:t>
      </w:r>
    </w:p>
    <w:p w14:paraId="361D2E38" w14:textId="77777777" w:rsidR="003661FC" w:rsidRPr="003661FC" w:rsidRDefault="003661FC" w:rsidP="00AF472B">
      <w:pPr>
        <w:tabs>
          <w:tab w:val="left" w:pos="2220"/>
        </w:tabs>
      </w:pPr>
    </w:p>
    <w:p w14:paraId="486034C9" w14:textId="7452BCC3" w:rsidR="00AF472B" w:rsidRDefault="003661FC" w:rsidP="003661FC">
      <w:pPr>
        <w:tabs>
          <w:tab w:val="left" w:pos="2220"/>
        </w:tabs>
        <w:jc w:val="center"/>
        <w:rPr>
          <w:sz w:val="28"/>
          <w:szCs w:val="28"/>
        </w:rPr>
      </w:pPr>
      <w:proofErr w:type="gramStart"/>
      <w:r w:rsidRPr="003661FC">
        <w:rPr>
          <w:sz w:val="28"/>
          <w:szCs w:val="28"/>
        </w:rPr>
        <w:t>HCL(</w:t>
      </w:r>
      <w:proofErr w:type="spellStart"/>
      <w:proofErr w:type="gramEnd"/>
      <w:r w:rsidRPr="003661FC">
        <w:rPr>
          <w:sz w:val="28"/>
          <w:szCs w:val="28"/>
        </w:rPr>
        <w:t>aq</w:t>
      </w:r>
      <w:proofErr w:type="spellEnd"/>
      <w:r w:rsidRPr="003661FC">
        <w:rPr>
          <w:sz w:val="28"/>
          <w:szCs w:val="28"/>
        </w:rPr>
        <w:t>)  + NaOH(</w:t>
      </w:r>
      <w:proofErr w:type="spellStart"/>
      <w:r w:rsidRPr="003661FC">
        <w:rPr>
          <w:sz w:val="28"/>
          <w:szCs w:val="28"/>
        </w:rPr>
        <w:t>aq</w:t>
      </w:r>
      <w:proofErr w:type="spellEnd"/>
      <w:r w:rsidRPr="003661FC">
        <w:rPr>
          <w:sz w:val="28"/>
          <w:szCs w:val="28"/>
        </w:rPr>
        <w:t>) → NaCl(</w:t>
      </w:r>
      <w:proofErr w:type="spellStart"/>
      <w:r w:rsidRPr="003661FC">
        <w:rPr>
          <w:sz w:val="28"/>
          <w:szCs w:val="28"/>
        </w:rPr>
        <w:t>aq</w:t>
      </w:r>
      <w:proofErr w:type="spellEnd"/>
      <w:r w:rsidRPr="003661FC">
        <w:rPr>
          <w:sz w:val="28"/>
          <w:szCs w:val="28"/>
        </w:rPr>
        <w:t>) + H2O(l)</w:t>
      </w:r>
    </w:p>
    <w:p w14:paraId="62F43A3D" w14:textId="77777777" w:rsidR="003661FC" w:rsidRDefault="003661FC" w:rsidP="003661FC">
      <w:pPr>
        <w:tabs>
          <w:tab w:val="left" w:pos="2220"/>
        </w:tabs>
        <w:jc w:val="center"/>
        <w:rPr>
          <w:sz w:val="28"/>
          <w:szCs w:val="28"/>
        </w:rPr>
      </w:pPr>
    </w:p>
    <w:p w14:paraId="20A41D24" w14:textId="3B3689F0" w:rsidR="003F073E" w:rsidRDefault="003661FC" w:rsidP="003661FC">
      <w:pPr>
        <w:tabs>
          <w:tab w:val="left" w:pos="2220"/>
        </w:tabs>
      </w:pPr>
      <w:r>
        <w:t>This acid-base</w:t>
      </w:r>
      <w:r w:rsidR="00E77601">
        <w:t xml:space="preserve"> reaction involves the reaction of HCL and NaOH to form NaCl (Sodium Chloride) and H2O (Water). In this case there are no precipitates as NaCl is 100% soluble in water</w:t>
      </w:r>
      <w:r w:rsidR="00D946BD">
        <w:t>. During this reaction cations and anions combine to form the products NaCl and H2O. For example, the Na+ cations from NaOH combine with Cl- anions from HCL to form NaCl. Simultaneously the H+ cations combine with the OH- anions to produce H2O (water)</w:t>
      </w:r>
      <w:r w:rsidR="00643694">
        <w:t>. At this point complete neutralisation has been reached and the product solution will have a pH 7. This is the reasoning behind the use of phenolphthalein indicator is so the exact moment the solution transitions from acidic to basic</w:t>
      </w:r>
      <w:r w:rsidR="006F65BC">
        <w:t xml:space="preserve"> can be recorded</w:t>
      </w:r>
      <w:r w:rsidR="00643694">
        <w:t>. This is possible because as previously stated phenolphthalein</w:t>
      </w:r>
      <w:r w:rsidR="006F65BC">
        <w:t xml:space="preserve"> indicator</w:t>
      </w:r>
      <w:r w:rsidR="00643694">
        <w:t xml:space="preserve"> has a pH 8.5. The indication is clear to the chemist performing the titration as phenolphthalein is colourless in an acidic solution but turns pink in a basic solution. To gain the most accurate results in this titration it is essential that the NaOH is added very slowly to capture the exact moment when the solution turns pink. This called the equivalence point which is where the number of moles of acid is equal to the number of moles of base. This can be shown in a simple </w:t>
      </w:r>
      <w:r w:rsidR="003F073E">
        <w:t>equation.</w:t>
      </w:r>
    </w:p>
    <w:p w14:paraId="0B6EFF8F" w14:textId="77777777" w:rsidR="003F073E" w:rsidRDefault="003F073E" w:rsidP="003661FC">
      <w:pPr>
        <w:tabs>
          <w:tab w:val="left" w:pos="2220"/>
        </w:tabs>
      </w:pPr>
    </w:p>
    <w:p w14:paraId="0F856ADF" w14:textId="5780B15F" w:rsidR="003F073E" w:rsidRDefault="003F073E" w:rsidP="003F073E">
      <w:pPr>
        <w:tabs>
          <w:tab w:val="left" w:pos="2220"/>
        </w:tabs>
        <w:jc w:val="center"/>
      </w:pPr>
      <w:r>
        <w:t>Number of moles(acid) = Number of moles(base)</w:t>
      </w:r>
    </w:p>
    <w:p w14:paraId="40FD9358" w14:textId="77777777" w:rsidR="003F073E" w:rsidRDefault="003F073E" w:rsidP="003F073E">
      <w:pPr>
        <w:tabs>
          <w:tab w:val="left" w:pos="2220"/>
        </w:tabs>
        <w:jc w:val="center"/>
      </w:pPr>
    </w:p>
    <w:p w14:paraId="3A0E8507" w14:textId="5B0A6711" w:rsidR="003F073E" w:rsidRPr="003F073E" w:rsidRDefault="003F073E" w:rsidP="003F073E">
      <w:pPr>
        <w:tabs>
          <w:tab w:val="left" w:pos="2220"/>
        </w:tabs>
        <w:jc w:val="center"/>
        <w:rPr>
          <w:b/>
          <w:bCs/>
        </w:rPr>
      </w:pPr>
      <w:r w:rsidRPr="003F073E">
        <w:rPr>
          <w:b/>
          <w:bCs/>
        </w:rPr>
        <w:t>From this we can calculate</w:t>
      </w:r>
    </w:p>
    <w:p w14:paraId="148D18D4" w14:textId="77777777" w:rsidR="003F073E" w:rsidRDefault="003F073E" w:rsidP="003F073E">
      <w:pPr>
        <w:tabs>
          <w:tab w:val="left" w:pos="2220"/>
        </w:tabs>
      </w:pPr>
    </w:p>
    <w:p w14:paraId="4AED340E" w14:textId="41A7D9FA" w:rsidR="003F073E" w:rsidRDefault="003F073E" w:rsidP="003F073E">
      <w:pPr>
        <w:tabs>
          <w:tab w:val="left" w:pos="2220"/>
        </w:tabs>
        <w:jc w:val="center"/>
      </w:pPr>
      <w:r>
        <w:t>Number of moles = Concentration x Volume</w:t>
      </w:r>
    </w:p>
    <w:p w14:paraId="24B0D58A" w14:textId="77777777" w:rsidR="003F073E" w:rsidRDefault="003F073E" w:rsidP="003F073E">
      <w:pPr>
        <w:tabs>
          <w:tab w:val="left" w:pos="2220"/>
        </w:tabs>
        <w:jc w:val="center"/>
      </w:pPr>
    </w:p>
    <w:p w14:paraId="360CBAF1" w14:textId="11A933CE" w:rsidR="003F073E" w:rsidRDefault="003F073E" w:rsidP="003F073E">
      <w:pPr>
        <w:tabs>
          <w:tab w:val="left" w:pos="2220"/>
        </w:tabs>
        <w:jc w:val="center"/>
      </w:pPr>
      <w:r>
        <w:t>Concentration(acid) x Volume(acid) = Concentration(base) x Volume(base)</w:t>
      </w:r>
    </w:p>
    <w:p w14:paraId="3BFF2C9E" w14:textId="77777777" w:rsidR="003F073E" w:rsidRDefault="003F073E" w:rsidP="003F073E">
      <w:pPr>
        <w:tabs>
          <w:tab w:val="left" w:pos="2220"/>
        </w:tabs>
        <w:jc w:val="center"/>
      </w:pPr>
    </w:p>
    <w:p w14:paraId="32F052BA" w14:textId="7C76FE92" w:rsidR="003F073E" w:rsidRDefault="003F073E" w:rsidP="003F073E">
      <w:pPr>
        <w:tabs>
          <w:tab w:val="left" w:pos="2220"/>
        </w:tabs>
        <w:jc w:val="center"/>
        <w:rPr>
          <w:b/>
          <w:bCs/>
        </w:rPr>
      </w:pPr>
      <w:r w:rsidRPr="003F073E">
        <w:rPr>
          <w:b/>
          <w:bCs/>
        </w:rPr>
        <w:t>Therefore</w:t>
      </w:r>
    </w:p>
    <w:p w14:paraId="3AD8D34D" w14:textId="77777777" w:rsidR="003F073E" w:rsidRPr="00E95089" w:rsidRDefault="003F073E" w:rsidP="003F073E">
      <w:pPr>
        <w:tabs>
          <w:tab w:val="left" w:pos="2220"/>
        </w:tabs>
        <w:jc w:val="center"/>
        <w:rPr>
          <w:b/>
          <w:bCs/>
        </w:rPr>
      </w:pPr>
    </w:p>
    <w:p w14:paraId="6227A094" w14:textId="3239828E" w:rsidR="003F073E" w:rsidRDefault="003F073E" w:rsidP="003F073E">
      <w:pPr>
        <w:tabs>
          <w:tab w:val="left" w:pos="2220"/>
        </w:tabs>
        <w:jc w:val="center"/>
        <w:rPr>
          <w:rFonts w:eastAsiaTheme="minorEastAsia"/>
        </w:rPr>
      </w:pPr>
      <w:r w:rsidRPr="00E95089">
        <w:t>Concentration(acid) =</w:t>
      </w:r>
      <w:r w:rsidR="006F65BC">
        <w:t xml:space="preserve">  </w:t>
      </w:r>
      <m:oMath>
        <m:f>
          <m:fPr>
            <m:ctrlPr>
              <w:rPr>
                <w:rFonts w:ascii="Cambria Math" w:hAnsi="Cambria Math"/>
                <w:i/>
              </w:rPr>
            </m:ctrlPr>
          </m:fPr>
          <m:num>
            <m:r>
              <w:rPr>
                <w:rFonts w:ascii="Cambria Math" w:hAnsi="Cambria Math"/>
              </w:rPr>
              <m:t>Concentration</m:t>
            </m:r>
            <m:d>
              <m:dPr>
                <m:ctrlPr>
                  <w:rPr>
                    <w:rFonts w:ascii="Cambria Math" w:hAnsi="Cambria Math"/>
                    <w:i/>
                  </w:rPr>
                </m:ctrlPr>
              </m:dPr>
              <m:e>
                <m:r>
                  <w:rPr>
                    <w:rFonts w:ascii="Cambria Math" w:hAnsi="Cambria Math"/>
                  </w:rPr>
                  <m:t>base</m:t>
                </m:r>
              </m:e>
            </m:d>
            <m:r>
              <w:rPr>
                <w:rFonts w:ascii="Cambria Math" w:hAnsi="Cambria Math"/>
              </w:rPr>
              <m:t>×Volume(base)</m:t>
            </m:r>
          </m:num>
          <m:den>
            <m:r>
              <w:rPr>
                <w:rFonts w:ascii="Cambria Math" w:hAnsi="Cambria Math"/>
              </w:rPr>
              <m:t>Volume(acid)</m:t>
            </m:r>
          </m:den>
        </m:f>
      </m:oMath>
    </w:p>
    <w:p w14:paraId="243C8F90" w14:textId="77777777" w:rsidR="00E95089" w:rsidRDefault="00E95089" w:rsidP="003F073E">
      <w:pPr>
        <w:tabs>
          <w:tab w:val="left" w:pos="2220"/>
        </w:tabs>
        <w:jc w:val="center"/>
        <w:rPr>
          <w:rFonts w:eastAsiaTheme="minorEastAsia"/>
        </w:rPr>
      </w:pPr>
    </w:p>
    <w:p w14:paraId="675F2805" w14:textId="717F1FA5" w:rsidR="00E95089" w:rsidRDefault="00E95089" w:rsidP="00E95089">
      <w:pPr>
        <w:tabs>
          <w:tab w:val="left" w:pos="2220"/>
        </w:tabs>
        <w:rPr>
          <w:rFonts w:eastAsiaTheme="minorEastAsia"/>
        </w:rPr>
      </w:pPr>
      <w:r>
        <w:rPr>
          <w:rFonts w:eastAsiaTheme="minorEastAsia"/>
        </w:rPr>
        <w:t>Where:</w:t>
      </w:r>
    </w:p>
    <w:p w14:paraId="629B276D" w14:textId="7B1F381D" w:rsidR="00E95089" w:rsidRDefault="00E95089" w:rsidP="00E95089">
      <w:pPr>
        <w:tabs>
          <w:tab w:val="left" w:pos="2220"/>
        </w:tabs>
        <w:rPr>
          <w:rFonts w:eastAsiaTheme="minorEastAsia"/>
        </w:rPr>
      </w:pPr>
      <w:r>
        <w:rPr>
          <w:rFonts w:eastAsiaTheme="minorEastAsia"/>
        </w:rPr>
        <w:t xml:space="preserve">Concentration(base) = Concentration of standard solution </w:t>
      </w:r>
    </w:p>
    <w:p w14:paraId="4BFA5060" w14:textId="7F2ABF5E" w:rsidR="00E95089" w:rsidRDefault="00E95089" w:rsidP="00E95089">
      <w:pPr>
        <w:tabs>
          <w:tab w:val="left" w:pos="2220"/>
        </w:tabs>
        <w:rPr>
          <w:rFonts w:eastAsiaTheme="minorEastAsia"/>
        </w:rPr>
      </w:pPr>
      <w:r>
        <w:rPr>
          <w:rFonts w:eastAsiaTheme="minorEastAsia"/>
        </w:rPr>
        <w:t>Volume(base) = The volume of NaOH added to the solution</w:t>
      </w:r>
    </w:p>
    <w:p w14:paraId="4B575636" w14:textId="77777777" w:rsidR="00E37B2C" w:rsidRDefault="00E95089" w:rsidP="00E95089">
      <w:pPr>
        <w:tabs>
          <w:tab w:val="left" w:pos="2220"/>
        </w:tabs>
        <w:rPr>
          <w:rFonts w:eastAsiaTheme="minorEastAsia"/>
        </w:rPr>
      </w:pPr>
      <w:r>
        <w:rPr>
          <w:rFonts w:eastAsiaTheme="minorEastAsia"/>
        </w:rPr>
        <w:t>Volume(acid) =</w:t>
      </w:r>
      <w:r w:rsidR="00E37B2C">
        <w:rPr>
          <w:rFonts w:eastAsiaTheme="minorEastAsia"/>
        </w:rPr>
        <w:t xml:space="preserve"> Volume of acid to which the NaOH was added.</w:t>
      </w:r>
    </w:p>
    <w:p w14:paraId="5A5C83FE" w14:textId="77777777" w:rsidR="00E37B2C" w:rsidRDefault="00E37B2C" w:rsidP="00E95089">
      <w:pPr>
        <w:tabs>
          <w:tab w:val="left" w:pos="2220"/>
        </w:tabs>
        <w:rPr>
          <w:rFonts w:eastAsiaTheme="minorEastAsia"/>
        </w:rPr>
      </w:pPr>
    </w:p>
    <w:p w14:paraId="37A387B0" w14:textId="77777777" w:rsidR="00E37B2C" w:rsidRDefault="00E37B2C" w:rsidP="00E95089">
      <w:pPr>
        <w:tabs>
          <w:tab w:val="left" w:pos="2220"/>
        </w:tabs>
        <w:rPr>
          <w:rFonts w:eastAsiaTheme="minorEastAsia"/>
          <w:sz w:val="28"/>
          <w:szCs w:val="28"/>
        </w:rPr>
      </w:pPr>
      <w:r>
        <w:rPr>
          <w:rFonts w:eastAsiaTheme="minorEastAsia"/>
          <w:sz w:val="28"/>
          <w:szCs w:val="28"/>
        </w:rPr>
        <w:t>Application:</w:t>
      </w:r>
    </w:p>
    <w:p w14:paraId="03305977" w14:textId="635B60FE" w:rsidR="00E95089" w:rsidRDefault="00E37B2C" w:rsidP="00E95089">
      <w:pPr>
        <w:tabs>
          <w:tab w:val="left" w:pos="2220"/>
        </w:tabs>
        <w:rPr>
          <w:rFonts w:eastAsiaTheme="minorEastAsia"/>
        </w:rPr>
      </w:pPr>
      <w:r>
        <w:rPr>
          <w:rFonts w:eastAsiaTheme="minorEastAsia"/>
        </w:rPr>
        <w:t>Titration has numerous applications throughout the industries. Some of which are Medicine, Food industry and Education.</w:t>
      </w:r>
      <w:r w:rsidR="00CC4397">
        <w:rPr>
          <w:rFonts w:eastAsiaTheme="minorEastAsia"/>
        </w:rPr>
        <w:t xml:space="preserve"> In medicine titration can be used to obtain a required mix of compound drugs for example, when administering drugs to a patient using an Intravenous drip. Titration is also used to aid people with diabetes, this is done by using titration to monitor the patient’s blood glucose levels. Titration can also be used to determine the level of fats, sugars and vitamins in the food industry. Not only can it be used to determine levels of </w:t>
      </w:r>
      <w:r w:rsidR="008D543D">
        <w:rPr>
          <w:rFonts w:eastAsiaTheme="minorEastAsia"/>
        </w:rPr>
        <w:t xml:space="preserve">certain contents it can also be used to determine whether food is safe to consume or not, for example, the cheese industry. Titration also has applications within Ordnance, Munitions and Explosives (OME). Titration </w:t>
      </w:r>
      <w:r w:rsidR="00CA02F3">
        <w:rPr>
          <w:rFonts w:eastAsiaTheme="minorEastAsia"/>
        </w:rPr>
        <w:t>is</w:t>
      </w:r>
      <w:r w:rsidR="008D543D">
        <w:rPr>
          <w:rFonts w:eastAsiaTheme="minorEastAsia"/>
        </w:rPr>
        <w:t xml:space="preserve"> used to determine how much of explosive material</w:t>
      </w:r>
      <w:r w:rsidR="00CA02F3">
        <w:rPr>
          <w:rFonts w:eastAsiaTheme="minorEastAsia"/>
        </w:rPr>
        <w:t>(s) is present within an explosive substance, this could help identify the manufacture of the explosives in a criminal investigation scenario.</w:t>
      </w:r>
    </w:p>
    <w:p w14:paraId="7D5AABD8" w14:textId="77777777" w:rsidR="00CA02F3" w:rsidRDefault="00CA02F3" w:rsidP="00E95089">
      <w:pPr>
        <w:tabs>
          <w:tab w:val="left" w:pos="2220"/>
        </w:tabs>
        <w:rPr>
          <w:rFonts w:eastAsiaTheme="minorEastAsia"/>
        </w:rPr>
      </w:pPr>
    </w:p>
    <w:p w14:paraId="263915ED" w14:textId="222244BC" w:rsidR="00CA02F3" w:rsidRPr="00CA02F3" w:rsidRDefault="00CA02F3" w:rsidP="00E95089">
      <w:pPr>
        <w:tabs>
          <w:tab w:val="left" w:pos="2220"/>
        </w:tabs>
        <w:rPr>
          <w:rFonts w:eastAsiaTheme="minorEastAsia"/>
          <w:sz w:val="28"/>
          <w:szCs w:val="28"/>
        </w:rPr>
      </w:pPr>
      <w:r w:rsidRPr="00CA02F3">
        <w:rPr>
          <w:rFonts w:eastAsiaTheme="minorEastAsia"/>
          <w:sz w:val="28"/>
          <w:szCs w:val="28"/>
        </w:rPr>
        <w:t>Equipment:</w:t>
      </w:r>
    </w:p>
    <w:p w14:paraId="5FEA5E11" w14:textId="77777777" w:rsidR="00CA02F3" w:rsidRPr="00CA02F3" w:rsidRDefault="00CA02F3" w:rsidP="00CA02F3">
      <w:pPr>
        <w:numPr>
          <w:ilvl w:val="0"/>
          <w:numId w:val="1"/>
        </w:numPr>
        <w:tabs>
          <w:tab w:val="left" w:pos="2220"/>
        </w:tabs>
        <w:spacing w:line="360" w:lineRule="auto"/>
        <w:rPr>
          <w:rFonts w:eastAsiaTheme="minorEastAsia"/>
        </w:rPr>
      </w:pPr>
      <w:r w:rsidRPr="00CA02F3">
        <w:rPr>
          <w:rFonts w:eastAsiaTheme="minorEastAsia"/>
        </w:rPr>
        <w:t xml:space="preserve">Burette (50mL) attached to a burette stand with a </w:t>
      </w:r>
      <w:proofErr w:type="gramStart"/>
      <w:r w:rsidRPr="00CA02F3">
        <w:rPr>
          <w:rFonts w:eastAsiaTheme="minorEastAsia"/>
        </w:rPr>
        <w:t>clamp</w:t>
      </w:r>
      <w:proofErr w:type="gramEnd"/>
      <w:r w:rsidRPr="00CA02F3">
        <w:rPr>
          <w:rFonts w:eastAsiaTheme="minorEastAsia"/>
        </w:rPr>
        <w:t> </w:t>
      </w:r>
    </w:p>
    <w:p w14:paraId="3D279528" w14:textId="77777777" w:rsidR="00CA02F3" w:rsidRPr="00CA02F3" w:rsidRDefault="00CA02F3" w:rsidP="00CA02F3">
      <w:pPr>
        <w:numPr>
          <w:ilvl w:val="0"/>
          <w:numId w:val="1"/>
        </w:numPr>
        <w:tabs>
          <w:tab w:val="left" w:pos="2220"/>
        </w:tabs>
        <w:spacing w:line="360" w:lineRule="auto"/>
        <w:rPr>
          <w:rFonts w:eastAsiaTheme="minorEastAsia"/>
        </w:rPr>
      </w:pPr>
      <w:r w:rsidRPr="00CA02F3">
        <w:rPr>
          <w:rFonts w:eastAsiaTheme="minorEastAsia"/>
        </w:rPr>
        <w:t>Pipette (10mL) with pipette filler </w:t>
      </w:r>
    </w:p>
    <w:p w14:paraId="3291F759" w14:textId="787324D6" w:rsidR="00CA02F3" w:rsidRPr="00CA02F3" w:rsidRDefault="00CA02F3" w:rsidP="00CA02F3">
      <w:pPr>
        <w:numPr>
          <w:ilvl w:val="0"/>
          <w:numId w:val="1"/>
        </w:numPr>
        <w:tabs>
          <w:tab w:val="left" w:pos="2220"/>
        </w:tabs>
        <w:spacing w:line="360" w:lineRule="auto"/>
        <w:rPr>
          <w:rFonts w:eastAsiaTheme="minorEastAsia"/>
        </w:rPr>
      </w:pPr>
      <w:r w:rsidRPr="00CA02F3">
        <w:rPr>
          <w:rFonts w:eastAsiaTheme="minorEastAsia"/>
        </w:rPr>
        <w:t xml:space="preserve">Funnel to fill </w:t>
      </w:r>
      <w:proofErr w:type="gramStart"/>
      <w:r w:rsidRPr="00CA02F3">
        <w:rPr>
          <w:rFonts w:eastAsiaTheme="minorEastAsia"/>
        </w:rPr>
        <w:t>burette</w:t>
      </w:r>
      <w:proofErr w:type="gramEnd"/>
      <w:r w:rsidRPr="00CA02F3">
        <w:rPr>
          <w:rFonts w:eastAsiaTheme="minorEastAsia"/>
        </w:rPr>
        <w:t> </w:t>
      </w:r>
    </w:p>
    <w:p w14:paraId="24CAE6AD" w14:textId="1D1F2297" w:rsidR="00CA02F3" w:rsidRPr="00CA02F3" w:rsidRDefault="00CA02F3" w:rsidP="00CA02F3">
      <w:pPr>
        <w:numPr>
          <w:ilvl w:val="0"/>
          <w:numId w:val="2"/>
        </w:numPr>
        <w:tabs>
          <w:tab w:val="left" w:pos="2220"/>
        </w:tabs>
        <w:spacing w:line="360" w:lineRule="auto"/>
        <w:rPr>
          <w:rFonts w:eastAsiaTheme="minorEastAsia"/>
        </w:rPr>
      </w:pPr>
      <w:r w:rsidRPr="00CA02F3">
        <w:rPr>
          <w:rFonts w:eastAsiaTheme="minorEastAsia"/>
        </w:rPr>
        <w:t xml:space="preserve">250 mL </w:t>
      </w:r>
      <w:r>
        <w:rPr>
          <w:rFonts w:eastAsiaTheme="minorEastAsia"/>
        </w:rPr>
        <w:t>conical flask</w:t>
      </w:r>
      <w:r w:rsidRPr="00CA02F3">
        <w:rPr>
          <w:rFonts w:eastAsiaTheme="minorEastAsia"/>
        </w:rPr>
        <w:t> </w:t>
      </w:r>
    </w:p>
    <w:p w14:paraId="6F1AABB8" w14:textId="77777777" w:rsidR="00CA02F3" w:rsidRDefault="00CA02F3" w:rsidP="00CA02F3">
      <w:pPr>
        <w:numPr>
          <w:ilvl w:val="0"/>
          <w:numId w:val="2"/>
        </w:numPr>
        <w:tabs>
          <w:tab w:val="left" w:pos="2220"/>
        </w:tabs>
        <w:spacing w:line="360" w:lineRule="auto"/>
        <w:rPr>
          <w:rFonts w:eastAsiaTheme="minorEastAsia"/>
        </w:rPr>
      </w:pPr>
      <w:r w:rsidRPr="00CA02F3">
        <w:rPr>
          <w:rFonts w:eastAsiaTheme="minorEastAsia"/>
        </w:rPr>
        <w:t xml:space="preserve">White tile or white paper to go under conical </w:t>
      </w:r>
      <w:proofErr w:type="gramStart"/>
      <w:r w:rsidRPr="00CA02F3">
        <w:rPr>
          <w:rFonts w:eastAsiaTheme="minorEastAsia"/>
        </w:rPr>
        <w:t>flask</w:t>
      </w:r>
      <w:proofErr w:type="gramEnd"/>
    </w:p>
    <w:p w14:paraId="1C937608" w14:textId="77777777" w:rsidR="00CA02F3" w:rsidRDefault="00CA02F3" w:rsidP="00CA02F3">
      <w:pPr>
        <w:numPr>
          <w:ilvl w:val="0"/>
          <w:numId w:val="2"/>
        </w:numPr>
        <w:tabs>
          <w:tab w:val="left" w:pos="2220"/>
        </w:tabs>
        <w:spacing w:line="360" w:lineRule="auto"/>
        <w:rPr>
          <w:rFonts w:eastAsiaTheme="minorEastAsia"/>
        </w:rPr>
      </w:pPr>
      <w:r>
        <w:rPr>
          <w:rFonts w:eastAsiaTheme="minorEastAsia"/>
        </w:rPr>
        <w:t>Beaker for waste</w:t>
      </w:r>
    </w:p>
    <w:p w14:paraId="5F2EFFB3" w14:textId="77777777" w:rsidR="00CA02F3" w:rsidRDefault="00CA02F3" w:rsidP="00CA02F3">
      <w:pPr>
        <w:tabs>
          <w:tab w:val="left" w:pos="2220"/>
        </w:tabs>
        <w:rPr>
          <w:rFonts w:eastAsiaTheme="minorEastAsia"/>
          <w:sz w:val="28"/>
          <w:szCs w:val="28"/>
        </w:rPr>
      </w:pPr>
      <w:r>
        <w:rPr>
          <w:rFonts w:eastAsiaTheme="minorEastAsia"/>
          <w:sz w:val="28"/>
          <w:szCs w:val="28"/>
        </w:rPr>
        <w:t>Chemicals:</w:t>
      </w:r>
    </w:p>
    <w:p w14:paraId="475D143E" w14:textId="77777777" w:rsidR="00CA02F3" w:rsidRDefault="00CA02F3" w:rsidP="00CA02F3">
      <w:pPr>
        <w:pStyle w:val="paragraph"/>
        <w:numPr>
          <w:ilvl w:val="0"/>
          <w:numId w:val="3"/>
        </w:numPr>
        <w:spacing w:before="0" w:beforeAutospacing="0" w:after="0" w:afterAutospacing="0" w:line="360" w:lineRule="auto"/>
        <w:textAlignment w:val="baseline"/>
        <w:rPr>
          <w:rFonts w:ascii="Arial" w:hAnsi="Arial" w:cs="Arial"/>
        </w:rPr>
      </w:pPr>
      <w:r>
        <w:rPr>
          <w:rStyle w:val="normaltextrun"/>
          <w:rFonts w:ascii="Arial" w:hAnsi="Arial" w:cs="Arial"/>
        </w:rPr>
        <w:t>100mL of standard NaOH solution</w:t>
      </w:r>
      <w:r>
        <w:rPr>
          <w:rStyle w:val="eop"/>
          <w:rFonts w:ascii="Arial" w:hAnsi="Arial" w:cs="Arial"/>
        </w:rPr>
        <w:t> </w:t>
      </w:r>
    </w:p>
    <w:p w14:paraId="58DE7879" w14:textId="77777777" w:rsidR="00CA02F3" w:rsidRDefault="00CA02F3" w:rsidP="00CA02F3">
      <w:pPr>
        <w:pStyle w:val="paragraph"/>
        <w:numPr>
          <w:ilvl w:val="0"/>
          <w:numId w:val="3"/>
        </w:numPr>
        <w:spacing w:before="0" w:beforeAutospacing="0" w:after="0" w:afterAutospacing="0" w:line="360" w:lineRule="auto"/>
        <w:textAlignment w:val="baseline"/>
        <w:rPr>
          <w:rFonts w:ascii="Arial" w:hAnsi="Arial" w:cs="Arial"/>
        </w:rPr>
      </w:pPr>
      <w:r>
        <w:rPr>
          <w:rStyle w:val="normaltextrun"/>
          <w:rFonts w:ascii="Arial" w:hAnsi="Arial" w:cs="Arial"/>
        </w:rPr>
        <w:t>100mL of HCL solution with unknown concentration</w:t>
      </w:r>
      <w:r>
        <w:rPr>
          <w:rStyle w:val="eop"/>
          <w:rFonts w:ascii="Arial" w:hAnsi="Arial" w:cs="Arial"/>
        </w:rPr>
        <w:t> </w:t>
      </w:r>
    </w:p>
    <w:p w14:paraId="69C08DA6" w14:textId="77777777" w:rsidR="00CA02F3" w:rsidRDefault="00CA02F3" w:rsidP="00CA02F3">
      <w:pPr>
        <w:pStyle w:val="paragraph"/>
        <w:numPr>
          <w:ilvl w:val="0"/>
          <w:numId w:val="3"/>
        </w:numPr>
        <w:spacing w:before="0" w:beforeAutospacing="0" w:after="0" w:afterAutospacing="0" w:line="360" w:lineRule="auto"/>
        <w:textAlignment w:val="baseline"/>
        <w:rPr>
          <w:rStyle w:val="eop"/>
          <w:rFonts w:ascii="Arial" w:hAnsi="Arial" w:cs="Arial"/>
        </w:rPr>
      </w:pPr>
      <w:r>
        <w:rPr>
          <w:rStyle w:val="normaltextrun"/>
          <w:rFonts w:ascii="Arial" w:hAnsi="Arial" w:cs="Arial"/>
        </w:rPr>
        <w:lastRenderedPageBreak/>
        <w:t>Phenolphthalein indicator (colourless in acidic solution, pink in basic solution)</w:t>
      </w:r>
      <w:r>
        <w:rPr>
          <w:rStyle w:val="eop"/>
          <w:rFonts w:ascii="Arial" w:hAnsi="Arial" w:cs="Arial"/>
        </w:rPr>
        <w:t> </w:t>
      </w:r>
    </w:p>
    <w:p w14:paraId="228E9F74" w14:textId="77777777" w:rsidR="00CA02F3" w:rsidRDefault="00CA02F3" w:rsidP="00CA02F3">
      <w:pPr>
        <w:pStyle w:val="paragraph"/>
        <w:spacing w:before="0" w:beforeAutospacing="0" w:after="0" w:afterAutospacing="0" w:line="360" w:lineRule="auto"/>
        <w:textAlignment w:val="baseline"/>
        <w:rPr>
          <w:rStyle w:val="eop"/>
          <w:rFonts w:ascii="Arial" w:hAnsi="Arial" w:cs="Arial"/>
        </w:rPr>
      </w:pPr>
    </w:p>
    <w:p w14:paraId="510DEA14" w14:textId="77777777" w:rsidR="001544DF" w:rsidRDefault="001544DF" w:rsidP="00CA02F3">
      <w:pPr>
        <w:pStyle w:val="paragraph"/>
        <w:spacing w:before="0" w:beforeAutospacing="0" w:after="0" w:afterAutospacing="0" w:line="360" w:lineRule="auto"/>
        <w:textAlignment w:val="baseline"/>
        <w:rPr>
          <w:rStyle w:val="eop"/>
          <w:rFonts w:ascii="Arial" w:hAnsi="Arial" w:cs="Arial"/>
          <w:sz w:val="28"/>
          <w:szCs w:val="28"/>
        </w:rPr>
      </w:pPr>
    </w:p>
    <w:p w14:paraId="48391DAE" w14:textId="77777777" w:rsidR="001544DF" w:rsidRDefault="001544DF" w:rsidP="00CA02F3">
      <w:pPr>
        <w:pStyle w:val="paragraph"/>
        <w:spacing w:before="0" w:beforeAutospacing="0" w:after="0" w:afterAutospacing="0" w:line="360" w:lineRule="auto"/>
        <w:textAlignment w:val="baseline"/>
        <w:rPr>
          <w:rStyle w:val="eop"/>
          <w:rFonts w:ascii="Arial" w:hAnsi="Arial" w:cs="Arial"/>
          <w:sz w:val="28"/>
          <w:szCs w:val="28"/>
        </w:rPr>
      </w:pPr>
    </w:p>
    <w:p w14:paraId="7AF2928A" w14:textId="1DD9D124" w:rsidR="00CA02F3" w:rsidRDefault="00CA02F3" w:rsidP="00CA02F3">
      <w:pPr>
        <w:pStyle w:val="paragraph"/>
        <w:spacing w:before="0" w:beforeAutospacing="0" w:after="0" w:afterAutospacing="0" w:line="360" w:lineRule="auto"/>
        <w:textAlignment w:val="baseline"/>
        <w:rPr>
          <w:rStyle w:val="eop"/>
          <w:rFonts w:ascii="Arial" w:hAnsi="Arial" w:cs="Arial"/>
          <w:sz w:val="28"/>
          <w:szCs w:val="28"/>
        </w:rPr>
      </w:pPr>
      <w:r>
        <w:rPr>
          <w:rStyle w:val="eop"/>
          <w:rFonts w:ascii="Arial" w:hAnsi="Arial" w:cs="Arial"/>
          <w:sz w:val="28"/>
          <w:szCs w:val="28"/>
        </w:rPr>
        <w:t>Method:</w:t>
      </w:r>
    </w:p>
    <w:p w14:paraId="2D03D557" w14:textId="071C44AC" w:rsidR="007B2A50" w:rsidRDefault="006808C3" w:rsidP="007B2A50">
      <w:pPr>
        <w:pStyle w:val="paragraph"/>
        <w:spacing w:line="360" w:lineRule="auto"/>
        <w:rPr>
          <w:rFonts w:ascii="Arial" w:hAnsi="Arial" w:cs="Arial"/>
          <w:color w:val="FF0000"/>
        </w:rPr>
      </w:pPr>
      <w:r w:rsidRPr="006808C3">
        <w:rPr>
          <w:rFonts w:ascii="Arial" w:hAnsi="Arial" w:cs="Arial"/>
          <w:color w:val="FF0000"/>
        </w:rPr>
        <w:t>Notes: </w:t>
      </w:r>
    </w:p>
    <w:p w14:paraId="5F6FB20D" w14:textId="46E6890A" w:rsidR="007B2A50" w:rsidRDefault="007B2A50" w:rsidP="006808C3">
      <w:pPr>
        <w:pStyle w:val="paragraph"/>
        <w:numPr>
          <w:ilvl w:val="0"/>
          <w:numId w:val="6"/>
        </w:numPr>
        <w:spacing w:line="360" w:lineRule="auto"/>
        <w:rPr>
          <w:rFonts w:ascii="Arial" w:hAnsi="Arial" w:cs="Arial"/>
          <w:color w:val="FF0000"/>
        </w:rPr>
      </w:pPr>
      <w:r w:rsidRPr="007B2A50">
        <w:rPr>
          <w:rFonts w:ascii="Arial" w:hAnsi="Arial" w:cs="Arial"/>
          <w:color w:val="FF0000"/>
          <w:highlight w:val="yellow"/>
        </w:rPr>
        <w:t>Appropriate safety measures should be followed (Goggles, gloves, lab coat etc).</w:t>
      </w:r>
    </w:p>
    <w:p w14:paraId="4B3242E5" w14:textId="1524224C" w:rsidR="006808C3" w:rsidRPr="006808C3" w:rsidRDefault="006808C3" w:rsidP="006808C3">
      <w:pPr>
        <w:pStyle w:val="paragraph"/>
        <w:numPr>
          <w:ilvl w:val="0"/>
          <w:numId w:val="6"/>
        </w:numPr>
        <w:spacing w:line="360" w:lineRule="auto"/>
        <w:rPr>
          <w:rFonts w:ascii="Arial" w:hAnsi="Arial" w:cs="Arial"/>
          <w:color w:val="FF0000"/>
        </w:rPr>
      </w:pPr>
      <w:r w:rsidRPr="006808C3">
        <w:rPr>
          <w:rFonts w:ascii="Arial" w:hAnsi="Arial" w:cs="Arial"/>
          <w:color w:val="FF0000"/>
        </w:rPr>
        <w:t xml:space="preserve">The burette should be read from eye level </w:t>
      </w:r>
      <w:r>
        <w:rPr>
          <w:rFonts w:ascii="Arial" w:hAnsi="Arial" w:cs="Arial"/>
          <w:color w:val="FF0000"/>
        </w:rPr>
        <w:t>and from</w:t>
      </w:r>
      <w:r w:rsidRPr="006808C3">
        <w:rPr>
          <w:rFonts w:ascii="Arial" w:hAnsi="Arial" w:cs="Arial"/>
          <w:color w:val="FF0000"/>
        </w:rPr>
        <w:t xml:space="preserve"> the bottom of the meniscus</w:t>
      </w:r>
      <w:r w:rsidR="007B2A50">
        <w:rPr>
          <w:rFonts w:ascii="Arial" w:hAnsi="Arial" w:cs="Arial"/>
          <w:color w:val="FF0000"/>
        </w:rPr>
        <w:t>.</w:t>
      </w:r>
      <w:r w:rsidRPr="006808C3">
        <w:rPr>
          <w:rFonts w:ascii="Arial" w:hAnsi="Arial" w:cs="Arial"/>
          <w:color w:val="FF0000"/>
        </w:rPr>
        <w:t> </w:t>
      </w:r>
    </w:p>
    <w:p w14:paraId="623D2BC6" w14:textId="20BEC64E" w:rsidR="006808C3" w:rsidRPr="006808C3" w:rsidRDefault="006808C3" w:rsidP="006808C3">
      <w:pPr>
        <w:pStyle w:val="paragraph"/>
        <w:numPr>
          <w:ilvl w:val="0"/>
          <w:numId w:val="6"/>
        </w:numPr>
        <w:spacing w:line="360" w:lineRule="auto"/>
        <w:rPr>
          <w:rFonts w:ascii="Arial" w:hAnsi="Arial" w:cs="Arial"/>
          <w:color w:val="FF0000"/>
        </w:rPr>
      </w:pPr>
      <w:r w:rsidRPr="006808C3">
        <w:rPr>
          <w:rFonts w:ascii="Arial" w:hAnsi="Arial" w:cs="Arial"/>
          <w:color w:val="FF0000"/>
        </w:rPr>
        <w:t>All burette readings should be</w:t>
      </w:r>
      <w:r>
        <w:rPr>
          <w:rFonts w:ascii="Arial" w:hAnsi="Arial" w:cs="Arial"/>
          <w:color w:val="FF0000"/>
        </w:rPr>
        <w:t xml:space="preserve"> recorded</w:t>
      </w:r>
      <w:r w:rsidRPr="006808C3">
        <w:rPr>
          <w:rFonts w:ascii="Arial" w:hAnsi="Arial" w:cs="Arial"/>
          <w:color w:val="FF0000"/>
        </w:rPr>
        <w:t xml:space="preserve"> to two decimal places in which the second figure is either 0 or 5</w:t>
      </w:r>
      <w:r w:rsidR="007B2A50">
        <w:rPr>
          <w:rFonts w:ascii="Arial" w:hAnsi="Arial" w:cs="Arial"/>
          <w:color w:val="FF0000"/>
        </w:rPr>
        <w:t>.</w:t>
      </w:r>
    </w:p>
    <w:p w14:paraId="1F5C132A" w14:textId="67912830" w:rsidR="006808C3" w:rsidRDefault="006808C3" w:rsidP="00CA02F3">
      <w:pPr>
        <w:pStyle w:val="paragraph"/>
        <w:spacing w:before="0" w:beforeAutospacing="0" w:after="0" w:afterAutospacing="0" w:line="360" w:lineRule="auto"/>
        <w:textAlignment w:val="baseline"/>
        <w:rPr>
          <w:rStyle w:val="eop"/>
          <w:rFonts w:ascii="Arial" w:hAnsi="Arial" w:cs="Arial"/>
          <w:sz w:val="28"/>
          <w:szCs w:val="28"/>
        </w:rPr>
      </w:pPr>
    </w:p>
    <w:p w14:paraId="59D4C809"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Step 1</w:t>
      </w:r>
      <w:r>
        <w:rPr>
          <w:rStyle w:val="normaltextrun"/>
          <w:rFonts w:ascii="Arial" w:hAnsi="Arial" w:cs="Arial"/>
          <w:color w:val="000000"/>
        </w:rPr>
        <w:t xml:space="preserve"> – Wash equipment</w:t>
      </w:r>
      <w:r>
        <w:rPr>
          <w:rStyle w:val="eop"/>
          <w:rFonts w:ascii="Arial" w:hAnsi="Arial" w:cs="Arial"/>
          <w:color w:val="000000"/>
        </w:rPr>
        <w:t> </w:t>
      </w:r>
    </w:p>
    <w:p w14:paraId="530AD869" w14:textId="3DDDF6A3" w:rsidR="001544DF" w:rsidRDefault="001544DF" w:rsidP="001544DF">
      <w:pPr>
        <w:pStyle w:val="paragraph"/>
        <w:numPr>
          <w:ilvl w:val="0"/>
          <w:numId w:val="5"/>
        </w:numPr>
        <w:spacing w:before="0" w:beforeAutospacing="0" w:after="0" w:afterAutospacing="0"/>
        <w:ind w:left="1080" w:firstLine="0"/>
        <w:textAlignment w:val="baseline"/>
        <w:rPr>
          <w:rFonts w:ascii="Arial" w:hAnsi="Arial" w:cs="Arial"/>
        </w:rPr>
      </w:pPr>
      <w:r>
        <w:rPr>
          <w:rStyle w:val="normaltextrun"/>
          <w:rFonts w:ascii="Arial" w:hAnsi="Arial" w:cs="Arial"/>
          <w:color w:val="000000"/>
        </w:rPr>
        <w:t xml:space="preserve">Pipette – </w:t>
      </w:r>
      <w:r w:rsidR="006808C3">
        <w:rPr>
          <w:rStyle w:val="normaltextrun"/>
          <w:rFonts w:ascii="Arial" w:hAnsi="Arial" w:cs="Arial"/>
          <w:color w:val="000000"/>
        </w:rPr>
        <w:t xml:space="preserve">rinse gently </w:t>
      </w:r>
      <w:r>
        <w:rPr>
          <w:rStyle w:val="normaltextrun"/>
          <w:rFonts w:ascii="Arial" w:hAnsi="Arial" w:cs="Arial"/>
          <w:color w:val="000000"/>
        </w:rPr>
        <w:t>with a small volume of HCL (discard)</w:t>
      </w:r>
      <w:r w:rsidR="006808C3">
        <w:rPr>
          <w:rStyle w:val="normaltextrun"/>
          <w:rFonts w:ascii="Arial" w:hAnsi="Arial" w:cs="Arial"/>
          <w:color w:val="000000"/>
        </w:rPr>
        <w:t>.</w:t>
      </w:r>
      <w:r>
        <w:rPr>
          <w:rStyle w:val="eop"/>
          <w:rFonts w:ascii="Arial" w:hAnsi="Arial" w:cs="Arial"/>
          <w:color w:val="000000"/>
        </w:rPr>
        <w:t> </w:t>
      </w:r>
    </w:p>
    <w:p w14:paraId="621D177F" w14:textId="074B988B" w:rsidR="001544DF" w:rsidRPr="006808C3" w:rsidRDefault="001544DF" w:rsidP="001544DF">
      <w:pPr>
        <w:pStyle w:val="paragraph"/>
        <w:numPr>
          <w:ilvl w:val="0"/>
          <w:numId w:val="5"/>
        </w:numPr>
        <w:spacing w:before="0" w:beforeAutospacing="0" w:after="0" w:afterAutospacing="0"/>
        <w:ind w:left="1080" w:firstLine="0"/>
        <w:textAlignment w:val="baseline"/>
        <w:rPr>
          <w:rFonts w:ascii="Arial" w:hAnsi="Arial" w:cs="Arial"/>
          <w:b/>
          <w:bCs/>
        </w:rPr>
      </w:pPr>
      <w:r>
        <w:rPr>
          <w:rStyle w:val="normaltextrun"/>
          <w:rFonts w:ascii="Arial" w:hAnsi="Arial" w:cs="Arial"/>
          <w:color w:val="000000"/>
        </w:rPr>
        <w:t>Burette –</w:t>
      </w:r>
      <w:r w:rsidR="006808C3">
        <w:rPr>
          <w:rStyle w:val="normaltextrun"/>
          <w:rFonts w:ascii="Arial" w:hAnsi="Arial" w:cs="Arial"/>
          <w:color w:val="000000"/>
        </w:rPr>
        <w:t xml:space="preserve"> rinse gently</w:t>
      </w:r>
      <w:r>
        <w:rPr>
          <w:rStyle w:val="normaltextrun"/>
          <w:rFonts w:ascii="Arial" w:hAnsi="Arial" w:cs="Arial"/>
          <w:color w:val="000000"/>
        </w:rPr>
        <w:t xml:space="preserve"> with a small amount of NaOH</w:t>
      </w:r>
      <w:r w:rsidR="006808C3">
        <w:rPr>
          <w:rStyle w:val="normaltextrun"/>
          <w:rFonts w:ascii="Arial" w:hAnsi="Arial" w:cs="Arial"/>
          <w:color w:val="000000"/>
        </w:rPr>
        <w:t>,</w:t>
      </w:r>
      <w:r>
        <w:rPr>
          <w:rStyle w:val="normaltextrun"/>
          <w:rFonts w:ascii="Arial" w:hAnsi="Arial" w:cs="Arial"/>
          <w:color w:val="000000"/>
        </w:rPr>
        <w:t xml:space="preserve"> </w:t>
      </w:r>
      <w:r w:rsidRPr="006808C3">
        <w:rPr>
          <w:rStyle w:val="normaltextrun"/>
          <w:rFonts w:ascii="Arial" w:hAnsi="Arial" w:cs="Arial"/>
          <w:color w:val="000000"/>
        </w:rPr>
        <w:t>use the funnel to pour into the burette</w:t>
      </w:r>
      <w:r w:rsidR="006808C3">
        <w:rPr>
          <w:rStyle w:val="normaltextrun"/>
          <w:rFonts w:ascii="Arial" w:hAnsi="Arial" w:cs="Arial"/>
          <w:color w:val="000000"/>
        </w:rPr>
        <w:t>(discard)</w:t>
      </w:r>
      <w:r w:rsidRPr="006808C3">
        <w:rPr>
          <w:rStyle w:val="normaltextrun"/>
          <w:rFonts w:ascii="Arial" w:hAnsi="Arial" w:cs="Arial"/>
          <w:color w:val="000000"/>
        </w:rPr>
        <w:t>.</w:t>
      </w:r>
      <w:r w:rsidRPr="006808C3">
        <w:rPr>
          <w:rStyle w:val="eop"/>
          <w:rFonts w:ascii="Arial" w:hAnsi="Arial" w:cs="Arial"/>
          <w:b/>
          <w:bCs/>
          <w:color w:val="000000"/>
        </w:rPr>
        <w:t> </w:t>
      </w:r>
    </w:p>
    <w:p w14:paraId="111B5DCC" w14:textId="53C81517" w:rsidR="001544DF" w:rsidRDefault="001544DF" w:rsidP="001544DF">
      <w:pPr>
        <w:pStyle w:val="paragraph"/>
        <w:numPr>
          <w:ilvl w:val="0"/>
          <w:numId w:val="5"/>
        </w:numPr>
        <w:spacing w:before="0" w:beforeAutospacing="0" w:after="0" w:afterAutospacing="0"/>
        <w:ind w:left="1080" w:firstLine="0"/>
        <w:textAlignment w:val="baseline"/>
        <w:rPr>
          <w:rFonts w:ascii="Arial" w:hAnsi="Arial" w:cs="Arial"/>
        </w:rPr>
      </w:pPr>
      <w:r>
        <w:rPr>
          <w:rStyle w:val="normaltextrun"/>
          <w:rFonts w:ascii="Arial" w:hAnsi="Arial" w:cs="Arial"/>
          <w:color w:val="000000"/>
        </w:rPr>
        <w:t xml:space="preserve">Conical flask – </w:t>
      </w:r>
      <w:r w:rsidR="006808C3">
        <w:rPr>
          <w:rStyle w:val="normaltextrun"/>
          <w:rFonts w:ascii="Arial" w:hAnsi="Arial" w:cs="Arial"/>
          <w:color w:val="000000"/>
        </w:rPr>
        <w:t xml:space="preserve">rinse gently </w:t>
      </w:r>
      <w:r>
        <w:rPr>
          <w:rStyle w:val="normaltextrun"/>
          <w:rFonts w:ascii="Arial" w:hAnsi="Arial" w:cs="Arial"/>
          <w:color w:val="000000"/>
        </w:rPr>
        <w:t>with a small amount of distilled water</w:t>
      </w:r>
      <w:r>
        <w:rPr>
          <w:rStyle w:val="eop"/>
          <w:rFonts w:ascii="Arial" w:hAnsi="Arial" w:cs="Arial"/>
          <w:color w:val="000000"/>
        </w:rPr>
        <w:t> </w:t>
      </w:r>
      <w:r w:rsidR="006808C3">
        <w:rPr>
          <w:rStyle w:val="eop"/>
          <w:rFonts w:ascii="Arial" w:hAnsi="Arial" w:cs="Arial"/>
          <w:color w:val="000000"/>
        </w:rPr>
        <w:t>(discard).</w:t>
      </w:r>
    </w:p>
    <w:p w14:paraId="61EA1BD8" w14:textId="63916FA4" w:rsidR="001544DF" w:rsidRDefault="001544DF" w:rsidP="006808C3">
      <w:pPr>
        <w:pStyle w:val="paragraph"/>
        <w:spacing w:before="0" w:beforeAutospacing="0" w:after="0" w:afterAutospacing="0"/>
        <w:ind w:left="1080"/>
        <w:textAlignment w:val="baseline"/>
        <w:rPr>
          <w:rFonts w:ascii="Arial" w:hAnsi="Arial" w:cs="Arial"/>
        </w:rPr>
      </w:pPr>
    </w:p>
    <w:p w14:paraId="6D3B2B45"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Step 2</w:t>
      </w:r>
      <w:r>
        <w:rPr>
          <w:rStyle w:val="normaltextrun"/>
          <w:rFonts w:ascii="Arial" w:hAnsi="Arial" w:cs="Arial"/>
          <w:color w:val="000000"/>
        </w:rPr>
        <w:t xml:space="preserve"> – Using the funnel, fill the burette with standard NaOH solution, allow some of the NaOH to go through the tap until the bottom of the meniscus is level with the 0 level. Make sure there are no air bubbles at all as this will affect the volume of NaOH. Take an initial reading.</w:t>
      </w:r>
      <w:r>
        <w:rPr>
          <w:rStyle w:val="eop"/>
          <w:rFonts w:ascii="Arial" w:hAnsi="Arial" w:cs="Arial"/>
          <w:color w:val="000000"/>
        </w:rPr>
        <w:t> </w:t>
      </w:r>
    </w:p>
    <w:p w14:paraId="11F7F54C"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08A2891"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Step 3</w:t>
      </w:r>
      <w:r>
        <w:rPr>
          <w:rStyle w:val="normaltextrun"/>
          <w:rFonts w:ascii="Arial" w:hAnsi="Arial" w:cs="Arial"/>
          <w:color w:val="000000"/>
        </w:rPr>
        <w:t xml:space="preserve"> – Using the pipette, fill the clean conical flask with 25mL of HCL solution.</w:t>
      </w:r>
      <w:r>
        <w:rPr>
          <w:rStyle w:val="eop"/>
          <w:rFonts w:ascii="Arial" w:hAnsi="Arial" w:cs="Arial"/>
          <w:color w:val="000000"/>
        </w:rPr>
        <w:t> </w:t>
      </w:r>
    </w:p>
    <w:p w14:paraId="7F433935"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0F6B43E"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Step 4</w:t>
      </w:r>
      <w:r>
        <w:rPr>
          <w:rStyle w:val="normaltextrun"/>
          <w:rFonts w:ascii="Arial" w:hAnsi="Arial" w:cs="Arial"/>
          <w:color w:val="000000"/>
        </w:rPr>
        <w:t xml:space="preserve"> – Add 3-4 drops of phenolphthalein indicator to the flask with acid and mix.</w:t>
      </w:r>
      <w:r>
        <w:rPr>
          <w:rStyle w:val="eop"/>
          <w:rFonts w:ascii="Arial" w:hAnsi="Arial" w:cs="Arial"/>
          <w:color w:val="000000"/>
        </w:rPr>
        <w:t> </w:t>
      </w:r>
    </w:p>
    <w:p w14:paraId="236D9075"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D4B9B7E"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Step 5</w:t>
      </w:r>
      <w:r>
        <w:rPr>
          <w:rStyle w:val="normaltextrun"/>
          <w:rFonts w:ascii="Arial" w:hAnsi="Arial" w:cs="Arial"/>
          <w:color w:val="000000"/>
        </w:rPr>
        <w:t xml:space="preserve"> – Using the tap on the burette, add the NaOH solution in the conical flask, mixing continuously until the solution changes colour to pink (the pink colour must stay for at least 30 seconds). Record final reading.</w:t>
      </w:r>
      <w:r>
        <w:rPr>
          <w:rStyle w:val="eop"/>
          <w:rFonts w:ascii="Arial" w:hAnsi="Arial" w:cs="Arial"/>
          <w:color w:val="000000"/>
        </w:rPr>
        <w:t> </w:t>
      </w:r>
    </w:p>
    <w:p w14:paraId="1898F316"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EB26351"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Step 6</w:t>
      </w:r>
      <w:r>
        <w:rPr>
          <w:rStyle w:val="normaltextrun"/>
          <w:rFonts w:ascii="Arial" w:hAnsi="Arial" w:cs="Arial"/>
          <w:color w:val="000000"/>
        </w:rPr>
        <w:t xml:space="preserve"> – Repeat steps 2, 3 and 4.</w:t>
      </w:r>
      <w:r>
        <w:rPr>
          <w:rStyle w:val="eop"/>
          <w:rFonts w:ascii="Arial" w:hAnsi="Arial" w:cs="Arial"/>
          <w:color w:val="000000"/>
        </w:rPr>
        <w:t> </w:t>
      </w:r>
    </w:p>
    <w:p w14:paraId="5C98E979"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141B8FF"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Step 7</w:t>
      </w:r>
      <w:r>
        <w:rPr>
          <w:rStyle w:val="normaltextrun"/>
          <w:rFonts w:ascii="Arial" w:hAnsi="Arial" w:cs="Arial"/>
          <w:color w:val="000000"/>
        </w:rPr>
        <w:t xml:space="preserve"> – Add the NaOH to the conical flask containing the acid/indicator solution until the volume of NaOH used comes within 2mL of what was recorded from the rough titration recorded in step 5. Slow the rate that the NaOH is being added into the acid mixture until it is flowing drip by drip (this is so you can accurately read the volume of NaOH required to neutralise the solution within one drop (approx. 0.05Ml). </w:t>
      </w:r>
      <w:r>
        <w:rPr>
          <w:rStyle w:val="normaltextrun"/>
          <w:rFonts w:ascii="Arial" w:hAnsi="Arial" w:cs="Arial"/>
          <w:color w:val="000000"/>
        </w:rPr>
        <w:lastRenderedPageBreak/>
        <w:t>Take a reading from the bottom of the meniscus within 0.05mL at the first change of colour (the lighter the pink the better).</w:t>
      </w:r>
      <w:r>
        <w:rPr>
          <w:rStyle w:val="eop"/>
          <w:rFonts w:ascii="Arial" w:hAnsi="Arial" w:cs="Arial"/>
          <w:color w:val="000000"/>
        </w:rPr>
        <w:t> </w:t>
      </w:r>
    </w:p>
    <w:p w14:paraId="0162FA03" w14:textId="77777777" w:rsidR="001544DF" w:rsidRDefault="001544DF" w:rsidP="001544DF">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4D1E03CE" w14:textId="77777777" w:rsidR="001544DF" w:rsidRDefault="001544DF" w:rsidP="001544DF">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b/>
          <w:bCs/>
          <w:color w:val="000000"/>
        </w:rPr>
        <w:t xml:space="preserve">Step 8 </w:t>
      </w:r>
      <w:r>
        <w:rPr>
          <w:rStyle w:val="normaltextrun"/>
          <w:rFonts w:ascii="Arial" w:hAnsi="Arial" w:cs="Arial"/>
          <w:color w:val="000000"/>
        </w:rPr>
        <w:t>– Repeat steps 6 and 7 until adequate results are collected (either two results with 0.06 of each other or three results within 0.10 of each other).</w:t>
      </w:r>
      <w:r>
        <w:rPr>
          <w:rStyle w:val="eop"/>
          <w:rFonts w:ascii="Arial" w:hAnsi="Arial" w:cs="Arial"/>
          <w:color w:val="000000"/>
        </w:rPr>
        <w:t> </w:t>
      </w:r>
    </w:p>
    <w:p w14:paraId="2756B3C7" w14:textId="77777777" w:rsidR="001544DF" w:rsidRDefault="001544DF" w:rsidP="001544DF">
      <w:pPr>
        <w:pStyle w:val="paragraph"/>
        <w:spacing w:before="0" w:beforeAutospacing="0" w:after="0" w:afterAutospacing="0"/>
        <w:textAlignment w:val="baseline"/>
        <w:rPr>
          <w:rStyle w:val="eop"/>
          <w:rFonts w:ascii="Arial" w:hAnsi="Arial" w:cs="Arial"/>
          <w:color w:val="000000"/>
        </w:rPr>
      </w:pPr>
    </w:p>
    <w:p w14:paraId="3DCD59A2" w14:textId="1695F748" w:rsidR="001544DF" w:rsidRDefault="001544DF" w:rsidP="006F65BC">
      <w:pPr>
        <w:pStyle w:val="paragraph"/>
        <w:spacing w:before="0" w:beforeAutospacing="0" w:after="0" w:afterAutospacing="0"/>
        <w:textAlignment w:val="baseline"/>
        <w:rPr>
          <w:rStyle w:val="eop"/>
          <w:rFonts w:ascii="Arial" w:hAnsi="Arial" w:cs="Arial"/>
          <w:b/>
          <w:bCs/>
          <w:color w:val="000000"/>
          <w:sz w:val="28"/>
          <w:szCs w:val="28"/>
        </w:rPr>
      </w:pPr>
      <w:r w:rsidRPr="001544DF">
        <w:rPr>
          <w:rStyle w:val="eop"/>
          <w:rFonts w:ascii="Arial" w:hAnsi="Arial" w:cs="Arial"/>
          <w:color w:val="000000"/>
          <w:sz w:val="28"/>
          <w:szCs w:val="28"/>
        </w:rPr>
        <w:t>Results:</w:t>
      </w:r>
      <w:r w:rsidR="006F65BC">
        <w:rPr>
          <w:rStyle w:val="eop"/>
          <w:rFonts w:ascii="Arial" w:hAnsi="Arial" w:cs="Arial"/>
          <w:color w:val="000000"/>
          <w:sz w:val="28"/>
          <w:szCs w:val="28"/>
        </w:rPr>
        <w:t xml:space="preserve"> </w:t>
      </w:r>
      <w:r w:rsidR="006F65BC" w:rsidRPr="006F65BC">
        <w:rPr>
          <w:rStyle w:val="eop"/>
          <w:rFonts w:ascii="Arial" w:hAnsi="Arial" w:cs="Arial"/>
          <w:b/>
          <w:bCs/>
          <w:color w:val="000000"/>
          <w:sz w:val="28"/>
          <w:szCs w:val="28"/>
        </w:rPr>
        <w:t>Original data sheet used in experiment</w:t>
      </w:r>
    </w:p>
    <w:p w14:paraId="2F3803C7" w14:textId="77777777" w:rsidR="006F65BC" w:rsidRPr="006F65BC" w:rsidRDefault="006F65BC" w:rsidP="006F65BC">
      <w:pPr>
        <w:pStyle w:val="paragraph"/>
        <w:spacing w:before="0" w:beforeAutospacing="0" w:after="0" w:afterAutospacing="0"/>
        <w:textAlignment w:val="baseline"/>
        <w:rPr>
          <w:rFonts w:ascii="Segoe UI" w:hAnsi="Segoe UI" w:cs="Segoe UI"/>
          <w:b/>
          <w:bCs/>
          <w:sz w:val="28"/>
          <w:szCs w:val="28"/>
        </w:rPr>
      </w:pPr>
    </w:p>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1544DF" w14:paraId="4858ECF3" w14:textId="77777777" w:rsidTr="001544DF">
        <w:tc>
          <w:tcPr>
            <w:tcW w:w="1803" w:type="dxa"/>
            <w:tcBorders>
              <w:top w:val="single" w:sz="4" w:space="0" w:color="auto"/>
              <w:left w:val="single" w:sz="4" w:space="0" w:color="auto"/>
              <w:bottom w:val="single" w:sz="4" w:space="0" w:color="auto"/>
              <w:right w:val="single" w:sz="4" w:space="0" w:color="auto"/>
            </w:tcBorders>
            <w:hideMark/>
          </w:tcPr>
          <w:p w14:paraId="058782F2" w14:textId="77777777" w:rsidR="001544DF" w:rsidRDefault="001544DF">
            <w:pPr>
              <w:spacing w:line="360" w:lineRule="auto"/>
              <w:rPr>
                <w:rFonts w:eastAsia="Times New Roman" w:cstheme="minorHAnsi"/>
                <w:b/>
                <w:bCs/>
                <w:i/>
                <w:iCs/>
              </w:rPr>
            </w:pPr>
            <w:r>
              <w:rPr>
                <w:rFonts w:eastAsia="Times New Roman" w:cstheme="minorHAnsi"/>
                <w:b/>
                <w:bCs/>
                <w:i/>
                <w:iCs/>
              </w:rPr>
              <w:t>FLASK</w:t>
            </w:r>
          </w:p>
        </w:tc>
        <w:tc>
          <w:tcPr>
            <w:tcW w:w="1803" w:type="dxa"/>
            <w:tcBorders>
              <w:top w:val="single" w:sz="4" w:space="0" w:color="auto"/>
              <w:left w:val="single" w:sz="4" w:space="0" w:color="auto"/>
              <w:bottom w:val="single" w:sz="4" w:space="0" w:color="auto"/>
              <w:right w:val="single" w:sz="4" w:space="0" w:color="auto"/>
            </w:tcBorders>
            <w:hideMark/>
          </w:tcPr>
          <w:p w14:paraId="3AB72241" w14:textId="77777777"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1 rough titration</w:t>
            </w:r>
          </w:p>
        </w:tc>
        <w:tc>
          <w:tcPr>
            <w:tcW w:w="1803" w:type="dxa"/>
            <w:tcBorders>
              <w:top w:val="single" w:sz="4" w:space="0" w:color="auto"/>
              <w:left w:val="single" w:sz="4" w:space="0" w:color="auto"/>
              <w:bottom w:val="single" w:sz="4" w:space="0" w:color="auto"/>
              <w:right w:val="single" w:sz="4" w:space="0" w:color="auto"/>
            </w:tcBorders>
            <w:hideMark/>
          </w:tcPr>
          <w:p w14:paraId="1EA9F520" w14:textId="77777777"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2</w:t>
            </w:r>
          </w:p>
        </w:tc>
        <w:tc>
          <w:tcPr>
            <w:tcW w:w="1803" w:type="dxa"/>
            <w:tcBorders>
              <w:top w:val="single" w:sz="4" w:space="0" w:color="auto"/>
              <w:left w:val="single" w:sz="4" w:space="0" w:color="auto"/>
              <w:bottom w:val="single" w:sz="4" w:space="0" w:color="auto"/>
              <w:right w:val="single" w:sz="4" w:space="0" w:color="auto"/>
            </w:tcBorders>
            <w:hideMark/>
          </w:tcPr>
          <w:p w14:paraId="792D9A79" w14:textId="77777777"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3</w:t>
            </w:r>
          </w:p>
        </w:tc>
        <w:tc>
          <w:tcPr>
            <w:tcW w:w="1804" w:type="dxa"/>
            <w:tcBorders>
              <w:top w:val="single" w:sz="4" w:space="0" w:color="auto"/>
              <w:left w:val="single" w:sz="4" w:space="0" w:color="auto"/>
              <w:bottom w:val="single" w:sz="4" w:space="0" w:color="auto"/>
              <w:right w:val="single" w:sz="4" w:space="0" w:color="auto"/>
            </w:tcBorders>
            <w:hideMark/>
          </w:tcPr>
          <w:p w14:paraId="658C0998" w14:textId="77777777"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4</w:t>
            </w:r>
          </w:p>
        </w:tc>
      </w:tr>
      <w:tr w:rsidR="001544DF" w14:paraId="205BD290" w14:textId="77777777" w:rsidTr="001544DF">
        <w:tc>
          <w:tcPr>
            <w:tcW w:w="1803" w:type="dxa"/>
            <w:tcBorders>
              <w:top w:val="single" w:sz="4" w:space="0" w:color="auto"/>
              <w:left w:val="single" w:sz="4" w:space="0" w:color="auto"/>
              <w:bottom w:val="single" w:sz="4" w:space="0" w:color="auto"/>
              <w:right w:val="single" w:sz="4" w:space="0" w:color="auto"/>
            </w:tcBorders>
            <w:hideMark/>
          </w:tcPr>
          <w:p w14:paraId="1687133A" w14:textId="77777777"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Pr>
                <w:rFonts w:eastAsia="Times New Roman" w:cstheme="minorHAnsi"/>
                <w:b/>
                <w:bCs/>
                <w:i/>
                <w:iCs/>
                <w:sz w:val="24"/>
                <w:szCs w:val="24"/>
                <w:vertAlign w:val="subscript"/>
              </w:rPr>
              <w:t xml:space="preserve">HCl </w:t>
            </w:r>
            <w:r>
              <w:rPr>
                <w:rFonts w:eastAsia="Times New Roman" w:cstheme="minorHAnsi"/>
                <w:b/>
                <w:bCs/>
                <w:i/>
                <w:iCs/>
                <w:sz w:val="24"/>
                <w:szCs w:val="24"/>
              </w:rPr>
              <w:t xml:space="preserve">(mL) </w:t>
            </w:r>
          </w:p>
          <w:p w14:paraId="56F94F97" w14:textId="77777777"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from pipette</w:t>
            </w:r>
          </w:p>
        </w:tc>
        <w:tc>
          <w:tcPr>
            <w:tcW w:w="1803" w:type="dxa"/>
            <w:tcBorders>
              <w:top w:val="single" w:sz="4" w:space="0" w:color="auto"/>
              <w:left w:val="single" w:sz="4" w:space="0" w:color="auto"/>
              <w:bottom w:val="single" w:sz="4" w:space="0" w:color="auto"/>
              <w:right w:val="single" w:sz="4" w:space="0" w:color="auto"/>
            </w:tcBorders>
          </w:tcPr>
          <w:p w14:paraId="356F448C" w14:textId="5EA0957B"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25mL</w:t>
            </w:r>
          </w:p>
        </w:tc>
        <w:tc>
          <w:tcPr>
            <w:tcW w:w="1803" w:type="dxa"/>
            <w:tcBorders>
              <w:top w:val="single" w:sz="4" w:space="0" w:color="auto"/>
              <w:left w:val="single" w:sz="4" w:space="0" w:color="auto"/>
              <w:bottom w:val="single" w:sz="4" w:space="0" w:color="auto"/>
              <w:right w:val="single" w:sz="4" w:space="0" w:color="auto"/>
            </w:tcBorders>
          </w:tcPr>
          <w:p w14:paraId="08A58FE5" w14:textId="7BC7C538"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25mL</w:t>
            </w:r>
          </w:p>
        </w:tc>
        <w:tc>
          <w:tcPr>
            <w:tcW w:w="1803" w:type="dxa"/>
            <w:tcBorders>
              <w:top w:val="single" w:sz="4" w:space="0" w:color="auto"/>
              <w:left w:val="single" w:sz="4" w:space="0" w:color="auto"/>
              <w:bottom w:val="single" w:sz="4" w:space="0" w:color="auto"/>
              <w:right w:val="single" w:sz="4" w:space="0" w:color="auto"/>
            </w:tcBorders>
          </w:tcPr>
          <w:p w14:paraId="528E0048" w14:textId="27C2FE61"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25mL</w:t>
            </w:r>
          </w:p>
        </w:tc>
        <w:tc>
          <w:tcPr>
            <w:tcW w:w="1804" w:type="dxa"/>
            <w:tcBorders>
              <w:top w:val="single" w:sz="4" w:space="0" w:color="auto"/>
              <w:left w:val="single" w:sz="4" w:space="0" w:color="auto"/>
              <w:bottom w:val="single" w:sz="4" w:space="0" w:color="auto"/>
              <w:right w:val="single" w:sz="4" w:space="0" w:color="auto"/>
            </w:tcBorders>
          </w:tcPr>
          <w:p w14:paraId="2CADBDEC" w14:textId="16DA8219"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25mL</w:t>
            </w:r>
          </w:p>
        </w:tc>
      </w:tr>
      <w:tr w:rsidR="001544DF" w14:paraId="58591403" w14:textId="77777777" w:rsidTr="001544DF">
        <w:tc>
          <w:tcPr>
            <w:tcW w:w="1803" w:type="dxa"/>
            <w:tcBorders>
              <w:top w:val="single" w:sz="4" w:space="0" w:color="auto"/>
              <w:left w:val="single" w:sz="4" w:space="0" w:color="auto"/>
              <w:bottom w:val="single" w:sz="4" w:space="0" w:color="auto"/>
              <w:right w:val="single" w:sz="4" w:space="0" w:color="auto"/>
            </w:tcBorders>
            <w:hideMark/>
          </w:tcPr>
          <w:p w14:paraId="7DA9B141" w14:textId="77777777"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 xml:space="preserve">Initial burette reading </w:t>
            </w:r>
          </w:p>
        </w:tc>
        <w:tc>
          <w:tcPr>
            <w:tcW w:w="1803" w:type="dxa"/>
            <w:tcBorders>
              <w:top w:val="single" w:sz="4" w:space="0" w:color="auto"/>
              <w:left w:val="single" w:sz="4" w:space="0" w:color="auto"/>
              <w:bottom w:val="single" w:sz="4" w:space="0" w:color="auto"/>
              <w:right w:val="single" w:sz="4" w:space="0" w:color="auto"/>
            </w:tcBorders>
          </w:tcPr>
          <w:p w14:paraId="72020DBC" w14:textId="07018C4E"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47.6mL</w:t>
            </w:r>
          </w:p>
        </w:tc>
        <w:tc>
          <w:tcPr>
            <w:tcW w:w="1803" w:type="dxa"/>
            <w:tcBorders>
              <w:top w:val="single" w:sz="4" w:space="0" w:color="auto"/>
              <w:left w:val="single" w:sz="4" w:space="0" w:color="auto"/>
              <w:bottom w:val="single" w:sz="4" w:space="0" w:color="auto"/>
              <w:right w:val="single" w:sz="4" w:space="0" w:color="auto"/>
            </w:tcBorders>
          </w:tcPr>
          <w:p w14:paraId="53D5E0B4" w14:textId="74A7798A"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64.6mL</w:t>
            </w:r>
          </w:p>
        </w:tc>
        <w:tc>
          <w:tcPr>
            <w:tcW w:w="1803" w:type="dxa"/>
            <w:tcBorders>
              <w:top w:val="single" w:sz="4" w:space="0" w:color="auto"/>
              <w:left w:val="single" w:sz="4" w:space="0" w:color="auto"/>
              <w:bottom w:val="single" w:sz="4" w:space="0" w:color="auto"/>
              <w:right w:val="single" w:sz="4" w:space="0" w:color="auto"/>
            </w:tcBorders>
          </w:tcPr>
          <w:p w14:paraId="4F1A3986" w14:textId="4B1DD33F"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81.2mL</w:t>
            </w:r>
          </w:p>
        </w:tc>
        <w:tc>
          <w:tcPr>
            <w:tcW w:w="1804" w:type="dxa"/>
            <w:tcBorders>
              <w:top w:val="single" w:sz="4" w:space="0" w:color="auto"/>
              <w:left w:val="single" w:sz="4" w:space="0" w:color="auto"/>
              <w:bottom w:val="single" w:sz="4" w:space="0" w:color="auto"/>
              <w:right w:val="single" w:sz="4" w:space="0" w:color="auto"/>
            </w:tcBorders>
          </w:tcPr>
          <w:p w14:paraId="3C1DA53E" w14:textId="5E542573"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78mL</w:t>
            </w:r>
          </w:p>
        </w:tc>
      </w:tr>
      <w:tr w:rsidR="001544DF" w14:paraId="2D4FE5A4" w14:textId="77777777" w:rsidTr="001544DF">
        <w:tc>
          <w:tcPr>
            <w:tcW w:w="1803" w:type="dxa"/>
            <w:tcBorders>
              <w:top w:val="single" w:sz="4" w:space="0" w:color="auto"/>
              <w:left w:val="single" w:sz="4" w:space="0" w:color="auto"/>
              <w:bottom w:val="single" w:sz="4" w:space="0" w:color="auto"/>
              <w:right w:val="single" w:sz="4" w:space="0" w:color="auto"/>
            </w:tcBorders>
            <w:hideMark/>
          </w:tcPr>
          <w:p w14:paraId="6C61A4C8" w14:textId="77777777"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Final burette reading</w:t>
            </w:r>
          </w:p>
        </w:tc>
        <w:tc>
          <w:tcPr>
            <w:tcW w:w="1803" w:type="dxa"/>
            <w:tcBorders>
              <w:top w:val="single" w:sz="4" w:space="0" w:color="auto"/>
              <w:left w:val="single" w:sz="4" w:space="0" w:color="auto"/>
              <w:bottom w:val="single" w:sz="4" w:space="0" w:color="auto"/>
              <w:right w:val="single" w:sz="4" w:space="0" w:color="auto"/>
            </w:tcBorders>
          </w:tcPr>
          <w:p w14:paraId="78FB89DC" w14:textId="5F1FC895"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64.6mL</w:t>
            </w:r>
          </w:p>
        </w:tc>
        <w:tc>
          <w:tcPr>
            <w:tcW w:w="1803" w:type="dxa"/>
            <w:tcBorders>
              <w:top w:val="single" w:sz="4" w:space="0" w:color="auto"/>
              <w:left w:val="single" w:sz="4" w:space="0" w:color="auto"/>
              <w:bottom w:val="single" w:sz="4" w:space="0" w:color="auto"/>
              <w:right w:val="single" w:sz="4" w:space="0" w:color="auto"/>
            </w:tcBorders>
          </w:tcPr>
          <w:p w14:paraId="64E4AAD7" w14:textId="20BAF582"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81.20mL</w:t>
            </w:r>
          </w:p>
        </w:tc>
        <w:tc>
          <w:tcPr>
            <w:tcW w:w="1803" w:type="dxa"/>
            <w:tcBorders>
              <w:top w:val="single" w:sz="4" w:space="0" w:color="auto"/>
              <w:left w:val="single" w:sz="4" w:space="0" w:color="auto"/>
              <w:bottom w:val="single" w:sz="4" w:space="0" w:color="auto"/>
              <w:right w:val="single" w:sz="4" w:space="0" w:color="auto"/>
            </w:tcBorders>
          </w:tcPr>
          <w:p w14:paraId="337AE5EE" w14:textId="0645F1AA"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97.8mL</w:t>
            </w:r>
          </w:p>
        </w:tc>
        <w:tc>
          <w:tcPr>
            <w:tcW w:w="1804" w:type="dxa"/>
            <w:tcBorders>
              <w:top w:val="single" w:sz="4" w:space="0" w:color="auto"/>
              <w:left w:val="single" w:sz="4" w:space="0" w:color="auto"/>
              <w:bottom w:val="single" w:sz="4" w:space="0" w:color="auto"/>
              <w:right w:val="single" w:sz="4" w:space="0" w:color="auto"/>
            </w:tcBorders>
          </w:tcPr>
          <w:p w14:paraId="0CD39D8D" w14:textId="2B512589" w:rsidR="001544DF" w:rsidRDefault="001544DF">
            <w:pPr>
              <w:spacing w:line="360" w:lineRule="auto"/>
              <w:rPr>
                <w:rFonts w:eastAsia="Times New Roman" w:cstheme="minorHAnsi"/>
                <w:b/>
                <w:bCs/>
                <w:i/>
                <w:iCs/>
                <w:sz w:val="24"/>
                <w:szCs w:val="24"/>
              </w:rPr>
            </w:pPr>
            <w:r>
              <w:rPr>
                <w:rFonts w:eastAsia="Times New Roman" w:cstheme="minorHAnsi"/>
                <w:b/>
                <w:bCs/>
                <w:i/>
                <w:iCs/>
                <w:sz w:val="24"/>
                <w:szCs w:val="24"/>
              </w:rPr>
              <w:t>94.4mL</w:t>
            </w:r>
          </w:p>
        </w:tc>
      </w:tr>
      <w:tr w:rsidR="001544DF" w14:paraId="59D25B83" w14:textId="77777777" w:rsidTr="001544DF">
        <w:tc>
          <w:tcPr>
            <w:tcW w:w="1803" w:type="dxa"/>
            <w:tcBorders>
              <w:top w:val="single" w:sz="4" w:space="0" w:color="auto"/>
              <w:left w:val="single" w:sz="4" w:space="0" w:color="auto"/>
              <w:bottom w:val="single" w:sz="4" w:space="0" w:color="auto"/>
              <w:right w:val="single" w:sz="4" w:space="0" w:color="auto"/>
            </w:tcBorders>
          </w:tcPr>
          <w:p w14:paraId="6D299FFD" w14:textId="77777777" w:rsidR="001544DF" w:rsidRDefault="001544DF" w:rsidP="001544DF">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Pr>
                <w:rFonts w:eastAsia="Times New Roman" w:cstheme="minorHAnsi"/>
                <w:b/>
                <w:bCs/>
                <w:i/>
                <w:iCs/>
                <w:sz w:val="24"/>
                <w:szCs w:val="24"/>
                <w:vertAlign w:val="subscript"/>
              </w:rPr>
              <w:t xml:space="preserve">NaOH </w:t>
            </w:r>
            <w:r>
              <w:rPr>
                <w:rFonts w:eastAsia="Times New Roman" w:cstheme="minorHAnsi"/>
                <w:b/>
                <w:bCs/>
                <w:i/>
                <w:iCs/>
                <w:sz w:val="24"/>
                <w:szCs w:val="24"/>
              </w:rPr>
              <w:t xml:space="preserve">(mL) </w:t>
            </w:r>
          </w:p>
          <w:p w14:paraId="70EB9DD3" w14:textId="77777777" w:rsidR="001544DF" w:rsidRDefault="001544DF" w:rsidP="001544DF">
            <w:pPr>
              <w:spacing w:line="360" w:lineRule="auto"/>
              <w:rPr>
                <w:rFonts w:eastAsia="Times New Roman" w:cstheme="minorHAnsi"/>
                <w:b/>
                <w:bCs/>
                <w:i/>
                <w:iCs/>
                <w:sz w:val="24"/>
                <w:szCs w:val="24"/>
              </w:rPr>
            </w:pPr>
          </w:p>
        </w:tc>
        <w:tc>
          <w:tcPr>
            <w:tcW w:w="1803" w:type="dxa"/>
            <w:tcBorders>
              <w:top w:val="single" w:sz="4" w:space="0" w:color="auto"/>
              <w:left w:val="single" w:sz="4" w:space="0" w:color="auto"/>
              <w:bottom w:val="single" w:sz="4" w:space="0" w:color="auto"/>
              <w:right w:val="single" w:sz="4" w:space="0" w:color="auto"/>
            </w:tcBorders>
          </w:tcPr>
          <w:p w14:paraId="1A129DAB" w14:textId="71CF9A78" w:rsidR="001544DF" w:rsidRDefault="001544DF" w:rsidP="001544DF">
            <w:pPr>
              <w:spacing w:line="360" w:lineRule="auto"/>
              <w:rPr>
                <w:rFonts w:eastAsia="Times New Roman" w:cstheme="minorHAnsi"/>
                <w:b/>
                <w:bCs/>
                <w:i/>
                <w:iCs/>
                <w:sz w:val="24"/>
                <w:szCs w:val="24"/>
              </w:rPr>
            </w:pPr>
            <w:r>
              <w:rPr>
                <w:rFonts w:eastAsia="Times New Roman" w:cstheme="minorHAnsi"/>
                <w:b/>
                <w:bCs/>
                <w:i/>
                <w:iCs/>
                <w:sz w:val="24"/>
                <w:szCs w:val="24"/>
              </w:rPr>
              <w:t>17mL</w:t>
            </w:r>
          </w:p>
        </w:tc>
        <w:tc>
          <w:tcPr>
            <w:tcW w:w="1803" w:type="dxa"/>
            <w:tcBorders>
              <w:top w:val="single" w:sz="4" w:space="0" w:color="auto"/>
              <w:left w:val="single" w:sz="4" w:space="0" w:color="auto"/>
              <w:bottom w:val="single" w:sz="4" w:space="0" w:color="auto"/>
              <w:right w:val="single" w:sz="4" w:space="0" w:color="auto"/>
            </w:tcBorders>
          </w:tcPr>
          <w:p w14:paraId="57375FE5" w14:textId="4465E3D5" w:rsidR="001544DF" w:rsidRDefault="001544DF" w:rsidP="001544DF">
            <w:pPr>
              <w:spacing w:line="360" w:lineRule="auto"/>
              <w:rPr>
                <w:rFonts w:eastAsia="Times New Roman" w:cstheme="minorHAnsi"/>
                <w:b/>
                <w:bCs/>
                <w:i/>
                <w:iCs/>
                <w:sz w:val="24"/>
                <w:szCs w:val="24"/>
              </w:rPr>
            </w:pPr>
            <w:r>
              <w:rPr>
                <w:rFonts w:eastAsia="Times New Roman" w:cstheme="minorHAnsi"/>
                <w:b/>
                <w:bCs/>
                <w:i/>
                <w:iCs/>
                <w:sz w:val="24"/>
                <w:szCs w:val="24"/>
              </w:rPr>
              <w:t>16.6mL</w:t>
            </w:r>
          </w:p>
        </w:tc>
        <w:tc>
          <w:tcPr>
            <w:tcW w:w="1803" w:type="dxa"/>
            <w:tcBorders>
              <w:top w:val="single" w:sz="4" w:space="0" w:color="auto"/>
              <w:left w:val="single" w:sz="4" w:space="0" w:color="auto"/>
              <w:bottom w:val="single" w:sz="4" w:space="0" w:color="auto"/>
              <w:right w:val="single" w:sz="4" w:space="0" w:color="auto"/>
            </w:tcBorders>
          </w:tcPr>
          <w:p w14:paraId="0266A591" w14:textId="13E22E22" w:rsidR="001544DF" w:rsidRDefault="001544DF" w:rsidP="001544DF">
            <w:pPr>
              <w:spacing w:line="360" w:lineRule="auto"/>
              <w:rPr>
                <w:rFonts w:eastAsia="Times New Roman" w:cstheme="minorHAnsi"/>
                <w:b/>
                <w:bCs/>
                <w:i/>
                <w:iCs/>
                <w:sz w:val="24"/>
                <w:szCs w:val="24"/>
              </w:rPr>
            </w:pPr>
            <w:r>
              <w:rPr>
                <w:rFonts w:eastAsia="Times New Roman" w:cstheme="minorHAnsi"/>
                <w:b/>
                <w:bCs/>
                <w:i/>
                <w:iCs/>
                <w:sz w:val="24"/>
                <w:szCs w:val="24"/>
              </w:rPr>
              <w:t>16.6mL</w:t>
            </w:r>
          </w:p>
        </w:tc>
        <w:tc>
          <w:tcPr>
            <w:tcW w:w="1804" w:type="dxa"/>
            <w:tcBorders>
              <w:top w:val="single" w:sz="4" w:space="0" w:color="auto"/>
              <w:left w:val="single" w:sz="4" w:space="0" w:color="auto"/>
              <w:bottom w:val="single" w:sz="4" w:space="0" w:color="auto"/>
              <w:right w:val="single" w:sz="4" w:space="0" w:color="auto"/>
            </w:tcBorders>
          </w:tcPr>
          <w:p w14:paraId="36EA6931" w14:textId="67109A54" w:rsidR="001544DF" w:rsidRDefault="001544DF" w:rsidP="001544DF">
            <w:pPr>
              <w:spacing w:line="360" w:lineRule="auto"/>
              <w:rPr>
                <w:rFonts w:eastAsia="Times New Roman" w:cstheme="minorHAnsi"/>
                <w:b/>
                <w:bCs/>
                <w:i/>
                <w:iCs/>
                <w:sz w:val="24"/>
                <w:szCs w:val="24"/>
              </w:rPr>
            </w:pPr>
            <w:r>
              <w:rPr>
                <w:rFonts w:eastAsia="Times New Roman" w:cstheme="minorHAnsi"/>
                <w:b/>
                <w:bCs/>
                <w:i/>
                <w:iCs/>
                <w:sz w:val="24"/>
                <w:szCs w:val="24"/>
              </w:rPr>
              <w:t>16.4mL</w:t>
            </w:r>
          </w:p>
        </w:tc>
      </w:tr>
      <w:tr w:rsidR="006F65BC" w14:paraId="05A601CE" w14:textId="77777777" w:rsidTr="001544DF">
        <w:tc>
          <w:tcPr>
            <w:tcW w:w="1803" w:type="dxa"/>
            <w:tcBorders>
              <w:top w:val="single" w:sz="4" w:space="0" w:color="auto"/>
              <w:left w:val="single" w:sz="4" w:space="0" w:color="auto"/>
              <w:bottom w:val="single" w:sz="4" w:space="0" w:color="auto"/>
              <w:right w:val="single" w:sz="4" w:space="0" w:color="auto"/>
            </w:tcBorders>
          </w:tcPr>
          <w:p w14:paraId="760D91D8" w14:textId="77777777"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moles of NaOH</w:t>
            </w:r>
          </w:p>
          <w:p w14:paraId="01A102D5" w14:textId="77777777" w:rsidR="006F65BC" w:rsidRDefault="006F65BC" w:rsidP="006F65BC">
            <w:pPr>
              <w:spacing w:line="360" w:lineRule="auto"/>
              <w:rPr>
                <w:rFonts w:eastAsia="Times New Roman" w:cstheme="minorHAnsi"/>
                <w:b/>
                <w:bCs/>
                <w:i/>
                <w:iCs/>
                <w:sz w:val="24"/>
                <w:szCs w:val="24"/>
              </w:rPr>
            </w:pPr>
          </w:p>
        </w:tc>
        <w:tc>
          <w:tcPr>
            <w:tcW w:w="1803" w:type="dxa"/>
            <w:tcBorders>
              <w:top w:val="single" w:sz="4" w:space="0" w:color="auto"/>
              <w:left w:val="single" w:sz="4" w:space="0" w:color="auto"/>
              <w:bottom w:val="single" w:sz="4" w:space="0" w:color="auto"/>
              <w:right w:val="single" w:sz="4" w:space="0" w:color="auto"/>
            </w:tcBorders>
          </w:tcPr>
          <w:p w14:paraId="18F6667F" w14:textId="0AD6FD6F"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1.703x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-3</m:t>
                  </m:r>
                </m:sup>
              </m:sSup>
            </m:oMath>
          </w:p>
        </w:tc>
        <w:tc>
          <w:tcPr>
            <w:tcW w:w="1803" w:type="dxa"/>
            <w:tcBorders>
              <w:top w:val="single" w:sz="4" w:space="0" w:color="auto"/>
              <w:left w:val="single" w:sz="4" w:space="0" w:color="auto"/>
              <w:bottom w:val="single" w:sz="4" w:space="0" w:color="auto"/>
              <w:right w:val="single" w:sz="4" w:space="0" w:color="auto"/>
            </w:tcBorders>
          </w:tcPr>
          <w:p w14:paraId="3FC6C3B2" w14:textId="070E82D3"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1.163x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-3</m:t>
                  </m:r>
                </m:sup>
              </m:sSup>
            </m:oMath>
          </w:p>
        </w:tc>
        <w:tc>
          <w:tcPr>
            <w:tcW w:w="1803" w:type="dxa"/>
            <w:tcBorders>
              <w:top w:val="single" w:sz="4" w:space="0" w:color="auto"/>
              <w:left w:val="single" w:sz="4" w:space="0" w:color="auto"/>
              <w:bottom w:val="single" w:sz="4" w:space="0" w:color="auto"/>
              <w:right w:val="single" w:sz="4" w:space="0" w:color="auto"/>
            </w:tcBorders>
          </w:tcPr>
          <w:p w14:paraId="474E536D" w14:textId="770BA122"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1.163x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-3</m:t>
                  </m:r>
                </m:sup>
              </m:sSup>
            </m:oMath>
          </w:p>
        </w:tc>
        <w:tc>
          <w:tcPr>
            <w:tcW w:w="1804" w:type="dxa"/>
            <w:tcBorders>
              <w:top w:val="single" w:sz="4" w:space="0" w:color="auto"/>
              <w:left w:val="single" w:sz="4" w:space="0" w:color="auto"/>
              <w:bottom w:val="single" w:sz="4" w:space="0" w:color="auto"/>
              <w:right w:val="single" w:sz="4" w:space="0" w:color="auto"/>
            </w:tcBorders>
          </w:tcPr>
          <w:p w14:paraId="22E350F8" w14:textId="2611A0EA" w:rsidR="006F65BC" w:rsidRDefault="006808C3" w:rsidP="006F65BC">
            <w:pPr>
              <w:spacing w:line="360" w:lineRule="auto"/>
              <w:rPr>
                <w:rFonts w:eastAsia="Times New Roman" w:cstheme="minorHAnsi"/>
                <w:b/>
                <w:bCs/>
                <w:i/>
                <w:iCs/>
                <w:sz w:val="24"/>
                <w:szCs w:val="24"/>
              </w:rPr>
            </w:pPr>
            <w:r>
              <w:rPr>
                <w:rFonts w:eastAsia="Times New Roman" w:cstheme="minorHAnsi"/>
                <w:b/>
                <w:bCs/>
                <w:i/>
                <w:iCs/>
                <w:sz w:val="24"/>
                <w:szCs w:val="24"/>
              </w:rPr>
              <w:t>1.643x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-3</m:t>
                  </m:r>
                </m:sup>
              </m:sSup>
            </m:oMath>
          </w:p>
        </w:tc>
      </w:tr>
      <w:tr w:rsidR="006F65BC" w14:paraId="5A65199E" w14:textId="77777777" w:rsidTr="001544DF">
        <w:tc>
          <w:tcPr>
            <w:tcW w:w="1803" w:type="dxa"/>
            <w:tcBorders>
              <w:top w:val="single" w:sz="4" w:space="0" w:color="auto"/>
              <w:left w:val="single" w:sz="4" w:space="0" w:color="auto"/>
              <w:bottom w:val="single" w:sz="4" w:space="0" w:color="auto"/>
              <w:right w:val="single" w:sz="4" w:space="0" w:color="auto"/>
            </w:tcBorders>
          </w:tcPr>
          <w:p w14:paraId="4C9FE8CB" w14:textId="77777777"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Moles of HCl</w:t>
            </w:r>
          </w:p>
          <w:p w14:paraId="2DB28CFD" w14:textId="77777777" w:rsidR="006F65BC" w:rsidRDefault="006F65BC" w:rsidP="006F65BC">
            <w:pPr>
              <w:spacing w:line="360" w:lineRule="auto"/>
              <w:rPr>
                <w:rFonts w:eastAsia="Times New Roman" w:cstheme="minorHAnsi"/>
                <w:b/>
                <w:bCs/>
                <w:i/>
                <w:iCs/>
                <w:sz w:val="24"/>
                <w:szCs w:val="24"/>
              </w:rPr>
            </w:pPr>
          </w:p>
        </w:tc>
        <w:tc>
          <w:tcPr>
            <w:tcW w:w="1803" w:type="dxa"/>
            <w:tcBorders>
              <w:top w:val="single" w:sz="4" w:space="0" w:color="auto"/>
              <w:left w:val="single" w:sz="4" w:space="0" w:color="auto"/>
              <w:bottom w:val="single" w:sz="4" w:space="0" w:color="auto"/>
              <w:right w:val="single" w:sz="4" w:space="0" w:color="auto"/>
            </w:tcBorders>
          </w:tcPr>
          <w:p w14:paraId="35D78633" w14:textId="1733BF09"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1.703x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-3</m:t>
                  </m:r>
                </m:sup>
              </m:sSup>
            </m:oMath>
          </w:p>
        </w:tc>
        <w:tc>
          <w:tcPr>
            <w:tcW w:w="1803" w:type="dxa"/>
            <w:tcBorders>
              <w:top w:val="single" w:sz="4" w:space="0" w:color="auto"/>
              <w:left w:val="single" w:sz="4" w:space="0" w:color="auto"/>
              <w:bottom w:val="single" w:sz="4" w:space="0" w:color="auto"/>
              <w:right w:val="single" w:sz="4" w:space="0" w:color="auto"/>
            </w:tcBorders>
          </w:tcPr>
          <w:p w14:paraId="28442686" w14:textId="120EFEE6"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1.163x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-3</m:t>
                  </m:r>
                </m:sup>
              </m:sSup>
            </m:oMath>
          </w:p>
        </w:tc>
        <w:tc>
          <w:tcPr>
            <w:tcW w:w="1803" w:type="dxa"/>
            <w:tcBorders>
              <w:top w:val="single" w:sz="4" w:space="0" w:color="auto"/>
              <w:left w:val="single" w:sz="4" w:space="0" w:color="auto"/>
              <w:bottom w:val="single" w:sz="4" w:space="0" w:color="auto"/>
              <w:right w:val="single" w:sz="4" w:space="0" w:color="auto"/>
            </w:tcBorders>
          </w:tcPr>
          <w:p w14:paraId="5986ADE8" w14:textId="143194E2"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1.163x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-3</m:t>
                  </m:r>
                </m:sup>
              </m:sSup>
            </m:oMath>
          </w:p>
        </w:tc>
        <w:tc>
          <w:tcPr>
            <w:tcW w:w="1804" w:type="dxa"/>
            <w:tcBorders>
              <w:top w:val="single" w:sz="4" w:space="0" w:color="auto"/>
              <w:left w:val="single" w:sz="4" w:space="0" w:color="auto"/>
              <w:bottom w:val="single" w:sz="4" w:space="0" w:color="auto"/>
              <w:right w:val="single" w:sz="4" w:space="0" w:color="auto"/>
            </w:tcBorders>
          </w:tcPr>
          <w:p w14:paraId="1ECA8536" w14:textId="0876FDFF" w:rsidR="006F65BC" w:rsidRDefault="006808C3" w:rsidP="006F65BC">
            <w:pPr>
              <w:spacing w:line="360" w:lineRule="auto"/>
              <w:rPr>
                <w:rFonts w:eastAsia="Times New Roman" w:cstheme="minorHAnsi"/>
                <w:b/>
                <w:bCs/>
                <w:i/>
                <w:iCs/>
                <w:sz w:val="24"/>
                <w:szCs w:val="24"/>
              </w:rPr>
            </w:pPr>
            <w:r>
              <w:rPr>
                <w:rFonts w:eastAsia="Times New Roman" w:cstheme="minorHAnsi"/>
                <w:b/>
                <w:bCs/>
                <w:i/>
                <w:iCs/>
                <w:sz w:val="24"/>
                <w:szCs w:val="24"/>
              </w:rPr>
              <w:t>1.643x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-3</m:t>
                  </m:r>
                </m:sup>
              </m:sSup>
            </m:oMath>
          </w:p>
        </w:tc>
      </w:tr>
      <w:tr w:rsidR="006F65BC" w14:paraId="0B6E6CB2" w14:textId="77777777" w:rsidTr="001544DF">
        <w:tc>
          <w:tcPr>
            <w:tcW w:w="1803" w:type="dxa"/>
            <w:tcBorders>
              <w:top w:val="single" w:sz="4" w:space="0" w:color="auto"/>
              <w:left w:val="single" w:sz="4" w:space="0" w:color="auto"/>
              <w:bottom w:val="single" w:sz="4" w:space="0" w:color="auto"/>
              <w:right w:val="single" w:sz="4" w:space="0" w:color="auto"/>
            </w:tcBorders>
          </w:tcPr>
          <w:p w14:paraId="7394BAA8" w14:textId="77777777"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Molarity of HCl</w:t>
            </w:r>
          </w:p>
          <w:p w14:paraId="2BC9AD54" w14:textId="77777777" w:rsidR="006F65BC" w:rsidRDefault="006F65BC" w:rsidP="006F65BC">
            <w:pPr>
              <w:spacing w:line="360" w:lineRule="auto"/>
              <w:rPr>
                <w:rFonts w:eastAsia="Times New Roman" w:cstheme="minorHAnsi"/>
                <w:b/>
                <w:bCs/>
                <w:i/>
                <w:iCs/>
                <w:sz w:val="24"/>
                <w:szCs w:val="24"/>
              </w:rPr>
            </w:pPr>
          </w:p>
        </w:tc>
        <w:tc>
          <w:tcPr>
            <w:tcW w:w="1803" w:type="dxa"/>
            <w:tcBorders>
              <w:top w:val="single" w:sz="4" w:space="0" w:color="auto"/>
              <w:left w:val="single" w:sz="4" w:space="0" w:color="auto"/>
              <w:bottom w:val="single" w:sz="4" w:space="0" w:color="auto"/>
              <w:right w:val="single" w:sz="4" w:space="0" w:color="auto"/>
            </w:tcBorders>
          </w:tcPr>
          <w:p w14:paraId="730B3160" w14:textId="017E14E2"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6.814x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-2</m:t>
                  </m:r>
                </m:sup>
              </m:sSup>
            </m:oMath>
          </w:p>
        </w:tc>
        <w:tc>
          <w:tcPr>
            <w:tcW w:w="1803" w:type="dxa"/>
            <w:tcBorders>
              <w:top w:val="single" w:sz="4" w:space="0" w:color="auto"/>
              <w:left w:val="single" w:sz="4" w:space="0" w:color="auto"/>
              <w:bottom w:val="single" w:sz="4" w:space="0" w:color="auto"/>
              <w:right w:val="single" w:sz="4" w:space="0" w:color="auto"/>
            </w:tcBorders>
          </w:tcPr>
          <w:p w14:paraId="0F72231E" w14:textId="096C74EC"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6.653x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-2</m:t>
                  </m:r>
                </m:sup>
              </m:sSup>
            </m:oMath>
          </w:p>
        </w:tc>
        <w:tc>
          <w:tcPr>
            <w:tcW w:w="1803" w:type="dxa"/>
            <w:tcBorders>
              <w:top w:val="single" w:sz="4" w:space="0" w:color="auto"/>
              <w:left w:val="single" w:sz="4" w:space="0" w:color="auto"/>
              <w:bottom w:val="single" w:sz="4" w:space="0" w:color="auto"/>
              <w:right w:val="single" w:sz="4" w:space="0" w:color="auto"/>
            </w:tcBorders>
          </w:tcPr>
          <w:p w14:paraId="28B9F776" w14:textId="21CAEB11" w:rsidR="006F65BC" w:rsidRDefault="006F65BC" w:rsidP="006F65BC">
            <w:pPr>
              <w:spacing w:line="360" w:lineRule="auto"/>
              <w:rPr>
                <w:rFonts w:eastAsia="Times New Roman" w:cstheme="minorHAnsi"/>
                <w:b/>
                <w:bCs/>
                <w:i/>
                <w:iCs/>
                <w:sz w:val="24"/>
                <w:szCs w:val="24"/>
              </w:rPr>
            </w:pPr>
            <w:r>
              <w:rPr>
                <w:rFonts w:eastAsia="Times New Roman" w:cstheme="minorHAnsi"/>
                <w:b/>
                <w:bCs/>
                <w:i/>
                <w:iCs/>
                <w:sz w:val="24"/>
                <w:szCs w:val="24"/>
              </w:rPr>
              <w:t>6.653x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-2</m:t>
                  </m:r>
                </m:sup>
              </m:sSup>
            </m:oMath>
          </w:p>
        </w:tc>
        <w:tc>
          <w:tcPr>
            <w:tcW w:w="1804" w:type="dxa"/>
            <w:tcBorders>
              <w:top w:val="single" w:sz="4" w:space="0" w:color="auto"/>
              <w:left w:val="single" w:sz="4" w:space="0" w:color="auto"/>
              <w:bottom w:val="single" w:sz="4" w:space="0" w:color="auto"/>
              <w:right w:val="single" w:sz="4" w:space="0" w:color="auto"/>
            </w:tcBorders>
          </w:tcPr>
          <w:p w14:paraId="0157413D" w14:textId="6FA3B027" w:rsidR="006F65BC" w:rsidRDefault="006808C3" w:rsidP="006F65BC">
            <w:pPr>
              <w:spacing w:line="360" w:lineRule="auto"/>
              <w:rPr>
                <w:rFonts w:eastAsia="Times New Roman" w:cstheme="minorHAnsi"/>
                <w:b/>
                <w:bCs/>
                <w:i/>
                <w:iCs/>
                <w:sz w:val="24"/>
                <w:szCs w:val="24"/>
              </w:rPr>
            </w:pPr>
            <w:r>
              <w:rPr>
                <w:rFonts w:eastAsia="Times New Roman" w:cstheme="minorHAnsi"/>
                <w:b/>
                <w:bCs/>
                <w:i/>
                <w:iCs/>
                <w:sz w:val="24"/>
                <w:szCs w:val="24"/>
              </w:rPr>
              <w:t>6.657x</w:t>
            </w:r>
            <m:oMath>
              <m:sSup>
                <m:sSupPr>
                  <m:ctrlPr>
                    <w:rPr>
                      <w:rFonts w:ascii="Cambria Math" w:eastAsia="Times New Roman" w:hAnsi="Cambria Math" w:cstheme="minorHAnsi"/>
                      <w:b/>
                      <w:bCs/>
                      <w:i/>
                      <w:iCs/>
                      <w:sz w:val="24"/>
                      <w:szCs w:val="24"/>
                    </w:rPr>
                  </m:ctrlPr>
                </m:sSupPr>
                <m:e>
                  <m:r>
                    <m:rPr>
                      <m:sty m:val="bi"/>
                    </m:rPr>
                    <w:rPr>
                      <w:rFonts w:ascii="Cambria Math" w:eastAsia="Times New Roman" w:hAnsi="Cambria Math" w:cstheme="minorHAnsi"/>
                      <w:sz w:val="24"/>
                      <w:szCs w:val="24"/>
                    </w:rPr>
                    <m:t>10</m:t>
                  </m:r>
                </m:e>
                <m:sup>
                  <m:r>
                    <m:rPr>
                      <m:sty m:val="bi"/>
                    </m:rPr>
                    <w:rPr>
                      <w:rFonts w:ascii="Cambria Math" w:eastAsia="Times New Roman" w:hAnsi="Cambria Math" w:cstheme="minorHAnsi"/>
                      <w:sz w:val="24"/>
                      <w:szCs w:val="24"/>
                    </w:rPr>
                    <m:t>-2</m:t>
                  </m:r>
                </m:sup>
              </m:sSup>
            </m:oMath>
          </w:p>
        </w:tc>
      </w:tr>
    </w:tbl>
    <w:p w14:paraId="368B1C4A" w14:textId="77777777" w:rsidR="00CA02F3" w:rsidRPr="00CA02F3" w:rsidRDefault="00CA02F3" w:rsidP="00CA02F3">
      <w:pPr>
        <w:pStyle w:val="paragraph"/>
        <w:spacing w:before="0" w:beforeAutospacing="0" w:after="0" w:afterAutospacing="0" w:line="360" w:lineRule="auto"/>
        <w:textAlignment w:val="baseline"/>
        <w:rPr>
          <w:rFonts w:ascii="Arial" w:hAnsi="Arial" w:cs="Arial"/>
          <w:sz w:val="28"/>
          <w:szCs w:val="28"/>
        </w:rPr>
      </w:pPr>
    </w:p>
    <w:p w14:paraId="04DF40D3" w14:textId="352CA6B3" w:rsidR="00CA02F3" w:rsidRPr="00CA02F3" w:rsidRDefault="00CA02F3" w:rsidP="00CA02F3">
      <w:pPr>
        <w:pStyle w:val="ListParagraph"/>
        <w:tabs>
          <w:tab w:val="left" w:pos="2220"/>
        </w:tabs>
        <w:rPr>
          <w:rFonts w:eastAsiaTheme="minorEastAsia"/>
        </w:rPr>
      </w:pPr>
    </w:p>
    <w:p w14:paraId="1700506B" w14:textId="4134C084" w:rsidR="00CA02F3" w:rsidRDefault="006808C3" w:rsidP="00CA02F3">
      <w:pPr>
        <w:tabs>
          <w:tab w:val="left" w:pos="2220"/>
        </w:tabs>
        <w:rPr>
          <w:rFonts w:eastAsiaTheme="minorEastAsia"/>
          <w:sz w:val="28"/>
          <w:szCs w:val="28"/>
        </w:rPr>
      </w:pPr>
      <w:r>
        <w:rPr>
          <w:rFonts w:eastAsiaTheme="minorEastAsia"/>
          <w:sz w:val="28"/>
          <w:szCs w:val="28"/>
        </w:rPr>
        <w:t>Calculations:</w:t>
      </w:r>
    </w:p>
    <w:p w14:paraId="00312196" w14:textId="47090C96" w:rsidR="00C372E7" w:rsidRPr="00C372E7" w:rsidRDefault="00C372E7" w:rsidP="00CA02F3">
      <w:pPr>
        <w:tabs>
          <w:tab w:val="left" w:pos="2220"/>
        </w:tabs>
        <w:rPr>
          <w:rFonts w:eastAsiaTheme="minorEastAsia"/>
        </w:rPr>
      </w:pPr>
      <w:r w:rsidRPr="00C372E7">
        <w:rPr>
          <w:rFonts w:eastAsiaTheme="minorEastAsia"/>
        </w:rPr>
        <w:t>Results used from 2</w:t>
      </w:r>
      <w:r w:rsidRPr="00C372E7">
        <w:rPr>
          <w:rFonts w:eastAsiaTheme="minorEastAsia"/>
          <w:vertAlign w:val="superscript"/>
        </w:rPr>
        <w:t>nd</w:t>
      </w:r>
      <w:r w:rsidRPr="00C372E7">
        <w:rPr>
          <w:rFonts w:eastAsiaTheme="minorEastAsia"/>
        </w:rPr>
        <w:t xml:space="preserve"> &amp; 3</w:t>
      </w:r>
      <w:r w:rsidRPr="00C372E7">
        <w:rPr>
          <w:rFonts w:eastAsiaTheme="minorEastAsia"/>
          <w:vertAlign w:val="superscript"/>
        </w:rPr>
        <w:t>rd</w:t>
      </w:r>
      <w:r w:rsidRPr="00C372E7">
        <w:rPr>
          <w:rFonts w:eastAsiaTheme="minorEastAsia"/>
        </w:rPr>
        <w:t xml:space="preserve"> </w:t>
      </w:r>
      <w:proofErr w:type="gramStart"/>
      <w:r w:rsidRPr="00C372E7">
        <w:rPr>
          <w:rFonts w:eastAsiaTheme="minorEastAsia"/>
        </w:rPr>
        <w:t>titre</w:t>
      </w:r>
      <w:proofErr w:type="gramEnd"/>
      <w:r w:rsidRPr="00C372E7">
        <w:rPr>
          <w:rFonts w:eastAsiaTheme="minorEastAsia"/>
        </w:rPr>
        <w:t xml:space="preserve"> </w:t>
      </w:r>
    </w:p>
    <w:p w14:paraId="323618FF" w14:textId="77777777" w:rsidR="00C372E7" w:rsidRPr="00C372E7" w:rsidRDefault="00C372E7" w:rsidP="00CA02F3">
      <w:pPr>
        <w:tabs>
          <w:tab w:val="left" w:pos="2220"/>
        </w:tabs>
        <w:rPr>
          <w:rFonts w:eastAsiaTheme="minorEastAsia"/>
          <w:b/>
          <w:bCs/>
        </w:rPr>
      </w:pPr>
    </w:p>
    <w:p w14:paraId="2CDE978A" w14:textId="77777777" w:rsidR="00C372E7" w:rsidRDefault="00C372E7" w:rsidP="00C372E7">
      <w:pPr>
        <w:tabs>
          <w:tab w:val="left" w:pos="2220"/>
        </w:tabs>
        <w:jc w:val="center"/>
      </w:pPr>
      <w:r>
        <w:t>Number of moles(acid) = Number of moles(base)</w:t>
      </w:r>
    </w:p>
    <w:p w14:paraId="54202ECB" w14:textId="77777777" w:rsidR="00C372E7" w:rsidRDefault="00C372E7" w:rsidP="00C372E7">
      <w:pPr>
        <w:tabs>
          <w:tab w:val="left" w:pos="2220"/>
        </w:tabs>
        <w:jc w:val="center"/>
      </w:pPr>
    </w:p>
    <w:p w14:paraId="39FA5D7A" w14:textId="54E0E9BC" w:rsidR="00D8798B" w:rsidRDefault="00C372E7" w:rsidP="00D8798B">
      <w:pPr>
        <w:tabs>
          <w:tab w:val="left" w:pos="2220"/>
        </w:tabs>
        <w:jc w:val="center"/>
      </w:pPr>
      <w:r>
        <w:t>n(base) = c x v</w:t>
      </w:r>
    </w:p>
    <w:p w14:paraId="17DED1E8" w14:textId="35F0E91D" w:rsidR="00C372E7" w:rsidRDefault="00C372E7" w:rsidP="00C372E7">
      <w:pPr>
        <w:tabs>
          <w:tab w:val="left" w:pos="2220"/>
        </w:tabs>
        <w:jc w:val="center"/>
        <w:rPr>
          <w:rFonts w:eastAsiaTheme="minorEastAsia"/>
        </w:rPr>
      </w:pPr>
      <w:r>
        <w:t>n(base) = 1.1002 x 16.6x</w:t>
      </w:r>
      <m:oMath>
        <m:sSup>
          <m:sSupPr>
            <m:ctrlPr>
              <w:rPr>
                <w:rFonts w:ascii="Cambria Math" w:hAnsi="Cambria Math"/>
                <w:i/>
              </w:rPr>
            </m:ctrlPr>
          </m:sSupPr>
          <m:e>
            <m:r>
              <w:rPr>
                <w:rFonts w:ascii="Cambria Math" w:hAnsi="Cambria Math"/>
              </w:rPr>
              <m:t>10</m:t>
            </m:r>
          </m:e>
          <m:sup>
            <m:r>
              <w:rPr>
                <w:rFonts w:ascii="Cambria Math" w:hAnsi="Cambria Math"/>
              </w:rPr>
              <m:t>-3</m:t>
            </m:r>
          </m:sup>
        </m:sSup>
      </m:oMath>
    </w:p>
    <w:p w14:paraId="3016EAD2" w14:textId="0857BDD4" w:rsidR="00C372E7" w:rsidRDefault="00C372E7" w:rsidP="00C372E7">
      <w:pPr>
        <w:tabs>
          <w:tab w:val="left" w:pos="2220"/>
        </w:tabs>
        <w:jc w:val="center"/>
        <w:rPr>
          <w:rFonts w:eastAsiaTheme="minorEastAsia"/>
        </w:rPr>
      </w:pPr>
      <w:r>
        <w:rPr>
          <w:rFonts w:eastAsiaTheme="minorEastAsia"/>
        </w:rPr>
        <w:lastRenderedPageBreak/>
        <w:t>n(base) = 1.66332x</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oMath>
      <w:r>
        <w:rPr>
          <w:rFonts w:eastAsiaTheme="minorEastAsia"/>
        </w:rPr>
        <w:t xml:space="preserve"> </w:t>
      </w:r>
    </w:p>
    <w:p w14:paraId="53FBE2D6" w14:textId="3A27920F" w:rsidR="00CA2CA9" w:rsidRDefault="00CA2CA9" w:rsidP="00C372E7">
      <w:pPr>
        <w:tabs>
          <w:tab w:val="left" w:pos="2220"/>
        </w:tabs>
        <w:jc w:val="center"/>
        <w:rPr>
          <w:rFonts w:eastAsiaTheme="minorEastAsia"/>
        </w:rPr>
      </w:pPr>
      <w:r>
        <w:rPr>
          <w:rFonts w:eastAsiaTheme="minorEastAsia"/>
        </w:rPr>
        <w:t>n(base) = n(acid)</w:t>
      </w:r>
    </w:p>
    <w:p w14:paraId="69C8D8D9" w14:textId="3FC56F4D" w:rsidR="00C372E7" w:rsidRDefault="00C372E7" w:rsidP="00C372E7">
      <w:pPr>
        <w:tabs>
          <w:tab w:val="left" w:pos="2220"/>
        </w:tabs>
        <w:jc w:val="center"/>
        <w:rPr>
          <w:rFonts w:eastAsiaTheme="minorEastAsia"/>
        </w:rPr>
      </w:pPr>
      <w:r>
        <w:rPr>
          <w:rFonts w:eastAsiaTheme="minorEastAsia"/>
        </w:rPr>
        <w:t>n(acid) = 1.66332x</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oMath>
    </w:p>
    <w:p w14:paraId="394948DF" w14:textId="77777777" w:rsidR="00C372E7" w:rsidRDefault="00C372E7" w:rsidP="00C372E7">
      <w:pPr>
        <w:tabs>
          <w:tab w:val="left" w:pos="2220"/>
        </w:tabs>
        <w:jc w:val="center"/>
        <w:rPr>
          <w:rFonts w:eastAsiaTheme="minorEastAsia"/>
        </w:rPr>
      </w:pPr>
    </w:p>
    <w:p w14:paraId="243ECA75" w14:textId="05394B72" w:rsidR="00C372E7" w:rsidRDefault="00C372E7" w:rsidP="00C372E7">
      <w:pPr>
        <w:tabs>
          <w:tab w:val="left" w:pos="2220"/>
        </w:tabs>
        <w:jc w:val="center"/>
        <w:rPr>
          <w:rFonts w:eastAsiaTheme="minorEastAsia"/>
        </w:rPr>
      </w:pPr>
      <w:r>
        <w:rPr>
          <w:rFonts w:eastAsiaTheme="minorEastAsia"/>
        </w:rPr>
        <w:t xml:space="preserve">Molarity of HCL </w:t>
      </w:r>
    </w:p>
    <w:p w14:paraId="633AD5D1" w14:textId="73647B83" w:rsidR="00C372E7" w:rsidRDefault="00C372E7" w:rsidP="00C372E7">
      <w:pPr>
        <w:tabs>
          <w:tab w:val="left" w:pos="2220"/>
        </w:tabs>
        <w:jc w:val="center"/>
        <w:rPr>
          <w:rFonts w:eastAsiaTheme="minorEastAsia"/>
          <w:sz w:val="28"/>
          <w:szCs w:val="28"/>
        </w:rPr>
      </w:pPr>
      <w:r w:rsidRPr="00CA2CA9">
        <w:rPr>
          <w:rFonts w:eastAsiaTheme="minorEastAsia"/>
          <w:sz w:val="28"/>
          <w:szCs w:val="28"/>
        </w:rPr>
        <w:t xml:space="preserve">c(acid) =   </w:t>
      </w:r>
      <m:oMath>
        <m:f>
          <m:fPr>
            <m:ctrlPr>
              <w:rPr>
                <w:rFonts w:ascii="Cambria Math" w:eastAsiaTheme="minorEastAsia" w:hAnsi="Cambria Math"/>
                <w:i/>
                <w:sz w:val="28"/>
                <w:szCs w:val="28"/>
              </w:rPr>
            </m:ctrlPr>
          </m:fPr>
          <m:num>
            <m:r>
              <w:rPr>
                <w:rFonts w:ascii="Cambria Math" w:eastAsiaTheme="minorEastAsia" w:hAnsi="Cambria Math"/>
                <w:sz w:val="28"/>
                <w:szCs w:val="28"/>
              </w:rPr>
              <m:t>0.1002 ×1.66332×</m:t>
            </m:r>
            <m:sSup>
              <m:sSupPr>
                <m:ctrlPr>
                  <w:rPr>
                    <w:rFonts w:ascii="Cambria Math" w:eastAsiaTheme="minorEastAsia" w:hAnsi="Cambria Math"/>
                    <w:i/>
                    <w:sz w:val="28"/>
                    <w:szCs w:val="28"/>
                  </w:rPr>
                </m:ctrlPr>
              </m:sSupPr>
              <m:e>
                <m:r>
                  <w:rPr>
                    <w:rFonts w:ascii="Cambria Math" w:eastAsiaTheme="minorEastAsia" w:hAnsi="Cambria Math"/>
                    <w:sz w:val="28"/>
                    <w:szCs w:val="28"/>
                  </w:rPr>
                  <m:t>10</m:t>
                </m:r>
              </m:e>
              <m:sup>
                <m:r>
                  <w:rPr>
                    <w:rFonts w:ascii="Cambria Math" w:eastAsiaTheme="minorEastAsia" w:hAnsi="Cambria Math"/>
                    <w:sz w:val="28"/>
                    <w:szCs w:val="28"/>
                  </w:rPr>
                  <m:t>-3</m:t>
                </m:r>
              </m:sup>
            </m:sSup>
            <m:r>
              <m:rPr>
                <m:sty m:val="p"/>
              </m:rPr>
              <w:rPr>
                <w:rFonts w:ascii="Cambria Math" w:eastAsiaTheme="minorEastAsia" w:hAnsi="Cambria Math"/>
                <w:sz w:val="28"/>
                <w:szCs w:val="28"/>
              </w:rPr>
              <m:t xml:space="preserve"> </m:t>
            </m:r>
          </m:num>
          <m:den>
            <m:r>
              <w:rPr>
                <w:rFonts w:ascii="Cambria Math" w:eastAsiaTheme="minorEastAsia" w:hAnsi="Cambria Math"/>
                <w:sz w:val="28"/>
                <w:szCs w:val="28"/>
              </w:rPr>
              <m:t>25×</m:t>
            </m:r>
            <m:sSup>
              <m:sSupPr>
                <m:ctrlPr>
                  <w:rPr>
                    <w:rFonts w:ascii="Cambria Math" w:eastAsiaTheme="minorEastAsia" w:hAnsi="Cambria Math"/>
                    <w:i/>
                    <w:sz w:val="28"/>
                    <w:szCs w:val="28"/>
                  </w:rPr>
                </m:ctrlPr>
              </m:sSupPr>
              <m:e>
                <m:r>
                  <w:rPr>
                    <w:rFonts w:ascii="Cambria Math" w:eastAsiaTheme="minorEastAsia" w:hAnsi="Cambria Math"/>
                    <w:sz w:val="28"/>
                    <w:szCs w:val="28"/>
                  </w:rPr>
                  <m:t>10</m:t>
                </m:r>
              </m:e>
              <m:sup>
                <m:r>
                  <w:rPr>
                    <w:rFonts w:ascii="Cambria Math" w:eastAsiaTheme="minorEastAsia" w:hAnsi="Cambria Math"/>
                    <w:sz w:val="28"/>
                    <w:szCs w:val="28"/>
                  </w:rPr>
                  <m:t>-3</m:t>
                </m:r>
              </m:sup>
            </m:sSup>
            <m:r>
              <m:rPr>
                <m:sty m:val="p"/>
              </m:rPr>
              <w:rPr>
                <w:rFonts w:ascii="Cambria Math" w:eastAsiaTheme="minorEastAsia" w:hAnsi="Cambria Math"/>
                <w:sz w:val="28"/>
                <w:szCs w:val="28"/>
              </w:rPr>
              <m:t xml:space="preserve"> </m:t>
            </m:r>
          </m:den>
        </m:f>
      </m:oMath>
    </w:p>
    <w:p w14:paraId="18C1A77C" w14:textId="77777777" w:rsidR="00CA2CA9" w:rsidRDefault="00CA2CA9" w:rsidP="00C372E7">
      <w:pPr>
        <w:tabs>
          <w:tab w:val="left" w:pos="2220"/>
        </w:tabs>
        <w:jc w:val="center"/>
        <w:rPr>
          <w:rFonts w:eastAsiaTheme="minorEastAsia"/>
          <w:sz w:val="28"/>
          <w:szCs w:val="28"/>
        </w:rPr>
      </w:pPr>
    </w:p>
    <w:p w14:paraId="1FACBD81" w14:textId="1164150B" w:rsidR="00CA2CA9" w:rsidRDefault="00CA2CA9" w:rsidP="00C372E7">
      <w:pPr>
        <w:tabs>
          <w:tab w:val="left" w:pos="2220"/>
        </w:tabs>
        <w:jc w:val="center"/>
        <w:rPr>
          <w:rFonts w:eastAsiaTheme="minorEastAsia"/>
        </w:rPr>
      </w:pPr>
      <w:r w:rsidRPr="00CA2CA9">
        <w:rPr>
          <w:rFonts w:eastAsiaTheme="minorEastAsia"/>
        </w:rPr>
        <w:t>c(acid) = 6.</w:t>
      </w:r>
      <w:r>
        <w:rPr>
          <w:rFonts w:eastAsiaTheme="minorEastAsia"/>
        </w:rPr>
        <w:t>6</w:t>
      </w:r>
      <w:r w:rsidRPr="00CA2CA9">
        <w:rPr>
          <w:rFonts w:eastAsiaTheme="minorEastAsia"/>
        </w:rPr>
        <w:t>5328</w:t>
      </w:r>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oMath>
      <w:r>
        <w:rPr>
          <w:rFonts w:eastAsiaTheme="minorEastAsia"/>
        </w:rPr>
        <w:t xml:space="preserve"> </w:t>
      </w:r>
    </w:p>
    <w:p w14:paraId="24469E23" w14:textId="77777777" w:rsidR="00CA2CA9" w:rsidRDefault="00CA2CA9" w:rsidP="00C372E7">
      <w:pPr>
        <w:tabs>
          <w:tab w:val="left" w:pos="2220"/>
        </w:tabs>
        <w:jc w:val="center"/>
        <w:rPr>
          <w:rFonts w:eastAsiaTheme="minorEastAsia"/>
        </w:rPr>
      </w:pPr>
    </w:p>
    <w:p w14:paraId="46D1E479" w14:textId="755B3DEB" w:rsidR="00CA2CA9" w:rsidRDefault="00CA2CA9" w:rsidP="00C372E7">
      <w:pPr>
        <w:tabs>
          <w:tab w:val="left" w:pos="2220"/>
        </w:tabs>
        <w:jc w:val="center"/>
        <w:rPr>
          <w:rFonts w:eastAsiaTheme="minorEastAsia"/>
          <w:b/>
          <w:bCs/>
          <w:sz w:val="28"/>
          <w:szCs w:val="28"/>
          <w:u w:val="single"/>
        </w:rPr>
      </w:pPr>
      <w:r w:rsidRPr="00CA2CA9">
        <w:rPr>
          <w:rFonts w:eastAsiaTheme="minorEastAsia"/>
          <w:b/>
          <w:bCs/>
          <w:sz w:val="28"/>
          <w:szCs w:val="28"/>
          <w:u w:val="single"/>
        </w:rPr>
        <w:t>HCL Concentration =0.065 mol/L</w:t>
      </w:r>
    </w:p>
    <w:p w14:paraId="7C7BB029" w14:textId="77777777" w:rsidR="00CA2CA9" w:rsidRDefault="00CA2CA9" w:rsidP="00C372E7">
      <w:pPr>
        <w:tabs>
          <w:tab w:val="left" w:pos="2220"/>
        </w:tabs>
        <w:jc w:val="center"/>
        <w:rPr>
          <w:rFonts w:eastAsiaTheme="minorEastAsia"/>
          <w:b/>
          <w:bCs/>
          <w:sz w:val="28"/>
          <w:szCs w:val="28"/>
          <w:u w:val="single"/>
        </w:rPr>
      </w:pPr>
    </w:p>
    <w:p w14:paraId="27BE042D" w14:textId="116BDE65" w:rsidR="00CA2CA9" w:rsidRDefault="00CA2CA9" w:rsidP="00CA2CA9">
      <w:pPr>
        <w:tabs>
          <w:tab w:val="left" w:pos="2220"/>
        </w:tabs>
        <w:rPr>
          <w:rFonts w:eastAsiaTheme="minorEastAsia"/>
          <w:sz w:val="28"/>
          <w:szCs w:val="28"/>
        </w:rPr>
      </w:pPr>
      <w:r>
        <w:rPr>
          <w:rFonts w:eastAsiaTheme="minorEastAsia"/>
          <w:sz w:val="28"/>
          <w:szCs w:val="28"/>
        </w:rPr>
        <w:t>Discussion:</w:t>
      </w:r>
    </w:p>
    <w:p w14:paraId="62E60B22" w14:textId="77777777" w:rsidR="00CA2CA9" w:rsidRDefault="00000000" w:rsidP="00CA2CA9">
      <w:hyperlink r:id="rId6" w:history="1">
        <w:r w:rsidR="00CA2CA9">
          <w:rPr>
            <w:rStyle w:val="Hyperlink"/>
          </w:rPr>
          <w:t>Double replacement reactions (double displacement) (article) | Khan Academy</w:t>
        </w:r>
      </w:hyperlink>
    </w:p>
    <w:p w14:paraId="2E45F4AD" w14:textId="77777777" w:rsidR="00CA2CA9" w:rsidRDefault="00000000" w:rsidP="00CA2CA9">
      <w:hyperlink r:id="rId7" w:history="1">
        <w:r w:rsidR="00CA2CA9">
          <w:rPr>
            <w:rStyle w:val="Hyperlink"/>
          </w:rPr>
          <w:t xml:space="preserve">Acid Base Titration Theory | </w:t>
        </w:r>
        <w:proofErr w:type="spellStart"/>
        <w:r w:rsidR="00CA2CA9">
          <w:rPr>
            <w:rStyle w:val="Hyperlink"/>
          </w:rPr>
          <w:t>Sciencing</w:t>
        </w:r>
        <w:proofErr w:type="spellEnd"/>
      </w:hyperlink>
    </w:p>
    <w:p w14:paraId="4CC8606C" w14:textId="77777777" w:rsidR="00CA2CA9" w:rsidRDefault="00000000" w:rsidP="00CA2CA9">
      <w:hyperlink r:id="rId8" w:history="1">
        <w:r w:rsidR="00CA2CA9">
          <w:rPr>
            <w:rStyle w:val="Hyperlink"/>
          </w:rPr>
          <w:t>What is a Standard Glucose Solution? (healthfully.com)</w:t>
        </w:r>
      </w:hyperlink>
    </w:p>
    <w:p w14:paraId="3E27E554" w14:textId="77777777" w:rsidR="00CA2CA9" w:rsidRDefault="00000000" w:rsidP="00CA2CA9">
      <w:hyperlink r:id="rId9" w:history="1">
        <w:r w:rsidR="00CA2CA9">
          <w:rPr>
            <w:rStyle w:val="Hyperlink"/>
          </w:rPr>
          <w:t>Rapid Determination of Nitroguanidine and nitrate ion in the spent sulfuric acid - Chen - 1979 - Propellants, Explosives, Pyrotechnics - Wiley Online Library</w:t>
        </w:r>
      </w:hyperlink>
    </w:p>
    <w:p w14:paraId="6C6C9790" w14:textId="77777777" w:rsidR="00CA2CA9" w:rsidRDefault="00CA2CA9" w:rsidP="00CA2CA9">
      <w:pPr>
        <w:tabs>
          <w:tab w:val="left" w:pos="2220"/>
        </w:tabs>
        <w:rPr>
          <w:rFonts w:eastAsiaTheme="minorEastAsia"/>
          <w:sz w:val="28"/>
          <w:szCs w:val="28"/>
        </w:rPr>
      </w:pPr>
    </w:p>
    <w:p w14:paraId="10973ED1" w14:textId="77777777" w:rsidR="00CA2CA9" w:rsidRPr="00CA2CA9" w:rsidRDefault="00CA2CA9" w:rsidP="00CA2CA9">
      <w:pPr>
        <w:tabs>
          <w:tab w:val="left" w:pos="2220"/>
        </w:tabs>
        <w:rPr>
          <w:sz w:val="28"/>
          <w:szCs w:val="28"/>
        </w:rPr>
      </w:pPr>
    </w:p>
    <w:p w14:paraId="2A47D505" w14:textId="77777777" w:rsidR="00C372E7" w:rsidRPr="00CA2CA9" w:rsidRDefault="00C372E7" w:rsidP="00C372E7">
      <w:pPr>
        <w:tabs>
          <w:tab w:val="left" w:pos="2220"/>
        </w:tabs>
        <w:jc w:val="center"/>
        <w:rPr>
          <w:sz w:val="28"/>
          <w:szCs w:val="28"/>
        </w:rPr>
      </w:pPr>
    </w:p>
    <w:p w14:paraId="142CCD7D" w14:textId="77777777" w:rsidR="00C372E7" w:rsidRPr="00CA2CA9" w:rsidRDefault="00C372E7" w:rsidP="00C372E7">
      <w:pPr>
        <w:tabs>
          <w:tab w:val="left" w:pos="2220"/>
        </w:tabs>
        <w:jc w:val="center"/>
        <w:rPr>
          <w:sz w:val="28"/>
          <w:szCs w:val="28"/>
        </w:rPr>
      </w:pPr>
    </w:p>
    <w:p w14:paraId="29D0371F" w14:textId="68AF6C67" w:rsidR="006808C3" w:rsidRPr="00CA02F3" w:rsidRDefault="006808C3" w:rsidP="006808C3">
      <w:pPr>
        <w:tabs>
          <w:tab w:val="left" w:pos="2220"/>
        </w:tabs>
        <w:jc w:val="center"/>
        <w:rPr>
          <w:rFonts w:eastAsiaTheme="minorEastAsia"/>
          <w:sz w:val="28"/>
          <w:szCs w:val="28"/>
        </w:rPr>
      </w:pPr>
    </w:p>
    <w:p w14:paraId="63CDAFD6" w14:textId="77777777" w:rsidR="00CA02F3" w:rsidRDefault="00CA02F3" w:rsidP="00E95089">
      <w:pPr>
        <w:tabs>
          <w:tab w:val="left" w:pos="2220"/>
        </w:tabs>
        <w:rPr>
          <w:rFonts w:eastAsiaTheme="minorEastAsia"/>
        </w:rPr>
      </w:pPr>
    </w:p>
    <w:p w14:paraId="265505F3" w14:textId="77777777" w:rsidR="00E95089" w:rsidRPr="00E95089" w:rsidRDefault="00E95089" w:rsidP="00E95089">
      <w:pPr>
        <w:tabs>
          <w:tab w:val="left" w:pos="2220"/>
        </w:tabs>
      </w:pPr>
    </w:p>
    <w:sectPr w:rsidR="00E95089" w:rsidRPr="00E950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64159"/>
    <w:multiLevelType w:val="multilevel"/>
    <w:tmpl w:val="159E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AC7060"/>
    <w:multiLevelType w:val="multilevel"/>
    <w:tmpl w:val="159E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CD53A2"/>
    <w:multiLevelType w:val="multilevel"/>
    <w:tmpl w:val="4CB4F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0B2C09"/>
    <w:multiLevelType w:val="multilevel"/>
    <w:tmpl w:val="159E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70184A"/>
    <w:multiLevelType w:val="multilevel"/>
    <w:tmpl w:val="159E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0B4118D"/>
    <w:multiLevelType w:val="multilevel"/>
    <w:tmpl w:val="159E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206462">
    <w:abstractNumId w:val="2"/>
  </w:num>
  <w:num w:numId="2" w16cid:durableId="1550417371">
    <w:abstractNumId w:val="5"/>
  </w:num>
  <w:num w:numId="3" w16cid:durableId="1018194411">
    <w:abstractNumId w:val="4"/>
  </w:num>
  <w:num w:numId="4" w16cid:durableId="1655985001">
    <w:abstractNumId w:val="3"/>
  </w:num>
  <w:num w:numId="5" w16cid:durableId="1867477640">
    <w:abstractNumId w:val="0"/>
  </w:num>
  <w:num w:numId="6" w16cid:durableId="19185168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72B"/>
    <w:rsid w:val="001544DF"/>
    <w:rsid w:val="003661FC"/>
    <w:rsid w:val="003F073E"/>
    <w:rsid w:val="005516CF"/>
    <w:rsid w:val="00643694"/>
    <w:rsid w:val="006808C3"/>
    <w:rsid w:val="006F65BC"/>
    <w:rsid w:val="007A65D8"/>
    <w:rsid w:val="007B2A50"/>
    <w:rsid w:val="008D543D"/>
    <w:rsid w:val="00AF472B"/>
    <w:rsid w:val="00C346AC"/>
    <w:rsid w:val="00C372E7"/>
    <w:rsid w:val="00CA02F3"/>
    <w:rsid w:val="00CA2CA9"/>
    <w:rsid w:val="00CC4397"/>
    <w:rsid w:val="00D8798B"/>
    <w:rsid w:val="00D946BD"/>
    <w:rsid w:val="00E35E6E"/>
    <w:rsid w:val="00E37B2C"/>
    <w:rsid w:val="00E77601"/>
    <w:rsid w:val="00E95089"/>
    <w:rsid w:val="00EB6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FF6B"/>
  <w15:chartTrackingRefBased/>
  <w15:docId w15:val="{199662AC-2426-4F5A-8A02-EBFD54D2F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61FC"/>
    <w:rPr>
      <w:color w:val="808080"/>
    </w:rPr>
  </w:style>
  <w:style w:type="paragraph" w:styleId="ListParagraph">
    <w:name w:val="List Paragraph"/>
    <w:basedOn w:val="Normal"/>
    <w:uiPriority w:val="34"/>
    <w:qFormat/>
    <w:rsid w:val="00CA02F3"/>
    <w:pPr>
      <w:ind w:left="720"/>
      <w:contextualSpacing/>
    </w:pPr>
  </w:style>
  <w:style w:type="paragraph" w:customStyle="1" w:styleId="paragraph">
    <w:name w:val="paragraph"/>
    <w:basedOn w:val="Normal"/>
    <w:rsid w:val="00CA02F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CA02F3"/>
  </w:style>
  <w:style w:type="character" w:customStyle="1" w:styleId="eop">
    <w:name w:val="eop"/>
    <w:basedOn w:val="DefaultParagraphFont"/>
    <w:rsid w:val="00CA02F3"/>
  </w:style>
  <w:style w:type="table" w:styleId="TableGrid">
    <w:name w:val="Table Grid"/>
    <w:basedOn w:val="TableNormal"/>
    <w:uiPriority w:val="39"/>
    <w:rsid w:val="001544DF"/>
    <w:pPr>
      <w:spacing w:after="0" w:line="240" w:lineRule="auto"/>
    </w:pPr>
    <w:rPr>
      <w:rFonts w:asciiTheme="minorHAnsi" w:eastAsiaTheme="minorEastAsia" w:hAnsiTheme="minorHAnsi" w:cstheme="minorBidi"/>
      <w:kern w:val="0"/>
      <w:sz w:val="22"/>
      <w:szCs w:val="22"/>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CA2C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008349">
      <w:bodyDiv w:val="1"/>
      <w:marLeft w:val="0"/>
      <w:marRight w:val="0"/>
      <w:marTop w:val="0"/>
      <w:marBottom w:val="0"/>
      <w:divBdr>
        <w:top w:val="none" w:sz="0" w:space="0" w:color="auto"/>
        <w:left w:val="none" w:sz="0" w:space="0" w:color="auto"/>
        <w:bottom w:val="none" w:sz="0" w:space="0" w:color="auto"/>
        <w:right w:val="none" w:sz="0" w:space="0" w:color="auto"/>
      </w:divBdr>
      <w:divsChild>
        <w:div w:id="49621554">
          <w:marLeft w:val="0"/>
          <w:marRight w:val="0"/>
          <w:marTop w:val="0"/>
          <w:marBottom w:val="0"/>
          <w:divBdr>
            <w:top w:val="none" w:sz="0" w:space="0" w:color="auto"/>
            <w:left w:val="none" w:sz="0" w:space="0" w:color="auto"/>
            <w:bottom w:val="none" w:sz="0" w:space="0" w:color="auto"/>
            <w:right w:val="none" w:sz="0" w:space="0" w:color="auto"/>
          </w:divBdr>
        </w:div>
        <w:div w:id="1072310829">
          <w:marLeft w:val="0"/>
          <w:marRight w:val="0"/>
          <w:marTop w:val="0"/>
          <w:marBottom w:val="0"/>
          <w:divBdr>
            <w:top w:val="none" w:sz="0" w:space="0" w:color="auto"/>
            <w:left w:val="none" w:sz="0" w:space="0" w:color="auto"/>
            <w:bottom w:val="none" w:sz="0" w:space="0" w:color="auto"/>
            <w:right w:val="none" w:sz="0" w:space="0" w:color="auto"/>
          </w:divBdr>
          <w:divsChild>
            <w:div w:id="20220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56096">
      <w:bodyDiv w:val="1"/>
      <w:marLeft w:val="0"/>
      <w:marRight w:val="0"/>
      <w:marTop w:val="0"/>
      <w:marBottom w:val="0"/>
      <w:divBdr>
        <w:top w:val="none" w:sz="0" w:space="0" w:color="auto"/>
        <w:left w:val="none" w:sz="0" w:space="0" w:color="auto"/>
        <w:bottom w:val="none" w:sz="0" w:space="0" w:color="auto"/>
        <w:right w:val="none" w:sz="0" w:space="0" w:color="auto"/>
      </w:divBdr>
      <w:divsChild>
        <w:div w:id="20282290">
          <w:marLeft w:val="0"/>
          <w:marRight w:val="0"/>
          <w:marTop w:val="0"/>
          <w:marBottom w:val="0"/>
          <w:divBdr>
            <w:top w:val="none" w:sz="0" w:space="0" w:color="auto"/>
            <w:left w:val="none" w:sz="0" w:space="0" w:color="auto"/>
            <w:bottom w:val="none" w:sz="0" w:space="0" w:color="auto"/>
            <w:right w:val="none" w:sz="0" w:space="0" w:color="auto"/>
          </w:divBdr>
        </w:div>
        <w:div w:id="1795755327">
          <w:marLeft w:val="0"/>
          <w:marRight w:val="0"/>
          <w:marTop w:val="0"/>
          <w:marBottom w:val="0"/>
          <w:divBdr>
            <w:top w:val="none" w:sz="0" w:space="0" w:color="auto"/>
            <w:left w:val="none" w:sz="0" w:space="0" w:color="auto"/>
            <w:bottom w:val="none" w:sz="0" w:space="0" w:color="auto"/>
            <w:right w:val="none" w:sz="0" w:space="0" w:color="auto"/>
          </w:divBdr>
          <w:divsChild>
            <w:div w:id="181162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96669">
      <w:bodyDiv w:val="1"/>
      <w:marLeft w:val="0"/>
      <w:marRight w:val="0"/>
      <w:marTop w:val="0"/>
      <w:marBottom w:val="0"/>
      <w:divBdr>
        <w:top w:val="none" w:sz="0" w:space="0" w:color="auto"/>
        <w:left w:val="none" w:sz="0" w:space="0" w:color="auto"/>
        <w:bottom w:val="none" w:sz="0" w:space="0" w:color="auto"/>
        <w:right w:val="none" w:sz="0" w:space="0" w:color="auto"/>
      </w:divBdr>
      <w:divsChild>
        <w:div w:id="1262879373">
          <w:marLeft w:val="0"/>
          <w:marRight w:val="0"/>
          <w:marTop w:val="0"/>
          <w:marBottom w:val="0"/>
          <w:divBdr>
            <w:top w:val="none" w:sz="0" w:space="0" w:color="auto"/>
            <w:left w:val="none" w:sz="0" w:space="0" w:color="auto"/>
            <w:bottom w:val="none" w:sz="0" w:space="0" w:color="auto"/>
            <w:right w:val="none" w:sz="0" w:space="0" w:color="auto"/>
          </w:divBdr>
        </w:div>
        <w:div w:id="1436248553">
          <w:marLeft w:val="0"/>
          <w:marRight w:val="0"/>
          <w:marTop w:val="0"/>
          <w:marBottom w:val="0"/>
          <w:divBdr>
            <w:top w:val="none" w:sz="0" w:space="0" w:color="auto"/>
            <w:left w:val="none" w:sz="0" w:space="0" w:color="auto"/>
            <w:bottom w:val="none" w:sz="0" w:space="0" w:color="auto"/>
            <w:right w:val="none" w:sz="0" w:space="0" w:color="auto"/>
          </w:divBdr>
        </w:div>
      </w:divsChild>
    </w:div>
    <w:div w:id="1139688073">
      <w:bodyDiv w:val="1"/>
      <w:marLeft w:val="0"/>
      <w:marRight w:val="0"/>
      <w:marTop w:val="0"/>
      <w:marBottom w:val="0"/>
      <w:divBdr>
        <w:top w:val="none" w:sz="0" w:space="0" w:color="auto"/>
        <w:left w:val="none" w:sz="0" w:space="0" w:color="auto"/>
        <w:bottom w:val="none" w:sz="0" w:space="0" w:color="auto"/>
        <w:right w:val="none" w:sz="0" w:space="0" w:color="auto"/>
      </w:divBdr>
      <w:divsChild>
        <w:div w:id="341518091">
          <w:marLeft w:val="0"/>
          <w:marRight w:val="0"/>
          <w:marTop w:val="0"/>
          <w:marBottom w:val="0"/>
          <w:divBdr>
            <w:top w:val="none" w:sz="0" w:space="0" w:color="auto"/>
            <w:left w:val="none" w:sz="0" w:space="0" w:color="auto"/>
            <w:bottom w:val="none" w:sz="0" w:space="0" w:color="auto"/>
            <w:right w:val="none" w:sz="0" w:space="0" w:color="auto"/>
          </w:divBdr>
        </w:div>
        <w:div w:id="1228108022">
          <w:marLeft w:val="0"/>
          <w:marRight w:val="0"/>
          <w:marTop w:val="0"/>
          <w:marBottom w:val="0"/>
          <w:divBdr>
            <w:top w:val="none" w:sz="0" w:space="0" w:color="auto"/>
            <w:left w:val="none" w:sz="0" w:space="0" w:color="auto"/>
            <w:bottom w:val="none" w:sz="0" w:space="0" w:color="auto"/>
            <w:right w:val="none" w:sz="0" w:space="0" w:color="auto"/>
          </w:divBdr>
        </w:div>
      </w:divsChild>
    </w:div>
    <w:div w:id="1320689640">
      <w:bodyDiv w:val="1"/>
      <w:marLeft w:val="0"/>
      <w:marRight w:val="0"/>
      <w:marTop w:val="0"/>
      <w:marBottom w:val="0"/>
      <w:divBdr>
        <w:top w:val="none" w:sz="0" w:space="0" w:color="auto"/>
        <w:left w:val="none" w:sz="0" w:space="0" w:color="auto"/>
        <w:bottom w:val="none" w:sz="0" w:space="0" w:color="auto"/>
        <w:right w:val="none" w:sz="0" w:space="0" w:color="auto"/>
      </w:divBdr>
    </w:div>
    <w:div w:id="1963338360">
      <w:bodyDiv w:val="1"/>
      <w:marLeft w:val="0"/>
      <w:marRight w:val="0"/>
      <w:marTop w:val="0"/>
      <w:marBottom w:val="0"/>
      <w:divBdr>
        <w:top w:val="none" w:sz="0" w:space="0" w:color="auto"/>
        <w:left w:val="none" w:sz="0" w:space="0" w:color="auto"/>
        <w:bottom w:val="none" w:sz="0" w:space="0" w:color="auto"/>
        <w:right w:val="none" w:sz="0" w:space="0" w:color="auto"/>
      </w:divBdr>
      <w:divsChild>
        <w:div w:id="1246495441">
          <w:marLeft w:val="0"/>
          <w:marRight w:val="0"/>
          <w:marTop w:val="0"/>
          <w:marBottom w:val="0"/>
          <w:divBdr>
            <w:top w:val="none" w:sz="0" w:space="0" w:color="auto"/>
            <w:left w:val="none" w:sz="0" w:space="0" w:color="auto"/>
            <w:bottom w:val="none" w:sz="0" w:space="0" w:color="auto"/>
            <w:right w:val="none" w:sz="0" w:space="0" w:color="auto"/>
          </w:divBdr>
        </w:div>
        <w:div w:id="1368605631">
          <w:marLeft w:val="0"/>
          <w:marRight w:val="0"/>
          <w:marTop w:val="0"/>
          <w:marBottom w:val="0"/>
          <w:divBdr>
            <w:top w:val="none" w:sz="0" w:space="0" w:color="auto"/>
            <w:left w:val="none" w:sz="0" w:space="0" w:color="auto"/>
            <w:bottom w:val="none" w:sz="0" w:space="0" w:color="auto"/>
            <w:right w:val="none" w:sz="0" w:space="0" w:color="auto"/>
          </w:divBdr>
          <w:divsChild>
            <w:div w:id="160048042">
              <w:marLeft w:val="0"/>
              <w:marRight w:val="0"/>
              <w:marTop w:val="0"/>
              <w:marBottom w:val="0"/>
              <w:divBdr>
                <w:top w:val="none" w:sz="0" w:space="0" w:color="auto"/>
                <w:left w:val="none" w:sz="0" w:space="0" w:color="auto"/>
                <w:bottom w:val="none" w:sz="0" w:space="0" w:color="auto"/>
                <w:right w:val="none" w:sz="0" w:space="0" w:color="auto"/>
              </w:divBdr>
            </w:div>
            <w:div w:id="1108961610">
              <w:marLeft w:val="0"/>
              <w:marRight w:val="0"/>
              <w:marTop w:val="0"/>
              <w:marBottom w:val="0"/>
              <w:divBdr>
                <w:top w:val="none" w:sz="0" w:space="0" w:color="auto"/>
                <w:left w:val="none" w:sz="0" w:space="0" w:color="auto"/>
                <w:bottom w:val="none" w:sz="0" w:space="0" w:color="auto"/>
                <w:right w:val="none" w:sz="0" w:space="0" w:color="auto"/>
              </w:divBdr>
            </w:div>
          </w:divsChild>
        </w:div>
        <w:div w:id="582572991">
          <w:marLeft w:val="0"/>
          <w:marRight w:val="0"/>
          <w:marTop w:val="0"/>
          <w:marBottom w:val="0"/>
          <w:divBdr>
            <w:top w:val="none" w:sz="0" w:space="0" w:color="auto"/>
            <w:left w:val="none" w:sz="0" w:space="0" w:color="auto"/>
            <w:bottom w:val="none" w:sz="0" w:space="0" w:color="auto"/>
            <w:right w:val="none" w:sz="0" w:space="0" w:color="auto"/>
          </w:divBdr>
        </w:div>
        <w:div w:id="1175454703">
          <w:marLeft w:val="0"/>
          <w:marRight w:val="0"/>
          <w:marTop w:val="0"/>
          <w:marBottom w:val="0"/>
          <w:divBdr>
            <w:top w:val="none" w:sz="0" w:space="0" w:color="auto"/>
            <w:left w:val="none" w:sz="0" w:space="0" w:color="auto"/>
            <w:bottom w:val="none" w:sz="0" w:space="0" w:color="auto"/>
            <w:right w:val="none" w:sz="0" w:space="0" w:color="auto"/>
          </w:divBdr>
        </w:div>
        <w:div w:id="1905986909">
          <w:marLeft w:val="0"/>
          <w:marRight w:val="0"/>
          <w:marTop w:val="0"/>
          <w:marBottom w:val="0"/>
          <w:divBdr>
            <w:top w:val="none" w:sz="0" w:space="0" w:color="auto"/>
            <w:left w:val="none" w:sz="0" w:space="0" w:color="auto"/>
            <w:bottom w:val="none" w:sz="0" w:space="0" w:color="auto"/>
            <w:right w:val="none" w:sz="0" w:space="0" w:color="auto"/>
          </w:divBdr>
        </w:div>
        <w:div w:id="931089325">
          <w:marLeft w:val="0"/>
          <w:marRight w:val="0"/>
          <w:marTop w:val="0"/>
          <w:marBottom w:val="0"/>
          <w:divBdr>
            <w:top w:val="none" w:sz="0" w:space="0" w:color="auto"/>
            <w:left w:val="none" w:sz="0" w:space="0" w:color="auto"/>
            <w:bottom w:val="none" w:sz="0" w:space="0" w:color="auto"/>
            <w:right w:val="none" w:sz="0" w:space="0" w:color="auto"/>
          </w:divBdr>
        </w:div>
        <w:div w:id="1180121814">
          <w:marLeft w:val="0"/>
          <w:marRight w:val="0"/>
          <w:marTop w:val="0"/>
          <w:marBottom w:val="0"/>
          <w:divBdr>
            <w:top w:val="none" w:sz="0" w:space="0" w:color="auto"/>
            <w:left w:val="none" w:sz="0" w:space="0" w:color="auto"/>
            <w:bottom w:val="none" w:sz="0" w:space="0" w:color="auto"/>
            <w:right w:val="none" w:sz="0" w:space="0" w:color="auto"/>
          </w:divBdr>
        </w:div>
        <w:div w:id="1293168734">
          <w:marLeft w:val="0"/>
          <w:marRight w:val="0"/>
          <w:marTop w:val="0"/>
          <w:marBottom w:val="0"/>
          <w:divBdr>
            <w:top w:val="none" w:sz="0" w:space="0" w:color="auto"/>
            <w:left w:val="none" w:sz="0" w:space="0" w:color="auto"/>
            <w:bottom w:val="none" w:sz="0" w:space="0" w:color="auto"/>
            <w:right w:val="none" w:sz="0" w:space="0" w:color="auto"/>
          </w:divBdr>
        </w:div>
        <w:div w:id="454641472">
          <w:marLeft w:val="0"/>
          <w:marRight w:val="0"/>
          <w:marTop w:val="0"/>
          <w:marBottom w:val="0"/>
          <w:divBdr>
            <w:top w:val="none" w:sz="0" w:space="0" w:color="auto"/>
            <w:left w:val="none" w:sz="0" w:space="0" w:color="auto"/>
            <w:bottom w:val="none" w:sz="0" w:space="0" w:color="auto"/>
            <w:right w:val="none" w:sz="0" w:space="0" w:color="auto"/>
          </w:divBdr>
        </w:div>
        <w:div w:id="284577613">
          <w:marLeft w:val="0"/>
          <w:marRight w:val="0"/>
          <w:marTop w:val="0"/>
          <w:marBottom w:val="0"/>
          <w:divBdr>
            <w:top w:val="none" w:sz="0" w:space="0" w:color="auto"/>
            <w:left w:val="none" w:sz="0" w:space="0" w:color="auto"/>
            <w:bottom w:val="none" w:sz="0" w:space="0" w:color="auto"/>
            <w:right w:val="none" w:sz="0" w:space="0" w:color="auto"/>
          </w:divBdr>
        </w:div>
        <w:div w:id="1714039278">
          <w:marLeft w:val="0"/>
          <w:marRight w:val="0"/>
          <w:marTop w:val="0"/>
          <w:marBottom w:val="0"/>
          <w:divBdr>
            <w:top w:val="none" w:sz="0" w:space="0" w:color="auto"/>
            <w:left w:val="none" w:sz="0" w:space="0" w:color="auto"/>
            <w:bottom w:val="none" w:sz="0" w:space="0" w:color="auto"/>
            <w:right w:val="none" w:sz="0" w:space="0" w:color="auto"/>
          </w:divBdr>
        </w:div>
        <w:div w:id="615018440">
          <w:marLeft w:val="0"/>
          <w:marRight w:val="0"/>
          <w:marTop w:val="0"/>
          <w:marBottom w:val="0"/>
          <w:divBdr>
            <w:top w:val="none" w:sz="0" w:space="0" w:color="auto"/>
            <w:left w:val="none" w:sz="0" w:space="0" w:color="auto"/>
            <w:bottom w:val="none" w:sz="0" w:space="0" w:color="auto"/>
            <w:right w:val="none" w:sz="0" w:space="0" w:color="auto"/>
          </w:divBdr>
        </w:div>
        <w:div w:id="2040666062">
          <w:marLeft w:val="0"/>
          <w:marRight w:val="0"/>
          <w:marTop w:val="0"/>
          <w:marBottom w:val="0"/>
          <w:divBdr>
            <w:top w:val="none" w:sz="0" w:space="0" w:color="auto"/>
            <w:left w:val="none" w:sz="0" w:space="0" w:color="auto"/>
            <w:bottom w:val="none" w:sz="0" w:space="0" w:color="auto"/>
            <w:right w:val="none" w:sz="0" w:space="0" w:color="auto"/>
          </w:divBdr>
        </w:div>
        <w:div w:id="1099715176">
          <w:marLeft w:val="0"/>
          <w:marRight w:val="0"/>
          <w:marTop w:val="0"/>
          <w:marBottom w:val="0"/>
          <w:divBdr>
            <w:top w:val="none" w:sz="0" w:space="0" w:color="auto"/>
            <w:left w:val="none" w:sz="0" w:space="0" w:color="auto"/>
            <w:bottom w:val="none" w:sz="0" w:space="0" w:color="auto"/>
            <w:right w:val="none" w:sz="0" w:space="0" w:color="auto"/>
          </w:divBdr>
        </w:div>
      </w:divsChild>
    </w:div>
    <w:div w:id="208903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fully.com/290651-what-is-a-standard-glucose-solution.html" TargetMode="External"/><Relationship Id="rId3" Type="http://schemas.openxmlformats.org/officeDocument/2006/relationships/settings" Target="settings.xml"/><Relationship Id="rId7" Type="http://schemas.openxmlformats.org/officeDocument/2006/relationships/hyperlink" Target="https://sciencing.com/acid-base-titration-theory-5534715.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hanacademy.org/science/chemistry/chemical-reactions-stoichiome/types-of-chemical-reactions/a/double-replacement-reactions"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doi/abs/10.1002/prep.19790040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4412</TotalTime>
  <Pages>6</Pages>
  <Words>1193</Words>
  <Characters>6805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Tolhurst (2222916)</dc:creator>
  <cp:keywords/>
  <dc:description/>
  <cp:lastModifiedBy>David Tolhurst (2222916)</cp:lastModifiedBy>
  <cp:revision>3</cp:revision>
  <dcterms:created xsi:type="dcterms:W3CDTF">2023-04-14T10:33:00Z</dcterms:created>
  <dcterms:modified xsi:type="dcterms:W3CDTF">2023-04-17T12:15:00Z</dcterms:modified>
</cp:coreProperties>
</file>