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1"/>
        <w:jc w:val="center"/>
      </w:pPr>
    </w:p>
    <w:p>
      <w:pPr>
        <w:pStyle w:val="Default"/>
        <w:jc w:val="center"/>
      </w:pPr>
    </w:p>
    <w:p>
      <w:pPr>
        <w:pStyle w:val="Default"/>
        <w:jc w:val="center"/>
        <w:rPr>
          <w:rFonts w:ascii="open sansregular" w:cs="open sansregular" w:hAnsi="open sansregular" w:eastAsia="open sansregular"/>
          <w:b w:val="1"/>
          <w:bCs w:val="1"/>
          <w:i w:val="1"/>
          <w:iCs w:val="1"/>
          <w:caps w:val="0"/>
          <w:smallCaps w:val="0"/>
          <w:outline w:val="0"/>
          <w:color w:val="333333"/>
          <w:spacing w:val="0"/>
          <w:sz w:val="72"/>
          <w:szCs w:val="72"/>
          <w:u w:val="single" w:color="333333"/>
          <w14:textFill>
            <w14:solidFill>
              <w14:srgbClr w14:val="333333"/>
            </w14:solidFill>
          </w14:textFill>
        </w:rPr>
      </w:pPr>
    </w:p>
    <w:p>
      <w:pPr>
        <w:pStyle w:val="Text body"/>
        <w:jc w:val="center"/>
      </w:pPr>
    </w:p>
    <w:p>
      <w:pPr>
        <w:pStyle w:val="Text body"/>
        <w:jc w:val="center"/>
      </w:pPr>
      <w:r>
        <w:rPr>
          <w:rFonts w:ascii="open sansregular" w:cs="open sansregular" w:hAnsi="open sansregular" w:eastAsia="open sansregular"/>
          <w:b w:val="1"/>
          <w:bCs w:val="1"/>
          <w:i w:val="1"/>
          <w:iCs w:val="1"/>
          <w:caps w:val="0"/>
          <w:smallCaps w:val="0"/>
          <w:outline w:val="0"/>
          <w:color w:val="333333"/>
          <w:spacing w:val="0"/>
          <w:sz w:val="72"/>
          <w:szCs w:val="72"/>
          <w:u w:val="single" w:color="333333"/>
          <w:rtl w:val="0"/>
          <w:lang w:val="en-US"/>
          <w14:textFill>
            <w14:solidFill>
              <w14:srgbClr w14:val="333333"/>
            </w14:solidFill>
          </w14:textFill>
        </w:rPr>
        <w:t>Business Law Practice Online exam</w:t>
      </w:r>
    </w:p>
    <w:p>
      <w:pPr>
        <w:pStyle w:val="Text body"/>
        <w:jc w:val="center"/>
      </w:pPr>
    </w:p>
    <w:p>
      <w:pPr>
        <w:pStyle w:val="Text body"/>
        <w:jc w:val="center"/>
      </w:pPr>
    </w:p>
    <w:p>
      <w:pPr>
        <w:pStyle w:val="Text body"/>
        <w:jc w:val="center"/>
        <w:rPr>
          <w:rFonts w:ascii="open sansregular" w:cs="open sansregular" w:hAnsi="open sansregular" w:eastAsia="open sansregular"/>
          <w:b w:val="1"/>
          <w:bCs w:val="1"/>
          <w:i w:val="1"/>
          <w:iCs w:val="1"/>
          <w:caps w:val="0"/>
          <w:smallCaps w:val="0"/>
          <w:outline w:val="0"/>
          <w:color w:val="333333"/>
          <w:spacing w:val="0"/>
          <w:sz w:val="72"/>
          <w:szCs w:val="72"/>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b w:val="1"/>
          <w:bCs w:val="1"/>
          <w:i w:val="1"/>
          <w:iCs w:val="1"/>
          <w:caps w:val="0"/>
          <w:smallCaps w:val="0"/>
          <w:outline w:val="0"/>
          <w:color w:val="333333"/>
          <w:spacing w:val="0"/>
          <w:sz w:val="72"/>
          <w:szCs w:val="72"/>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rFonts w:ascii="open sansregular" w:cs="open sansregular" w:hAnsi="open sansregular" w:eastAsia="open sansregular"/>
          <w:caps w:val="0"/>
          <w:smallCaps w:val="0"/>
          <w:outline w:val="0"/>
          <w:color w:val="333333"/>
          <w:spacing w:val="0"/>
          <w:sz w:val="21"/>
          <w:szCs w:val="21"/>
          <w:u w:val="single" w:color="333333"/>
          <w:shd w:val="clear" w:color="auto" w:fill="ffffff"/>
          <w14:textFill>
            <w14:solidFill>
              <w14:srgbClr w14:val="333333"/>
            </w14:solidFill>
          </w14:textFill>
        </w:rPr>
      </w:pPr>
    </w:p>
    <w:p>
      <w:pPr>
        <w:pStyle w:val="Text body"/>
        <w:jc w:val="center"/>
        <w:rPr>
          <w:outline w:val="0"/>
          <w:color w:val="000000"/>
          <w:u w:color="000000"/>
          <w14:textFill>
            <w14:solidFill>
              <w14:srgbClr w14:val="000000"/>
            </w14:solidFill>
          </w14:textFill>
        </w:rPr>
      </w:pPr>
    </w:p>
    <w:p>
      <w:pPr>
        <w:pStyle w:val="Contents Heading"/>
        <w:jc w:val="center"/>
      </w:pPr>
      <w:r>
        <w:rPr>
          <w:rFonts w:ascii="Times New Roman" w:hAnsi="Times New Roman"/>
          <w:outline w:val="0"/>
          <w:color w:val="000000"/>
          <w:u w:color="000000"/>
          <w:rtl w:val="0"/>
          <w:lang w:val="en-US"/>
          <w14:textFill>
            <w14:solidFill>
              <w14:srgbClr w14:val="000000"/>
            </w14:solidFill>
          </w14:textFill>
        </w:rPr>
        <w:t>TABLE OF CONTENTS</w:t>
      </w:r>
    </w:p>
    <w:p>
      <w:pPr>
        <w:pStyle w:val="Contents Heading"/>
        <w:tabs>
          <w:tab w:val="right" w:pos="9340" w:leader="dot"/>
        </w:tabs>
      </w:pPr>
      <w:r>
        <w:rPr/>
        <w:fldChar w:fldCharType="begin" w:fldLock="0"/>
      </w:r>
      <w:r>
        <w:instrText xml:space="preserve"> TOC \o 1-2 </w:instrText>
      </w:r>
      <w:r>
        <w:rPr/>
        <w:fldChar w:fldCharType="separate" w:fldLock="0"/>
      </w:r>
    </w:p>
    <w:p>
      <w:pPr>
        <w:pStyle w:val="TOC 1"/>
        <w:bidi w:val="0"/>
      </w:pPr>
      <w:r>
        <w:rPr>
          <w:rFonts w:cs="Arial Unicode MS" w:eastAsia="Arial Unicode MS"/>
          <w:rtl w:val="0"/>
          <w:lang w:val="it-IT"/>
        </w:rPr>
        <w:t>Question 1-</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bidi w:val="0"/>
      </w:pPr>
      <w:r>
        <w:rPr>
          <w:rFonts w:cs="Arial Unicode MS" w:eastAsia="Arial Unicode MS"/>
          <w:rtl w:val="0"/>
          <w:lang w:val="it-IT"/>
        </w:rPr>
        <w:t>Question 2</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2"/>
        <w:bidi w:val="0"/>
      </w:pPr>
      <w:r>
        <w:rPr>
          <w:rFonts w:cs="Arial Unicode MS" w:eastAsia="Arial Unicode MS"/>
          <w:rtl w:val="0"/>
          <w:lang w:val="en-US"/>
        </w:rPr>
        <w:t>a) Steps that TTL board must take to appoint Abdul Hamid formally as the director-</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2"/>
        <w:bidi w:val="0"/>
      </w:pPr>
      <w:r>
        <w:rPr>
          <w:rFonts w:cs="Arial Unicode MS" w:eastAsia="Arial Unicode MS"/>
          <w:rtl w:val="0"/>
          <w:lang w:val="en-US"/>
        </w:rPr>
        <w:t>Granting the service contract-</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2"/>
        <w:bidi w:val="0"/>
      </w:pPr>
      <w:r>
        <w:rPr>
          <w:rFonts w:cs="Arial Unicode MS" w:eastAsia="Arial Unicode MS"/>
          <w:rtl w:val="0"/>
          <w:lang w:val="en-US"/>
        </w:rPr>
        <w:t>Consequences of making Kat as the director of the company due to its proposed lease to TTL-</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1"/>
        <w:bidi w:val="0"/>
      </w:pPr>
      <w:r>
        <w:rPr>
          <w:rFonts w:cs="Arial Unicode MS" w:eastAsia="Arial Unicode MS"/>
          <w:rtl w:val="0"/>
          <w:lang w:val="de-DE"/>
        </w:rPr>
        <w:t>REFERENCES</w:t>
        <w:tab/>
      </w:r>
      <w:r>
        <w:rPr/>
        <w:fldChar w:fldCharType="begin" w:fldLock="0"/>
      </w:r>
      <w:r>
        <w:instrText xml:space="preserve"> PAGEREF _Toc5 \h </w:instrText>
      </w:r>
      <w:r>
        <w:rPr/>
        <w:fldChar w:fldCharType="separate" w:fldLock="0"/>
      </w:r>
      <w:r>
        <w:rPr>
          <w:rFonts w:cs="Arial Unicode MS" w:eastAsia="Arial Unicode MS"/>
          <w:rtl w:val="0"/>
        </w:rPr>
        <w:t>1</w:t>
      </w:r>
      <w:r>
        <w:rPr/>
        <w:fldChar w:fldCharType="end" w:fldLock="0"/>
      </w:r>
    </w:p>
    <w:p>
      <w:pPr>
        <w:tabs>
          <w:tab w:val="right" w:pos="9340" w:leader="dot"/>
        </w:tabs>
      </w:pPr>
      <w:r>
        <w:rPr/>
        <w:fldChar w:fldCharType="end" w:fldLock="0"/>
      </w:r>
    </w:p>
    <w:p>
      <w:pPr>
        <w:pStyle w:val="Heading 1"/>
      </w:pPr>
    </w:p>
    <w:p>
      <w:pPr>
        <w:pStyle w:val="Heading 1"/>
      </w:pPr>
    </w:p>
    <w:p>
      <w:pPr>
        <w:pStyle w:val="Heading 1"/>
      </w:pPr>
    </w:p>
    <w:p>
      <w:pPr>
        <w:pStyle w:val="Heading 1"/>
      </w:pPr>
    </w:p>
    <w:p>
      <w:pPr>
        <w:pStyle w:val="Heading 1"/>
      </w:pPr>
    </w:p>
    <w:p>
      <w:pPr>
        <w:pStyle w:val="Heading 1"/>
      </w:pPr>
    </w:p>
    <w:p>
      <w:pPr>
        <w:pStyle w:val="Heading 1"/>
      </w:pPr>
    </w:p>
    <w:p>
      <w:pPr>
        <w:pStyle w:val="Heading 1"/>
      </w:pPr>
    </w:p>
    <w:p>
      <w:pPr>
        <w:pStyle w:val="Default"/>
      </w:pPr>
    </w:p>
    <w:p>
      <w:pPr>
        <w:pStyle w:val="Default"/>
      </w:pPr>
    </w:p>
    <w:p>
      <w:pPr>
        <w:pStyle w:val="Default"/>
      </w:pPr>
    </w:p>
    <w:p>
      <w:pPr>
        <w:pStyle w:val="Default"/>
      </w:pPr>
    </w:p>
    <w:p>
      <w:pPr>
        <w:pStyle w:val="Default"/>
      </w:pPr>
    </w:p>
    <w:p>
      <w:pPr>
        <w:pStyle w:val="Default"/>
      </w:pPr>
    </w:p>
    <w:p>
      <w:pPr>
        <w:pStyle w:val="Heading 1"/>
      </w:pPr>
      <w:bookmarkStart w:name="_Toc" w:id="0"/>
      <w:bookmarkStart w:name="_RefHeading__128590_1463636477" w:id="1"/>
      <w:bookmarkEnd w:id="1"/>
      <w:r>
        <w:rPr>
          <w:rtl w:val="0"/>
          <w:lang w:val="en-US"/>
        </w:rPr>
        <w:t>Q</w:t>
      </w:r>
      <w:r>
        <w:rPr>
          <w:rtl w:val="0"/>
          <w:lang w:val="en-US"/>
        </w:rPr>
        <w:t>uestion 1-</w:t>
      </w:r>
      <w:bookmarkEnd w:id="0"/>
    </w:p>
    <w:p>
      <w:pPr>
        <w:pStyle w:val="Default"/>
      </w:pPr>
      <w:r>
        <w:rPr>
          <w:rtl w:val="0"/>
          <w:lang w:val="en-US"/>
        </w:rPr>
        <w:t>While admitting the new partners into the organisation it is very important to have the partnership agreement among them which will illustrate all the duties, financial obligations as well as legal liability of the each partner. The things which will be proposed to the partners in the next meeting are such as-</w:t>
      </w:r>
    </w:p>
    <w:p>
      <w:pPr>
        <w:pStyle w:val="Default"/>
        <w:rPr>
          <w:b w:val="1"/>
          <w:bCs w:val="1"/>
          <w:i w:val="1"/>
          <w:iCs w:val="1"/>
        </w:rPr>
      </w:pPr>
      <w:r>
        <w:rPr>
          <w:rtl w:val="0"/>
          <w:lang w:val="en-US"/>
        </w:rPr>
        <w:t>There are basically five clauses which has to be included in every partnership agreement are such which involves:</w:t>
      </w:r>
    </w:p>
    <w:p>
      <w:pPr>
        <w:pStyle w:val="Default"/>
        <w:rPr>
          <w:b w:val="1"/>
          <w:bCs w:val="1"/>
          <w:i w:val="1"/>
          <w:iCs w:val="1"/>
        </w:rPr>
      </w:pPr>
      <w:r>
        <w:rPr>
          <w:b w:val="1"/>
          <w:bCs w:val="1"/>
          <w:i w:val="1"/>
          <w:iCs w:val="1"/>
          <w:rtl w:val="0"/>
          <w:lang w:val="en-US"/>
        </w:rPr>
        <w:t>Capital contributions:</w:t>
      </w:r>
      <w:r>
        <w:rPr>
          <w:rtl w:val="0"/>
          <w:lang w:val="en-US"/>
        </w:rPr>
        <w:t xml:space="preserve"> The partnership agreement should include the contribution of each of the partner of the business as well as the percentage of the ownership interest of each of the partnership within the business. The cash contribution is the most important contribution which has to be considered while admission of the new partners in the business. James and James Maddox will be made aware of the contributions of the each partners which has to be made.</w:t>
      </w:r>
    </w:p>
    <w:p>
      <w:pPr>
        <w:pStyle w:val="Default"/>
        <w:rPr>
          <w:b w:val="1"/>
          <w:bCs w:val="1"/>
          <w:i w:val="1"/>
          <w:iCs w:val="1"/>
        </w:rPr>
      </w:pPr>
      <w:r>
        <w:rPr>
          <w:b w:val="1"/>
          <w:bCs w:val="1"/>
          <w:i w:val="1"/>
          <w:iCs w:val="1"/>
          <w:rtl w:val="0"/>
          <w:lang w:val="en-US"/>
        </w:rPr>
        <w:t>Duties as partners:</w:t>
      </w:r>
      <w:r>
        <w:rPr>
          <w:rtl w:val="0"/>
          <w:lang w:val="en-US"/>
        </w:rPr>
        <w:t xml:space="preserve"> As there is absence of written agreement among the new partners, it is very important for them to provide the clear roles and duties of the each and every partners including the old ones. This involves clearly specifying the level of authority of each partner, decision-making power, management duties and many other responsibilities must be considered in the partnership agreement. </w:t>
      </w:r>
    </w:p>
    <w:p>
      <w:pPr>
        <w:pStyle w:val="Default"/>
        <w:rPr>
          <w:b w:val="1"/>
          <w:bCs w:val="1"/>
          <w:i w:val="1"/>
          <w:iCs w:val="1"/>
        </w:rPr>
      </w:pPr>
      <w:r>
        <w:rPr>
          <w:b w:val="1"/>
          <w:bCs w:val="1"/>
          <w:i w:val="1"/>
          <w:iCs w:val="1"/>
          <w:rtl w:val="0"/>
          <w:lang w:val="en-US"/>
        </w:rPr>
        <w:t>Sharing of profits and losses:</w:t>
      </w:r>
      <w:r>
        <w:rPr>
          <w:rtl w:val="0"/>
          <w:lang w:val="en-US"/>
        </w:rPr>
        <w:t xml:space="preserve"> Each and every partner must be clear with the proportion of their profits and losses in the business. The agreement must specify to to effectively state the allocation as well as the distribution of the profits and losses. They must make the written agreement which must specify which partner has how much of % in the sharing of the profits and losses. James and James Maddox must prepare the written agreement which will enable them to have clarity for the sharing of profits and losses (</w:t>
      </w:r>
      <w:r>
        <w:rPr>
          <w:caps w:val="0"/>
          <w:smallCaps w:val="0"/>
          <w:outline w:val="0"/>
          <w:color w:val="222222"/>
          <w:spacing w:val="0"/>
          <w:u w:val="none" w:color="222222"/>
          <w:rtl w:val="0"/>
          <w:lang w:val="en-US"/>
          <w14:textFill>
            <w14:solidFill>
              <w14:srgbClr w14:val="222222"/>
            </w14:solidFill>
          </w14:textFill>
        </w:rPr>
        <w:t>Nayak, 2020.</w:t>
      </w:r>
      <w:r>
        <w:rPr>
          <w:rtl w:val="0"/>
          <w:lang w:val="en-US"/>
        </w:rPr>
        <w:t>).</w:t>
      </w:r>
    </w:p>
    <w:p>
      <w:pPr>
        <w:pStyle w:val="Text body"/>
        <w:rPr>
          <w:b w:val="1"/>
          <w:bCs w:val="1"/>
          <w:i w:val="1"/>
          <w:iCs w:val="1"/>
        </w:rPr>
      </w:pPr>
      <w:r>
        <w:rPr>
          <w:b w:val="1"/>
          <w:bCs w:val="1"/>
          <w:i w:val="1"/>
          <w:iCs w:val="1"/>
          <w:rtl w:val="0"/>
          <w:lang w:val="en-US"/>
        </w:rPr>
        <w:t xml:space="preserve">Acceptance of liability: </w:t>
      </w:r>
      <w:r>
        <w:rPr>
          <w:rtl w:val="0"/>
          <w:lang w:val="en-US"/>
        </w:rPr>
        <w:t>The admission of the nee partner into the business creates many misunderstanding among the partners when there is no written agreement. To avoid such problems, the agreement must include the liability of each and every partner for the business obligations of the partnership firm. It is considered as the essential part which has to be included while forming the partnership firm. This will provide the clear liability of every partner for the business.</w:t>
      </w:r>
    </w:p>
    <w:p>
      <w:pPr>
        <w:pStyle w:val="Text body"/>
      </w:pPr>
      <w:r>
        <w:rPr>
          <w:b w:val="1"/>
          <w:bCs w:val="1"/>
          <w:i w:val="1"/>
          <w:iCs w:val="1"/>
          <w:rtl w:val="0"/>
          <w:lang w:val="en-US"/>
        </w:rPr>
        <w:t xml:space="preserve">Dispute Resolution: </w:t>
      </w:r>
      <w:r>
        <w:rPr>
          <w:rtl w:val="0"/>
          <w:lang w:val="en-US"/>
        </w:rPr>
        <w:t>The clause must be included in the written agreement which will state that how the deadlocked or the critical disputes will be solved and handled in the organisation. This will help them in avoiding the situation of taking the cases to the courts by other partner.</w:t>
      </w:r>
    </w:p>
    <w:p>
      <w:pPr>
        <w:pStyle w:val="Text body"/>
      </w:pPr>
      <w:r>
        <w:rPr>
          <w:rtl w:val="0"/>
        </w:rPr>
        <w:tab/>
        <w:t>Including the above major clauses in the written agreement of the James and James Maddox business will enable them to avoid any complexities in future and will provide the smooth running of the business.</w:t>
      </w:r>
    </w:p>
    <w:p>
      <w:pPr>
        <w:pStyle w:val="Default"/>
      </w:pPr>
    </w:p>
    <w:p>
      <w:pPr>
        <w:pStyle w:val="Heading 1"/>
      </w:pPr>
      <w:bookmarkStart w:name="_Toc1" w:id="2"/>
      <w:bookmarkStart w:name="_RefHeading__128592_1463636477" w:id="3"/>
      <w:bookmarkEnd w:id="3"/>
      <w:r>
        <w:rPr>
          <w:rtl w:val="0"/>
          <w:lang w:val="en-US"/>
        </w:rPr>
        <w:t>Q</w:t>
      </w:r>
      <w:r>
        <w:rPr>
          <w:rtl w:val="0"/>
          <w:lang w:val="en-US"/>
        </w:rPr>
        <w:t>uestion 2</w:t>
      </w:r>
      <w:bookmarkEnd w:id="2"/>
    </w:p>
    <w:p>
      <w:pPr>
        <w:pStyle w:val="Heading 2"/>
        <w:rPr>
          <w:b w:val="1"/>
          <w:bCs w:val="1"/>
          <w:i w:val="1"/>
          <w:iCs w:val="1"/>
        </w:rPr>
      </w:pPr>
      <w:bookmarkStart w:name="_Toc2" w:id="4"/>
      <w:bookmarkStart w:name="_RefHeading__128594_1463636477" w:id="5"/>
      <w:bookmarkEnd w:id="5"/>
      <w:r>
        <w:rPr>
          <w:rFonts w:cs="Arial Unicode MS" w:eastAsia="Arial Unicode MS"/>
          <w:rtl w:val="0"/>
          <w:lang w:val="en-US"/>
        </w:rPr>
        <w:t>a</w:t>
      </w:r>
      <w:r>
        <w:rPr>
          <w:rFonts w:cs="Arial Unicode MS" w:eastAsia="Arial Unicode MS"/>
          <w:rtl w:val="0"/>
          <w:lang w:val="en-US"/>
        </w:rPr>
        <w:t>) Steps that TTL board must take to appoint Abdul Hamid formally as the director-</w:t>
      </w:r>
      <w:bookmarkEnd w:id="4"/>
    </w:p>
    <w:p>
      <w:pPr>
        <w:pStyle w:val="Default"/>
      </w:pPr>
      <w:r>
        <w:rPr>
          <w:b w:val="1"/>
          <w:bCs w:val="1"/>
          <w:i w:val="1"/>
          <w:iCs w:val="1"/>
          <w:rtl w:val="0"/>
          <w:lang w:val="en-US"/>
        </w:rPr>
        <w:t xml:space="preserve">Ensuring that director is eligible: </w:t>
      </w:r>
      <w:r>
        <w:rPr>
          <w:rtl w:val="0"/>
          <w:lang w:val="en-US"/>
        </w:rPr>
        <w:t>The first step which must be followed before appointing the new director, it is very essential for TTL board to check the eligibility of the director by-</w:t>
      </w:r>
    </w:p>
    <w:p>
      <w:pPr>
        <w:pStyle w:val="Default"/>
        <w:numPr>
          <w:ilvl w:val="0"/>
          <w:numId w:val="2"/>
        </w:numPr>
        <w:rPr>
          <w:lang w:val="en-US"/>
        </w:rPr>
      </w:pPr>
      <w:r>
        <w:rPr>
          <w:rtl w:val="0"/>
          <w:lang w:val="en-US"/>
        </w:rPr>
        <w:t>The age of director must be 16</w:t>
      </w:r>
    </w:p>
    <w:p>
      <w:pPr>
        <w:pStyle w:val="Default"/>
        <w:numPr>
          <w:ilvl w:val="0"/>
          <w:numId w:val="2"/>
        </w:numPr>
        <w:rPr>
          <w:lang w:val="en-US"/>
        </w:rPr>
      </w:pPr>
      <w:r>
        <w:rPr>
          <w:rtl w:val="0"/>
          <w:lang w:val="en-US"/>
        </w:rPr>
        <w:t>Should not be currently disqualified to become director</w:t>
      </w:r>
    </w:p>
    <w:p>
      <w:pPr>
        <w:pStyle w:val="Default"/>
        <w:numPr>
          <w:ilvl w:val="0"/>
          <w:numId w:val="2"/>
        </w:numPr>
        <w:rPr>
          <w:lang w:val="en-US"/>
        </w:rPr>
      </w:pPr>
      <w:r>
        <w:rPr>
          <w:rtl w:val="0"/>
          <w:lang w:val="en-US"/>
        </w:rPr>
        <w:t>Not going to be auditing the organisation</w:t>
      </w:r>
    </w:p>
    <w:p>
      <w:pPr>
        <w:pStyle w:val="Default"/>
        <w:numPr>
          <w:ilvl w:val="0"/>
          <w:numId w:val="2"/>
        </w:numPr>
        <w:bidi w:val="0"/>
        <w:ind w:right="0"/>
        <w:jc w:val="both"/>
        <w:rPr>
          <w:b w:val="1"/>
          <w:bCs w:val="1"/>
          <w:i w:val="1"/>
          <w:iCs w:val="1"/>
          <w:rtl w:val="0"/>
          <w:lang w:val="en-US"/>
        </w:rPr>
      </w:pPr>
      <w:r>
        <w:rPr>
          <w:b w:val="0"/>
          <w:bCs w:val="0"/>
          <w:i w:val="0"/>
          <w:iCs w:val="0"/>
          <w:rtl w:val="0"/>
          <w:lang w:val="en-US"/>
        </w:rPr>
        <w:t>To check the Article of Association of the company of company's special requirements of director (</w:t>
      </w:r>
      <w:r>
        <w:rPr>
          <w:b w:val="0"/>
          <w:bCs w:val="0"/>
          <w:i w:val="0"/>
          <w:iCs w:val="0"/>
          <w:caps w:val="0"/>
          <w:smallCaps w:val="0"/>
          <w:outline w:val="0"/>
          <w:color w:val="222222"/>
          <w:spacing w:val="0"/>
          <w:u w:val="none" w:color="222222"/>
          <w:rtl w:val="0"/>
          <w:lang w:val="en-US"/>
          <w14:textFill>
            <w14:solidFill>
              <w14:srgbClr w14:val="222222"/>
            </w14:solidFill>
          </w14:textFill>
        </w:rPr>
        <w:t>Dorsey, 2022</w:t>
      </w:r>
      <w:r>
        <w:rPr>
          <w:b w:val="0"/>
          <w:bCs w:val="0"/>
          <w:i w:val="0"/>
          <w:iCs w:val="0"/>
          <w:rtl w:val="0"/>
          <w:lang w:val="en-US"/>
        </w:rPr>
        <w:t>)</w:t>
      </w:r>
    </w:p>
    <w:p>
      <w:pPr>
        <w:pStyle w:val="Default"/>
      </w:pPr>
      <w:r>
        <w:rPr>
          <w:b w:val="1"/>
          <w:bCs w:val="1"/>
          <w:i w:val="1"/>
          <w:iCs w:val="1"/>
          <w:rtl w:val="0"/>
          <w:lang w:val="en-US"/>
        </w:rPr>
        <w:t>Getting approval for appointment of new director:</w:t>
      </w:r>
      <w:r>
        <w:rPr>
          <w:i w:val="1"/>
          <w:iCs w:val="1"/>
          <w:rtl w:val="0"/>
          <w:lang w:val="en-US"/>
        </w:rPr>
        <w:t xml:space="preserve"> </w:t>
      </w:r>
      <w:r>
        <w:rPr>
          <w:rtl w:val="0"/>
          <w:lang w:val="en-US"/>
        </w:rPr>
        <w:t>The article of company specifies sought of appointing new director and this is basically done by two ways such as-</w:t>
      </w:r>
    </w:p>
    <w:p>
      <w:pPr>
        <w:pStyle w:val="Default"/>
        <w:numPr>
          <w:ilvl w:val="0"/>
          <w:numId w:val="4"/>
        </w:numPr>
        <w:rPr>
          <w:lang w:val="en-US"/>
        </w:rPr>
      </w:pPr>
      <w:r>
        <w:rPr>
          <w:rtl w:val="0"/>
          <w:lang w:val="en-US"/>
        </w:rPr>
        <w:t>If the company has adopted the Model Articles, then they can appoint the new director by conducting the voting system at the board meeting.</w:t>
      </w:r>
    </w:p>
    <w:p>
      <w:pPr>
        <w:pStyle w:val="Default"/>
        <w:numPr>
          <w:ilvl w:val="0"/>
          <w:numId w:val="4"/>
        </w:numPr>
        <w:bidi w:val="0"/>
        <w:ind w:right="0"/>
        <w:jc w:val="both"/>
        <w:rPr>
          <w:b w:val="1"/>
          <w:bCs w:val="1"/>
          <w:i w:val="1"/>
          <w:iCs w:val="1"/>
          <w:rtl w:val="0"/>
          <w:lang w:val="en-US"/>
        </w:rPr>
      </w:pPr>
      <w:r>
        <w:rPr>
          <w:b w:val="0"/>
          <w:bCs w:val="0"/>
          <w:i w:val="0"/>
          <w:iCs w:val="0"/>
          <w:rtl w:val="0"/>
          <w:lang w:val="en-US"/>
        </w:rPr>
        <w:t>The company can ask the shareholders of the company for the approval of the decision for appointing the new director. If the general meeting has to be called for the approval of the shareholders then the ordinary resolution will be put to vote (</w:t>
      </w:r>
      <w:r>
        <w:rPr>
          <w:b w:val="0"/>
          <w:bCs w:val="0"/>
          <w:i w:val="0"/>
          <w:iCs w:val="0"/>
          <w:caps w:val="0"/>
          <w:smallCaps w:val="0"/>
          <w:outline w:val="0"/>
          <w:color w:val="222222"/>
          <w:spacing w:val="0"/>
          <w:u w:val="none" w:color="222222"/>
          <w:rtl w:val="0"/>
          <w:lang w:val="en-US"/>
          <w14:textFill>
            <w14:solidFill>
              <w14:srgbClr w14:val="222222"/>
            </w14:solidFill>
          </w14:textFill>
        </w:rPr>
        <w:t>Wintoki and Xi, 2019</w:t>
      </w:r>
      <w:r>
        <w:rPr>
          <w:b w:val="0"/>
          <w:bCs w:val="0"/>
          <w:i w:val="0"/>
          <w:iCs w:val="0"/>
          <w:rtl w:val="0"/>
          <w:lang w:val="en-US"/>
        </w:rPr>
        <w:t>).</w:t>
      </w:r>
    </w:p>
    <w:p>
      <w:pPr>
        <w:pStyle w:val="Default"/>
        <w:rPr>
          <w:b w:val="1"/>
          <w:bCs w:val="1"/>
          <w:i w:val="1"/>
          <w:iCs w:val="1"/>
        </w:rPr>
      </w:pPr>
      <w:r>
        <w:rPr>
          <w:b w:val="1"/>
          <w:bCs w:val="1"/>
          <w:i w:val="1"/>
          <w:iCs w:val="1"/>
          <w:rtl w:val="0"/>
          <w:lang w:val="en-US"/>
        </w:rPr>
        <w:t xml:space="preserve">Appointment Letter: </w:t>
      </w:r>
      <w:r>
        <w:rPr>
          <w:rtl w:val="0"/>
          <w:lang w:val="en-US"/>
        </w:rPr>
        <w:t xml:space="preserve">The new director will be given the letter of appointment to be signed for its confirmation for acting as the director of the company. </w:t>
      </w:r>
    </w:p>
    <w:p>
      <w:pPr>
        <w:pStyle w:val="Default"/>
      </w:pPr>
      <w:r>
        <w:rPr>
          <w:b w:val="1"/>
          <w:bCs w:val="1"/>
          <w:i w:val="1"/>
          <w:iCs w:val="1"/>
          <w:rtl w:val="0"/>
          <w:lang w:val="en-US"/>
        </w:rPr>
        <w:t xml:space="preserve">Reporting of new appointment to Companies House: </w:t>
      </w:r>
      <w:r>
        <w:rPr>
          <w:rtl w:val="0"/>
          <w:lang w:val="en-US"/>
        </w:rPr>
        <w:t>Once the approval of appointing the new director will be taken, it is then necessary for reporting the appointment with Companies House using the form AP01 for showing publicly and becoming officially registered. This must be completed by the TTL board within the 14 days of the appointment.</w:t>
      </w:r>
    </w:p>
    <w:p>
      <w:pPr>
        <w:pStyle w:val="Heading 2"/>
      </w:pPr>
    </w:p>
    <w:p>
      <w:pPr>
        <w:pStyle w:val="Heading 2"/>
      </w:pPr>
      <w:bookmarkStart w:name="_Toc3" w:id="6"/>
      <w:bookmarkStart w:name="_RefHeading__128596_1463636477" w:id="7"/>
      <w:bookmarkEnd w:id="7"/>
      <w:r>
        <w:rPr>
          <w:rFonts w:cs="Arial Unicode MS" w:eastAsia="Arial Unicode MS"/>
          <w:rtl w:val="0"/>
          <w:lang w:val="en-US"/>
        </w:rPr>
        <w:t>G</w:t>
      </w:r>
      <w:r>
        <w:rPr>
          <w:rFonts w:cs="Arial Unicode MS" w:eastAsia="Arial Unicode MS"/>
          <w:rtl w:val="0"/>
          <w:lang w:val="en-US"/>
        </w:rPr>
        <w:t>ranting the service contract-</w:t>
      </w:r>
      <w:bookmarkEnd w:id="6"/>
    </w:p>
    <w:p>
      <w:pPr>
        <w:pStyle w:val="Default"/>
      </w:pPr>
      <w:r>
        <w:rPr>
          <w:rtl w:val="0"/>
          <w:lang w:val="en-US"/>
        </w:rPr>
        <w:t>The service contract of the director is basically the contract through which the company hires the new director in the company. This is the long term contract by providing the detailed information as well as the provision related to the various aspects of the employment within the organisation. The service contracts are prepared for ensuring that the optimal condition is maintained within the organisation by appointing the new director into the organisation.</w:t>
      </w:r>
    </w:p>
    <w:p>
      <w:pPr>
        <w:pStyle w:val="Default"/>
      </w:pPr>
      <w:r>
        <w:rPr>
          <w:rtl w:val="0"/>
          <w:lang w:val="en-US"/>
        </w:rPr>
        <w:t>This service contract will include:</w:t>
      </w:r>
    </w:p>
    <w:p>
      <w:pPr>
        <w:pStyle w:val="Default"/>
        <w:numPr>
          <w:ilvl w:val="0"/>
          <w:numId w:val="6"/>
        </w:numPr>
        <w:rPr>
          <w:lang w:val="en-US"/>
        </w:rPr>
      </w:pPr>
      <w:r>
        <w:rPr>
          <w:rtl w:val="0"/>
          <w:lang w:val="en-US"/>
        </w:rPr>
        <w:t>Including all the information which are legally to be provided to new director</w:t>
      </w:r>
    </w:p>
    <w:p>
      <w:pPr>
        <w:pStyle w:val="Default"/>
        <w:numPr>
          <w:ilvl w:val="0"/>
          <w:numId w:val="6"/>
        </w:numPr>
        <w:rPr>
          <w:lang w:val="en-US"/>
        </w:rPr>
      </w:pPr>
      <w:r>
        <w:rPr>
          <w:rtl w:val="0"/>
          <w:lang w:val="en-US"/>
        </w:rPr>
        <w:t>Providing the handbook as well as stating all the policies.</w:t>
      </w:r>
    </w:p>
    <w:p>
      <w:pPr>
        <w:pStyle w:val="Default"/>
        <w:numPr>
          <w:ilvl w:val="0"/>
          <w:numId w:val="6"/>
        </w:numPr>
        <w:rPr>
          <w:lang w:val="en-US"/>
        </w:rPr>
      </w:pPr>
      <w:r>
        <w:rPr>
          <w:rtl w:val="0"/>
          <w:lang w:val="en-US"/>
        </w:rPr>
        <w:t>Stating the service contract of three year which has been decided</w:t>
      </w:r>
    </w:p>
    <w:p>
      <w:pPr>
        <w:pStyle w:val="Default"/>
      </w:pPr>
      <w:r>
        <w:rPr>
          <w:rtl w:val="0"/>
          <w:lang w:val="en-US"/>
        </w:rPr>
        <w:t>The company has to state all the information which will enable the company to get the written agreement related to the fixed three years contract to the Abdul Hamid.</w:t>
      </w:r>
    </w:p>
    <w:p>
      <w:pPr>
        <w:pStyle w:val="Heading 2"/>
      </w:pPr>
      <w:bookmarkStart w:name="_Toc4" w:id="8"/>
      <w:bookmarkStart w:name="_RefHeading__128598_1463636477" w:id="9"/>
      <w:bookmarkEnd w:id="9"/>
      <w:r>
        <w:rPr>
          <w:rFonts w:cs="Arial Unicode MS" w:eastAsia="Arial Unicode MS"/>
          <w:rtl w:val="0"/>
          <w:lang w:val="en-US"/>
        </w:rPr>
        <w:t>C</w:t>
      </w:r>
      <w:r>
        <w:rPr>
          <w:rFonts w:cs="Arial Unicode MS" w:eastAsia="Arial Unicode MS"/>
          <w:rtl w:val="0"/>
          <w:lang w:val="en-US"/>
        </w:rPr>
        <w:t>onsequences of making Kat as the director of the company due to its proposed lease to TTL-</w:t>
      </w:r>
      <w:bookmarkEnd w:id="8"/>
    </w:p>
    <w:p>
      <w:pPr>
        <w:pStyle w:val="Default"/>
      </w:pPr>
      <w:r>
        <w:rPr>
          <w:rtl w:val="0"/>
        </w:rPr>
        <w:tab/>
        <w:t>If the Kat would be appointed as the director of the TTL company then there will be various consequences of it ion her proposed leased to the company. As she has given her personal property to the company and the initial premium payment of the asset is Euro 80,000. And it has been stated that none of the director is liable for any of the debts of the company. So, the Kat will not receive the amount of the personal property when it will be given on lease to the TTL company.</w:t>
      </w:r>
    </w:p>
    <w:p>
      <w:pPr>
        <w:pStyle w:val="Default"/>
      </w:pPr>
    </w:p>
    <w:p>
      <w:pPr>
        <w:pStyle w:val="Heading 2"/>
      </w:pPr>
    </w:p>
    <w:p>
      <w:pPr>
        <w:pStyle w:val="Default"/>
      </w:pPr>
    </w:p>
    <w:p>
      <w:pPr>
        <w:pStyle w:val="Heading 1"/>
      </w:pPr>
    </w:p>
    <w:p>
      <w:pPr>
        <w:pStyle w:val="Default"/>
      </w:pPr>
    </w:p>
    <w:p>
      <w:pPr>
        <w:pStyle w:val="Default"/>
        <w:sectPr>
          <w:headerReference w:type="default" r:id="rId4"/>
          <w:footerReference w:type="default" r:id="rId5"/>
          <w:pgSz w:w="12240" w:h="15840" w:orient="portrait"/>
          <w:pgMar w:top="1440" w:right="1440" w:bottom="1440" w:left="1440" w:header="720" w:footer="720"/>
          <w:bidi w:val="0"/>
        </w:sectPr>
      </w:pPr>
    </w:p>
    <w:p>
      <w:pPr>
        <w:pStyle w:val="Heading 1"/>
        <w:rPr>
          <w:u w:val="single"/>
        </w:rPr>
      </w:pPr>
      <w:bookmarkStart w:name="_Toc5" w:id="10"/>
      <w:bookmarkStart w:name="_RefHeading__128600_1463636477" w:id="11"/>
      <w:bookmarkEnd w:id="11"/>
      <w:r>
        <w:rPr>
          <w:rtl w:val="0"/>
          <w:lang w:val="en-US"/>
        </w:rPr>
        <w:t>R</w:t>
      </w:r>
      <w:r>
        <w:rPr>
          <w:rtl w:val="0"/>
          <w:lang w:val="en-US"/>
        </w:rPr>
        <w:t>EFERENCES</w:t>
      </w:r>
      <w:bookmarkEnd w:id="10"/>
    </w:p>
    <w:p>
      <w:pPr>
        <w:pStyle w:val="Text body"/>
        <w:rPr>
          <w:caps w:val="0"/>
          <w:smallCaps w:val="0"/>
          <w:outline w:val="0"/>
          <w:color w:val="222222"/>
          <w:spacing w:val="0"/>
          <w:u w:val="none" w:color="222222"/>
          <w14:textFill>
            <w14:solidFill>
              <w14:srgbClr w14:val="222222"/>
            </w14:solidFill>
          </w14:textFill>
        </w:rPr>
      </w:pPr>
      <w:r>
        <w:rPr>
          <w:u w:val="single"/>
          <w:rtl w:val="0"/>
          <w:lang w:val="en-US"/>
        </w:rPr>
        <w:t>Books and journals</w:t>
      </w:r>
    </w:p>
    <w:p>
      <w:pPr>
        <w:pStyle w:val="Text body"/>
        <w:ind w:left="817" w:hanging="817"/>
        <w:rPr>
          <w:caps w:val="0"/>
          <w:smallCaps w:val="0"/>
          <w:outline w:val="0"/>
          <w:color w:val="222222"/>
          <w:spacing w:val="0"/>
          <w:u w:val="none" w:color="222222"/>
          <w14:textFill>
            <w14:solidFill>
              <w14:srgbClr w14:val="222222"/>
            </w14:solidFill>
          </w14:textFill>
        </w:rPr>
      </w:pPr>
      <w:r>
        <w:rPr>
          <w:caps w:val="0"/>
          <w:smallCaps w:val="0"/>
          <w:outline w:val="0"/>
          <w:color w:val="222222"/>
          <w:spacing w:val="0"/>
          <w:u w:val="none" w:color="222222"/>
          <w:rtl w:val="0"/>
          <w:lang w:val="en-US"/>
          <w14:textFill>
            <w14:solidFill>
              <w14:srgbClr w14:val="222222"/>
            </w14:solidFill>
          </w14:textFill>
        </w:rPr>
        <w:t>Dorsey, K.D., 2022.</w:t>
      </w:r>
      <w:r>
        <w:rPr>
          <w:caps w:val="0"/>
          <w:smallCaps w:val="0"/>
          <w:outline w:val="0"/>
          <w:color w:val="222222"/>
          <w:spacing w:val="0"/>
          <w:u w:val="none" w:color="222222"/>
          <w:rtl w:val="0"/>
          <w:lang w:val="en-US"/>
          <w14:textFill>
            <w14:solidFill>
              <w14:srgbClr w14:val="222222"/>
            </w14:solidFill>
          </w14:textFill>
        </w:rPr>
        <w:t> </w:t>
      </w:r>
      <w:r>
        <w:rPr>
          <w:outline w:val="0"/>
          <w:color w:val="222222"/>
          <w:spacing w:val="0"/>
          <w:u w:val="none" w:color="222222"/>
          <w:rtl w:val="0"/>
          <w:lang w:val="en-US"/>
          <w14:textFill>
            <w14:solidFill>
              <w14:srgbClr w14:val="222222"/>
            </w14:solidFill>
          </w14:textFill>
        </w:rPr>
        <w:t>Corporate Board Diversity: A Path to Board Service from the Wisdom of Black Women Directors</w:t>
      </w:r>
      <w:r>
        <w:rPr>
          <w:caps w:val="0"/>
          <w:smallCaps w:val="0"/>
          <w:outline w:val="0"/>
          <w:color w:val="222222"/>
          <w:spacing w:val="0"/>
          <w:u w:val="none" w:color="222222"/>
          <w:rtl w:val="0"/>
          <w:lang w:val="en-US"/>
          <w14:textFill>
            <w14:solidFill>
              <w14:srgbClr w14:val="222222"/>
            </w14:solidFill>
          </w14:textFill>
        </w:rPr>
        <w:t>(Doctoral dissertation, University of Southern California).</w:t>
      </w:r>
    </w:p>
    <w:p>
      <w:pPr>
        <w:pStyle w:val="Text body"/>
        <w:ind w:left="817" w:hanging="817"/>
        <w:rPr>
          <w:caps w:val="0"/>
          <w:smallCaps w:val="0"/>
          <w:outline w:val="0"/>
          <w:color w:val="222222"/>
          <w:spacing w:val="0"/>
          <w:u w:val="none" w:color="222222"/>
          <w14:textFill>
            <w14:solidFill>
              <w14:srgbClr w14:val="222222"/>
            </w14:solidFill>
          </w14:textFill>
        </w:rPr>
      </w:pPr>
      <w:r>
        <w:rPr>
          <w:caps w:val="0"/>
          <w:smallCaps w:val="0"/>
          <w:outline w:val="0"/>
          <w:color w:val="222222"/>
          <w:spacing w:val="0"/>
          <w:u w:val="none" w:color="222222"/>
          <w:rtl w:val="0"/>
          <w:lang w:val="en-US"/>
          <w14:textFill>
            <w14:solidFill>
              <w14:srgbClr w14:val="222222"/>
            </w14:solidFill>
          </w14:textFill>
        </w:rPr>
        <w:t>Wintoki, M.B. and Xi, Y., 2019. Friendly directors and the cost of regulatory compliance.</w:t>
      </w:r>
      <w:r>
        <w:rPr>
          <w:caps w:val="0"/>
          <w:smallCaps w:val="0"/>
          <w:outline w:val="0"/>
          <w:color w:val="222222"/>
          <w:spacing w:val="0"/>
          <w:u w:val="none" w:color="222222"/>
          <w:rtl w:val="0"/>
          <w:lang w:val="en-US"/>
          <w14:textFill>
            <w14:solidFill>
              <w14:srgbClr w14:val="222222"/>
            </w14:solidFill>
          </w14:textFill>
        </w:rPr>
        <w:t> </w:t>
      </w:r>
      <w:r>
        <w:rPr>
          <w:caps w:val="0"/>
          <w:smallCaps w:val="0"/>
          <w:outline w:val="0"/>
          <w:color w:val="222222"/>
          <w:spacing w:val="0"/>
          <w:u w:val="none" w:color="222222"/>
          <w:rtl w:val="0"/>
          <w:lang w:val="en-US"/>
          <w14:textFill>
            <w14:solidFill>
              <w14:srgbClr w14:val="222222"/>
            </w14:solidFill>
          </w14:textFill>
        </w:rPr>
        <w:t>Journal of Corporate Finance,</w:t>
      </w:r>
      <w:r>
        <w:rPr>
          <w:caps w:val="0"/>
          <w:smallCaps w:val="0"/>
          <w:outline w:val="0"/>
          <w:color w:val="222222"/>
          <w:spacing w:val="0"/>
          <w:u w:val="none" w:color="222222"/>
          <w:rtl w:val="0"/>
          <w:lang w:val="en-US"/>
          <w14:textFill>
            <w14:solidFill>
              <w14:srgbClr w14:val="222222"/>
            </w14:solidFill>
          </w14:textFill>
        </w:rPr>
        <w:t> </w:t>
      </w:r>
      <w:r>
        <w:rPr>
          <w:caps w:val="0"/>
          <w:smallCaps w:val="0"/>
          <w:outline w:val="0"/>
          <w:color w:val="222222"/>
          <w:spacing w:val="0"/>
          <w:u w:val="none" w:color="222222"/>
          <w:rtl w:val="0"/>
          <w:lang w:val="en-US"/>
          <w14:textFill>
            <w14:solidFill>
              <w14:srgbClr w14:val="222222"/>
            </w14:solidFill>
          </w14:textFill>
        </w:rPr>
        <w:t>58, pp.112-141.</w:t>
      </w:r>
    </w:p>
    <w:p>
      <w:pPr>
        <w:pStyle w:val="Text body"/>
        <w:ind w:left="817" w:hanging="817"/>
        <w:rPr>
          <w:u w:val="single"/>
        </w:rPr>
      </w:pPr>
      <w:r>
        <w:rPr>
          <w:caps w:val="0"/>
          <w:smallCaps w:val="0"/>
          <w:outline w:val="0"/>
          <w:color w:val="222222"/>
          <w:spacing w:val="0"/>
          <w:u w:val="none" w:color="222222"/>
          <w:rtl w:val="0"/>
          <w:lang w:val="en-US"/>
          <w14:textFill>
            <w14:solidFill>
              <w14:srgbClr w14:val="222222"/>
            </w14:solidFill>
          </w14:textFill>
        </w:rPr>
        <w:t>Nayak, H., 2020. How Partnership Act Ease-out Doing Business for Partnership Firm?.</w:t>
      </w:r>
      <w:r>
        <w:rPr>
          <w:caps w:val="0"/>
          <w:smallCaps w:val="0"/>
          <w:outline w:val="0"/>
          <w:color w:val="222222"/>
          <w:spacing w:val="0"/>
          <w:u w:val="none" w:color="222222"/>
          <w:rtl w:val="0"/>
          <w:lang w:val="en-US"/>
          <w14:textFill>
            <w14:solidFill>
              <w14:srgbClr w14:val="222222"/>
            </w14:solidFill>
          </w14:textFill>
        </w:rPr>
        <w:t> </w:t>
      </w:r>
      <w:r>
        <w:rPr>
          <w:caps w:val="0"/>
          <w:smallCaps w:val="0"/>
          <w:outline w:val="0"/>
          <w:color w:val="222222"/>
          <w:spacing w:val="0"/>
          <w:u w:val="none" w:color="222222"/>
          <w:rtl w:val="0"/>
          <w:lang w:val="en-US"/>
          <w14:textFill>
            <w14:solidFill>
              <w14:srgbClr w14:val="222222"/>
            </w14:solidFill>
          </w14:textFill>
        </w:rPr>
        <w:t>Jus Corpus LJ,</w:t>
      </w:r>
      <w:r>
        <w:rPr>
          <w:caps w:val="0"/>
          <w:smallCaps w:val="0"/>
          <w:outline w:val="0"/>
          <w:color w:val="222222"/>
          <w:spacing w:val="0"/>
          <w:u w:val="none" w:color="222222"/>
          <w:rtl w:val="0"/>
          <w:lang w:val="en-US"/>
          <w14:textFill>
            <w14:solidFill>
              <w14:srgbClr w14:val="222222"/>
            </w14:solidFill>
          </w14:textFill>
        </w:rPr>
        <w:t> </w:t>
      </w:r>
      <w:r>
        <w:rPr>
          <w:caps w:val="0"/>
          <w:smallCaps w:val="0"/>
          <w:outline w:val="0"/>
          <w:color w:val="222222"/>
          <w:spacing w:val="0"/>
          <w:u w:val="none" w:color="222222"/>
          <w:rtl w:val="0"/>
          <w:lang w:val="en-US"/>
          <w14:textFill>
            <w14:solidFill>
              <w14:srgbClr w14:val="222222"/>
            </w14:solidFill>
          </w14:textFill>
        </w:rPr>
        <w:t>1, p.641.</w:t>
      </w:r>
      <w:r>
        <w:rPr>
          <w:caps w:val="0"/>
          <w:smallCaps w:val="0"/>
          <w:outline w:val="0"/>
          <w:color w:val="222222"/>
          <w:spacing w:val="0"/>
          <w:u w:val="none" w:color="222222"/>
          <w14:textFill>
            <w14:solidFill>
              <w14:srgbClr w14:val="222222"/>
            </w14:solidFill>
          </w14:textFill>
        </w:rPr>
        <w:br w:type="textWrapping"/>
      </w:r>
    </w:p>
    <w:p>
      <w:pPr>
        <w:pStyle w:val="Text body"/>
        <w:rPr>
          <w:u w:val="single"/>
        </w:rPr>
      </w:pPr>
    </w:p>
    <w:p>
      <w:pPr>
        <w:pStyle w:val="Text body"/>
        <w:rPr>
          <w:u w:val="single"/>
        </w:rPr>
      </w:pPr>
    </w:p>
    <w:p>
      <w:pPr>
        <w:pStyle w:val="Text body"/>
        <w:rPr>
          <w:u w:val="single"/>
        </w:rPr>
      </w:pPr>
    </w:p>
    <w:p>
      <w:pPr>
        <w:pStyle w:val="Default"/>
      </w:pPr>
    </w:p>
    <w:p>
      <w:pPr>
        <w:pStyle w:val="Default"/>
      </w:pPr>
    </w:p>
    <w:p>
      <w:pPr>
        <w:pStyle w:val="Default"/>
        <w:rPr>
          <w:sz w:val="48"/>
          <w:szCs w:val="48"/>
        </w:rPr>
      </w:pPr>
    </w:p>
    <w:p>
      <w:pPr>
        <w:pStyle w:val="Default"/>
        <w:rPr>
          <w:sz w:val="48"/>
          <w:szCs w:val="48"/>
        </w:rPr>
      </w:pPr>
    </w:p>
    <w:p>
      <w:pPr>
        <w:pStyle w:val="Default"/>
        <w:rPr>
          <w:sz w:val="48"/>
          <w:szCs w:val="48"/>
        </w:rPr>
      </w:pPr>
    </w:p>
    <w:p>
      <w:pPr>
        <w:pStyle w:val="Default"/>
      </w:pPr>
      <w:r>
        <w:rPr>
          <w:sz w:val="48"/>
          <w:szCs w:val="48"/>
        </w:rPr>
      </w:r>
    </w:p>
    <w:sectPr>
      <w:headerReference w:type="default" r:id="rId6"/>
      <w:footerReference w:type="default" r:id="rId7"/>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open sans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6"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7"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3"/>
  </w:abstractNum>
  <w:abstractNum w:abstractNumId="3">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4"/>
  </w:abstractNum>
  <w:abstractNum w:abstractNumId="5">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1">
    <w:name w:val="Heading 1"/>
    <w:next w:val="Default"/>
    <w:pPr>
      <w:keepNext w:val="1"/>
      <w:keepLines w:val="1"/>
      <w:pageBreakBefore w:val="0"/>
      <w:widowControl w:val="1"/>
      <w:shd w:val="clear" w:color="auto" w:fill="auto"/>
      <w:suppressAutoHyphens w:val="1"/>
      <w:bidi w:val="0"/>
      <w:spacing w:before="0" w:after="0" w:line="360" w:lineRule="auto"/>
      <w:ind w:left="432" w:right="0" w:hanging="432"/>
      <w:jc w:val="both"/>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Text body">
    <w:name w:val="Text body"/>
    <w:next w:val="Text body"/>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Contents Heading">
    <w:name w:val="Contents Heading"/>
    <w:next w:val="Contents Heading"/>
    <w:pPr>
      <w:keepNext w:val="1"/>
      <w:keepLines w:val="0"/>
      <w:pageBreakBefore w:val="0"/>
      <w:widowControl w:val="1"/>
      <w:shd w:val="clear" w:color="auto" w:fill="auto"/>
      <w:suppressAutoHyphens w:val="1"/>
      <w:bidi w:val="0"/>
      <w:spacing w:before="240" w:after="120" w:line="360" w:lineRule="auto"/>
      <w:ind w:left="0" w:right="0" w:firstLine="0"/>
      <w:jc w:val="both"/>
      <w:outlineLvl w:val="9"/>
    </w:pPr>
    <w:rPr>
      <w:rFonts w:ascii="Arial" w:cs="Arial Unicode MS" w:hAnsi="Arial" w:eastAsia="Arial Unicode MS"/>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lang w:val="en-US"/>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638"/>
      </w:tabs>
      <w:suppressAutoHyphens w:val="0"/>
      <w:bidi w:val="0"/>
      <w:spacing w:before="160" w:after="0" w:line="240" w:lineRule="auto"/>
      <w:ind w:left="0" w:right="0" w:firstLine="24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2">
    <w:name w:val="Heading 2"/>
    <w:next w:val="Default"/>
    <w:pPr>
      <w:keepNext w:val="1"/>
      <w:keepLines w:val="1"/>
      <w:pageBreakBefore w:val="0"/>
      <w:widowControl w:val="1"/>
      <w:shd w:val="clear" w:color="auto" w:fill="auto"/>
      <w:suppressAutoHyphens w:val="1"/>
      <w:bidi w:val="0"/>
      <w:spacing w:before="0" w:after="0" w:line="360" w:lineRule="auto"/>
      <w:ind w:left="576" w:right="0" w:hanging="576"/>
      <w:jc w:val="both"/>
      <w:outlineLvl w:val="1"/>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single" w:color="000000"/>
      <w:shd w:val="nil" w:color="auto" w:fill="auto"/>
      <w:vertAlign w:val="baseline"/>
      <w:lang w:val="en-US"/>
      <w14:textOutline>
        <w14:noFill/>
      </w14:textOutline>
      <w14:textFill>
        <w14:solidFill>
          <w14:srgbClr w14:val="000000"/>
        </w14:solidFill>
      </w14:textFill>
    </w:rPr>
  </w:style>
  <w:style w:type="numbering" w:styleId="Imported Style 2">
    <w:name w:val="Imported Style 2"/>
    <w:pPr>
      <w:numPr>
        <w:numId w:val="1"/>
      </w:numPr>
    </w:pPr>
  </w:style>
  <w:style w:type="numbering" w:styleId="Imported Style 3">
    <w:name w:val="Imported Style 3"/>
    <w:pPr>
      <w:numPr>
        <w:numId w:val="3"/>
      </w:numPr>
    </w:pPr>
  </w:style>
  <w:style w:type="numbering" w:styleId="Imported Style 4">
    <w:name w:val="Imported Style 4"/>
    <w:pPr>
      <w:numPr>
        <w:numId w:val="5"/>
      </w:numPr>
    </w:p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1"/>
      <w:bidi w:val="0"/>
      <w:spacing w:before="0" w:after="0" w:line="24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