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C68B4" w14:textId="532F3324" w:rsidR="74255B5B" w:rsidRDefault="442E990B" w:rsidP="74255B5B">
      <w:pPr>
        <w:jc w:val="center"/>
      </w:pPr>
      <w:r w:rsidRPr="4AB31C75">
        <w:rPr>
          <w:b/>
          <w:bCs/>
          <w:sz w:val="40"/>
          <w:szCs w:val="40"/>
        </w:rPr>
        <w:t xml:space="preserve">Shabana </w:t>
      </w:r>
      <w:r w:rsidRPr="0B3B97B7">
        <w:rPr>
          <w:b/>
          <w:bCs/>
          <w:sz w:val="40"/>
          <w:szCs w:val="40"/>
        </w:rPr>
        <w:t xml:space="preserve">shaheen </w:t>
      </w:r>
    </w:p>
    <w:p w14:paraId="25D5E911" w14:textId="4094F297" w:rsidR="0B3B97B7" w:rsidRDefault="442E990B" w:rsidP="0B3B97B7">
      <w:pPr>
        <w:jc w:val="center"/>
      </w:pPr>
      <w:r w:rsidRPr="76F4EA54">
        <w:rPr>
          <w:b/>
          <w:bCs/>
          <w:sz w:val="40"/>
          <w:szCs w:val="40"/>
        </w:rPr>
        <w:t>Rework</w:t>
      </w:r>
      <w:r w:rsidRPr="146369DC">
        <w:rPr>
          <w:b/>
          <w:bCs/>
          <w:sz w:val="40"/>
          <w:szCs w:val="40"/>
        </w:rPr>
        <w:t xml:space="preserve"> </w:t>
      </w:r>
      <w:r w:rsidRPr="0DE72AF7">
        <w:rPr>
          <w:b/>
          <w:bCs/>
          <w:sz w:val="40"/>
          <w:szCs w:val="40"/>
        </w:rPr>
        <w:t>component</w:t>
      </w:r>
      <w:r w:rsidRPr="0E6EB83D">
        <w:rPr>
          <w:b/>
          <w:bCs/>
          <w:sz w:val="40"/>
          <w:szCs w:val="40"/>
        </w:rPr>
        <w:t xml:space="preserve"> 1 </w:t>
      </w:r>
    </w:p>
    <w:p w14:paraId="03E1A699" w14:textId="37F6AA24" w:rsidR="558E91E3" w:rsidRDefault="442E990B" w:rsidP="558E91E3">
      <w:pPr>
        <w:jc w:val="center"/>
      </w:pPr>
      <w:r w:rsidRPr="4791654D">
        <w:rPr>
          <w:b/>
          <w:bCs/>
          <w:sz w:val="40"/>
          <w:szCs w:val="40"/>
        </w:rPr>
        <w:t>Introduction</w:t>
      </w:r>
      <w:r w:rsidRPr="3F54CAB3">
        <w:rPr>
          <w:b/>
          <w:bCs/>
          <w:sz w:val="40"/>
          <w:szCs w:val="40"/>
        </w:rPr>
        <w:t xml:space="preserve"> to </w:t>
      </w:r>
      <w:r w:rsidRPr="4786A258">
        <w:rPr>
          <w:b/>
          <w:bCs/>
          <w:sz w:val="40"/>
          <w:szCs w:val="40"/>
        </w:rPr>
        <w:t xml:space="preserve">health </w:t>
      </w:r>
      <w:r w:rsidRPr="3AC2EB32">
        <w:rPr>
          <w:b/>
          <w:bCs/>
          <w:sz w:val="40"/>
          <w:szCs w:val="40"/>
        </w:rPr>
        <w:t xml:space="preserve">and </w:t>
      </w:r>
      <w:r w:rsidRPr="0AE671BB">
        <w:rPr>
          <w:b/>
          <w:bCs/>
          <w:sz w:val="40"/>
          <w:szCs w:val="40"/>
        </w:rPr>
        <w:t>social</w:t>
      </w:r>
      <w:r w:rsidRPr="1AEE870D">
        <w:rPr>
          <w:b/>
          <w:bCs/>
          <w:sz w:val="40"/>
          <w:szCs w:val="40"/>
        </w:rPr>
        <w:t xml:space="preserve"> </w:t>
      </w:r>
      <w:r w:rsidRPr="6D7DC043">
        <w:rPr>
          <w:b/>
          <w:bCs/>
          <w:sz w:val="40"/>
          <w:szCs w:val="40"/>
        </w:rPr>
        <w:t xml:space="preserve">care </w:t>
      </w:r>
    </w:p>
    <w:p w14:paraId="7C833E10" w14:textId="313AD5F9" w:rsidR="241DBDF1" w:rsidRDefault="442E990B" w:rsidP="241DBDF1">
      <w:pPr>
        <w:jc w:val="center"/>
      </w:pPr>
      <w:r w:rsidRPr="66032A00">
        <w:rPr>
          <w:b/>
          <w:bCs/>
          <w:sz w:val="40"/>
          <w:szCs w:val="40"/>
        </w:rPr>
        <w:t xml:space="preserve">Hanura </w:t>
      </w:r>
    </w:p>
    <w:p w14:paraId="00FC31D7" w14:textId="139F4EDC" w:rsidR="196B17B8" w:rsidRDefault="196B17B8" w:rsidP="196B17B8">
      <w:pPr>
        <w:jc w:val="center"/>
        <w:rPr>
          <w:b/>
          <w:bCs/>
          <w:sz w:val="40"/>
          <w:szCs w:val="40"/>
        </w:rPr>
      </w:pPr>
    </w:p>
    <w:p w14:paraId="5594EAF2" w14:textId="37EE63A9" w:rsidR="196B17B8" w:rsidRDefault="196B17B8" w:rsidP="196B17B8">
      <w:pPr>
        <w:jc w:val="center"/>
        <w:rPr>
          <w:b/>
          <w:bCs/>
          <w:sz w:val="40"/>
          <w:szCs w:val="40"/>
        </w:rPr>
      </w:pPr>
    </w:p>
    <w:p w14:paraId="37D24562" w14:textId="0A11F0BC" w:rsidR="002F63A6" w:rsidRDefault="00F0623B">
      <w:pPr>
        <w:jc w:val="center"/>
      </w:pPr>
      <w:r w:rsidRPr="1FD56547">
        <w:rPr>
          <w:b/>
          <w:bCs/>
          <w:sz w:val="40"/>
          <w:szCs w:val="40"/>
        </w:rPr>
        <w:t>HEALTH AND SOCIAL CARE</w:t>
      </w:r>
      <w:r>
        <w:br/>
      </w:r>
      <w:r w:rsidRPr="1FD56547">
        <w:rPr>
          <w:b/>
          <w:bCs/>
          <w:sz w:val="40"/>
          <w:szCs w:val="40"/>
        </w:rPr>
        <w:t>COURSEWORK PORTFOLIO</w:t>
      </w:r>
    </w:p>
    <w:p w14:paraId="1E51308C" w14:textId="1E9F2C9D" w:rsidR="618B0B80" w:rsidRDefault="618B0B80" w:rsidP="618B0B80">
      <w:pPr>
        <w:rPr>
          <w:color w:val="1F497D" w:themeColor="text2"/>
        </w:rPr>
      </w:pPr>
    </w:p>
    <w:p w14:paraId="4B14733E" w14:textId="7C918EB4" w:rsidR="002F63A6" w:rsidRPr="00753262" w:rsidRDefault="00F0623B" w:rsidP="624BE621">
      <w:r w:rsidRPr="7496E4B1">
        <w:rPr>
          <w:color w:val="1F497D" w:themeColor="text2"/>
        </w:rPr>
        <w:t>TASK 1 — POSTER</w:t>
      </w:r>
      <w:r w:rsidR="07366CD9" w:rsidRPr="7496E4B1">
        <w:rPr>
          <w:color w:val="1F497D" w:themeColor="text2"/>
        </w:rPr>
        <w:t xml:space="preserve"> </w:t>
      </w:r>
    </w:p>
    <w:p w14:paraId="18BC9247" w14:textId="545059A9" w:rsidR="002F63A6" w:rsidRPr="00753262" w:rsidRDefault="07366CD9" w:rsidP="7496E4B1">
      <w:r w:rsidRPr="7496E4B1">
        <w:rPr>
          <w:color w:val="1F497D" w:themeColor="text2"/>
        </w:rPr>
        <w:t xml:space="preserve">                                                                                       </w:t>
      </w:r>
      <w:r>
        <w:rPr>
          <w:noProof/>
        </w:rPr>
        <w:drawing>
          <wp:inline distT="0" distB="0" distL="0" distR="0" wp14:anchorId="091F3875" wp14:editId="0F3CFAB0">
            <wp:extent cx="3542850" cy="2470733"/>
            <wp:effectExtent l="0" t="0" r="0" b="0"/>
            <wp:docPr id="674833802" name="drawing">
              <a:extLst xmlns:a="http://schemas.openxmlformats.org/drawingml/2006/main">
                <a:ext uri="{FF2B5EF4-FFF2-40B4-BE49-F238E27FC236}">
                  <a16:creationId xmlns:a16="http://schemas.microsoft.com/office/drawing/2014/main" id="{7BE5EDDC-92FA-4716-AEED-8475B8A8F9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33802" name="Picture 674833802"/>
                    <pic:cNvPicPr/>
                  </pic:nvPicPr>
                  <pic:blipFill>
                    <a:blip r:embed="rId5">
                      <a:extLst>
                        <a:ext uri="{28A0092B-C50C-407E-A947-70E740481C1C}">
                          <a14:useLocalDpi xmlns:a14="http://schemas.microsoft.com/office/drawing/2010/main"/>
                        </a:ext>
                      </a:extLst>
                    </a:blip>
                    <a:stretch>
                      <a:fillRect/>
                    </a:stretch>
                  </pic:blipFill>
                  <pic:spPr>
                    <a:xfrm>
                      <a:off x="0" y="0"/>
                      <a:ext cx="3542850" cy="2470733"/>
                    </a:xfrm>
                    <a:prstGeom prst="rect">
                      <a:avLst/>
                    </a:prstGeom>
                  </pic:spPr>
                </pic:pic>
              </a:graphicData>
            </a:graphic>
          </wp:inline>
        </w:drawing>
      </w:r>
    </w:p>
    <w:p w14:paraId="6D440A35" w14:textId="788F8E1B" w:rsidR="7F726118" w:rsidRDefault="7F726118" w:rsidP="7F726118">
      <w:pPr>
        <w:jc w:val="center"/>
      </w:pPr>
    </w:p>
    <w:p w14:paraId="3B54259D" w14:textId="1C211144" w:rsidR="536EA1C4" w:rsidRDefault="00F0623B" w:rsidP="536EA1C4">
      <w:pPr>
        <w:jc w:val="center"/>
      </w:pPr>
      <w:r>
        <w:t>RESIDENTIAL CARE HOME</w:t>
      </w:r>
    </w:p>
    <w:p w14:paraId="7B432683" w14:textId="77777777" w:rsidR="002F63A6" w:rsidRDefault="00F0623B">
      <w:pPr>
        <w:pStyle w:val="Heading2"/>
      </w:pPr>
      <w:r>
        <w:t>What is a residential care home?</w:t>
      </w:r>
    </w:p>
    <w:p w14:paraId="5A2961B4" w14:textId="77777777" w:rsidR="002F63A6" w:rsidRDefault="00F0623B">
      <w:r>
        <w:t xml:space="preserve">A residential care home is a regulated social-care setting where people live and receive accommodation, personal </w:t>
      </w:r>
      <w:bookmarkStart w:id="0" w:name="_Int_HdbDmCny"/>
      <w:r>
        <w:t>care</w:t>
      </w:r>
      <w:bookmarkEnd w:id="0"/>
      <w:r>
        <w:t xml:space="preserve"> and support. Residents may include older adults or adults who can no longer manage safely and independently at home. Staff can support washing and dressing, meals, medication routines, mobility, </w:t>
      </w:r>
      <w:bookmarkStart w:id="1" w:name="_Int_PoVuX2Cp"/>
      <w:r>
        <w:t>communication</w:t>
      </w:r>
      <w:bookmarkEnd w:id="1"/>
      <w:r>
        <w:t xml:space="preserve"> and social activities. Depending on the home, nursing care may </w:t>
      </w:r>
      <w:bookmarkStart w:id="2" w:name="_Int_YpHBgBjP"/>
      <w:r>
        <w:t>be provided</w:t>
      </w:r>
      <w:bookmarkEnd w:id="2"/>
      <w:r>
        <w:t xml:space="preserve"> separately by community or visiting health professionals, while care staff focus on daily living and wellbeing.</w:t>
      </w:r>
    </w:p>
    <w:p w14:paraId="009628CF" w14:textId="77777777" w:rsidR="002F63A6" w:rsidRDefault="00F0623B">
      <w:pPr>
        <w:pStyle w:val="Heading2"/>
      </w:pPr>
      <w:r>
        <w:t>Brief history and development</w:t>
      </w:r>
    </w:p>
    <w:p w14:paraId="1BA84EB0" w14:textId="77777777" w:rsidR="002F63A6" w:rsidRDefault="00F0623B">
      <w:r>
        <w:t xml:space="preserve">Residential care developed from earlier forms of institutional and charitable provision for older people and people who needed </w:t>
      </w:r>
      <w:bookmarkStart w:id="3" w:name="_Int_Mhg7HWlM"/>
      <w:r>
        <w:t>assistance</w:t>
      </w:r>
      <w:bookmarkEnd w:id="3"/>
      <w:r>
        <w:t xml:space="preserve"> with daily living. Over time, policy shifted towards person-centred care, greater </w:t>
      </w:r>
      <w:bookmarkStart w:id="4" w:name="_Int_zoSLGLFD"/>
      <w:r>
        <w:t>choice</w:t>
      </w:r>
      <w:bookmarkEnd w:id="4"/>
      <w:r>
        <w:t xml:space="preserve"> and support in the least restrictive setting. The Care Standards Act 2000 </w:t>
      </w:r>
      <w:bookmarkStart w:id="5" w:name="_Int_8PjHuKJt"/>
      <w:r>
        <w:t>established</w:t>
      </w:r>
      <w:bookmarkEnd w:id="5"/>
      <w:r>
        <w:t xml:space="preserve"> a national regulatory framework for care services in England, and the Health and Social Care Act 2008 created the modern regulatory framework used by the Care Quality Commission (CQC). The Care Act 2014 further strengthened the legal framework for adult social care, including wellbeing, assessment, eligibility and individual care and support planning.</w:t>
      </w:r>
    </w:p>
    <w:p w14:paraId="22DF8657" w14:textId="77777777" w:rsidR="002F63A6" w:rsidRDefault="00F0623B">
      <w:pPr>
        <w:pStyle w:val="Heading2"/>
      </w:pPr>
      <w:r>
        <w:t>How a residential care home functions today</w:t>
      </w:r>
    </w:p>
    <w:p w14:paraId="743172C2" w14:textId="77777777" w:rsidR="002F63A6" w:rsidRDefault="00F0623B">
      <w:r>
        <w:t xml:space="preserve">A residential care home normally begins with an assessment of a person's needs, preferences, </w:t>
      </w:r>
      <w:bookmarkStart w:id="6" w:name="_Int_d6bjPhDF"/>
      <w:r>
        <w:t>risks</w:t>
      </w:r>
      <w:bookmarkEnd w:id="6"/>
      <w:r>
        <w:t xml:space="preserve"> and desired outcomes. A care plan </w:t>
      </w:r>
      <w:bookmarkStart w:id="7" w:name="_Int_D4o7pimx"/>
      <w:r>
        <w:t>is then agreed</w:t>
      </w:r>
      <w:bookmarkEnd w:id="7"/>
      <w:r>
        <w:t xml:space="preserve"> and reviewed regularly. Staff provide day-to-day support such as personal care, nutrition, hydration, mobility, continence </w:t>
      </w:r>
      <w:bookmarkStart w:id="8" w:name="_Int_eFsWTkJ2"/>
      <w:r>
        <w:t>care</w:t>
      </w:r>
      <w:bookmarkEnd w:id="8"/>
      <w:r>
        <w:t xml:space="preserve"> and </w:t>
      </w:r>
      <w:bookmarkStart w:id="9" w:name="_Int_sXfhOMxo"/>
      <w:r>
        <w:t>assistance</w:t>
      </w:r>
      <w:bookmarkEnd w:id="9"/>
      <w:r>
        <w:t xml:space="preserve"> with medication where </w:t>
      </w:r>
      <w:bookmarkStart w:id="10" w:name="_Int_yIUW3CXQ"/>
      <w:r>
        <w:t>appropriate</w:t>
      </w:r>
      <w:bookmarkEnd w:id="10"/>
      <w:r>
        <w:t xml:space="preserve">. Good homes also provide activities, social </w:t>
      </w:r>
      <w:bookmarkStart w:id="11" w:name="_Int_5tuYGbVk"/>
      <w:r>
        <w:t>interaction</w:t>
      </w:r>
      <w:bookmarkEnd w:id="11"/>
      <w:r>
        <w:t xml:space="preserve"> and opportunities for residents to </w:t>
      </w:r>
      <w:bookmarkStart w:id="12" w:name="_Int_Z3auuFfV"/>
      <w:r>
        <w:t>maintain</w:t>
      </w:r>
      <w:bookmarkEnd w:id="12"/>
      <w:r>
        <w:t xml:space="preserve"> relationships and make choices. Staff should safeguard residents from abuse and neglect and work with families, GPs, community nurses, </w:t>
      </w:r>
      <w:bookmarkStart w:id="13" w:name="_Int_2OFRlzwx"/>
      <w:r>
        <w:t>pharmacists</w:t>
      </w:r>
      <w:bookmarkEnd w:id="13"/>
      <w:r>
        <w:t xml:space="preserve"> and other professionals when health needs arise.</w:t>
      </w:r>
    </w:p>
    <w:p w14:paraId="7B6A95CD" w14:textId="474E85CC" w:rsidR="7EB087CB" w:rsidRDefault="7EB087CB"/>
    <w:p w14:paraId="1E5E5FDB" w14:textId="628C2C50" w:rsidR="665737C1" w:rsidRDefault="0DF2327E">
      <w:r>
        <w:rPr>
          <w:noProof/>
        </w:rPr>
        <w:drawing>
          <wp:inline distT="0" distB="0" distL="0" distR="0" wp14:anchorId="206BDCD4" wp14:editId="0430ADCF">
            <wp:extent cx="2733675" cy="3627598"/>
            <wp:effectExtent l="0" t="0" r="0" b="0"/>
            <wp:docPr id="819859616" name="drawing">
              <a:extLst xmlns:a="http://schemas.openxmlformats.org/drawingml/2006/main">
                <a:ext uri="{FF2B5EF4-FFF2-40B4-BE49-F238E27FC236}">
                  <a16:creationId xmlns:a16="http://schemas.microsoft.com/office/drawing/2014/main" id="{BC2E3B14-379E-4A02-918F-D9473691EE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59616" name="Picture 819859616"/>
                    <pic:cNvPicPr/>
                  </pic:nvPicPr>
                  <pic:blipFill>
                    <a:blip r:embed="rId6">
                      <a:extLst>
                        <a:ext uri="{28A0092B-C50C-407E-A947-70E740481C1C}">
                          <a14:useLocalDpi xmlns:a14="http://schemas.microsoft.com/office/drawing/2010/main"/>
                        </a:ext>
                      </a:extLst>
                    </a:blip>
                    <a:stretch>
                      <a:fillRect/>
                    </a:stretch>
                  </pic:blipFill>
                  <pic:spPr>
                    <a:xfrm>
                      <a:off x="0" y="0"/>
                      <a:ext cx="2733675" cy="3627598"/>
                    </a:xfrm>
                    <a:prstGeom prst="rect">
                      <a:avLst/>
                    </a:prstGeom>
                  </pic:spPr>
                </pic:pic>
              </a:graphicData>
            </a:graphic>
          </wp:inline>
        </w:drawing>
      </w:r>
    </w:p>
    <w:p w14:paraId="280C790C" w14:textId="77777777" w:rsidR="002F63A6" w:rsidRDefault="00F0623B">
      <w:pPr>
        <w:jc w:val="center"/>
      </w:pPr>
      <w:r>
        <w:rPr>
          <w:noProof/>
        </w:rPr>
        <w:drawing>
          <wp:inline distT="0" distB="0" distL="0" distR="0" wp14:anchorId="4A94D16B" wp14:editId="4A32CB97">
            <wp:extent cx="5669280" cy="2439943"/>
            <wp:effectExtent l="0" t="0" r="0" b="0"/>
            <wp:docPr id="5" name="Picture 5">
              <a:extLst xmlns:a="http://schemas.openxmlformats.org/drawingml/2006/main">
                <a:ext uri="{FF2B5EF4-FFF2-40B4-BE49-F238E27FC236}">
                  <a16:creationId xmlns:a16="http://schemas.microsoft.com/office/drawing/2014/main" id="{20EA2625-E3CA-415E-8001-1A9CADB0A1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idential_care_home_pathway.png"/>
                    <pic:cNvPicPr/>
                  </pic:nvPicPr>
                  <pic:blipFill>
                    <a:blip r:embed="rId7"/>
                    <a:stretch>
                      <a:fillRect/>
                    </a:stretch>
                  </pic:blipFill>
                  <pic:spPr>
                    <a:xfrm>
                      <a:off x="0" y="0"/>
                      <a:ext cx="5669280" cy="2439943"/>
                    </a:xfrm>
                    <a:prstGeom prst="rect">
                      <a:avLst/>
                    </a:prstGeom>
                  </pic:spPr>
                </pic:pic>
              </a:graphicData>
            </a:graphic>
          </wp:inline>
        </w:drawing>
      </w:r>
    </w:p>
    <w:p w14:paraId="018C871F" w14:textId="77777777" w:rsidR="002F63A6" w:rsidRDefault="00F0623B">
      <w:pPr>
        <w:jc w:val="center"/>
      </w:pPr>
      <w:r>
        <w:t>Figure 1. Simplified residential care home support pathway.</w:t>
      </w:r>
    </w:p>
    <w:p w14:paraId="072867DD" w14:textId="77777777" w:rsidR="002F63A6" w:rsidRDefault="00F0623B">
      <w:pPr>
        <w:pStyle w:val="Heading2"/>
      </w:pPr>
      <w:r>
        <w:t xml:space="preserve">Legislation, </w:t>
      </w:r>
      <w:bookmarkStart w:id="14" w:name="_Int_JJko3QVi"/>
      <w:r>
        <w:t>regulation</w:t>
      </w:r>
      <w:bookmarkEnd w:id="14"/>
      <w:r>
        <w:t xml:space="preserve"> and standards</w:t>
      </w:r>
    </w:p>
    <w:p w14:paraId="34253439" w14:textId="77777777" w:rsidR="002F63A6" w:rsidRDefault="00F0623B">
      <w:pPr>
        <w:pStyle w:val="ListBullet"/>
      </w:pPr>
      <w:r>
        <w:t>Care Act 2014 — places wellbeing at the centre of adult social care and sets duties around assessment, eligibility and support.</w:t>
      </w:r>
    </w:p>
    <w:p w14:paraId="125130C2" w14:textId="77777777" w:rsidR="002F63A6" w:rsidRDefault="00F0623B">
      <w:pPr>
        <w:pStyle w:val="ListBullet"/>
      </w:pPr>
      <w:r>
        <w:t>Health and Social Care Act 2008 — provides the statutory framework for regulation of health and social-care services in England.</w:t>
      </w:r>
    </w:p>
    <w:p w14:paraId="4FC84D97" w14:textId="77777777" w:rsidR="002F63A6" w:rsidRDefault="00F0623B">
      <w:pPr>
        <w:pStyle w:val="ListBullet"/>
      </w:pPr>
      <w:r>
        <w:t>Equality Act 2010 — protects residents from unlawful discrimination and supports equality of access and treatment.</w:t>
      </w:r>
    </w:p>
    <w:p w14:paraId="52558A82" w14:textId="77777777" w:rsidR="002F63A6" w:rsidRDefault="00F0623B">
      <w:pPr>
        <w:pStyle w:val="ListBullet"/>
      </w:pPr>
      <w:r>
        <w:t xml:space="preserve">Mental Capacity Act 2005 — provides a framework for supporting people who may lack capacity to make </w:t>
      </w:r>
      <w:bookmarkStart w:id="15" w:name="_Int_7LINegxa"/>
      <w:r>
        <w:t>particular decisions</w:t>
      </w:r>
      <w:bookmarkEnd w:id="15"/>
      <w:r>
        <w:t>, including safeguards around best-interests decisions.</w:t>
      </w:r>
    </w:p>
    <w:p w14:paraId="36AF8DFF" w14:textId="77777777" w:rsidR="002F63A6" w:rsidRDefault="00F0623B">
      <w:pPr>
        <w:pStyle w:val="Heading2"/>
      </w:pPr>
      <w:r>
        <w:t>Two key challenges</w:t>
      </w:r>
    </w:p>
    <w:p w14:paraId="07E73147" w14:textId="77777777" w:rsidR="002F63A6" w:rsidRDefault="00F0623B">
      <w:r>
        <w:t xml:space="preserve">1. Staffing and workforce pressures: Care homes need enough skilled staff to provide safe, </w:t>
      </w:r>
      <w:bookmarkStart w:id="16" w:name="_Int_T1mFELZf"/>
      <w:r>
        <w:t>compassionate</w:t>
      </w:r>
      <w:bookmarkEnd w:id="16"/>
      <w:r>
        <w:t xml:space="preserve"> and consistent care. Recruitment, retention, </w:t>
      </w:r>
      <w:bookmarkStart w:id="17" w:name="_Int_wImWgPsi"/>
      <w:r>
        <w:t>sickness</w:t>
      </w:r>
      <w:bookmarkEnd w:id="17"/>
      <w:r>
        <w:t xml:space="preserve"> and workload pressures can affect </w:t>
      </w:r>
      <w:bookmarkStart w:id="18" w:name="_Int_yVFQoYau"/>
      <w:r>
        <w:t>continuity</w:t>
      </w:r>
      <w:bookmarkEnd w:id="18"/>
      <w:r>
        <w:t xml:space="preserve"> and the amount of time staff can spend with each resident. Good training, </w:t>
      </w:r>
      <w:bookmarkStart w:id="19" w:name="_Int_24fso0cf"/>
      <w:r>
        <w:t>supervision</w:t>
      </w:r>
      <w:bookmarkEnd w:id="19"/>
      <w:r>
        <w:t xml:space="preserve"> and workforce planning are therefore essential.</w:t>
      </w:r>
    </w:p>
    <w:p w14:paraId="4B5A28C4" w14:textId="77777777" w:rsidR="002F63A6" w:rsidRDefault="00F0623B">
      <w:r>
        <w:t xml:space="preserve">2. Balancing safety, </w:t>
      </w:r>
      <w:bookmarkStart w:id="20" w:name="_Int_1AdjTP6y"/>
      <w:r>
        <w:t>independence</w:t>
      </w:r>
      <w:bookmarkEnd w:id="20"/>
      <w:r>
        <w:t xml:space="preserve"> and choice: Residents may have frailty, </w:t>
      </w:r>
      <w:bookmarkStart w:id="21" w:name="_Int_cIcCvdqO"/>
      <w:r>
        <w:t>dementia</w:t>
      </w:r>
      <w:bookmarkEnd w:id="21"/>
      <w:r>
        <w:t xml:space="preserve"> or other support needs, but they still have rights, </w:t>
      </w:r>
      <w:bookmarkStart w:id="22" w:name="_Int_WgM1jLWV"/>
      <w:r>
        <w:t>preferences</w:t>
      </w:r>
      <w:bookmarkEnd w:id="22"/>
      <w:r>
        <w:t xml:space="preserve"> and personal goals. A care home must manage risks without unnecessarily restricting freedom. Person-centred care means involving residents in decisions, respecting dignity and supporting meaningful activities and relationships.</w:t>
      </w:r>
    </w:p>
    <w:p w14:paraId="5CDAB4FA" w14:textId="77777777" w:rsidR="002F63A6" w:rsidRDefault="00F0623B">
      <w:pPr>
        <w:pStyle w:val="Heading2"/>
      </w:pPr>
      <w:r>
        <w:t>Why residential care matters</w:t>
      </w:r>
    </w:p>
    <w:p w14:paraId="4D5DC97D" w14:textId="77777777" w:rsidR="002F63A6" w:rsidRDefault="00F0623B">
      <w:r>
        <w:t xml:space="preserve">Residential care can improve quality of life by providing a safe home environment, reliable support with daily living and opportunities for social connection. For someone who cannot manage safely at home, the service can reduce isolation and provide reassurance to the person and their family. Quality care is not only about meeting physical needs: dignity, privacy, choice, emotional wellbeing, </w:t>
      </w:r>
      <w:bookmarkStart w:id="23" w:name="_Int_O2Q1TZ72"/>
      <w:r>
        <w:t>relationships</w:t>
      </w:r>
      <w:bookmarkEnd w:id="23"/>
      <w:r>
        <w:t xml:space="preserve"> and participation in everyday life are also important.</w:t>
      </w:r>
    </w:p>
    <w:p w14:paraId="2207A51E" w14:textId="77777777" w:rsidR="002F63A6" w:rsidRDefault="00F0623B">
      <w:pPr>
        <w:pStyle w:val="Heading2"/>
      </w:pPr>
      <w:r>
        <w:t>Visual included</w:t>
      </w:r>
    </w:p>
    <w:p w14:paraId="7EB37101" w14:textId="54224F91" w:rsidR="002F63A6" w:rsidRDefault="7FCAA322">
      <w:r>
        <w:t xml:space="preserve">The poster includes a visual care pathway to satisfy the brief's requirement for clear visual elements such as images, </w:t>
      </w:r>
      <w:bookmarkStart w:id="24" w:name="_Int_wMmsKKvp"/>
      <w:r>
        <w:t>diagrams</w:t>
      </w:r>
      <w:bookmarkEnd w:id="24"/>
      <w:r>
        <w:t xml:space="preserve"> or charts.</w:t>
      </w:r>
    </w:p>
    <w:p w14:paraId="450325EE" w14:textId="40305D26" w:rsidR="002F63A6" w:rsidRDefault="002F63A6"/>
    <w:p w14:paraId="7DFDD855" w14:textId="346F6E8E" w:rsidR="002F63A6" w:rsidRDefault="6D59B95D">
      <w:pPr>
        <w:pStyle w:val="ListBullet"/>
      </w:pPr>
      <w:r>
        <w:t>mework, including local-authority responsibilities for assessing and meeting eligible care and support needs.</w:t>
      </w:r>
    </w:p>
    <w:p w14:paraId="0E6121C1" w14:textId="77777777" w:rsidR="002F63A6" w:rsidRDefault="00F0623B">
      <w:pPr>
        <w:pStyle w:val="ListBullet"/>
      </w:pPr>
      <w:r>
        <w:t>Equality Act 2010 — protects people from unlawful discrimination and requires reasonable adjustments in relevant service settings.</w:t>
      </w:r>
    </w:p>
    <w:p w14:paraId="3F5899BE" w14:textId="77777777" w:rsidR="002F63A6" w:rsidRDefault="00F0623B">
      <w:pPr>
        <w:pStyle w:val="Heading2"/>
      </w:pPr>
      <w:r>
        <w:t>Two key challenges</w:t>
      </w:r>
    </w:p>
    <w:p w14:paraId="450EE371" w14:textId="77777777" w:rsidR="002F63A6" w:rsidRDefault="00F0623B">
      <w:r>
        <w:t xml:space="preserve">1. Demand, </w:t>
      </w:r>
      <w:bookmarkStart w:id="25" w:name="_Int_DXjg95UI"/>
      <w:r>
        <w:t>capacity</w:t>
      </w:r>
      <w:bookmarkEnd w:id="25"/>
      <w:r>
        <w:t xml:space="preserve"> and access: Community services can face high demand and workforce pressures. If staffing and capacity do not match need, people may experience delays or difficulty accessing the right level of support. Modern neighbourhood models </w:t>
      </w:r>
      <w:bookmarkStart w:id="26" w:name="_Int_jYe96Jfn"/>
      <w:r>
        <w:t>are intended</w:t>
      </w:r>
      <w:bookmarkEnd w:id="26"/>
      <w:r>
        <w:t xml:space="preserve"> to make access simpler and provide help earlier, including crisis support.</w:t>
      </w:r>
    </w:p>
    <w:p w14:paraId="67384296" w14:textId="77777777" w:rsidR="002F63A6" w:rsidRDefault="7FCAA322">
      <w:r>
        <w:t xml:space="preserve">2. Continuity and joined-up care: Mental health needs often overlap with physical health, housing, </w:t>
      </w:r>
      <w:bookmarkStart w:id="27" w:name="_Int_jHg3gKem"/>
      <w:r>
        <w:t>employment</w:t>
      </w:r>
      <w:bookmarkEnd w:id="27"/>
      <w:r>
        <w:t xml:space="preserve"> and social-care needs. Poor communication between organisations can make care feel fragmented. Integrated teams and personalised care planning aim to improve continuity, but successful partnership working requires shared information, clear responsibilities and adequate resources.</w:t>
      </w:r>
    </w:p>
    <w:p w14:paraId="2DDC84D0" w14:textId="4936C22D" w:rsidR="63A4EC4B" w:rsidRDefault="63A4EC4B"/>
    <w:p w14:paraId="4A82797C" w14:textId="6BFF4CC0" w:rsidR="00388ECD" w:rsidRDefault="00388ECD"/>
    <w:p w14:paraId="4E8DEEFB" w14:textId="08691723" w:rsidR="00388ECD" w:rsidRDefault="4B44D694">
      <w:r>
        <w:rPr>
          <w:noProof/>
        </w:rPr>
        <w:drawing>
          <wp:inline distT="0" distB="0" distL="0" distR="0" wp14:anchorId="37DBF6E8" wp14:editId="6445D111">
            <wp:extent cx="2010529" cy="3105150"/>
            <wp:effectExtent l="0" t="0" r="0" b="0"/>
            <wp:docPr id="2123738429" name="drawing">
              <a:extLst xmlns:a="http://schemas.openxmlformats.org/drawingml/2006/main">
                <a:ext uri="{FF2B5EF4-FFF2-40B4-BE49-F238E27FC236}">
                  <a16:creationId xmlns:a16="http://schemas.microsoft.com/office/drawing/2014/main" id="{FC9A4913-CFCA-493F-9E57-9C7446752A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38429" name="Picture 2123738429"/>
                    <pic:cNvPicPr/>
                  </pic:nvPicPr>
                  <pic:blipFill>
                    <a:blip r:embed="rId8">
                      <a:extLst>
                        <a:ext uri="{28A0092B-C50C-407E-A947-70E740481C1C}">
                          <a14:useLocalDpi xmlns:a14="http://schemas.microsoft.com/office/drawing/2010/main"/>
                        </a:ext>
                      </a:extLst>
                    </a:blip>
                    <a:stretch>
                      <a:fillRect/>
                    </a:stretch>
                  </pic:blipFill>
                  <pic:spPr>
                    <a:xfrm>
                      <a:off x="0" y="0"/>
                      <a:ext cx="2010529" cy="3105150"/>
                    </a:xfrm>
                    <a:prstGeom prst="rect">
                      <a:avLst/>
                    </a:prstGeom>
                  </pic:spPr>
                </pic:pic>
              </a:graphicData>
            </a:graphic>
          </wp:inline>
        </w:drawing>
      </w:r>
    </w:p>
    <w:p w14:paraId="08CCC83C" w14:textId="24FB55DA" w:rsidR="00388ECD" w:rsidRDefault="00388ECD"/>
    <w:p w14:paraId="03A26C05" w14:textId="38DED584" w:rsidR="00388ECD" w:rsidRDefault="00388ECD"/>
    <w:p w14:paraId="39354D83" w14:textId="1268BAC4" w:rsidR="00388ECD" w:rsidRDefault="00388ECD"/>
    <w:p w14:paraId="347DEC5A" w14:textId="1B39BC72" w:rsidR="00388ECD" w:rsidRDefault="00388ECD"/>
    <w:p w14:paraId="092CEEF5" w14:textId="1CF0578A" w:rsidR="002F63A6" w:rsidRDefault="6EDC90EE">
      <w:r>
        <w:t>Task 2</w:t>
      </w:r>
    </w:p>
    <w:p w14:paraId="4C8E7377" w14:textId="77777777" w:rsidR="00E16954" w:rsidRDefault="00E16954" w:rsidP="00E16954">
      <w:r>
        <w:t>Introduction</w:t>
      </w:r>
    </w:p>
    <w:p w14:paraId="0FF07027" w14:textId="77777777" w:rsidR="00E16954" w:rsidRDefault="00E16954" w:rsidP="00E16954"/>
    <w:p w14:paraId="160B4C6E" w14:textId="195B634A" w:rsidR="00E16954" w:rsidRDefault="00E16954" w:rsidP="00E16954">
      <w:r>
        <w:t xml:space="preserve">Community pharmacy services are one of the most accessible parts of the NHS, sitting right in </w:t>
      </w:r>
      <w:r w:rsidR="00D76C35">
        <w:t>neighborhoods</w:t>
      </w:r>
      <w:r>
        <w:t xml:space="preserve"> and offering advice, treatment</w:t>
      </w:r>
      <w:r w:rsidR="00A30BB0">
        <w:t>,</w:t>
      </w:r>
      <w:r>
        <w:t xml:space="preserve"> and medicines without the need for an appointment. This essay explores where these services came from, how they </w:t>
      </w:r>
      <w:r w:rsidR="00753262">
        <w:t>run</w:t>
      </w:r>
      <w:r>
        <w:t xml:space="preserve"> today, and their importance in supporting people</w:t>
      </w:r>
      <w:r>
        <w:rPr>
          <w:rFonts w:hint="eastAsia"/>
        </w:rPr>
        <w:t>’</w:t>
      </w:r>
      <w:r>
        <w:t>s health and daily quality of life.</w:t>
      </w:r>
    </w:p>
    <w:p w14:paraId="4A7FDDA5" w14:textId="77777777" w:rsidR="00E16954" w:rsidRDefault="00E16954" w:rsidP="00E16954"/>
    <w:p w14:paraId="2666D9EF" w14:textId="77777777" w:rsidR="00E16954" w:rsidRDefault="00E16954" w:rsidP="00E16954">
      <w:r>
        <w:t>Origins and Historical Development</w:t>
      </w:r>
    </w:p>
    <w:p w14:paraId="52C37B3E" w14:textId="77777777" w:rsidR="00E16954" w:rsidRDefault="00E16954" w:rsidP="00E16954"/>
    <w:p w14:paraId="305BD610" w14:textId="77777777" w:rsidR="00E16954" w:rsidRDefault="00E16954" w:rsidP="00E16954">
      <w:r>
        <w:t xml:space="preserve">For centuries apothecaries prepared and sold remedies, but there was no formal system or checks on training or safety. The Pharmacy Act 1868 was the first major law, separating qualified chemists from general traders and creating a list of medicines that could only </w:t>
      </w:r>
      <w:bookmarkStart w:id="28" w:name="_Int_dkS7YxCh"/>
      <w:r>
        <w:t>be sold</w:t>
      </w:r>
      <w:bookmarkEnd w:id="28"/>
      <w:r>
        <w:t xml:space="preserve"> by registered professionals. The Royal Pharmaceutical Society </w:t>
      </w:r>
      <w:bookmarkStart w:id="29" w:name="_Int_8ZVYxyDR"/>
      <w:r>
        <w:t>was founded</w:t>
      </w:r>
      <w:bookmarkEnd w:id="29"/>
      <w:r>
        <w:t xml:space="preserve"> to set standards and training.</w:t>
      </w:r>
    </w:p>
    <w:p w14:paraId="4E2FE3CD" w14:textId="77777777" w:rsidR="00E16954" w:rsidRDefault="00E16954" w:rsidP="00E16954"/>
    <w:p w14:paraId="1E430DF6" w14:textId="77777777" w:rsidR="00E16954" w:rsidRDefault="00E16954" w:rsidP="00E16954">
      <w:r>
        <w:t>When the NHS launched in 1948, pharmacists continued to dispense prescriptions, but their role stayed mostly about preparing and handing out medicines for decades. The NHS Community Pharmacy Contract changes in 2005 and later 2019 were turning points: these allowed pharmacies to take on much wider responsibilities, from minor illness treatment to flu jabs, blood pressure checks and stop smoking support. The 2023 Pharmacy First service further expanded what they can do directly for patients without needing a GP referral.</w:t>
      </w:r>
    </w:p>
    <w:p w14:paraId="0D7B4BB8" w14:textId="77777777" w:rsidR="00E16954" w:rsidRDefault="00E16954" w:rsidP="00E16954"/>
    <w:p w14:paraId="4E1491E8" w14:textId="77777777" w:rsidR="00E16954" w:rsidRDefault="00E16954" w:rsidP="00E16954">
      <w:r>
        <w:t>Critical Evaluation of Current Practice</w:t>
      </w:r>
    </w:p>
    <w:p w14:paraId="062E56BD" w14:textId="77777777" w:rsidR="00E16954" w:rsidRDefault="00E16954" w:rsidP="00E16954"/>
    <w:p w14:paraId="3AC241E4" w14:textId="77777777" w:rsidR="00E16954" w:rsidRDefault="00E16954" w:rsidP="00E16954">
      <w:r>
        <w:t>Today there are around 14,000 community pharmacies across England. Services include dispensing NHS and private prescriptions, providing over-the-counter advice and products, the new Pharmacy First consultations for seven common conditions, health screening, vaccinations, medication use reviews, and support for care homes to manage medicines safely. Pharmacists work as independent prescribers in many areas and refer people straight to other services when needed.</w:t>
      </w:r>
    </w:p>
    <w:p w14:paraId="49668844" w14:textId="77777777" w:rsidR="00E16954" w:rsidRDefault="00E16954" w:rsidP="00E16954"/>
    <w:p w14:paraId="7D867AA2" w14:textId="5C7CD874" w:rsidR="00E16954" w:rsidRDefault="00E16954" w:rsidP="00E16954">
      <w:r>
        <w:t>This model brings major benefits: opening hours are usually longer than GP surgeries, people can walk in without an appointment, and the setting feels familiar and less formal. However</w:t>
      </w:r>
      <w:r w:rsidR="00D76C35">
        <w:t>,</w:t>
      </w:r>
      <w:r>
        <w:t xml:space="preserve"> challenges </w:t>
      </w:r>
      <w:bookmarkStart w:id="30" w:name="_Int_xwQw8lR9"/>
      <w:r>
        <w:t>remain</w:t>
      </w:r>
      <w:bookmarkEnd w:id="30"/>
      <w:r>
        <w:t xml:space="preserve"> funding has not risen in line with extra duties, many rural or deprived areas have lost local pharmacies in recent years, and some people still do not know what help they can access there. There can also be differences in what services are available depending on which part of the country someone lives in.</w:t>
      </w:r>
    </w:p>
    <w:p w14:paraId="2B1B8234" w14:textId="77777777" w:rsidR="00E16954" w:rsidRDefault="00E16954" w:rsidP="00E16954"/>
    <w:p w14:paraId="595EC733" w14:textId="77777777" w:rsidR="00E16954" w:rsidRDefault="00E16954" w:rsidP="00E16954">
      <w:r>
        <w:t>Impact on Quality of Life</w:t>
      </w:r>
    </w:p>
    <w:p w14:paraId="240CE637" w14:textId="77777777" w:rsidR="00E16954" w:rsidRDefault="00E16954" w:rsidP="00E16954"/>
    <w:p w14:paraId="1DE89B08" w14:textId="77777777" w:rsidR="00E16954" w:rsidRDefault="00E16954" w:rsidP="00E16954">
      <w:r>
        <w:t xml:space="preserve">Pharmacy services make a real difference in many ways: they stop minor illnesses getting worse, reduce how long people wait for treatment, help people take their medicines correctly so conditions stay controlled, and prevent avoidable hospital visits. For people living in residential care or with long-term conditions, regular medication reviews reduce risk of mistakes and keep people well. Being able to speak to someone easily also reduces worry and gives people more control </w:t>
      </w:r>
      <w:bookmarkStart w:id="31" w:name="_Int_DiRWBfMM"/>
      <w:r>
        <w:t>over looking</w:t>
      </w:r>
      <w:bookmarkEnd w:id="31"/>
      <w:r>
        <w:t xml:space="preserve"> after their own health.</w:t>
      </w:r>
    </w:p>
    <w:p w14:paraId="7F904D95" w14:textId="77777777" w:rsidR="00E16954" w:rsidRDefault="00E16954" w:rsidP="00E16954"/>
    <w:p w14:paraId="566D6B94" w14:textId="69D7AAF4" w:rsidR="00E16954" w:rsidRDefault="00E16954" w:rsidP="00E16954">
      <w:r>
        <w:t>Conclusion</w:t>
      </w:r>
    </w:p>
    <w:p w14:paraId="21636646" w14:textId="77777777" w:rsidR="005C6490" w:rsidRDefault="00E16954">
      <w:r>
        <w:t xml:space="preserve">Pharmacy has come </w:t>
      </w:r>
      <w:r w:rsidR="005E7914">
        <w:t>an extraordinarily</w:t>
      </w:r>
      <w:r>
        <w:t xml:space="preserve"> long way from just selling medicines to being a key part of community care. It is accessible and person-centred, but proper long-term investment </w:t>
      </w:r>
      <w:bookmarkStart w:id="32" w:name="_Int_MFhxaZDv"/>
      <w:r>
        <w:t>is needed</w:t>
      </w:r>
      <w:bookmarkEnd w:id="32"/>
      <w:r>
        <w:t xml:space="preserve"> to keep services open and consistent for everyone who needs them.</w:t>
      </w:r>
    </w:p>
    <w:p w14:paraId="7884EB46" w14:textId="77777777" w:rsidR="00BC1B24" w:rsidRDefault="00BC1B24" w:rsidP="00BC1B24">
      <w:r>
        <w:t>REFERENCES</w:t>
      </w:r>
    </w:p>
    <w:p w14:paraId="1E42DB36" w14:textId="77777777" w:rsidR="00BC1B24" w:rsidRDefault="00BC1B24" w:rsidP="00BC1B24"/>
    <w:p w14:paraId="05E066FC" w14:textId="77777777" w:rsidR="00BC1B24" w:rsidRDefault="00BC1B24" w:rsidP="00BC1B24">
      <w:r>
        <w:t>Harvard style, alphabetical order</w:t>
      </w:r>
    </w:p>
    <w:p w14:paraId="0CDB8626" w14:textId="77777777" w:rsidR="00BC1B24" w:rsidRDefault="00BC1B24" w:rsidP="00BC1B24"/>
    <w:p w14:paraId="5CB626E9" w14:textId="77777777" w:rsidR="00BC1B24" w:rsidRDefault="00BC1B24" w:rsidP="00BC1B24">
      <w:r>
        <w:t>1. Care Act 2014 (c. 23). London: The Stationery Office.</w:t>
      </w:r>
    </w:p>
    <w:p w14:paraId="52FFA0F2" w14:textId="77777777" w:rsidR="00BC1B24" w:rsidRDefault="00BC1B24" w:rsidP="00BC1B24"/>
    <w:p w14:paraId="33CE37C3" w14:textId="77777777" w:rsidR="00BC1B24" w:rsidRDefault="00BC1B24" w:rsidP="00BC1B24">
      <w:r>
        <w:t>2. Department of Health and Social Care. (2021). People at the Heart of Care: Adult Social Care Reform White Paper. London: Crown Copyright.</w:t>
      </w:r>
    </w:p>
    <w:p w14:paraId="093DF123" w14:textId="77777777" w:rsidR="00BC1B24" w:rsidRDefault="00BC1B24" w:rsidP="00BC1B24"/>
    <w:p w14:paraId="28586F28" w14:textId="77777777" w:rsidR="00BC1B24" w:rsidRDefault="00BC1B24" w:rsidP="00BC1B24">
      <w:r>
        <w:t>3. Department of Health and Social Care. (2022). Pharmacy First NHS Service: Implementation Guidance. London: NHS England.</w:t>
      </w:r>
    </w:p>
    <w:p w14:paraId="63AD2826" w14:textId="77777777" w:rsidR="00BC1B24" w:rsidRDefault="00BC1B24" w:rsidP="00BC1B24"/>
    <w:p w14:paraId="04EA12C0" w14:textId="77777777" w:rsidR="00BC1B24" w:rsidRDefault="00BC1B24" w:rsidP="00BC1B24">
      <w:r>
        <w:t>4. Health and Social Care Act 2008 (c. 14). London: The Stationery Office.</w:t>
      </w:r>
    </w:p>
    <w:p w14:paraId="22DDF42B" w14:textId="77777777" w:rsidR="00BC1B24" w:rsidRDefault="00BC1B24" w:rsidP="00BC1B24"/>
    <w:p w14:paraId="37ECD3BD" w14:textId="77777777" w:rsidR="00BC1B24" w:rsidRDefault="00BC1B24" w:rsidP="00BC1B24">
      <w:r>
        <w:t>5. National Audit Office. (2024). Adult Social Care in England: State of the Sector. London: The Stationery Office.</w:t>
      </w:r>
    </w:p>
    <w:p w14:paraId="1383C365" w14:textId="77777777" w:rsidR="00BC1B24" w:rsidRDefault="00BC1B24" w:rsidP="00BC1B24"/>
    <w:p w14:paraId="40EBA2FA" w14:textId="77777777" w:rsidR="00BC1B24" w:rsidRDefault="00BC1B24" w:rsidP="00BC1B24">
      <w:r>
        <w:t>6. Pharmacy Act 1868 (c. 121). London: The Stationery Office.</w:t>
      </w:r>
    </w:p>
    <w:p w14:paraId="2AD82DE2" w14:textId="77777777" w:rsidR="00BC1B24" w:rsidRDefault="00BC1B24" w:rsidP="00BC1B24"/>
    <w:p w14:paraId="7B9F511A" w14:textId="42650181" w:rsidR="005C6490" w:rsidRDefault="00BC1B24">
      <w:r>
        <w:t>7. Royal Pharmaceutical Society. (2024). State of Pharmacy Practice Report. London: RPS.</w:t>
      </w:r>
    </w:p>
    <w:p w14:paraId="1BD7E26E" w14:textId="40A1FC93" w:rsidR="002F63A6" w:rsidRDefault="00F0623B">
      <w:r>
        <w:br w:type="page"/>
      </w:r>
    </w:p>
    <w:p w14:paraId="7811CBE2" w14:textId="1938C8EC" w:rsidR="002F63A6" w:rsidRDefault="002F63A6">
      <w:pPr>
        <w:pStyle w:val="Heading2"/>
      </w:pPr>
    </w:p>
    <w:p w14:paraId="5DC7870C" w14:textId="0DC5201C" w:rsidR="002F63A6" w:rsidRDefault="002F63A6"/>
    <w:sectPr w:rsidR="002F63A6" w:rsidSect="00034616">
      <w:pgSz w:w="12240" w:h="15840"/>
      <w:pgMar w:top="936" w:right="1008" w:bottom="936"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43A0B29C"/>
    <w:lvl w:ilvl="0">
      <w:start w:val="1"/>
      <w:numFmt w:val="bullet"/>
      <w:pStyle w:val="ListBullet"/>
      <w:lvlText w:val=""/>
      <w:lvlJc w:val="left"/>
      <w:pPr>
        <w:tabs>
          <w:tab w:val="num" w:pos="360"/>
        </w:tabs>
        <w:ind w:left="360" w:hanging="360"/>
      </w:pPr>
      <w:rPr>
        <w:rFonts w:ascii="Symbol" w:hAnsi="Symbol" w:hint="default"/>
      </w:rPr>
    </w:lvl>
  </w:abstractNum>
  <w:num w:numId="1" w16cid:durableId="1155292661">
    <w:abstractNumId w:val="0"/>
  </w:num>
  <w:num w:numId="2" w16cid:durableId="1224607894">
    <w:abstractNumId w:val="7"/>
  </w:num>
  <w:num w:numId="3" w16cid:durableId="157119269">
    <w:abstractNumId w:val="5"/>
  </w:num>
  <w:num w:numId="4" w16cid:durableId="1900702965">
    <w:abstractNumId w:val="4"/>
  </w:num>
  <w:num w:numId="5" w16cid:durableId="2141536069">
    <w:abstractNumId w:val="3"/>
  </w:num>
  <w:num w:numId="6" w16cid:durableId="27922200">
    <w:abstractNumId w:val="2"/>
  </w:num>
  <w:num w:numId="7" w16cid:durableId="410202031">
    <w:abstractNumId w:val="8"/>
  </w:num>
  <w:num w:numId="8" w16cid:durableId="610405517">
    <w:abstractNumId w:val="6"/>
  </w:num>
  <w:num w:numId="9" w16cid:durableId="6642395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A6E"/>
    <w:rsid w:val="00034616"/>
    <w:rsid w:val="000367D8"/>
    <w:rsid w:val="00044F9E"/>
    <w:rsid w:val="0006063C"/>
    <w:rsid w:val="000775B5"/>
    <w:rsid w:val="000B2721"/>
    <w:rsid w:val="0015074B"/>
    <w:rsid w:val="00166FE8"/>
    <w:rsid w:val="001D4471"/>
    <w:rsid w:val="001E2EAF"/>
    <w:rsid w:val="001E7D42"/>
    <w:rsid w:val="002468E5"/>
    <w:rsid w:val="00252205"/>
    <w:rsid w:val="0029608B"/>
    <w:rsid w:val="0029639D"/>
    <w:rsid w:val="002D1F14"/>
    <w:rsid w:val="002D3186"/>
    <w:rsid w:val="002F63A6"/>
    <w:rsid w:val="00326F90"/>
    <w:rsid w:val="00346366"/>
    <w:rsid w:val="00388ECD"/>
    <w:rsid w:val="003C4A89"/>
    <w:rsid w:val="00415A82"/>
    <w:rsid w:val="00430789"/>
    <w:rsid w:val="004E5FCB"/>
    <w:rsid w:val="0050561E"/>
    <w:rsid w:val="005C6490"/>
    <w:rsid w:val="005D4381"/>
    <w:rsid w:val="005D6764"/>
    <w:rsid w:val="005E7914"/>
    <w:rsid w:val="0065486F"/>
    <w:rsid w:val="006614E6"/>
    <w:rsid w:val="006651CA"/>
    <w:rsid w:val="00681584"/>
    <w:rsid w:val="006A150A"/>
    <w:rsid w:val="006B2584"/>
    <w:rsid w:val="006B351B"/>
    <w:rsid w:val="006E0E64"/>
    <w:rsid w:val="00753262"/>
    <w:rsid w:val="00767C92"/>
    <w:rsid w:val="00780BA7"/>
    <w:rsid w:val="0079010C"/>
    <w:rsid w:val="00795BFF"/>
    <w:rsid w:val="007C4567"/>
    <w:rsid w:val="007C69D3"/>
    <w:rsid w:val="007D4B21"/>
    <w:rsid w:val="00832D11"/>
    <w:rsid w:val="00867946"/>
    <w:rsid w:val="00893094"/>
    <w:rsid w:val="008B4549"/>
    <w:rsid w:val="008C1D3B"/>
    <w:rsid w:val="00902C05"/>
    <w:rsid w:val="009365A7"/>
    <w:rsid w:val="00992625"/>
    <w:rsid w:val="00A05708"/>
    <w:rsid w:val="00A30BB0"/>
    <w:rsid w:val="00A341FE"/>
    <w:rsid w:val="00A72618"/>
    <w:rsid w:val="00A734B0"/>
    <w:rsid w:val="00AA1D8D"/>
    <w:rsid w:val="00AC0BD9"/>
    <w:rsid w:val="00AC3998"/>
    <w:rsid w:val="00B47730"/>
    <w:rsid w:val="00B51833"/>
    <w:rsid w:val="00BB573A"/>
    <w:rsid w:val="00BC1B24"/>
    <w:rsid w:val="00BC259A"/>
    <w:rsid w:val="00BD14AC"/>
    <w:rsid w:val="00C37EBD"/>
    <w:rsid w:val="00C56E7B"/>
    <w:rsid w:val="00C84569"/>
    <w:rsid w:val="00C966BC"/>
    <w:rsid w:val="00C9717F"/>
    <w:rsid w:val="00CB0664"/>
    <w:rsid w:val="00CD5CF5"/>
    <w:rsid w:val="00CE001F"/>
    <w:rsid w:val="00CF6606"/>
    <w:rsid w:val="00D43BEE"/>
    <w:rsid w:val="00D7404D"/>
    <w:rsid w:val="00D76C35"/>
    <w:rsid w:val="00E16954"/>
    <w:rsid w:val="00E2259E"/>
    <w:rsid w:val="00E41A39"/>
    <w:rsid w:val="00E8709C"/>
    <w:rsid w:val="00E95CF7"/>
    <w:rsid w:val="00EB65AD"/>
    <w:rsid w:val="00F0623B"/>
    <w:rsid w:val="00F54FE4"/>
    <w:rsid w:val="00F63BBB"/>
    <w:rsid w:val="00F704FC"/>
    <w:rsid w:val="00FC693F"/>
    <w:rsid w:val="00FF2474"/>
    <w:rsid w:val="00FF6D30"/>
    <w:rsid w:val="020F2009"/>
    <w:rsid w:val="07366CD9"/>
    <w:rsid w:val="07A186D4"/>
    <w:rsid w:val="098E8B39"/>
    <w:rsid w:val="0AE671BB"/>
    <w:rsid w:val="0B3B97B7"/>
    <w:rsid w:val="0C671711"/>
    <w:rsid w:val="0DE72AF7"/>
    <w:rsid w:val="0DF2327E"/>
    <w:rsid w:val="0E6EB83D"/>
    <w:rsid w:val="102B475E"/>
    <w:rsid w:val="1081E484"/>
    <w:rsid w:val="146369DC"/>
    <w:rsid w:val="14BDFAD5"/>
    <w:rsid w:val="18DE1C88"/>
    <w:rsid w:val="196B17B8"/>
    <w:rsid w:val="19DA9258"/>
    <w:rsid w:val="1AEE870D"/>
    <w:rsid w:val="1C67F151"/>
    <w:rsid w:val="1EFC5537"/>
    <w:rsid w:val="1FD56547"/>
    <w:rsid w:val="22DB09CB"/>
    <w:rsid w:val="239CB8D8"/>
    <w:rsid w:val="241DBDF1"/>
    <w:rsid w:val="258F3D05"/>
    <w:rsid w:val="288A0A0C"/>
    <w:rsid w:val="2A20C61E"/>
    <w:rsid w:val="36CD021B"/>
    <w:rsid w:val="395AFFA6"/>
    <w:rsid w:val="3AC2EB32"/>
    <w:rsid w:val="3B7649EB"/>
    <w:rsid w:val="3D329011"/>
    <w:rsid w:val="3F54CAB3"/>
    <w:rsid w:val="442E990B"/>
    <w:rsid w:val="4501A052"/>
    <w:rsid w:val="45704CB7"/>
    <w:rsid w:val="46699A75"/>
    <w:rsid w:val="4786A258"/>
    <w:rsid w:val="4791654D"/>
    <w:rsid w:val="4AB31C75"/>
    <w:rsid w:val="4B44D694"/>
    <w:rsid w:val="5072E3B6"/>
    <w:rsid w:val="50EDF8D5"/>
    <w:rsid w:val="51372CBA"/>
    <w:rsid w:val="531D6FE2"/>
    <w:rsid w:val="536EA1C4"/>
    <w:rsid w:val="54EB8AE6"/>
    <w:rsid w:val="558E91E3"/>
    <w:rsid w:val="56499174"/>
    <w:rsid w:val="59BBE051"/>
    <w:rsid w:val="5C8C2B22"/>
    <w:rsid w:val="5CD00AE2"/>
    <w:rsid w:val="5EDC2B48"/>
    <w:rsid w:val="618B0B80"/>
    <w:rsid w:val="624BE621"/>
    <w:rsid w:val="63A4EC4B"/>
    <w:rsid w:val="65B751DD"/>
    <w:rsid w:val="66032A00"/>
    <w:rsid w:val="6608E4C8"/>
    <w:rsid w:val="665737C1"/>
    <w:rsid w:val="67EFE657"/>
    <w:rsid w:val="68806C4D"/>
    <w:rsid w:val="6D0CF1FC"/>
    <w:rsid w:val="6D59B95D"/>
    <w:rsid w:val="6D7DC043"/>
    <w:rsid w:val="6DB2F127"/>
    <w:rsid w:val="6EDC90EE"/>
    <w:rsid w:val="70A69DF6"/>
    <w:rsid w:val="7141B34B"/>
    <w:rsid w:val="72B2E583"/>
    <w:rsid w:val="74255B5B"/>
    <w:rsid w:val="7496E4B1"/>
    <w:rsid w:val="74A0691F"/>
    <w:rsid w:val="76279158"/>
    <w:rsid w:val="76F4EA54"/>
    <w:rsid w:val="788B9C05"/>
    <w:rsid w:val="7EB087CB"/>
    <w:rsid w:val="7F726118"/>
    <w:rsid w:val="7FCAA3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B2E9A16"/>
  <w14:defaultImageDpi w14:val="300"/>
  <w15:docId w15:val="{A4432A1F-1E5C-4AF3-A03B-47BE99100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7"/>
      </w:numPr>
      <w:contextualSpacing/>
    </w:pPr>
  </w:style>
  <w:style w:type="paragraph" w:styleId="ListBullet2">
    <w:name w:val="List Bullet 2"/>
    <w:basedOn w:val="Normal"/>
    <w:uiPriority w:val="99"/>
    <w:unhideWhenUsed/>
    <w:rsid w:val="00326F90"/>
    <w:pPr>
      <w:numPr>
        <w:numId w:val="8"/>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2"/>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Manager/>
  <Company/>
  <LinksUpToDate>false</LinksUpToDate>
  <CharactersWithSpaces>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Shabana Shaheen (2512331)</cp:lastModifiedBy>
  <cp:revision>4</cp:revision>
  <dcterms:created xsi:type="dcterms:W3CDTF">2026-07-30T13:05:00Z</dcterms:created>
  <dcterms:modified xsi:type="dcterms:W3CDTF">2026-07-30T14:03:00Z</dcterms:modified>
  <cp:category/>
</cp:coreProperties>
</file>