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8821E" w14:textId="77777777" w:rsidR="00781B19" w:rsidRPr="001C5FE3" w:rsidRDefault="00781B19" w:rsidP="00781B19">
      <w:pPr>
        <w:rPr>
          <w:b/>
          <w:bCs/>
          <w:sz w:val="36"/>
          <w:szCs w:val="36"/>
        </w:rPr>
      </w:pPr>
      <w:r w:rsidRPr="001C5FE3">
        <w:rPr>
          <w:b/>
          <w:bCs/>
          <w:sz w:val="36"/>
          <w:szCs w:val="36"/>
        </w:rPr>
        <w:t xml:space="preserve">Student Name: </w:t>
      </w:r>
      <w:r w:rsidRPr="001C5FE3">
        <w:rPr>
          <w:sz w:val="36"/>
          <w:szCs w:val="36"/>
        </w:rPr>
        <w:t>Isaac Njoku</w:t>
      </w:r>
    </w:p>
    <w:p w14:paraId="4AC49B6E" w14:textId="77777777" w:rsidR="00781B19" w:rsidRPr="001C5FE3" w:rsidRDefault="00781B19" w:rsidP="00781B19">
      <w:pPr>
        <w:rPr>
          <w:b/>
          <w:bCs/>
          <w:sz w:val="36"/>
          <w:szCs w:val="36"/>
        </w:rPr>
      </w:pPr>
      <w:r w:rsidRPr="001C5FE3">
        <w:rPr>
          <w:b/>
          <w:bCs/>
          <w:sz w:val="36"/>
          <w:szCs w:val="36"/>
        </w:rPr>
        <w:t xml:space="preserve">Student ID: </w:t>
      </w:r>
      <w:r w:rsidRPr="001C5FE3">
        <w:rPr>
          <w:sz w:val="36"/>
          <w:szCs w:val="36"/>
        </w:rPr>
        <w:t>2133548</w:t>
      </w:r>
    </w:p>
    <w:p w14:paraId="738B9F54" w14:textId="77777777" w:rsidR="00781B19" w:rsidRPr="001C5FE3" w:rsidRDefault="00781B19" w:rsidP="00781B19">
      <w:pPr>
        <w:rPr>
          <w:b/>
          <w:bCs/>
          <w:sz w:val="36"/>
          <w:szCs w:val="36"/>
        </w:rPr>
      </w:pPr>
      <w:r w:rsidRPr="001C5FE3">
        <w:rPr>
          <w:b/>
          <w:bCs/>
          <w:sz w:val="36"/>
          <w:szCs w:val="36"/>
        </w:rPr>
        <w:t xml:space="preserve">Programme: </w:t>
      </w:r>
      <w:r w:rsidRPr="001C5FE3">
        <w:rPr>
          <w:sz w:val="36"/>
          <w:szCs w:val="36"/>
        </w:rPr>
        <w:t>Certificate</w:t>
      </w:r>
      <w:r w:rsidRPr="001C5FE3">
        <w:rPr>
          <w:spacing w:val="-5"/>
          <w:sz w:val="36"/>
          <w:szCs w:val="36"/>
        </w:rPr>
        <w:t xml:space="preserve"> </w:t>
      </w:r>
      <w:r w:rsidRPr="001C5FE3">
        <w:rPr>
          <w:sz w:val="36"/>
          <w:szCs w:val="36"/>
        </w:rPr>
        <w:t>of</w:t>
      </w:r>
      <w:r w:rsidRPr="001C5FE3">
        <w:rPr>
          <w:spacing w:val="-5"/>
          <w:sz w:val="36"/>
          <w:szCs w:val="36"/>
        </w:rPr>
        <w:t xml:space="preserve"> </w:t>
      </w:r>
      <w:r w:rsidRPr="001C5FE3">
        <w:rPr>
          <w:sz w:val="36"/>
          <w:szCs w:val="36"/>
        </w:rPr>
        <w:t>Higher</w:t>
      </w:r>
      <w:r w:rsidRPr="001C5FE3">
        <w:rPr>
          <w:spacing w:val="-4"/>
          <w:sz w:val="36"/>
          <w:szCs w:val="36"/>
        </w:rPr>
        <w:t xml:space="preserve"> </w:t>
      </w:r>
      <w:r w:rsidRPr="001C5FE3">
        <w:rPr>
          <w:sz w:val="36"/>
          <w:szCs w:val="36"/>
        </w:rPr>
        <w:t>Education</w:t>
      </w:r>
      <w:r w:rsidRPr="001C5FE3">
        <w:rPr>
          <w:spacing w:val="-3"/>
          <w:sz w:val="36"/>
          <w:szCs w:val="36"/>
        </w:rPr>
        <w:t xml:space="preserve"> </w:t>
      </w:r>
      <w:r w:rsidRPr="001C5FE3">
        <w:rPr>
          <w:sz w:val="36"/>
          <w:szCs w:val="36"/>
        </w:rPr>
        <w:t>Skills</w:t>
      </w:r>
      <w:r w:rsidRPr="001C5FE3">
        <w:rPr>
          <w:spacing w:val="-5"/>
          <w:sz w:val="36"/>
          <w:szCs w:val="36"/>
        </w:rPr>
        <w:t xml:space="preserve"> </w:t>
      </w:r>
      <w:r w:rsidRPr="001C5FE3">
        <w:rPr>
          <w:sz w:val="36"/>
          <w:szCs w:val="36"/>
        </w:rPr>
        <w:t>for</w:t>
      </w:r>
      <w:r w:rsidRPr="001C5FE3">
        <w:rPr>
          <w:spacing w:val="-4"/>
          <w:sz w:val="36"/>
          <w:szCs w:val="36"/>
        </w:rPr>
        <w:t xml:space="preserve"> </w:t>
      </w:r>
      <w:r w:rsidRPr="001C5FE3">
        <w:rPr>
          <w:sz w:val="36"/>
          <w:szCs w:val="36"/>
        </w:rPr>
        <w:t>the</w:t>
      </w:r>
      <w:r w:rsidRPr="001C5FE3">
        <w:rPr>
          <w:spacing w:val="-8"/>
          <w:sz w:val="36"/>
          <w:szCs w:val="36"/>
        </w:rPr>
        <w:t xml:space="preserve"> </w:t>
      </w:r>
      <w:r w:rsidRPr="001C5FE3">
        <w:rPr>
          <w:spacing w:val="-2"/>
          <w:sz w:val="36"/>
          <w:szCs w:val="36"/>
        </w:rPr>
        <w:t>Workplace (Health &amp; Social Care)</w:t>
      </w:r>
    </w:p>
    <w:p w14:paraId="4E6C4796" w14:textId="77777777" w:rsidR="00781B19" w:rsidRPr="001C5FE3" w:rsidRDefault="00781B19" w:rsidP="00781B19">
      <w:pPr>
        <w:rPr>
          <w:b/>
          <w:bCs/>
          <w:sz w:val="36"/>
          <w:szCs w:val="36"/>
        </w:rPr>
      </w:pPr>
      <w:r w:rsidRPr="001C5FE3">
        <w:rPr>
          <w:b/>
          <w:bCs/>
          <w:sz w:val="36"/>
          <w:szCs w:val="36"/>
        </w:rPr>
        <w:t xml:space="preserve">Module: </w:t>
      </w:r>
      <w:r w:rsidRPr="001C5FE3">
        <w:rPr>
          <w:rFonts w:ascii="Arial" w:hAnsi="Arial" w:cs="Arial"/>
          <w:sz w:val="36"/>
          <w:szCs w:val="36"/>
        </w:rPr>
        <w:t>Introduction to</w:t>
      </w:r>
      <w:r>
        <w:rPr>
          <w:rFonts w:ascii="Arial" w:hAnsi="Arial" w:cs="Arial"/>
          <w:sz w:val="36"/>
          <w:szCs w:val="36"/>
        </w:rPr>
        <w:t xml:space="preserve"> Public Health</w:t>
      </w:r>
    </w:p>
    <w:p w14:paraId="2B0318E4" w14:textId="77777777" w:rsidR="00781B19" w:rsidRPr="001C5FE3" w:rsidRDefault="00781B19" w:rsidP="00781B19">
      <w:pPr>
        <w:rPr>
          <w:sz w:val="36"/>
          <w:szCs w:val="36"/>
        </w:rPr>
      </w:pPr>
      <w:r w:rsidRPr="001C5FE3">
        <w:rPr>
          <w:b/>
          <w:bCs/>
          <w:sz w:val="36"/>
          <w:szCs w:val="36"/>
        </w:rPr>
        <w:t xml:space="preserve">Module code: </w:t>
      </w:r>
      <w:r w:rsidRPr="001C5FE3">
        <w:rPr>
          <w:rFonts w:ascii="Arial" w:hAnsi="Arial" w:cs="Arial"/>
          <w:sz w:val="36"/>
          <w:szCs w:val="36"/>
        </w:rPr>
        <w:t>LCHS400</w:t>
      </w:r>
      <w:r>
        <w:rPr>
          <w:rFonts w:ascii="Arial" w:hAnsi="Arial" w:cs="Arial"/>
          <w:sz w:val="36"/>
          <w:szCs w:val="36"/>
        </w:rPr>
        <w:t>4</w:t>
      </w:r>
    </w:p>
    <w:p w14:paraId="30DE9CAD" w14:textId="77777777" w:rsidR="00781B19" w:rsidRPr="001C5FE3" w:rsidRDefault="00781B19" w:rsidP="00781B19">
      <w:pPr>
        <w:rPr>
          <w:b/>
          <w:bCs/>
          <w:sz w:val="36"/>
          <w:szCs w:val="36"/>
        </w:rPr>
      </w:pPr>
      <w:r w:rsidRPr="001C5FE3">
        <w:rPr>
          <w:b/>
          <w:bCs/>
          <w:sz w:val="36"/>
          <w:szCs w:val="36"/>
        </w:rPr>
        <w:t xml:space="preserve">Lecturer: </w:t>
      </w:r>
      <w:r>
        <w:rPr>
          <w:rFonts w:ascii="Arial" w:hAnsi="Arial" w:cs="Arial"/>
          <w:sz w:val="36"/>
          <w:szCs w:val="36"/>
          <w:lang w:val="en-US"/>
        </w:rPr>
        <w:t>Dr Aishat Bakre</w:t>
      </w:r>
    </w:p>
    <w:p w14:paraId="672D5503" w14:textId="77777777" w:rsidR="00781B19" w:rsidRPr="001C5FE3" w:rsidRDefault="00781B19" w:rsidP="00781B19">
      <w:pPr>
        <w:rPr>
          <w:sz w:val="36"/>
          <w:szCs w:val="36"/>
        </w:rPr>
      </w:pPr>
      <w:r w:rsidRPr="001C5FE3">
        <w:rPr>
          <w:b/>
          <w:bCs/>
          <w:sz w:val="36"/>
          <w:szCs w:val="36"/>
        </w:rPr>
        <w:t xml:space="preserve">Assignment Title: </w:t>
      </w:r>
      <w:r>
        <w:rPr>
          <w:rFonts w:ascii="Arial" w:hAnsi="Arial" w:cs="Arial"/>
          <w:sz w:val="36"/>
          <w:szCs w:val="36"/>
        </w:rPr>
        <w:t>Major Health Issue</w:t>
      </w:r>
    </w:p>
    <w:p w14:paraId="05E00488" w14:textId="77777777" w:rsidR="00781B19" w:rsidRDefault="00781B19" w:rsidP="00781B19">
      <w:pPr>
        <w:spacing w:line="360" w:lineRule="auto"/>
        <w:rPr>
          <w:rFonts w:ascii="Arial" w:hAnsi="Arial" w:cs="Arial"/>
          <w:sz w:val="24"/>
          <w:szCs w:val="24"/>
        </w:rPr>
      </w:pPr>
    </w:p>
    <w:p w14:paraId="5B8371F4" w14:textId="77777777" w:rsidR="00781B19" w:rsidRDefault="00781B19" w:rsidP="00781B19">
      <w:pPr>
        <w:spacing w:line="360" w:lineRule="auto"/>
        <w:rPr>
          <w:rFonts w:ascii="Arial" w:hAnsi="Arial" w:cs="Arial"/>
          <w:sz w:val="24"/>
          <w:szCs w:val="24"/>
        </w:rPr>
      </w:pPr>
    </w:p>
    <w:p w14:paraId="06557103" w14:textId="77777777" w:rsidR="00781B19" w:rsidRDefault="00781B19" w:rsidP="00781B19">
      <w:pPr>
        <w:spacing w:line="360" w:lineRule="auto"/>
        <w:rPr>
          <w:rFonts w:ascii="Arial" w:hAnsi="Arial" w:cs="Arial"/>
          <w:sz w:val="24"/>
          <w:szCs w:val="24"/>
        </w:rPr>
      </w:pPr>
    </w:p>
    <w:p w14:paraId="4154B939" w14:textId="77777777" w:rsidR="00781B19" w:rsidRDefault="00781B19" w:rsidP="00781B19">
      <w:pPr>
        <w:spacing w:line="360" w:lineRule="auto"/>
        <w:rPr>
          <w:rFonts w:ascii="Arial" w:hAnsi="Arial" w:cs="Arial"/>
          <w:sz w:val="24"/>
          <w:szCs w:val="24"/>
        </w:rPr>
      </w:pPr>
    </w:p>
    <w:p w14:paraId="7F82CE63" w14:textId="77777777" w:rsidR="00781B19" w:rsidRDefault="00781B19" w:rsidP="00781B19">
      <w:pPr>
        <w:spacing w:line="360" w:lineRule="auto"/>
        <w:rPr>
          <w:rFonts w:ascii="Arial" w:hAnsi="Arial" w:cs="Arial"/>
          <w:sz w:val="24"/>
          <w:szCs w:val="24"/>
        </w:rPr>
      </w:pPr>
    </w:p>
    <w:p w14:paraId="7841F96A" w14:textId="77777777" w:rsidR="00781B19" w:rsidRDefault="00781B19" w:rsidP="00781B19">
      <w:pPr>
        <w:spacing w:line="360" w:lineRule="auto"/>
        <w:rPr>
          <w:rFonts w:ascii="Arial" w:hAnsi="Arial" w:cs="Arial"/>
          <w:sz w:val="24"/>
          <w:szCs w:val="24"/>
        </w:rPr>
      </w:pPr>
    </w:p>
    <w:p w14:paraId="272403A9" w14:textId="77777777" w:rsidR="00781B19" w:rsidRDefault="00781B19" w:rsidP="00781B19">
      <w:pPr>
        <w:spacing w:line="360" w:lineRule="auto"/>
        <w:rPr>
          <w:rFonts w:ascii="Arial" w:hAnsi="Arial" w:cs="Arial"/>
          <w:sz w:val="24"/>
          <w:szCs w:val="24"/>
        </w:rPr>
      </w:pPr>
    </w:p>
    <w:p w14:paraId="2DC9C9E1" w14:textId="77777777" w:rsidR="00781B19" w:rsidRDefault="00781B19" w:rsidP="00781B19">
      <w:pPr>
        <w:spacing w:line="360" w:lineRule="auto"/>
        <w:rPr>
          <w:rFonts w:ascii="Arial" w:hAnsi="Arial" w:cs="Arial"/>
          <w:sz w:val="24"/>
          <w:szCs w:val="24"/>
        </w:rPr>
      </w:pPr>
    </w:p>
    <w:p w14:paraId="47C9648D" w14:textId="77777777" w:rsidR="00781B19" w:rsidRDefault="00781B19" w:rsidP="00781B19">
      <w:pPr>
        <w:spacing w:line="360" w:lineRule="auto"/>
        <w:rPr>
          <w:rFonts w:ascii="Arial" w:hAnsi="Arial" w:cs="Arial"/>
          <w:sz w:val="24"/>
          <w:szCs w:val="24"/>
        </w:rPr>
      </w:pPr>
    </w:p>
    <w:p w14:paraId="29049157" w14:textId="77777777" w:rsidR="00781B19" w:rsidRDefault="00781B19" w:rsidP="00781B19">
      <w:pPr>
        <w:spacing w:line="360" w:lineRule="auto"/>
        <w:rPr>
          <w:rFonts w:ascii="Arial" w:hAnsi="Arial" w:cs="Arial"/>
          <w:sz w:val="24"/>
          <w:szCs w:val="24"/>
        </w:rPr>
      </w:pPr>
    </w:p>
    <w:p w14:paraId="0C05AC2B" w14:textId="77777777" w:rsidR="00781B19" w:rsidRDefault="00781B19" w:rsidP="00781B19">
      <w:pPr>
        <w:spacing w:line="360" w:lineRule="auto"/>
        <w:rPr>
          <w:rFonts w:ascii="Arial" w:hAnsi="Arial" w:cs="Arial"/>
          <w:sz w:val="24"/>
          <w:szCs w:val="24"/>
        </w:rPr>
      </w:pPr>
    </w:p>
    <w:p w14:paraId="3FD00CC7" w14:textId="77777777" w:rsidR="00781B19" w:rsidRDefault="00781B19" w:rsidP="00781B19">
      <w:pPr>
        <w:spacing w:line="360" w:lineRule="auto"/>
        <w:rPr>
          <w:rFonts w:ascii="Arial" w:hAnsi="Arial" w:cs="Arial"/>
          <w:sz w:val="24"/>
          <w:szCs w:val="24"/>
        </w:rPr>
      </w:pPr>
    </w:p>
    <w:p w14:paraId="73FCCCCA" w14:textId="77777777" w:rsidR="00781B19" w:rsidRDefault="00781B19" w:rsidP="00781B19">
      <w:pPr>
        <w:spacing w:line="360" w:lineRule="auto"/>
        <w:rPr>
          <w:rFonts w:ascii="Arial" w:hAnsi="Arial" w:cs="Arial"/>
          <w:sz w:val="24"/>
          <w:szCs w:val="24"/>
        </w:rPr>
      </w:pPr>
    </w:p>
    <w:p w14:paraId="4F7C1A71" w14:textId="77777777" w:rsidR="00781B19" w:rsidRDefault="00781B19" w:rsidP="00781B19">
      <w:pPr>
        <w:spacing w:line="360" w:lineRule="auto"/>
        <w:rPr>
          <w:rFonts w:ascii="Arial" w:hAnsi="Arial" w:cs="Arial"/>
          <w:sz w:val="24"/>
          <w:szCs w:val="24"/>
        </w:rPr>
      </w:pPr>
    </w:p>
    <w:p w14:paraId="4E502EA1" w14:textId="77777777" w:rsidR="00781B19" w:rsidRDefault="00781B19" w:rsidP="00781B19">
      <w:pPr>
        <w:spacing w:line="360" w:lineRule="auto"/>
        <w:rPr>
          <w:rFonts w:ascii="Arial" w:hAnsi="Arial" w:cs="Arial"/>
          <w:sz w:val="24"/>
          <w:szCs w:val="24"/>
        </w:rPr>
      </w:pPr>
    </w:p>
    <w:p w14:paraId="761B31D9" w14:textId="77777777" w:rsidR="00781B19" w:rsidRDefault="00781B19" w:rsidP="00781B19">
      <w:pPr>
        <w:spacing w:line="360" w:lineRule="auto"/>
        <w:rPr>
          <w:rFonts w:ascii="Arial" w:hAnsi="Arial" w:cs="Arial"/>
          <w:sz w:val="24"/>
          <w:szCs w:val="24"/>
        </w:rPr>
      </w:pPr>
    </w:p>
    <w:p w14:paraId="4900E25C" w14:textId="77777777" w:rsidR="00781B19" w:rsidRDefault="00781B19" w:rsidP="00781B19">
      <w:pPr>
        <w:pStyle w:val="paragraph"/>
        <w:spacing w:before="0" w:beforeAutospacing="0" w:after="0" w:afterAutospacing="0"/>
        <w:jc w:val="center"/>
        <w:textAlignment w:val="baseline"/>
        <w:rPr>
          <w:rStyle w:val="eop"/>
          <w:rFonts w:ascii="Arial" w:hAnsi="Arial" w:cs="Arial"/>
          <w:b/>
          <w:bCs/>
        </w:rPr>
      </w:pPr>
      <w:r>
        <w:rPr>
          <w:rStyle w:val="eop"/>
          <w:rFonts w:ascii="Arial" w:hAnsi="Arial" w:cs="Arial"/>
          <w:b/>
          <w:bCs/>
        </w:rPr>
        <w:t>Table of content</w:t>
      </w:r>
    </w:p>
    <w:p w14:paraId="18498720" w14:textId="77777777" w:rsidR="00781B19" w:rsidRDefault="00781B19" w:rsidP="00781B19">
      <w:pPr>
        <w:spacing w:line="360" w:lineRule="auto"/>
        <w:rPr>
          <w:rFonts w:ascii="Arial" w:hAnsi="Arial" w:cs="Arial"/>
          <w:sz w:val="24"/>
          <w:szCs w:val="24"/>
        </w:rPr>
      </w:pPr>
    </w:p>
    <w:sdt>
      <w:sdtPr>
        <w:rPr>
          <w:rFonts w:asciiTheme="minorHAnsi" w:eastAsiaTheme="minorHAnsi" w:hAnsiTheme="minorHAnsi" w:cstheme="minorBidi"/>
          <w:color w:val="auto"/>
          <w:sz w:val="22"/>
          <w:szCs w:val="22"/>
          <w:lang w:val="en-GB"/>
        </w:rPr>
        <w:id w:val="-1993471382"/>
        <w:docPartObj>
          <w:docPartGallery w:val="Table of Contents"/>
          <w:docPartUnique/>
        </w:docPartObj>
      </w:sdtPr>
      <w:sdtEndPr>
        <w:rPr>
          <w:b/>
          <w:bCs/>
          <w:noProof/>
        </w:rPr>
      </w:sdtEndPr>
      <w:sdtContent>
        <w:p w14:paraId="68A65770" w14:textId="6BAD720A" w:rsidR="00D21F5D" w:rsidRDefault="00AA3BAB">
          <w:pPr>
            <w:pStyle w:val="TOCHeading"/>
          </w:pPr>
          <w:r>
            <w:t xml:space="preserve">   </w:t>
          </w:r>
          <w:r w:rsidR="00D21F5D">
            <w:t>Contents</w:t>
          </w:r>
        </w:p>
        <w:p w14:paraId="26FB16E2" w14:textId="206FF0FF" w:rsidR="00D21F5D" w:rsidRPr="00C65767" w:rsidRDefault="00D21F5D">
          <w:pPr>
            <w:pStyle w:val="TOC2"/>
            <w:tabs>
              <w:tab w:val="right" w:leader="dot" w:pos="9016"/>
            </w:tabs>
            <w:rPr>
              <w:rFonts w:ascii="Arial" w:hAnsi="Arial" w:cs="Arial"/>
              <w:noProof/>
            </w:rPr>
          </w:pPr>
          <w:r>
            <w:fldChar w:fldCharType="begin"/>
          </w:r>
          <w:r>
            <w:instrText xml:space="preserve"> TOC \o "1-3" \h \z \u </w:instrText>
          </w:r>
          <w:r>
            <w:fldChar w:fldCharType="separate"/>
          </w:r>
          <w:hyperlink w:anchor="_Toc130532981" w:history="1">
            <w:r w:rsidRPr="00C65767">
              <w:rPr>
                <w:rStyle w:val="Hyperlink"/>
                <w:rFonts w:ascii="Arial" w:eastAsia="Arial" w:hAnsi="Arial" w:cs="Arial"/>
                <w:noProof/>
              </w:rPr>
              <w:t>Introduction</w:t>
            </w:r>
            <w:r w:rsidRPr="00C65767">
              <w:rPr>
                <w:rFonts w:ascii="Arial" w:hAnsi="Arial" w:cs="Arial"/>
                <w:noProof/>
                <w:webHidden/>
              </w:rPr>
              <w:tab/>
            </w:r>
            <w:r w:rsidRPr="00C65767">
              <w:rPr>
                <w:rFonts w:ascii="Arial" w:hAnsi="Arial" w:cs="Arial"/>
                <w:noProof/>
                <w:webHidden/>
              </w:rPr>
              <w:fldChar w:fldCharType="begin"/>
            </w:r>
            <w:r w:rsidRPr="00C65767">
              <w:rPr>
                <w:rFonts w:ascii="Arial" w:hAnsi="Arial" w:cs="Arial"/>
                <w:noProof/>
                <w:webHidden/>
              </w:rPr>
              <w:instrText xml:space="preserve"> PAGEREF _Toc130532981 \h </w:instrText>
            </w:r>
            <w:r w:rsidRPr="00C65767">
              <w:rPr>
                <w:rFonts w:ascii="Arial" w:hAnsi="Arial" w:cs="Arial"/>
                <w:noProof/>
                <w:webHidden/>
              </w:rPr>
            </w:r>
            <w:r w:rsidRPr="00C65767">
              <w:rPr>
                <w:rFonts w:ascii="Arial" w:hAnsi="Arial" w:cs="Arial"/>
                <w:noProof/>
                <w:webHidden/>
              </w:rPr>
              <w:fldChar w:fldCharType="separate"/>
            </w:r>
            <w:r w:rsidRPr="00C65767">
              <w:rPr>
                <w:rFonts w:ascii="Arial" w:hAnsi="Arial" w:cs="Arial"/>
                <w:noProof/>
                <w:webHidden/>
              </w:rPr>
              <w:t>3</w:t>
            </w:r>
            <w:r w:rsidRPr="00C65767">
              <w:rPr>
                <w:rFonts w:ascii="Arial" w:hAnsi="Arial" w:cs="Arial"/>
                <w:noProof/>
                <w:webHidden/>
              </w:rPr>
              <w:fldChar w:fldCharType="end"/>
            </w:r>
          </w:hyperlink>
        </w:p>
        <w:p w14:paraId="09A9B26C" w14:textId="1E4B6D3A" w:rsidR="00D21F5D" w:rsidRPr="00C65767" w:rsidRDefault="001906F5">
          <w:pPr>
            <w:pStyle w:val="TOC2"/>
            <w:tabs>
              <w:tab w:val="right" w:leader="dot" w:pos="9016"/>
            </w:tabs>
            <w:rPr>
              <w:rFonts w:ascii="Arial" w:hAnsi="Arial" w:cs="Arial"/>
              <w:noProof/>
            </w:rPr>
          </w:pPr>
          <w:hyperlink w:anchor="_Toc130532982" w:history="1">
            <w:r w:rsidR="00D21F5D" w:rsidRPr="00C65767">
              <w:rPr>
                <w:rStyle w:val="Hyperlink"/>
                <w:rFonts w:ascii="Arial" w:hAnsi="Arial" w:cs="Arial"/>
                <w:noProof/>
              </w:rPr>
              <w:t>Short-term:</w:t>
            </w:r>
            <w:r w:rsidR="00D21F5D" w:rsidRPr="00C65767">
              <w:rPr>
                <w:rFonts w:ascii="Arial" w:hAnsi="Arial" w:cs="Arial"/>
                <w:noProof/>
                <w:webHidden/>
              </w:rPr>
              <w:tab/>
            </w:r>
            <w:r w:rsidR="00D21F5D" w:rsidRPr="00C65767">
              <w:rPr>
                <w:rFonts w:ascii="Arial" w:hAnsi="Arial" w:cs="Arial"/>
                <w:noProof/>
                <w:webHidden/>
              </w:rPr>
              <w:fldChar w:fldCharType="begin"/>
            </w:r>
            <w:r w:rsidR="00D21F5D" w:rsidRPr="00C65767">
              <w:rPr>
                <w:rFonts w:ascii="Arial" w:hAnsi="Arial" w:cs="Arial"/>
                <w:noProof/>
                <w:webHidden/>
              </w:rPr>
              <w:instrText xml:space="preserve"> PAGEREF _Toc130532982 \h </w:instrText>
            </w:r>
            <w:r w:rsidR="00D21F5D" w:rsidRPr="00C65767">
              <w:rPr>
                <w:rFonts w:ascii="Arial" w:hAnsi="Arial" w:cs="Arial"/>
                <w:noProof/>
                <w:webHidden/>
              </w:rPr>
            </w:r>
            <w:r w:rsidR="00D21F5D" w:rsidRPr="00C65767">
              <w:rPr>
                <w:rFonts w:ascii="Arial" w:hAnsi="Arial" w:cs="Arial"/>
                <w:noProof/>
                <w:webHidden/>
              </w:rPr>
              <w:fldChar w:fldCharType="separate"/>
            </w:r>
            <w:r w:rsidR="00D21F5D" w:rsidRPr="00C65767">
              <w:rPr>
                <w:rFonts w:ascii="Arial" w:hAnsi="Arial" w:cs="Arial"/>
                <w:noProof/>
                <w:webHidden/>
              </w:rPr>
              <w:t>5</w:t>
            </w:r>
            <w:r w:rsidR="00D21F5D" w:rsidRPr="00C65767">
              <w:rPr>
                <w:rFonts w:ascii="Arial" w:hAnsi="Arial" w:cs="Arial"/>
                <w:noProof/>
                <w:webHidden/>
              </w:rPr>
              <w:fldChar w:fldCharType="end"/>
            </w:r>
          </w:hyperlink>
        </w:p>
        <w:p w14:paraId="4E2E964D" w14:textId="76B3D8D5" w:rsidR="00D21F5D" w:rsidRPr="00C65767" w:rsidRDefault="001906F5">
          <w:pPr>
            <w:pStyle w:val="TOC2"/>
            <w:tabs>
              <w:tab w:val="right" w:leader="dot" w:pos="9016"/>
            </w:tabs>
            <w:rPr>
              <w:rFonts w:ascii="Arial" w:hAnsi="Arial" w:cs="Arial"/>
              <w:noProof/>
            </w:rPr>
          </w:pPr>
          <w:hyperlink w:anchor="_Toc130532983" w:history="1">
            <w:r w:rsidR="00D21F5D" w:rsidRPr="00C65767">
              <w:rPr>
                <w:rStyle w:val="Hyperlink"/>
                <w:rFonts w:ascii="Arial" w:eastAsia="Arial" w:hAnsi="Arial" w:cs="Arial"/>
                <w:noProof/>
              </w:rPr>
              <w:t>Long-term:</w:t>
            </w:r>
            <w:r w:rsidR="00D21F5D" w:rsidRPr="00C65767">
              <w:rPr>
                <w:rFonts w:ascii="Arial" w:hAnsi="Arial" w:cs="Arial"/>
                <w:noProof/>
                <w:webHidden/>
              </w:rPr>
              <w:tab/>
            </w:r>
            <w:r w:rsidR="00D21F5D" w:rsidRPr="00C65767">
              <w:rPr>
                <w:rFonts w:ascii="Arial" w:hAnsi="Arial" w:cs="Arial"/>
                <w:noProof/>
                <w:webHidden/>
              </w:rPr>
              <w:fldChar w:fldCharType="begin"/>
            </w:r>
            <w:r w:rsidR="00D21F5D" w:rsidRPr="00C65767">
              <w:rPr>
                <w:rFonts w:ascii="Arial" w:hAnsi="Arial" w:cs="Arial"/>
                <w:noProof/>
                <w:webHidden/>
              </w:rPr>
              <w:instrText xml:space="preserve"> PAGEREF _Toc130532983 \h </w:instrText>
            </w:r>
            <w:r w:rsidR="00D21F5D" w:rsidRPr="00C65767">
              <w:rPr>
                <w:rFonts w:ascii="Arial" w:hAnsi="Arial" w:cs="Arial"/>
                <w:noProof/>
                <w:webHidden/>
              </w:rPr>
            </w:r>
            <w:r w:rsidR="00D21F5D" w:rsidRPr="00C65767">
              <w:rPr>
                <w:rFonts w:ascii="Arial" w:hAnsi="Arial" w:cs="Arial"/>
                <w:noProof/>
                <w:webHidden/>
              </w:rPr>
              <w:fldChar w:fldCharType="separate"/>
            </w:r>
            <w:r w:rsidR="00D21F5D" w:rsidRPr="00C65767">
              <w:rPr>
                <w:rFonts w:ascii="Arial" w:hAnsi="Arial" w:cs="Arial"/>
                <w:noProof/>
                <w:webHidden/>
              </w:rPr>
              <w:t>5</w:t>
            </w:r>
            <w:r w:rsidR="00D21F5D" w:rsidRPr="00C65767">
              <w:rPr>
                <w:rFonts w:ascii="Arial" w:hAnsi="Arial" w:cs="Arial"/>
                <w:noProof/>
                <w:webHidden/>
              </w:rPr>
              <w:fldChar w:fldCharType="end"/>
            </w:r>
          </w:hyperlink>
        </w:p>
        <w:p w14:paraId="6C48E33C" w14:textId="3A42ABCE" w:rsidR="00D21F5D" w:rsidRPr="00C65767" w:rsidRDefault="001906F5">
          <w:pPr>
            <w:pStyle w:val="TOC2"/>
            <w:tabs>
              <w:tab w:val="right" w:leader="dot" w:pos="9016"/>
            </w:tabs>
            <w:rPr>
              <w:rFonts w:ascii="Arial" w:hAnsi="Arial" w:cs="Arial"/>
              <w:noProof/>
            </w:rPr>
          </w:pPr>
          <w:hyperlink w:anchor="_Toc130532984" w:history="1">
            <w:r w:rsidR="00D21F5D" w:rsidRPr="00C65767">
              <w:rPr>
                <w:rStyle w:val="Hyperlink"/>
                <w:rFonts w:ascii="Arial" w:eastAsia="Arial" w:hAnsi="Arial" w:cs="Arial"/>
                <w:noProof/>
              </w:rPr>
              <w:t>Factors influencing the health and well-being of individuals with covid-19</w:t>
            </w:r>
            <w:r w:rsidR="00D21F5D" w:rsidRPr="00C65767">
              <w:rPr>
                <w:rFonts w:ascii="Arial" w:hAnsi="Arial" w:cs="Arial"/>
                <w:noProof/>
                <w:webHidden/>
              </w:rPr>
              <w:tab/>
            </w:r>
            <w:r w:rsidR="00D21F5D" w:rsidRPr="00C65767">
              <w:rPr>
                <w:rFonts w:ascii="Arial" w:hAnsi="Arial" w:cs="Arial"/>
                <w:noProof/>
                <w:webHidden/>
              </w:rPr>
              <w:fldChar w:fldCharType="begin"/>
            </w:r>
            <w:r w:rsidR="00D21F5D" w:rsidRPr="00C65767">
              <w:rPr>
                <w:rFonts w:ascii="Arial" w:hAnsi="Arial" w:cs="Arial"/>
                <w:noProof/>
                <w:webHidden/>
              </w:rPr>
              <w:instrText xml:space="preserve"> PAGEREF _Toc130532984 \h </w:instrText>
            </w:r>
            <w:r w:rsidR="00D21F5D" w:rsidRPr="00C65767">
              <w:rPr>
                <w:rFonts w:ascii="Arial" w:hAnsi="Arial" w:cs="Arial"/>
                <w:noProof/>
                <w:webHidden/>
              </w:rPr>
            </w:r>
            <w:r w:rsidR="00D21F5D" w:rsidRPr="00C65767">
              <w:rPr>
                <w:rFonts w:ascii="Arial" w:hAnsi="Arial" w:cs="Arial"/>
                <w:noProof/>
                <w:webHidden/>
              </w:rPr>
              <w:fldChar w:fldCharType="separate"/>
            </w:r>
            <w:r w:rsidR="00D21F5D" w:rsidRPr="00C65767">
              <w:rPr>
                <w:rFonts w:ascii="Arial" w:hAnsi="Arial" w:cs="Arial"/>
                <w:noProof/>
                <w:webHidden/>
              </w:rPr>
              <w:t>6</w:t>
            </w:r>
            <w:r w:rsidR="00D21F5D" w:rsidRPr="00C65767">
              <w:rPr>
                <w:rFonts w:ascii="Arial" w:hAnsi="Arial" w:cs="Arial"/>
                <w:noProof/>
                <w:webHidden/>
              </w:rPr>
              <w:fldChar w:fldCharType="end"/>
            </w:r>
          </w:hyperlink>
        </w:p>
        <w:p w14:paraId="434257C7" w14:textId="3D15457E" w:rsidR="00D21F5D" w:rsidRPr="00C65767" w:rsidRDefault="001906F5">
          <w:pPr>
            <w:pStyle w:val="TOC2"/>
            <w:tabs>
              <w:tab w:val="right" w:leader="dot" w:pos="9016"/>
            </w:tabs>
            <w:rPr>
              <w:rFonts w:ascii="Arial" w:hAnsi="Arial" w:cs="Arial"/>
              <w:noProof/>
            </w:rPr>
          </w:pPr>
          <w:hyperlink w:anchor="_Toc130532985" w:history="1">
            <w:r w:rsidR="00D21F5D" w:rsidRPr="00C65767">
              <w:rPr>
                <w:rStyle w:val="Hyperlink"/>
                <w:rFonts w:ascii="Arial" w:eastAsia="Arial" w:hAnsi="Arial" w:cs="Arial"/>
                <w:noProof/>
              </w:rPr>
              <w:t>Conclusion:</w:t>
            </w:r>
            <w:r w:rsidR="00D21F5D" w:rsidRPr="00C65767">
              <w:rPr>
                <w:rFonts w:ascii="Arial" w:hAnsi="Arial" w:cs="Arial"/>
                <w:noProof/>
                <w:webHidden/>
              </w:rPr>
              <w:tab/>
            </w:r>
            <w:r w:rsidR="00D21F5D" w:rsidRPr="00C65767">
              <w:rPr>
                <w:rFonts w:ascii="Arial" w:hAnsi="Arial" w:cs="Arial"/>
                <w:noProof/>
                <w:webHidden/>
              </w:rPr>
              <w:fldChar w:fldCharType="begin"/>
            </w:r>
            <w:r w:rsidR="00D21F5D" w:rsidRPr="00C65767">
              <w:rPr>
                <w:rFonts w:ascii="Arial" w:hAnsi="Arial" w:cs="Arial"/>
                <w:noProof/>
                <w:webHidden/>
              </w:rPr>
              <w:instrText xml:space="preserve"> PAGEREF _Toc130532985 \h </w:instrText>
            </w:r>
            <w:r w:rsidR="00D21F5D" w:rsidRPr="00C65767">
              <w:rPr>
                <w:rFonts w:ascii="Arial" w:hAnsi="Arial" w:cs="Arial"/>
                <w:noProof/>
                <w:webHidden/>
              </w:rPr>
            </w:r>
            <w:r w:rsidR="00D21F5D" w:rsidRPr="00C65767">
              <w:rPr>
                <w:rFonts w:ascii="Arial" w:hAnsi="Arial" w:cs="Arial"/>
                <w:noProof/>
                <w:webHidden/>
              </w:rPr>
              <w:fldChar w:fldCharType="separate"/>
            </w:r>
            <w:r w:rsidR="00D21F5D" w:rsidRPr="00C65767">
              <w:rPr>
                <w:rFonts w:ascii="Arial" w:hAnsi="Arial" w:cs="Arial"/>
                <w:noProof/>
                <w:webHidden/>
              </w:rPr>
              <w:t>7</w:t>
            </w:r>
            <w:r w:rsidR="00D21F5D" w:rsidRPr="00C65767">
              <w:rPr>
                <w:rFonts w:ascii="Arial" w:hAnsi="Arial" w:cs="Arial"/>
                <w:noProof/>
                <w:webHidden/>
              </w:rPr>
              <w:fldChar w:fldCharType="end"/>
            </w:r>
          </w:hyperlink>
        </w:p>
        <w:p w14:paraId="632E452F" w14:textId="7DC78B67" w:rsidR="00D21F5D" w:rsidRDefault="001906F5">
          <w:pPr>
            <w:pStyle w:val="TOC2"/>
            <w:tabs>
              <w:tab w:val="right" w:leader="dot" w:pos="9016"/>
            </w:tabs>
            <w:rPr>
              <w:noProof/>
            </w:rPr>
          </w:pPr>
          <w:hyperlink w:anchor="_Toc130532986" w:history="1">
            <w:r w:rsidR="00D21F5D" w:rsidRPr="00562C08">
              <w:rPr>
                <w:rStyle w:val="Hyperlink"/>
                <w:noProof/>
              </w:rPr>
              <w:t>REFERENCES</w:t>
            </w:r>
            <w:r w:rsidR="00D21F5D">
              <w:rPr>
                <w:noProof/>
                <w:webHidden/>
              </w:rPr>
              <w:tab/>
            </w:r>
            <w:r w:rsidR="00D21F5D">
              <w:rPr>
                <w:noProof/>
                <w:webHidden/>
              </w:rPr>
              <w:fldChar w:fldCharType="begin"/>
            </w:r>
            <w:r w:rsidR="00D21F5D">
              <w:rPr>
                <w:noProof/>
                <w:webHidden/>
              </w:rPr>
              <w:instrText xml:space="preserve"> PAGEREF _Toc130532986 \h </w:instrText>
            </w:r>
            <w:r w:rsidR="00D21F5D">
              <w:rPr>
                <w:noProof/>
                <w:webHidden/>
              </w:rPr>
            </w:r>
            <w:r w:rsidR="00D21F5D">
              <w:rPr>
                <w:noProof/>
                <w:webHidden/>
              </w:rPr>
              <w:fldChar w:fldCharType="separate"/>
            </w:r>
            <w:r w:rsidR="00D21F5D">
              <w:rPr>
                <w:noProof/>
                <w:webHidden/>
              </w:rPr>
              <w:t>8</w:t>
            </w:r>
            <w:r w:rsidR="00D21F5D">
              <w:rPr>
                <w:noProof/>
                <w:webHidden/>
              </w:rPr>
              <w:fldChar w:fldCharType="end"/>
            </w:r>
          </w:hyperlink>
        </w:p>
        <w:p w14:paraId="0120F864" w14:textId="747BFA0B" w:rsidR="00D21F5D" w:rsidRDefault="00D21F5D">
          <w:pPr>
            <w:pStyle w:val="TOC1"/>
            <w:tabs>
              <w:tab w:val="right" w:leader="dot" w:pos="9016"/>
            </w:tabs>
            <w:rPr>
              <w:noProof/>
            </w:rPr>
          </w:pPr>
        </w:p>
        <w:p w14:paraId="50755F52" w14:textId="791F3C2C" w:rsidR="00D21F5D" w:rsidRDefault="00D21F5D">
          <w:r>
            <w:rPr>
              <w:b/>
              <w:bCs/>
              <w:noProof/>
            </w:rPr>
            <w:fldChar w:fldCharType="end"/>
          </w:r>
        </w:p>
      </w:sdtContent>
    </w:sdt>
    <w:p w14:paraId="1DDF6B48" w14:textId="77777777" w:rsidR="00781B19" w:rsidRDefault="00781B19" w:rsidP="00781B19">
      <w:pPr>
        <w:spacing w:line="360" w:lineRule="auto"/>
        <w:rPr>
          <w:rFonts w:ascii="Arial" w:hAnsi="Arial" w:cs="Arial"/>
          <w:sz w:val="24"/>
          <w:szCs w:val="24"/>
        </w:rPr>
      </w:pPr>
    </w:p>
    <w:p w14:paraId="7FB4B82E" w14:textId="77777777" w:rsidR="00781B19" w:rsidRDefault="00781B19" w:rsidP="00781B19">
      <w:pPr>
        <w:spacing w:line="360" w:lineRule="auto"/>
        <w:rPr>
          <w:rFonts w:ascii="Arial" w:hAnsi="Arial" w:cs="Arial"/>
          <w:sz w:val="24"/>
          <w:szCs w:val="24"/>
        </w:rPr>
      </w:pPr>
    </w:p>
    <w:p w14:paraId="5FEC9882" w14:textId="77777777" w:rsidR="00781B19" w:rsidRDefault="00781B19" w:rsidP="00781B19">
      <w:pPr>
        <w:spacing w:line="360" w:lineRule="auto"/>
        <w:rPr>
          <w:rFonts w:ascii="Arial" w:hAnsi="Arial" w:cs="Arial"/>
          <w:sz w:val="24"/>
          <w:szCs w:val="24"/>
        </w:rPr>
      </w:pPr>
    </w:p>
    <w:p w14:paraId="2B6408F0" w14:textId="77777777" w:rsidR="00781B19" w:rsidRDefault="00781B19" w:rsidP="00781B19">
      <w:pPr>
        <w:spacing w:line="360" w:lineRule="auto"/>
        <w:rPr>
          <w:rFonts w:ascii="Arial" w:hAnsi="Arial" w:cs="Arial"/>
          <w:sz w:val="24"/>
          <w:szCs w:val="24"/>
        </w:rPr>
      </w:pPr>
    </w:p>
    <w:p w14:paraId="1D6A7CEB" w14:textId="77777777" w:rsidR="00781B19" w:rsidRDefault="00781B19" w:rsidP="43DA80C8">
      <w:pPr>
        <w:spacing w:line="360" w:lineRule="auto"/>
        <w:rPr>
          <w:rFonts w:ascii="Arial" w:eastAsia="Arial" w:hAnsi="Arial" w:cs="Arial"/>
        </w:rPr>
      </w:pPr>
    </w:p>
    <w:p w14:paraId="52BAD187" w14:textId="77777777" w:rsidR="00781B19" w:rsidRDefault="00781B19" w:rsidP="43DA80C8">
      <w:pPr>
        <w:spacing w:line="360" w:lineRule="auto"/>
        <w:rPr>
          <w:rFonts w:ascii="Arial" w:eastAsia="Arial" w:hAnsi="Arial" w:cs="Arial"/>
        </w:rPr>
      </w:pPr>
    </w:p>
    <w:p w14:paraId="321FCA81" w14:textId="77777777" w:rsidR="00781B19" w:rsidRDefault="00781B19" w:rsidP="43DA80C8">
      <w:pPr>
        <w:spacing w:line="360" w:lineRule="auto"/>
        <w:rPr>
          <w:rFonts w:ascii="Arial" w:eastAsia="Arial" w:hAnsi="Arial" w:cs="Arial"/>
        </w:rPr>
      </w:pPr>
    </w:p>
    <w:p w14:paraId="4303DABF" w14:textId="77777777" w:rsidR="00781B19" w:rsidRDefault="00781B19" w:rsidP="43DA80C8">
      <w:pPr>
        <w:spacing w:line="360" w:lineRule="auto"/>
        <w:rPr>
          <w:rFonts w:ascii="Arial" w:eastAsia="Arial" w:hAnsi="Arial" w:cs="Arial"/>
        </w:rPr>
      </w:pPr>
    </w:p>
    <w:p w14:paraId="3ED7ED70" w14:textId="77777777" w:rsidR="00781B19" w:rsidRDefault="00781B19" w:rsidP="43DA80C8">
      <w:pPr>
        <w:spacing w:line="360" w:lineRule="auto"/>
        <w:rPr>
          <w:rFonts w:ascii="Arial" w:eastAsia="Arial" w:hAnsi="Arial" w:cs="Arial"/>
        </w:rPr>
      </w:pPr>
    </w:p>
    <w:p w14:paraId="70281391" w14:textId="77777777" w:rsidR="00781B19" w:rsidRDefault="00781B19" w:rsidP="43DA80C8">
      <w:pPr>
        <w:spacing w:line="360" w:lineRule="auto"/>
        <w:rPr>
          <w:rFonts w:ascii="Arial" w:eastAsia="Arial" w:hAnsi="Arial" w:cs="Arial"/>
        </w:rPr>
      </w:pPr>
    </w:p>
    <w:p w14:paraId="6C6DF9F4" w14:textId="77777777" w:rsidR="00781B19" w:rsidRDefault="00781B19" w:rsidP="43DA80C8">
      <w:pPr>
        <w:spacing w:line="360" w:lineRule="auto"/>
        <w:rPr>
          <w:rFonts w:ascii="Arial" w:eastAsia="Arial" w:hAnsi="Arial" w:cs="Arial"/>
        </w:rPr>
      </w:pPr>
    </w:p>
    <w:p w14:paraId="714BE62E" w14:textId="77777777" w:rsidR="00781B19" w:rsidRDefault="00781B19" w:rsidP="43DA80C8">
      <w:pPr>
        <w:spacing w:line="360" w:lineRule="auto"/>
        <w:rPr>
          <w:rFonts w:ascii="Arial" w:eastAsia="Arial" w:hAnsi="Arial" w:cs="Arial"/>
        </w:rPr>
      </w:pPr>
    </w:p>
    <w:p w14:paraId="7DACE10F" w14:textId="77777777" w:rsidR="00781B19" w:rsidRDefault="00781B19" w:rsidP="43DA80C8">
      <w:pPr>
        <w:spacing w:line="360" w:lineRule="auto"/>
        <w:rPr>
          <w:rFonts w:ascii="Arial" w:eastAsia="Arial" w:hAnsi="Arial" w:cs="Arial"/>
        </w:rPr>
      </w:pPr>
    </w:p>
    <w:p w14:paraId="5E73A08D" w14:textId="77777777" w:rsidR="00781B19" w:rsidRDefault="00781B19" w:rsidP="43DA80C8">
      <w:pPr>
        <w:spacing w:line="360" w:lineRule="auto"/>
        <w:rPr>
          <w:rFonts w:ascii="Arial" w:eastAsia="Arial" w:hAnsi="Arial" w:cs="Arial"/>
        </w:rPr>
      </w:pPr>
    </w:p>
    <w:p w14:paraId="6B635A83" w14:textId="77777777" w:rsidR="00781B19" w:rsidRDefault="00781B19" w:rsidP="43DA80C8">
      <w:pPr>
        <w:spacing w:line="360" w:lineRule="auto"/>
        <w:rPr>
          <w:rFonts w:ascii="Arial" w:eastAsia="Arial" w:hAnsi="Arial" w:cs="Arial"/>
        </w:rPr>
      </w:pPr>
    </w:p>
    <w:p w14:paraId="5A63CA51" w14:textId="77777777" w:rsidR="00B45EEC" w:rsidRDefault="00B45EEC" w:rsidP="009D2039">
      <w:pPr>
        <w:pStyle w:val="Heading2"/>
        <w:rPr>
          <w:rFonts w:eastAsia="Arial"/>
          <w:sz w:val="36"/>
          <w:szCs w:val="36"/>
        </w:rPr>
      </w:pPr>
      <w:bookmarkStart w:id="0" w:name="_Toc130532981"/>
    </w:p>
    <w:p w14:paraId="7FD9FC92" w14:textId="77777777" w:rsidR="0093434D" w:rsidRDefault="0093434D" w:rsidP="0093434D"/>
    <w:p w14:paraId="75F97C45" w14:textId="77777777" w:rsidR="0093434D" w:rsidRDefault="0093434D" w:rsidP="0093434D"/>
    <w:p w14:paraId="19422A21" w14:textId="68BB56B0" w:rsidR="00FC13DB" w:rsidRPr="00B90A55" w:rsidRDefault="00FC13DB" w:rsidP="00B90A55">
      <w:pPr>
        <w:spacing w:line="360" w:lineRule="auto"/>
        <w:jc w:val="both"/>
        <w:rPr>
          <w:rFonts w:ascii="Arial" w:hAnsi="Arial" w:cs="Arial"/>
        </w:rPr>
      </w:pPr>
      <w:r w:rsidRPr="00B90A55">
        <w:rPr>
          <w:rFonts w:ascii="Arial" w:hAnsi="Arial" w:cs="Arial"/>
        </w:rPr>
        <w:t>Introduction</w:t>
      </w:r>
      <w:bookmarkEnd w:id="0"/>
    </w:p>
    <w:p w14:paraId="507EFE30" w14:textId="3CE5A98D" w:rsidR="00F73323" w:rsidRPr="00B90A55" w:rsidRDefault="19E0A29C" w:rsidP="00B90A55">
      <w:pPr>
        <w:spacing w:line="360" w:lineRule="auto"/>
        <w:jc w:val="both"/>
        <w:rPr>
          <w:rFonts w:ascii="Arial" w:eastAsia="Arial" w:hAnsi="Arial" w:cs="Arial"/>
        </w:rPr>
      </w:pPr>
      <w:r w:rsidRPr="34F444B5">
        <w:rPr>
          <w:rFonts w:ascii="Arial" w:eastAsia="Arial" w:hAnsi="Arial" w:cs="Arial"/>
        </w:rPr>
        <w:t xml:space="preserve">Coronavirus disease (COVID-19) is an infectious </w:t>
      </w:r>
      <w:r w:rsidR="1804A7B2" w:rsidRPr="34F444B5">
        <w:rPr>
          <w:rFonts w:ascii="Arial" w:eastAsia="Arial" w:hAnsi="Arial" w:cs="Arial"/>
        </w:rPr>
        <w:t>disease</w:t>
      </w:r>
      <w:r w:rsidRPr="34F444B5">
        <w:rPr>
          <w:rFonts w:ascii="Arial" w:eastAsia="Arial" w:hAnsi="Arial" w:cs="Arial"/>
        </w:rPr>
        <w:t xml:space="preserve"> brought on by the SARS-CoV-2 virus, or "severe acute respiratory syndrome coronavirus" </w:t>
      </w:r>
      <w:r w:rsidR="705C1710" w:rsidRPr="34F444B5">
        <w:rPr>
          <w:rFonts w:ascii="Arial" w:eastAsia="Arial" w:hAnsi="Arial" w:cs="Arial"/>
        </w:rPr>
        <w:t>(World Health Organization</w:t>
      </w:r>
      <w:r w:rsidRPr="34F444B5">
        <w:rPr>
          <w:rFonts w:ascii="Arial" w:eastAsia="Arial" w:hAnsi="Arial" w:cs="Arial"/>
        </w:rPr>
        <w:t>, 202</w:t>
      </w:r>
      <w:r w:rsidR="3A115AAB" w:rsidRPr="34F444B5">
        <w:rPr>
          <w:rFonts w:ascii="Arial" w:eastAsia="Arial" w:hAnsi="Arial" w:cs="Arial"/>
        </w:rPr>
        <w:t>3</w:t>
      </w:r>
      <w:r w:rsidRPr="34F444B5">
        <w:rPr>
          <w:rFonts w:ascii="Arial" w:eastAsia="Arial" w:hAnsi="Arial" w:cs="Arial"/>
        </w:rPr>
        <w:t xml:space="preserve">). They are called </w:t>
      </w:r>
      <w:r w:rsidRPr="34F444B5">
        <w:rPr>
          <w:rFonts w:ascii="Arial" w:eastAsia="Arial" w:hAnsi="Arial" w:cs="Arial"/>
          <w:b/>
          <w:bCs/>
        </w:rPr>
        <w:t>“</w:t>
      </w:r>
      <w:r w:rsidRPr="34F444B5">
        <w:rPr>
          <w:rFonts w:ascii="Arial" w:eastAsia="Arial" w:hAnsi="Arial" w:cs="Arial"/>
        </w:rPr>
        <w:t>corona</w:t>
      </w:r>
      <w:r w:rsidRPr="34F444B5">
        <w:rPr>
          <w:rFonts w:ascii="Arial" w:eastAsia="Arial" w:hAnsi="Arial" w:cs="Arial"/>
          <w:b/>
          <w:bCs/>
        </w:rPr>
        <w:t>”</w:t>
      </w:r>
      <w:r w:rsidRPr="34F444B5">
        <w:rPr>
          <w:rFonts w:ascii="Arial" w:eastAsia="Arial" w:hAnsi="Arial" w:cs="Arial"/>
        </w:rPr>
        <w:t xml:space="preserve"> because of the crown-like spikes on the surface of the virus. The new strain of coronavirus — SARS-CoV-2 — was first reported in </w:t>
      </w:r>
      <w:r w:rsidR="34ABF2EF" w:rsidRPr="34F444B5">
        <w:rPr>
          <w:rFonts w:ascii="Arial" w:eastAsia="Arial" w:hAnsi="Arial" w:cs="Arial"/>
        </w:rPr>
        <w:t>Wuhan, China</w:t>
      </w:r>
      <w:r w:rsidRPr="34F444B5">
        <w:rPr>
          <w:rFonts w:ascii="Arial" w:eastAsia="Arial" w:hAnsi="Arial" w:cs="Arial"/>
        </w:rPr>
        <w:t xml:space="preserve"> in December 2019</w:t>
      </w:r>
      <w:r w:rsidR="74265D4B" w:rsidRPr="34F444B5">
        <w:rPr>
          <w:rFonts w:ascii="Arial" w:eastAsia="Arial" w:hAnsi="Arial" w:cs="Arial"/>
        </w:rPr>
        <w:t xml:space="preserve">. </w:t>
      </w:r>
      <w:r w:rsidRPr="34F444B5">
        <w:rPr>
          <w:rFonts w:ascii="Arial" w:eastAsia="Arial" w:hAnsi="Arial" w:cs="Arial"/>
        </w:rPr>
        <w:t xml:space="preserve">It has since spread to every country around the world. </w:t>
      </w:r>
      <w:r w:rsidR="7B58A3D8" w:rsidRPr="34F444B5">
        <w:rPr>
          <w:rFonts w:ascii="Arial" w:eastAsia="Arial" w:hAnsi="Arial" w:cs="Arial"/>
        </w:rPr>
        <w:t xml:space="preserve"> (World Health Organization</w:t>
      </w:r>
      <w:r w:rsidRPr="34F444B5">
        <w:rPr>
          <w:rFonts w:ascii="Arial" w:eastAsia="Arial" w:hAnsi="Arial" w:cs="Arial"/>
        </w:rPr>
        <w:t>, 202</w:t>
      </w:r>
      <w:r w:rsidR="2B7C6B44" w:rsidRPr="34F444B5">
        <w:rPr>
          <w:rFonts w:ascii="Arial" w:eastAsia="Arial" w:hAnsi="Arial" w:cs="Arial"/>
        </w:rPr>
        <w:t>3</w:t>
      </w:r>
      <w:r w:rsidRPr="34F444B5">
        <w:rPr>
          <w:rFonts w:ascii="Arial" w:eastAsia="Arial" w:hAnsi="Arial" w:cs="Arial"/>
        </w:rPr>
        <w:t xml:space="preserve">). </w:t>
      </w:r>
      <w:r w:rsidR="034C48E4" w:rsidRPr="34F444B5">
        <w:rPr>
          <w:rFonts w:ascii="Arial" w:eastAsia="Arial" w:hAnsi="Arial" w:cs="Arial"/>
        </w:rPr>
        <w:t>When an infected person speaks, sneezes, sings, or coughs, the virus can spread</w:t>
      </w:r>
      <w:r w:rsidR="7E6D1C93" w:rsidRPr="34F444B5">
        <w:rPr>
          <w:rFonts w:ascii="Arial" w:eastAsia="Arial" w:hAnsi="Arial" w:cs="Arial"/>
        </w:rPr>
        <w:t xml:space="preserve">. </w:t>
      </w:r>
      <w:r w:rsidR="22055BFD" w:rsidRPr="34F444B5">
        <w:rPr>
          <w:rFonts w:ascii="Arial" w:eastAsia="Arial" w:hAnsi="Arial" w:cs="Arial"/>
        </w:rPr>
        <w:t>By using metric, experts from the Lancet research journal hypothesise that Covid may have caused the deaths of more than 18 million individuals by the end of 202</w:t>
      </w:r>
      <w:r w:rsidR="34ABF2EF" w:rsidRPr="34F444B5">
        <w:rPr>
          <w:rFonts w:ascii="Arial" w:eastAsia="Arial" w:hAnsi="Arial" w:cs="Arial"/>
        </w:rPr>
        <w:t xml:space="preserve">1(Wang et al.,2022). </w:t>
      </w:r>
      <w:r w:rsidR="14BE24B7" w:rsidRPr="34F444B5">
        <w:rPr>
          <w:rFonts w:ascii="Arial" w:eastAsia="Arial" w:hAnsi="Arial" w:cs="Arial"/>
        </w:rPr>
        <w:t xml:space="preserve">They state that it </w:t>
      </w:r>
      <w:r w:rsidR="22055BFD" w:rsidRPr="34F444B5">
        <w:rPr>
          <w:rFonts w:ascii="Arial" w:eastAsia="Arial" w:hAnsi="Arial" w:cs="Arial"/>
        </w:rPr>
        <w:t>is three times greater than the amount of official disease-related deaths</w:t>
      </w:r>
      <w:r w:rsidR="57DAF632" w:rsidRPr="34F444B5">
        <w:rPr>
          <w:rFonts w:ascii="Arial" w:eastAsia="Arial" w:hAnsi="Arial" w:cs="Arial"/>
        </w:rPr>
        <w:t xml:space="preserve">. The aim of this report is to explore method and systems for measuring </w:t>
      </w:r>
      <w:r w:rsidR="43E15892" w:rsidRPr="34F444B5">
        <w:rPr>
          <w:rFonts w:ascii="Arial" w:eastAsia="Arial" w:hAnsi="Arial" w:cs="Arial"/>
        </w:rPr>
        <w:t xml:space="preserve">Covid19, as well as developing an awareness of the </w:t>
      </w:r>
      <w:r w:rsidR="1C37EFC5" w:rsidRPr="34F444B5">
        <w:rPr>
          <w:rFonts w:ascii="Arial" w:eastAsia="Arial" w:hAnsi="Arial" w:cs="Arial"/>
        </w:rPr>
        <w:t>factors that affect the health and well-being of individuals affected by Covid19</w:t>
      </w:r>
      <w:r w:rsidR="3A92B93A" w:rsidRPr="34F444B5">
        <w:rPr>
          <w:rFonts w:ascii="Arial" w:eastAsia="Arial" w:hAnsi="Arial" w:cs="Arial"/>
        </w:rPr>
        <w:t>.</w:t>
      </w:r>
    </w:p>
    <w:p w14:paraId="2218B0BD" w14:textId="325C7CCC" w:rsidR="00F73323" w:rsidRPr="00B90A55" w:rsidRDefault="7B9CA3AF" w:rsidP="00B90A55">
      <w:pPr>
        <w:spacing w:line="360" w:lineRule="auto"/>
        <w:jc w:val="both"/>
        <w:rPr>
          <w:rFonts w:ascii="Arial" w:eastAsia="Arial" w:hAnsi="Arial" w:cs="Arial"/>
          <w:color w:val="212121"/>
        </w:rPr>
      </w:pPr>
      <w:r w:rsidRPr="00B90A55">
        <w:rPr>
          <w:rFonts w:ascii="Arial" w:eastAsia="Arial" w:hAnsi="Arial" w:cs="Arial"/>
        </w:rPr>
        <w:t xml:space="preserve">All planned activities (public or private) that aim to keep people healthy, prevent illness, and extend their lives are referred to as public </w:t>
      </w:r>
      <w:r w:rsidR="4CB916F0" w:rsidRPr="00B90A55">
        <w:rPr>
          <w:rFonts w:ascii="Arial" w:eastAsia="Arial" w:hAnsi="Arial" w:cs="Arial"/>
        </w:rPr>
        <w:t>health (</w:t>
      </w:r>
      <w:r w:rsidRPr="00B90A55">
        <w:rPr>
          <w:rFonts w:ascii="Arial" w:eastAsia="Arial" w:hAnsi="Arial" w:cs="Arial"/>
        </w:rPr>
        <w:t>WHO</w:t>
      </w:r>
      <w:r w:rsidR="1955CE6B" w:rsidRPr="00B90A55">
        <w:rPr>
          <w:rFonts w:ascii="Arial" w:eastAsia="Arial" w:hAnsi="Arial" w:cs="Arial"/>
        </w:rPr>
        <w:t>,2023</w:t>
      </w:r>
      <w:r w:rsidRPr="00B90A55">
        <w:rPr>
          <w:rFonts w:ascii="Arial" w:eastAsia="Arial" w:hAnsi="Arial" w:cs="Arial"/>
        </w:rPr>
        <w:t>). Public health aids people, communities, and society in combating preventable disease, death, and disability via prevention, protection, and promotion</w:t>
      </w:r>
      <w:r w:rsidR="516BAFAC" w:rsidRPr="00B90A55">
        <w:rPr>
          <w:rFonts w:ascii="Arial" w:eastAsia="Arial" w:hAnsi="Arial" w:cs="Arial"/>
        </w:rPr>
        <w:t>,</w:t>
      </w:r>
      <w:r w:rsidRPr="00B90A55">
        <w:rPr>
          <w:rFonts w:ascii="Arial" w:eastAsia="Arial" w:hAnsi="Arial" w:cs="Arial"/>
        </w:rPr>
        <w:t xml:space="preserve"> </w:t>
      </w:r>
      <w:r w:rsidR="71925F71" w:rsidRPr="00B90A55">
        <w:rPr>
          <w:rFonts w:ascii="Arial" w:eastAsia="Arial" w:hAnsi="Arial" w:cs="Arial"/>
        </w:rPr>
        <w:t>immunization. The</w:t>
      </w:r>
      <w:r w:rsidRPr="00B90A55">
        <w:rPr>
          <w:rFonts w:ascii="Arial" w:eastAsia="Arial" w:hAnsi="Arial" w:cs="Arial"/>
        </w:rPr>
        <w:t xml:space="preserve"> use of antibiotics, maintaining good hygiene, avoiding </w:t>
      </w:r>
      <w:r w:rsidR="514A38E9" w:rsidRPr="00B90A55">
        <w:rPr>
          <w:rFonts w:ascii="Arial" w:eastAsia="Arial" w:hAnsi="Arial" w:cs="Arial"/>
        </w:rPr>
        <w:t>travel,</w:t>
      </w:r>
      <w:r w:rsidRPr="00B90A55">
        <w:rPr>
          <w:rFonts w:ascii="Arial" w:eastAsia="Arial" w:hAnsi="Arial" w:cs="Arial"/>
        </w:rPr>
        <w:t xml:space="preserve"> or reporting to work while ill, and not sharing used personal items like a razor, glass, toothbrush, or comb are all recommended</w:t>
      </w:r>
      <w:r w:rsidR="4E3E2ECA" w:rsidRPr="00B90A55">
        <w:rPr>
          <w:rFonts w:ascii="Arial" w:eastAsia="Arial" w:hAnsi="Arial" w:cs="Arial"/>
        </w:rPr>
        <w:t>.</w:t>
      </w:r>
      <w:r w:rsidR="4E3E2ECA" w:rsidRPr="00B90A55">
        <w:rPr>
          <w:rFonts w:ascii="Arial" w:eastAsia="Arial" w:hAnsi="Arial" w:cs="Arial"/>
          <w:color w:val="000000" w:themeColor="text1"/>
        </w:rPr>
        <w:t xml:space="preserve"> </w:t>
      </w:r>
      <w:r w:rsidR="692817A7" w:rsidRPr="00B90A55">
        <w:rPr>
          <w:rFonts w:ascii="Arial" w:eastAsia="Arial" w:hAnsi="Arial" w:cs="Arial"/>
          <w:color w:val="000000" w:themeColor="text1"/>
        </w:rPr>
        <w:t>Public Health England</w:t>
      </w:r>
      <w:r w:rsidR="4DB132E0" w:rsidRPr="00B90A55">
        <w:rPr>
          <w:rFonts w:ascii="Arial" w:eastAsia="Arial" w:hAnsi="Arial" w:cs="Arial"/>
          <w:color w:val="000000" w:themeColor="text1"/>
        </w:rPr>
        <w:t xml:space="preserve"> uses</w:t>
      </w:r>
      <w:r w:rsidR="4C7A5E7B" w:rsidRPr="00B90A55">
        <w:rPr>
          <w:rFonts w:ascii="Arial" w:eastAsia="Arial" w:hAnsi="Arial" w:cs="Arial"/>
          <w:color w:val="000000" w:themeColor="text1"/>
        </w:rPr>
        <w:t xml:space="preserve"> </w:t>
      </w:r>
      <w:r w:rsidR="0619FB15" w:rsidRPr="00B90A55">
        <w:rPr>
          <w:rFonts w:ascii="Arial" w:eastAsia="Arial" w:hAnsi="Arial" w:cs="Arial"/>
          <w:color w:val="000000" w:themeColor="text1"/>
        </w:rPr>
        <w:t>active surve</w:t>
      </w:r>
      <w:r w:rsidR="59E31147" w:rsidRPr="00B90A55">
        <w:rPr>
          <w:rFonts w:ascii="Arial" w:eastAsia="Arial" w:hAnsi="Arial" w:cs="Arial"/>
          <w:color w:val="000000" w:themeColor="text1"/>
        </w:rPr>
        <w:t>illance</w:t>
      </w:r>
      <w:r w:rsidR="68861700" w:rsidRPr="00B90A55">
        <w:rPr>
          <w:rFonts w:ascii="Arial" w:eastAsia="Arial" w:hAnsi="Arial" w:cs="Arial"/>
          <w:color w:val="000000" w:themeColor="text1"/>
        </w:rPr>
        <w:t xml:space="preserve">, </w:t>
      </w:r>
      <w:r w:rsidR="4C7A5E7B" w:rsidRPr="00B90A55">
        <w:rPr>
          <w:rFonts w:ascii="Arial" w:eastAsia="Arial" w:hAnsi="Arial" w:cs="Arial"/>
          <w:color w:val="000000" w:themeColor="text1"/>
        </w:rPr>
        <w:t xml:space="preserve">prevalence, vaccine effectiveness incidence, mortality, and </w:t>
      </w:r>
      <w:r w:rsidR="24E8045D" w:rsidRPr="00B90A55">
        <w:rPr>
          <w:rFonts w:ascii="Arial" w:eastAsia="Arial" w:hAnsi="Arial" w:cs="Arial"/>
          <w:color w:val="000000" w:themeColor="text1"/>
        </w:rPr>
        <w:t xml:space="preserve">morbidity rate </w:t>
      </w:r>
      <w:r w:rsidR="28815066" w:rsidRPr="00B90A55">
        <w:rPr>
          <w:rFonts w:ascii="Arial" w:eastAsia="Arial" w:hAnsi="Arial" w:cs="Arial"/>
          <w:color w:val="000000" w:themeColor="text1"/>
        </w:rPr>
        <w:t>to measure Covid 19.</w:t>
      </w:r>
      <w:r w:rsidR="4C7A5E7B" w:rsidRPr="00B90A55">
        <w:rPr>
          <w:rFonts w:ascii="Arial" w:eastAsia="Arial" w:hAnsi="Arial" w:cs="Arial"/>
          <w:color w:val="000000" w:themeColor="text1"/>
        </w:rPr>
        <w:t xml:space="preserve"> Prevalence </w:t>
      </w:r>
      <w:r w:rsidR="281A863A" w:rsidRPr="00B90A55">
        <w:rPr>
          <w:rFonts w:ascii="Arial" w:eastAsia="Arial" w:hAnsi="Arial" w:cs="Arial"/>
          <w:color w:val="000000" w:themeColor="text1"/>
        </w:rPr>
        <w:t>i</w:t>
      </w:r>
      <w:r w:rsidR="459DDF96" w:rsidRPr="00B90A55">
        <w:rPr>
          <w:rFonts w:ascii="Arial" w:eastAsia="Arial" w:hAnsi="Arial" w:cs="Arial"/>
          <w:color w:val="000000" w:themeColor="text1"/>
          <w:shd w:val="clear" w:color="auto" w:fill="FFFFFF"/>
        </w:rPr>
        <w:t>s the proportion of a population</w:t>
      </w:r>
      <w:r w:rsidR="6A914C40" w:rsidRPr="00B90A55">
        <w:rPr>
          <w:rFonts w:ascii="Arial" w:eastAsia="Arial" w:hAnsi="Arial" w:cs="Arial"/>
          <w:color w:val="000000" w:themeColor="text1"/>
          <w:shd w:val="clear" w:color="auto" w:fill="FFFFFF"/>
        </w:rPr>
        <w:t xml:space="preserve"> </w:t>
      </w:r>
      <w:r w:rsidR="459DDF96" w:rsidRPr="00B90A55">
        <w:rPr>
          <w:rFonts w:ascii="Arial" w:eastAsia="Arial" w:hAnsi="Arial" w:cs="Arial"/>
          <w:color w:val="000000" w:themeColor="text1"/>
          <w:shd w:val="clear" w:color="auto" w:fill="FFFFFF"/>
        </w:rPr>
        <w:t xml:space="preserve">who have a specific </w:t>
      </w:r>
      <w:r w:rsidR="6A914C40" w:rsidRPr="00B90A55">
        <w:rPr>
          <w:rFonts w:ascii="Arial" w:eastAsia="Arial" w:hAnsi="Arial" w:cs="Arial"/>
          <w:color w:val="000000" w:themeColor="text1"/>
          <w:shd w:val="clear" w:color="auto" w:fill="FFFFFF"/>
        </w:rPr>
        <w:t xml:space="preserve">characteristic in each </w:t>
      </w:r>
      <w:r w:rsidR="318A6F5C" w:rsidRPr="00B90A55">
        <w:rPr>
          <w:rFonts w:ascii="Arial" w:eastAsia="Arial" w:hAnsi="Arial" w:cs="Arial"/>
          <w:color w:val="000000" w:themeColor="text1"/>
          <w:shd w:val="clear" w:color="auto" w:fill="FFFFFF"/>
        </w:rPr>
        <w:t>period</w:t>
      </w:r>
      <w:r w:rsidR="4DD5D65C" w:rsidRPr="00B90A55">
        <w:rPr>
          <w:rFonts w:ascii="Arial" w:eastAsia="Arial" w:hAnsi="Arial" w:cs="Arial"/>
        </w:rPr>
        <w:t>.</w:t>
      </w:r>
      <w:r w:rsidR="693B404C" w:rsidRPr="00B90A55">
        <w:rPr>
          <w:rFonts w:ascii="Arial" w:eastAsia="Arial" w:hAnsi="Arial" w:cs="Arial"/>
        </w:rPr>
        <w:t xml:space="preserve"> According</w:t>
      </w:r>
      <w:r w:rsidR="5D8615EE" w:rsidRPr="00B90A55">
        <w:rPr>
          <w:rFonts w:ascii="Arial" w:eastAsia="Arial" w:hAnsi="Arial" w:cs="Arial"/>
        </w:rPr>
        <w:t xml:space="preserve"> to Office for National </w:t>
      </w:r>
      <w:r w:rsidR="792F96AF" w:rsidRPr="00B90A55">
        <w:rPr>
          <w:rFonts w:ascii="Arial" w:eastAsia="Arial" w:hAnsi="Arial" w:cs="Arial"/>
        </w:rPr>
        <w:t>statistics (2023)</w:t>
      </w:r>
      <w:r w:rsidR="5D8615EE" w:rsidRPr="00B90A55">
        <w:rPr>
          <w:rFonts w:ascii="Arial" w:eastAsia="Arial" w:hAnsi="Arial" w:cs="Arial"/>
        </w:rPr>
        <w:t xml:space="preserve"> vaccinati</w:t>
      </w:r>
      <w:r w:rsidR="5C53001D" w:rsidRPr="00B90A55">
        <w:rPr>
          <w:rFonts w:ascii="Arial" w:eastAsia="Arial" w:hAnsi="Arial" w:cs="Arial"/>
        </w:rPr>
        <w:t xml:space="preserve">on efficacy against hospitalisation for covid19 was </w:t>
      </w:r>
      <w:r w:rsidR="5325971C" w:rsidRPr="00B90A55">
        <w:rPr>
          <w:rFonts w:ascii="Arial" w:eastAsia="Arial" w:hAnsi="Arial" w:cs="Arial"/>
        </w:rPr>
        <w:t>52.2% for the first dose</w:t>
      </w:r>
      <w:r w:rsidR="35829A39" w:rsidRPr="00B90A55">
        <w:rPr>
          <w:rFonts w:ascii="Arial" w:eastAsia="Arial" w:hAnsi="Arial" w:cs="Arial"/>
        </w:rPr>
        <w:t>,</w:t>
      </w:r>
      <w:r w:rsidR="5325971C" w:rsidRPr="00B90A55">
        <w:rPr>
          <w:rFonts w:ascii="Arial" w:eastAsia="Arial" w:hAnsi="Arial" w:cs="Arial"/>
        </w:rPr>
        <w:t xml:space="preserve"> 77.6% for the second</w:t>
      </w:r>
      <w:r w:rsidR="6A914C40" w:rsidRPr="00B90A55">
        <w:rPr>
          <w:rFonts w:ascii="Arial" w:eastAsia="Arial" w:hAnsi="Arial" w:cs="Arial"/>
        </w:rPr>
        <w:t xml:space="preserve"> </w:t>
      </w:r>
      <w:r w:rsidR="7E2D48F3" w:rsidRPr="00B90A55">
        <w:rPr>
          <w:rFonts w:ascii="Arial" w:eastAsia="Arial" w:hAnsi="Arial" w:cs="Arial"/>
        </w:rPr>
        <w:t>and 77.3 to 78% for a third dose or buster</w:t>
      </w:r>
      <w:r w:rsidR="768B6033" w:rsidRPr="00B90A55">
        <w:rPr>
          <w:rFonts w:ascii="Arial" w:eastAsia="Arial" w:hAnsi="Arial" w:cs="Arial"/>
        </w:rPr>
        <w:t>.</w:t>
      </w:r>
      <w:r w:rsidR="281A863A" w:rsidRPr="00B90A55">
        <w:rPr>
          <w:rFonts w:ascii="Arial" w:eastAsia="Arial" w:hAnsi="Arial" w:cs="Arial"/>
        </w:rPr>
        <w:t xml:space="preserve"> </w:t>
      </w:r>
    </w:p>
    <w:p w14:paraId="140D750E" w14:textId="2402C1F4" w:rsidR="00F73323" w:rsidRPr="00B90A55" w:rsidRDefault="163152D6" w:rsidP="00B90A55">
      <w:pPr>
        <w:spacing w:line="360" w:lineRule="auto"/>
        <w:jc w:val="both"/>
        <w:rPr>
          <w:rFonts w:ascii="Arial" w:eastAsia="Arial" w:hAnsi="Arial" w:cs="Arial"/>
        </w:rPr>
      </w:pPr>
      <w:r w:rsidRPr="00B90A55">
        <w:rPr>
          <w:rFonts w:ascii="Arial" w:eastAsia="Arial" w:hAnsi="Arial" w:cs="Arial"/>
        </w:rPr>
        <w:t>The 3Ps approach is used by public health professionals to successfully combat infectious diseases and stop their propagation (Nathwani &amp; Rahman, 2021). The three pillars of this strategy—Prevention, Promotion, and Protection—include numerous tactics designed to lessen the effects of illnesses on people and society. We shall examine the 3Ps' potential for reducing and containing disease spread in this section.</w:t>
      </w:r>
    </w:p>
    <w:p w14:paraId="79C11078" w14:textId="7E470AAA" w:rsidR="00F73323" w:rsidRPr="00B90A55" w:rsidRDefault="2A7F985D" w:rsidP="00B90A55">
      <w:pPr>
        <w:spacing w:line="360" w:lineRule="auto"/>
        <w:jc w:val="both"/>
        <w:rPr>
          <w:rFonts w:ascii="Arial" w:eastAsia="Arial" w:hAnsi="Arial" w:cs="Arial"/>
        </w:rPr>
      </w:pPr>
      <w:r w:rsidRPr="34F444B5">
        <w:rPr>
          <w:rFonts w:ascii="Arial" w:eastAsia="Arial" w:hAnsi="Arial" w:cs="Arial"/>
        </w:rPr>
        <w:t xml:space="preserve">  Firstly, prevention, the World Health Organization advises the </w:t>
      </w:r>
      <w:r w:rsidR="76503F5F" w:rsidRPr="34F444B5">
        <w:rPr>
          <w:rFonts w:ascii="Arial" w:eastAsia="Arial" w:hAnsi="Arial" w:cs="Arial"/>
        </w:rPr>
        <w:t>public</w:t>
      </w:r>
      <w:r w:rsidRPr="34F444B5">
        <w:rPr>
          <w:rFonts w:ascii="Arial" w:eastAsia="Arial" w:hAnsi="Arial" w:cs="Arial"/>
        </w:rPr>
        <w:t xml:space="preserve"> and healthcare professionals to emphasise cleaning, disinfection, and ventilation in prevent and to stop the spread of COVID-19 (</w:t>
      </w:r>
      <w:bookmarkStart w:id="1" w:name="_Int_ZuIV7MOI"/>
      <w:r w:rsidR="6467178F" w:rsidRPr="34F444B5">
        <w:rPr>
          <w:rFonts w:ascii="Arial" w:eastAsia="Arial" w:hAnsi="Arial" w:cs="Arial"/>
        </w:rPr>
        <w:t>WHO</w:t>
      </w:r>
      <w:r w:rsidR="7F01A2C1" w:rsidRPr="34F444B5">
        <w:rPr>
          <w:rFonts w:ascii="Arial" w:eastAsia="Arial" w:hAnsi="Arial" w:cs="Arial"/>
        </w:rPr>
        <w:t>,</w:t>
      </w:r>
      <w:bookmarkEnd w:id="1"/>
      <w:r w:rsidR="6467178F" w:rsidRPr="34F444B5">
        <w:rPr>
          <w:rFonts w:ascii="Arial" w:eastAsia="Arial" w:hAnsi="Arial" w:cs="Arial"/>
        </w:rPr>
        <w:t xml:space="preserve"> 2021</w:t>
      </w:r>
      <w:r w:rsidR="3345AD44" w:rsidRPr="34F444B5">
        <w:rPr>
          <w:rFonts w:ascii="Arial" w:eastAsia="Arial" w:hAnsi="Arial" w:cs="Arial"/>
        </w:rPr>
        <w:t>).</w:t>
      </w:r>
      <w:r w:rsidR="0DF0B796" w:rsidRPr="34F444B5">
        <w:rPr>
          <w:rFonts w:ascii="Arial" w:eastAsia="Arial" w:hAnsi="Arial" w:cs="Arial"/>
        </w:rPr>
        <w:t xml:space="preserve"> This has been implemented in hospitals, </w:t>
      </w:r>
      <w:r w:rsidR="27F32CB7" w:rsidRPr="34F444B5">
        <w:rPr>
          <w:rFonts w:ascii="Arial" w:eastAsia="Arial" w:hAnsi="Arial" w:cs="Arial"/>
        </w:rPr>
        <w:t>workplaces,</w:t>
      </w:r>
      <w:r w:rsidR="0DF0B796" w:rsidRPr="34F444B5">
        <w:rPr>
          <w:rFonts w:ascii="Arial" w:eastAsia="Arial" w:hAnsi="Arial" w:cs="Arial"/>
        </w:rPr>
        <w:t xml:space="preserve"> and schools on ways to prevent Covid-19 from spreading. It has been proven to have </w:t>
      </w:r>
      <w:r w:rsidR="720F2C3B" w:rsidRPr="34F444B5">
        <w:rPr>
          <w:rFonts w:ascii="Arial" w:eastAsia="Arial" w:hAnsi="Arial" w:cs="Arial"/>
        </w:rPr>
        <w:t>decreased</w:t>
      </w:r>
      <w:r w:rsidR="0DF0B796" w:rsidRPr="34F444B5">
        <w:rPr>
          <w:rFonts w:ascii="Arial" w:eastAsia="Arial" w:hAnsi="Arial" w:cs="Arial"/>
        </w:rPr>
        <w:t xml:space="preserve"> the spread of the disease.</w:t>
      </w:r>
      <w:r w:rsidR="6F727EBD" w:rsidRPr="34F444B5">
        <w:rPr>
          <w:rFonts w:ascii="Arial" w:eastAsia="Arial" w:hAnsi="Arial" w:cs="Arial"/>
        </w:rPr>
        <w:t xml:space="preserve"> </w:t>
      </w:r>
      <w:r w:rsidRPr="34F444B5">
        <w:rPr>
          <w:rFonts w:ascii="Arial" w:eastAsia="Arial" w:hAnsi="Arial" w:cs="Arial"/>
        </w:rPr>
        <w:t>The safe implementation of these three elements is backed by recommendations and guidelines such as hand hygiene, cleaning surfaces etc, and how to safely implement them.</w:t>
      </w:r>
    </w:p>
    <w:p w14:paraId="7251EC83" w14:textId="12B0E93F" w:rsidR="00F73323" w:rsidRPr="00B90A55" w:rsidRDefault="163152D6" w:rsidP="00B90A55">
      <w:pPr>
        <w:spacing w:line="360" w:lineRule="auto"/>
        <w:jc w:val="both"/>
        <w:rPr>
          <w:rFonts w:ascii="Arial" w:eastAsia="Arial" w:hAnsi="Arial" w:cs="Arial"/>
        </w:rPr>
      </w:pPr>
      <w:r w:rsidRPr="00B90A55">
        <w:rPr>
          <w:rFonts w:ascii="Arial" w:eastAsia="Arial" w:hAnsi="Arial" w:cs="Arial"/>
        </w:rPr>
        <w:t xml:space="preserve"> </w:t>
      </w:r>
    </w:p>
    <w:p w14:paraId="4FDC7BFB" w14:textId="3E25E650" w:rsidR="00F73323" w:rsidRPr="00B90A55" w:rsidRDefault="163152D6" w:rsidP="00B90A55">
      <w:pPr>
        <w:spacing w:line="360" w:lineRule="auto"/>
        <w:jc w:val="both"/>
        <w:rPr>
          <w:rFonts w:ascii="Arial" w:eastAsia="Arial" w:hAnsi="Arial" w:cs="Arial"/>
        </w:rPr>
      </w:pPr>
      <w:r w:rsidRPr="00B90A55">
        <w:rPr>
          <w:rFonts w:ascii="Arial" w:eastAsia="Arial" w:hAnsi="Arial" w:cs="Arial"/>
        </w:rPr>
        <w:t>Secondly, promotion, the practise of empowering people to exercise control over the factors affecting their health and subsequently enhance it is known as health promotion (</w:t>
      </w:r>
      <w:r w:rsidR="00956CF5" w:rsidRPr="00B90A55">
        <w:rPr>
          <w:rFonts w:ascii="Arial" w:eastAsia="Arial" w:hAnsi="Arial" w:cs="Arial"/>
        </w:rPr>
        <w:t>WHO</w:t>
      </w:r>
      <w:r w:rsidR="00371C10" w:rsidRPr="00B90A55">
        <w:rPr>
          <w:rFonts w:ascii="Arial" w:eastAsia="Arial" w:hAnsi="Arial" w:cs="Arial"/>
        </w:rPr>
        <w:t>,</w:t>
      </w:r>
      <w:r w:rsidRPr="00B90A55">
        <w:rPr>
          <w:rFonts w:ascii="Arial" w:eastAsia="Arial" w:hAnsi="Arial" w:cs="Arial"/>
        </w:rPr>
        <w:t xml:space="preserve"> 2022). This is done by advising the public on ways to promote their health through the pandemic, creating advert on awareness, washing hands, distancing to prevent catching the disease and to exercise.</w:t>
      </w:r>
      <w:r w:rsidR="3BF90826" w:rsidRPr="00B90A55">
        <w:rPr>
          <w:rFonts w:ascii="Arial" w:eastAsia="Arial" w:hAnsi="Arial" w:cs="Arial"/>
        </w:rPr>
        <w:t xml:space="preserve"> This way it allows people to be aware about the disease and help in stopping the spread of the disease.</w:t>
      </w:r>
      <w:r w:rsidRPr="00B90A55">
        <w:rPr>
          <w:rFonts w:ascii="Arial" w:eastAsia="Arial" w:hAnsi="Arial" w:cs="Arial"/>
        </w:rPr>
        <w:t xml:space="preserve"> </w:t>
      </w:r>
    </w:p>
    <w:p w14:paraId="72DD0786" w14:textId="49A2881A" w:rsidR="00F73323" w:rsidRPr="00B90A55" w:rsidRDefault="163152D6" w:rsidP="00B90A55">
      <w:pPr>
        <w:spacing w:line="360" w:lineRule="auto"/>
        <w:jc w:val="both"/>
        <w:rPr>
          <w:rFonts w:ascii="Arial" w:eastAsia="Arial" w:hAnsi="Arial" w:cs="Arial"/>
        </w:rPr>
      </w:pPr>
      <w:r w:rsidRPr="00B90A55">
        <w:rPr>
          <w:rFonts w:ascii="Arial" w:eastAsia="Arial" w:hAnsi="Arial" w:cs="Arial"/>
        </w:rPr>
        <w:t xml:space="preserve"> </w:t>
      </w:r>
    </w:p>
    <w:p w14:paraId="2DB9F16A" w14:textId="226FDA1B" w:rsidR="00F73323" w:rsidRPr="00B90A55" w:rsidRDefault="163152D6" w:rsidP="00B90A55">
      <w:pPr>
        <w:spacing w:line="360" w:lineRule="auto"/>
        <w:jc w:val="both"/>
        <w:rPr>
          <w:rFonts w:ascii="Arial" w:eastAsia="Arial" w:hAnsi="Arial" w:cs="Arial"/>
        </w:rPr>
      </w:pPr>
      <w:r w:rsidRPr="00B90A55">
        <w:rPr>
          <w:rFonts w:ascii="Arial" w:eastAsia="Arial" w:hAnsi="Arial" w:cs="Arial"/>
        </w:rPr>
        <w:t>Lastly, Protection measures are done to protect people and populations from the harmful impacts of diseases and other health risks. One way the government implemented protection to reduce Covid-19 is by Clinicians, health care workers, nurses and surgical assistants undertaking hand hygiene using the surgical hand antisepsis approach and chlorhexidine gluconate scrub in accordance with Public Health England Guideline 12 (Nathwani &amp; Rahman, 2021</w:t>
      </w:r>
      <w:r w:rsidR="46D83BAA" w:rsidRPr="00B90A55">
        <w:rPr>
          <w:rFonts w:ascii="Arial" w:eastAsia="Arial" w:hAnsi="Arial" w:cs="Arial"/>
        </w:rPr>
        <w:t>). This</w:t>
      </w:r>
      <w:r w:rsidRPr="00B90A55">
        <w:rPr>
          <w:rFonts w:ascii="Arial" w:eastAsia="Arial" w:hAnsi="Arial" w:cs="Arial"/>
        </w:rPr>
        <w:t xml:space="preserve"> is done to prevent professionals from getting infected.</w:t>
      </w:r>
    </w:p>
    <w:p w14:paraId="75615555" w14:textId="3218279D" w:rsidR="00F73323" w:rsidRPr="00B90A55" w:rsidRDefault="43746CD4" w:rsidP="00B90A55">
      <w:pPr>
        <w:spacing w:line="360" w:lineRule="auto"/>
        <w:jc w:val="both"/>
        <w:rPr>
          <w:rFonts w:ascii="Arial" w:eastAsia="Arial" w:hAnsi="Arial" w:cs="Arial"/>
        </w:rPr>
      </w:pPr>
      <w:r w:rsidRPr="00B90A55">
        <w:rPr>
          <w:rFonts w:ascii="Arial" w:eastAsia="Arial" w:hAnsi="Arial" w:cs="Arial"/>
        </w:rPr>
        <w:t>According to the World Health Organization (2021), some socioeconomic determinants of covid -19 include poverty and deprivation-related fatalities, forced mobility of low-paid and precarious employees, crowded housing, inadequate workplace safety for vital workers, a lack of social security, inaccessible public health information and stigmatising views, and uneven accessing to affordable medical services such as prevention, treatment, and immunisation</w:t>
      </w:r>
      <w:r w:rsidR="68535EDD" w:rsidRPr="00B90A55">
        <w:rPr>
          <w:rFonts w:ascii="Arial" w:eastAsia="Arial" w:hAnsi="Arial" w:cs="Arial"/>
        </w:rPr>
        <w:t xml:space="preserve"> Professionals in social services, emergency response, health care, and elderly care face the largest occupational risk of covid 19 (Marinaccio Guerra and Iavicoli, 2020). Diabetes is another risk factor connected with covid 19. </w:t>
      </w:r>
      <w:r w:rsidR="01E3A90D" w:rsidRPr="00B90A55">
        <w:rPr>
          <w:rFonts w:ascii="Arial" w:eastAsia="Arial" w:hAnsi="Arial" w:cs="Arial"/>
        </w:rPr>
        <w:t xml:space="preserve">low immunity, high blood pressure. </w:t>
      </w:r>
      <w:r w:rsidR="68535EDD" w:rsidRPr="00B90A55">
        <w:rPr>
          <w:rFonts w:ascii="Arial" w:eastAsia="Arial" w:hAnsi="Arial" w:cs="Arial"/>
        </w:rPr>
        <w:t xml:space="preserve">Researchers discovered that </w:t>
      </w:r>
      <w:r w:rsidR="46EF24A2" w:rsidRPr="00B90A55">
        <w:rPr>
          <w:rFonts w:ascii="Arial" w:eastAsia="Arial" w:hAnsi="Arial" w:cs="Arial"/>
        </w:rPr>
        <w:t>this factor increases</w:t>
      </w:r>
      <w:r w:rsidR="68535EDD" w:rsidRPr="00B90A55">
        <w:rPr>
          <w:rFonts w:ascii="Arial" w:eastAsia="Arial" w:hAnsi="Arial" w:cs="Arial"/>
        </w:rPr>
        <w:t xml:space="preserve"> the incidence of COVID-19, according to </w:t>
      </w:r>
      <w:r w:rsidR="1E39B78F" w:rsidRPr="00B90A55">
        <w:rPr>
          <w:rFonts w:ascii="Arial" w:eastAsia="Arial" w:hAnsi="Arial" w:cs="Arial"/>
        </w:rPr>
        <w:t>Chen et al.</w:t>
      </w:r>
      <w:r w:rsidR="68535EDD" w:rsidRPr="00B90A55">
        <w:rPr>
          <w:rFonts w:ascii="Arial" w:eastAsia="Arial" w:hAnsi="Arial" w:cs="Arial"/>
        </w:rPr>
        <w:t xml:space="preserve"> (2020). Diabetes patients have a lower response to therapy and a higher chance of mortality. (J. Rashidi et al., 2020).</w:t>
      </w:r>
      <w:r w:rsidRPr="00B90A55">
        <w:rPr>
          <w:rFonts w:ascii="Arial" w:eastAsia="Arial" w:hAnsi="Arial" w:cs="Arial"/>
        </w:rPr>
        <w:t xml:space="preserve"> </w:t>
      </w:r>
      <w:r w:rsidR="75BD9E75" w:rsidRPr="00B90A55">
        <w:rPr>
          <w:rFonts w:ascii="Arial" w:eastAsia="Arial" w:hAnsi="Arial" w:cs="Arial"/>
        </w:rPr>
        <w:t xml:space="preserve">Individuals at higher risk for COVID-19 are those with medical disorders like down syndrome; certain cancer types (such as a blood cancer like leukaemia or lymphoma); many blood-related disorders, including sickle cell disease; </w:t>
      </w:r>
      <w:r w:rsidR="00A84F4C" w:rsidRPr="00B90A55">
        <w:rPr>
          <w:rFonts w:ascii="Arial" w:eastAsia="Arial" w:hAnsi="Arial" w:cs="Arial"/>
        </w:rPr>
        <w:t xml:space="preserve">obesity, type 2 diabetes, </w:t>
      </w:r>
      <w:r w:rsidR="00893603" w:rsidRPr="00B90A55">
        <w:rPr>
          <w:rFonts w:ascii="Arial" w:eastAsia="Arial" w:hAnsi="Arial" w:cs="Arial"/>
        </w:rPr>
        <w:t>people with</w:t>
      </w:r>
      <w:r w:rsidR="75BD9E75" w:rsidRPr="00B90A55">
        <w:rPr>
          <w:rFonts w:ascii="Arial" w:eastAsia="Arial" w:hAnsi="Arial" w:cs="Arial"/>
        </w:rPr>
        <w:t xml:space="preserve"> severe liver disease and  chronic kidney disease (CKD) had an organ or bone marrow transplant, etc</w:t>
      </w:r>
      <w:r w:rsidR="75BD9E75" w:rsidRPr="00B90A55">
        <w:rPr>
          <w:rFonts w:ascii="Arial" w:eastAsia="Arial" w:hAnsi="Arial" w:cs="Arial"/>
          <w:i/>
          <w:iCs/>
        </w:rPr>
        <w:t xml:space="preserve"> </w:t>
      </w:r>
      <w:r w:rsidR="00A84F4C" w:rsidRPr="00B90A55">
        <w:rPr>
          <w:rFonts w:ascii="Arial" w:eastAsia="Arial" w:hAnsi="Arial" w:cs="Arial"/>
        </w:rPr>
        <w:t>(</w:t>
      </w:r>
      <w:r w:rsidR="00A84F4C" w:rsidRPr="00B90A55">
        <w:rPr>
          <w:rFonts w:ascii="Arial" w:hAnsi="Arial" w:cs="Arial"/>
        </w:rPr>
        <w:t>Centers for Disease Control and Prevention,2020).</w:t>
      </w:r>
      <w:r w:rsidR="506FA0D4" w:rsidRPr="00B90A55">
        <w:rPr>
          <w:rFonts w:ascii="Arial" w:eastAsia="Arial" w:hAnsi="Arial" w:cs="Arial"/>
        </w:rPr>
        <w:t xml:space="preserve"> According to World Health Organization (2021), the biological sensitivity to SARS-CoV-2 infection and/or propensity to get the virus appears to be larger in older people, those with chronic noncommunicable disorders, and people with impairments, being at a higher risk due to factors such as bad health, a low wage, unstable employment, and congested living situations, cancer, chronic respiratory illnesses other than asthma, chronic liver diseases, chronic kidney diseases, chronic neurological problems, and HIV/AIDS infection</w:t>
      </w:r>
      <w:r w:rsidR="506FA0D4" w:rsidRPr="00B90A55">
        <w:rPr>
          <w:rFonts w:ascii="Arial" w:eastAsia="Arial" w:hAnsi="Arial" w:cs="Arial"/>
          <w:color w:val="333333"/>
        </w:rPr>
        <w:t xml:space="preserve"> (Sohrabi M.-R. </w:t>
      </w:r>
      <w:r w:rsidR="506FA0D4" w:rsidRPr="00B90A55">
        <w:rPr>
          <w:rFonts w:ascii="Arial" w:eastAsia="Arial" w:hAnsi="Arial" w:cs="Arial"/>
          <w:i/>
          <w:iCs/>
          <w:color w:val="333333"/>
        </w:rPr>
        <w:t>et al.</w:t>
      </w:r>
      <w:r w:rsidR="506FA0D4" w:rsidRPr="00B90A55">
        <w:rPr>
          <w:rFonts w:ascii="Arial" w:eastAsia="Arial" w:hAnsi="Arial" w:cs="Arial"/>
          <w:color w:val="333333"/>
        </w:rPr>
        <w:t> 2021)</w:t>
      </w:r>
    </w:p>
    <w:p w14:paraId="3380DC9A" w14:textId="007026AF" w:rsidR="00F73323" w:rsidRPr="00B90A55" w:rsidRDefault="00F73323" w:rsidP="00B90A55">
      <w:pPr>
        <w:spacing w:line="360" w:lineRule="auto"/>
        <w:jc w:val="both"/>
        <w:rPr>
          <w:rFonts w:ascii="Arial" w:eastAsia="Arial" w:hAnsi="Arial" w:cs="Arial"/>
        </w:rPr>
      </w:pPr>
    </w:p>
    <w:p w14:paraId="6796C9D6" w14:textId="46FCBC23" w:rsidR="00F73323" w:rsidRPr="00B90A55" w:rsidRDefault="5510EB33" w:rsidP="00B90A55">
      <w:pPr>
        <w:spacing w:line="360" w:lineRule="auto"/>
        <w:jc w:val="both"/>
        <w:rPr>
          <w:rFonts w:ascii="Arial" w:eastAsia="Arial" w:hAnsi="Arial" w:cs="Arial"/>
        </w:rPr>
      </w:pPr>
      <w:r w:rsidRPr="00B90A55">
        <w:rPr>
          <w:rFonts w:ascii="Arial" w:eastAsia="Arial" w:hAnsi="Arial" w:cs="Arial"/>
          <w:color w:val="222222"/>
        </w:rPr>
        <w:t xml:space="preserve">Another key determinant </w:t>
      </w:r>
      <w:r w:rsidR="730842FD" w:rsidRPr="00B90A55">
        <w:rPr>
          <w:rFonts w:ascii="Arial" w:eastAsia="Arial" w:hAnsi="Arial" w:cs="Arial"/>
          <w:color w:val="222222"/>
        </w:rPr>
        <w:t>factor</w:t>
      </w:r>
      <w:r w:rsidRPr="00B90A55">
        <w:rPr>
          <w:rFonts w:ascii="Arial" w:eastAsia="Arial" w:hAnsi="Arial" w:cs="Arial"/>
          <w:color w:val="222222"/>
        </w:rPr>
        <w:t xml:space="preserve"> for covid-19 is physical determinants. According to World Health </w:t>
      </w:r>
      <w:r w:rsidR="54CF772C" w:rsidRPr="00B90A55">
        <w:rPr>
          <w:rFonts w:ascii="Arial" w:eastAsia="Arial" w:hAnsi="Arial" w:cs="Arial"/>
          <w:color w:val="222222"/>
        </w:rPr>
        <w:t>Organisation</w:t>
      </w:r>
      <w:r w:rsidRPr="00B90A55">
        <w:rPr>
          <w:rFonts w:ascii="Arial" w:eastAsia="Arial" w:hAnsi="Arial" w:cs="Arial"/>
          <w:color w:val="222222"/>
        </w:rPr>
        <w:t xml:space="preserve"> (2020) Environmental elements that can have a negative impact on a person's health and wellbeing are referred to as physical determinants. These factors may include the standard of living and</w:t>
      </w:r>
      <w:r w:rsidR="6058B1F3" w:rsidRPr="00B90A55">
        <w:rPr>
          <w:rFonts w:ascii="Arial" w:eastAsia="Arial" w:hAnsi="Arial" w:cs="Arial"/>
          <w:color w:val="222222"/>
        </w:rPr>
        <w:t xml:space="preserve"> the environment</w:t>
      </w:r>
      <w:r w:rsidRPr="00B90A55">
        <w:rPr>
          <w:rFonts w:ascii="Arial" w:eastAsia="Arial" w:hAnsi="Arial" w:cs="Arial"/>
          <w:color w:val="222222"/>
        </w:rPr>
        <w:t xml:space="preserve">. A rapid review by </w:t>
      </w:r>
      <w:r w:rsidR="007A079D" w:rsidRPr="00B90A55">
        <w:rPr>
          <w:rFonts w:ascii="Arial" w:eastAsia="Arial" w:hAnsi="Arial" w:cs="Arial"/>
          <w:color w:val="222222"/>
        </w:rPr>
        <w:t>Upshaw</w:t>
      </w:r>
      <w:r w:rsidR="001437D7" w:rsidRPr="00B90A55">
        <w:rPr>
          <w:rFonts w:ascii="Arial" w:eastAsia="Arial" w:hAnsi="Arial" w:cs="Arial"/>
          <w:color w:val="222222"/>
        </w:rPr>
        <w:t xml:space="preserve"> et al.</w:t>
      </w:r>
      <w:r w:rsidRPr="00B90A55">
        <w:rPr>
          <w:rFonts w:ascii="Arial" w:eastAsia="Arial" w:hAnsi="Arial" w:cs="Arial"/>
          <w:color w:val="222222"/>
        </w:rPr>
        <w:t xml:space="preserve"> (2021</w:t>
      </w:r>
      <w:r w:rsidR="1C71A4A5" w:rsidRPr="00B90A55">
        <w:rPr>
          <w:rFonts w:ascii="Arial" w:eastAsia="Arial" w:hAnsi="Arial" w:cs="Arial"/>
          <w:color w:val="222222"/>
        </w:rPr>
        <w:t>). In</w:t>
      </w:r>
      <w:r w:rsidRPr="00B90A55">
        <w:rPr>
          <w:rFonts w:ascii="Arial" w:eastAsia="Arial" w:hAnsi="Arial" w:cs="Arial"/>
          <w:color w:val="222222"/>
        </w:rPr>
        <w:t xml:space="preserve"> a </w:t>
      </w:r>
      <w:r w:rsidR="41AFFE6E" w:rsidRPr="00B90A55">
        <w:rPr>
          <w:rFonts w:ascii="Arial" w:eastAsia="Arial" w:hAnsi="Arial" w:cs="Arial"/>
          <w:color w:val="222222"/>
        </w:rPr>
        <w:t>UK (United Kingdom)</w:t>
      </w:r>
      <w:r w:rsidRPr="00B90A55">
        <w:rPr>
          <w:rFonts w:ascii="Arial" w:eastAsia="Arial" w:hAnsi="Arial" w:cs="Arial"/>
          <w:color w:val="222222"/>
        </w:rPr>
        <w:t xml:space="preserve"> study of 3,802 adults who were tested for COVID-19, a univariate analysis found that homes with two to eight people had lower probabilities of a positive test than single-person households (</w:t>
      </w:r>
      <w:r w:rsidR="007A079D" w:rsidRPr="00B90A55">
        <w:rPr>
          <w:rFonts w:ascii="Arial" w:eastAsia="Arial" w:hAnsi="Arial" w:cs="Arial"/>
          <w:color w:val="222222"/>
        </w:rPr>
        <w:t>Upshaw</w:t>
      </w:r>
      <w:r w:rsidRPr="00B90A55">
        <w:rPr>
          <w:rFonts w:ascii="Arial" w:eastAsia="Arial" w:hAnsi="Arial" w:cs="Arial"/>
          <w:color w:val="222222"/>
        </w:rPr>
        <w:t xml:space="preserve"> et</w:t>
      </w:r>
      <w:r w:rsidR="3CF4EEEF" w:rsidRPr="00B90A55">
        <w:rPr>
          <w:rFonts w:ascii="Arial" w:eastAsia="Arial" w:hAnsi="Arial" w:cs="Arial"/>
          <w:color w:val="222222"/>
        </w:rPr>
        <w:t xml:space="preserve"> </w:t>
      </w:r>
      <w:r w:rsidRPr="00B90A55">
        <w:rPr>
          <w:rFonts w:ascii="Arial" w:eastAsia="Arial" w:hAnsi="Arial" w:cs="Arial"/>
          <w:color w:val="222222"/>
        </w:rPr>
        <w:t xml:space="preserve">al </w:t>
      </w:r>
      <w:r w:rsidR="20CC674F" w:rsidRPr="00B90A55">
        <w:rPr>
          <w:rFonts w:ascii="Arial" w:eastAsia="Arial" w:hAnsi="Arial" w:cs="Arial"/>
          <w:color w:val="222222"/>
        </w:rPr>
        <w:t>.</w:t>
      </w:r>
      <w:r w:rsidRPr="00B90A55">
        <w:rPr>
          <w:rFonts w:ascii="Arial" w:eastAsia="Arial" w:hAnsi="Arial" w:cs="Arial"/>
          <w:color w:val="222222"/>
        </w:rPr>
        <w:t>2021)</w:t>
      </w:r>
      <w:r w:rsidR="0B00A323" w:rsidRPr="00B90A55">
        <w:rPr>
          <w:rFonts w:ascii="Arial" w:eastAsia="Arial" w:hAnsi="Arial" w:cs="Arial"/>
          <w:color w:val="222222"/>
        </w:rPr>
        <w:t>.</w:t>
      </w:r>
    </w:p>
    <w:p w14:paraId="4BD9FB85" w14:textId="27B85F2A" w:rsidR="00F73323" w:rsidRPr="00B90A55" w:rsidRDefault="7BC8538E" w:rsidP="00B90A55">
      <w:pPr>
        <w:spacing w:line="360" w:lineRule="auto"/>
        <w:jc w:val="both"/>
        <w:rPr>
          <w:rFonts w:ascii="Arial" w:hAnsi="Arial" w:cs="Arial"/>
        </w:rPr>
      </w:pPr>
      <w:bookmarkStart w:id="2" w:name="_Toc130532982"/>
      <w:r w:rsidRPr="00B90A55">
        <w:rPr>
          <w:rFonts w:ascii="Arial" w:hAnsi="Arial" w:cs="Arial"/>
        </w:rPr>
        <w:t>Short-term:</w:t>
      </w:r>
      <w:bookmarkEnd w:id="2"/>
    </w:p>
    <w:p w14:paraId="2A9005A6" w14:textId="25C11144" w:rsidR="005A7F5C" w:rsidRPr="00B90A55" w:rsidRDefault="005A7F5C" w:rsidP="00B90A55">
      <w:pPr>
        <w:spacing w:line="360" w:lineRule="auto"/>
        <w:jc w:val="both"/>
        <w:rPr>
          <w:rFonts w:ascii="Arial" w:eastAsia="Arial" w:hAnsi="Arial" w:cs="Arial"/>
        </w:rPr>
      </w:pPr>
      <w:r w:rsidRPr="00B90A55">
        <w:rPr>
          <w:rFonts w:ascii="Arial" w:eastAsia="Arial" w:hAnsi="Arial" w:cs="Arial"/>
        </w:rPr>
        <w:t>As a result of the COVID-19 pandemic, various aspects of life have been affected in the UK, with the healthcare system being one of the most affected. In response to COVID-19 hospitalizations, there was a shortage of life-saving equipment, including ventilators, which are crucial devices for patients suffering from severe respiratory symptoms</w:t>
      </w:r>
      <w:r w:rsidR="00B421B1" w:rsidRPr="00B90A55">
        <w:rPr>
          <w:rFonts w:ascii="Arial" w:hAnsi="Arial" w:cs="Arial"/>
        </w:rPr>
        <w:t xml:space="preserve"> (National Heart Lung and Blood Institute, 2022).</w:t>
      </w:r>
      <w:r w:rsidRPr="00B90A55">
        <w:rPr>
          <w:rFonts w:ascii="Arial" w:eastAsia="Arial" w:hAnsi="Arial" w:cs="Arial"/>
        </w:rPr>
        <w:t xml:space="preserve"> Providing lifesaving care to patients in need was challenging due to a shortage of healthcare workers (Iyengar et al., 2020). Health-care workers were also vulnerable to the spread of the virus due to a lack of personal protective equipment (PPE), such as face masks, gowns, and gloves. Healthcare workers were at risk of contracting COVID-19 while treating COVID-19 patients due to the absence of personal protective equipment (PPE) (Jain, 2020</w:t>
      </w:r>
      <w:r w:rsidR="001437D7" w:rsidRPr="00B90A55">
        <w:rPr>
          <w:rFonts w:ascii="Arial" w:eastAsia="Arial" w:hAnsi="Arial" w:cs="Arial"/>
        </w:rPr>
        <w:t>). As</w:t>
      </w:r>
      <w:r w:rsidRPr="00B90A55">
        <w:rPr>
          <w:rFonts w:ascii="Arial" w:eastAsia="Arial" w:hAnsi="Arial" w:cs="Arial"/>
        </w:rPr>
        <w:t xml:space="preserve"> a result of the strain on the healthcare system, patients with chronic illnesses faced delays in receiving urgent care. Healthcare resources were limited, so some patients had to wait longer for treatments or surgeries, resulting in worsening conditions or life-threatening complications (Moynihan et al. 2021). </w:t>
      </w:r>
    </w:p>
    <w:p w14:paraId="344A3DCE" w14:textId="77777777" w:rsidR="00751387" w:rsidRPr="00B90A55" w:rsidRDefault="005A7F5C" w:rsidP="00B90A55">
      <w:pPr>
        <w:spacing w:line="360" w:lineRule="auto"/>
        <w:jc w:val="both"/>
        <w:rPr>
          <w:rFonts w:ascii="Arial" w:eastAsia="Arial" w:hAnsi="Arial" w:cs="Arial"/>
        </w:rPr>
      </w:pPr>
      <w:r w:rsidRPr="00B90A55">
        <w:rPr>
          <w:rFonts w:ascii="Arial" w:eastAsia="Arial" w:hAnsi="Arial" w:cs="Arial"/>
        </w:rPr>
        <w:t xml:space="preserve">The pandemic has also impacted on people negatively on their mental health, which were also felt strongly as people battled to deal with the stress and uncertainty, they faced. Social isolation resulted from the lockdowns and other measures taken to prevent the virus from spreading, which may have exacerbated pre-existing mental health disorders or given rise to the emergence of new ones. </w:t>
      </w:r>
    </w:p>
    <w:p w14:paraId="6502C7FC" w14:textId="77777777" w:rsidR="003829EF" w:rsidRPr="00B90A55" w:rsidRDefault="005A7F5C" w:rsidP="00B90A55">
      <w:pPr>
        <w:spacing w:line="360" w:lineRule="auto"/>
        <w:jc w:val="both"/>
        <w:rPr>
          <w:rFonts w:ascii="Arial" w:hAnsi="Arial" w:cs="Arial"/>
        </w:rPr>
      </w:pPr>
      <w:bookmarkStart w:id="3" w:name="_Toc130532983"/>
      <w:r w:rsidRPr="00B90A55">
        <w:rPr>
          <w:rFonts w:ascii="Arial" w:hAnsi="Arial" w:cs="Arial"/>
        </w:rPr>
        <w:t>Long-term:</w:t>
      </w:r>
      <w:bookmarkEnd w:id="3"/>
      <w:r w:rsidRPr="00B90A55">
        <w:rPr>
          <w:rFonts w:ascii="Arial" w:hAnsi="Arial" w:cs="Arial"/>
        </w:rPr>
        <w:t xml:space="preserve"> </w:t>
      </w:r>
    </w:p>
    <w:p w14:paraId="7235709E" w14:textId="5A6EBAD8" w:rsidR="005A7F5C" w:rsidRPr="00B90A55" w:rsidRDefault="005A7F5C" w:rsidP="00B90A55">
      <w:pPr>
        <w:spacing w:line="360" w:lineRule="auto"/>
        <w:jc w:val="both"/>
        <w:rPr>
          <w:rFonts w:ascii="Arial" w:eastAsia="Arial" w:hAnsi="Arial" w:cs="Arial"/>
        </w:rPr>
      </w:pPr>
      <w:r w:rsidRPr="00B90A55">
        <w:rPr>
          <w:rFonts w:ascii="Arial" w:eastAsia="Arial" w:hAnsi="Arial" w:cs="Arial"/>
        </w:rPr>
        <w:t>Respiratory problems are among the most important long-term effects of COVID-19. COVID- 19 can cause damage to the lungs, leading in chronic breathing difficulties, shortness of breath, and coughing (Galal et al., 2021). While COVID-19 may intensify their symptoms and cause additional loss of lung function, persons who already have pre-existing lung disorders including chronic obstructive pulmonary disease (COPD), asthma, or pulmonary fibrosis may find this to be especially bothersome. Heart problems are yet another COVID-19 long-term side effect. COVID-19 has the potential to harm the heart and result in myocarditis (heart muscle inflammation), arrhythmias (irregular heartbeats), and other cardiac issues.</w:t>
      </w:r>
      <w:r w:rsidRPr="00B90A55">
        <w:rPr>
          <w:rFonts w:ascii="Arial" w:hAnsi="Arial" w:cs="Arial"/>
        </w:rPr>
        <w:t xml:space="preserve"> </w:t>
      </w:r>
      <w:r w:rsidRPr="00B90A55">
        <w:rPr>
          <w:rFonts w:ascii="Arial" w:eastAsia="Arial" w:hAnsi="Arial" w:cs="Arial"/>
        </w:rPr>
        <w:t xml:space="preserve">Individuals who already have heart issues such heart failure, coronary artery disease, or arrhythmias may be more susceptible to acquiring these problems after COVID-19. PASC is a condition in which people have persistent symptoms and/or new symptoms after recovering from Covid-19's acute phase </w:t>
      </w:r>
      <w:r w:rsidR="00751387" w:rsidRPr="00B90A55">
        <w:rPr>
          <w:rFonts w:ascii="Arial" w:eastAsia="Arial" w:hAnsi="Arial" w:cs="Arial"/>
        </w:rPr>
        <w:t>(</w:t>
      </w:r>
      <w:r w:rsidR="00751387" w:rsidRPr="00B90A55">
        <w:rPr>
          <w:rFonts w:ascii="Arial" w:hAnsi="Arial" w:cs="Arial"/>
          <w:color w:val="212121"/>
          <w:shd w:val="clear" w:color="auto" w:fill="FFFFFF"/>
        </w:rPr>
        <w:t>Chippa Aleem and Anjum, 2023)</w:t>
      </w:r>
    </w:p>
    <w:p w14:paraId="072E49E6" w14:textId="77777777" w:rsidR="005A7F5C" w:rsidRPr="00B90A55" w:rsidRDefault="005A7F5C" w:rsidP="00B90A55">
      <w:pPr>
        <w:spacing w:line="360" w:lineRule="auto"/>
        <w:jc w:val="both"/>
        <w:rPr>
          <w:rFonts w:ascii="Arial" w:hAnsi="Arial" w:cs="Arial"/>
        </w:rPr>
      </w:pPr>
    </w:p>
    <w:p w14:paraId="7743387A" w14:textId="64C6C849" w:rsidR="00F73323" w:rsidRPr="00B90A55" w:rsidRDefault="2BBD0EE1" w:rsidP="00B90A55">
      <w:pPr>
        <w:spacing w:line="360" w:lineRule="auto"/>
        <w:jc w:val="both"/>
        <w:rPr>
          <w:rFonts w:ascii="Arial" w:eastAsia="Arial" w:hAnsi="Arial" w:cs="Arial"/>
          <w:color w:val="222222"/>
        </w:rPr>
      </w:pPr>
      <w:r w:rsidRPr="00B90A55">
        <w:rPr>
          <w:rFonts w:ascii="Arial" w:eastAsia="Arial" w:hAnsi="Arial" w:cs="Arial"/>
          <w:color w:val="222222"/>
        </w:rPr>
        <w:t xml:space="preserve">The symptoms of PASC includes depression, exhaustion, joint discomfort, chest pain, cognitive fog, memory loss, sleep difficulties and shortness of breath (Moghimi. Et </w:t>
      </w:r>
      <w:r w:rsidR="35795A0C" w:rsidRPr="00B90A55">
        <w:rPr>
          <w:rFonts w:ascii="Arial" w:eastAsia="Arial" w:hAnsi="Arial" w:cs="Arial"/>
          <w:color w:val="222222"/>
        </w:rPr>
        <w:t>al.</w:t>
      </w:r>
      <w:r w:rsidRPr="00B90A55">
        <w:rPr>
          <w:rFonts w:ascii="Arial" w:eastAsia="Arial" w:hAnsi="Arial" w:cs="Arial"/>
          <w:color w:val="222222"/>
        </w:rPr>
        <w:t xml:space="preserve"> </w:t>
      </w:r>
      <w:r w:rsidR="496D0FD1" w:rsidRPr="00B90A55">
        <w:rPr>
          <w:rFonts w:ascii="Arial" w:eastAsia="Arial" w:hAnsi="Arial" w:cs="Arial"/>
          <w:color w:val="222222"/>
        </w:rPr>
        <w:t>2021).</w:t>
      </w:r>
      <w:r w:rsidRPr="00B90A55">
        <w:rPr>
          <w:rFonts w:ascii="Arial" w:eastAsia="Arial" w:hAnsi="Arial" w:cs="Arial"/>
          <w:color w:val="222222"/>
        </w:rPr>
        <w:t xml:space="preserve"> The duration of these symptoms might range from a few weeks to several months, and in some cases, they can continue longer than a year. Although the precise aetiology of PASC is still unknown, it is thought that a protracted immune response to the virus is what led to the condition (</w:t>
      </w:r>
      <w:r w:rsidR="00BC4F7D" w:rsidRPr="00B90A55">
        <w:rPr>
          <w:rStyle w:val="normaltextrun"/>
          <w:rFonts w:ascii="Arial" w:hAnsi="Arial" w:cs="Arial"/>
          <w:color w:val="222222"/>
          <w:shd w:val="clear" w:color="auto" w:fill="FFFFFF"/>
        </w:rPr>
        <w:t xml:space="preserve">Proal and VanElzakker, </w:t>
      </w:r>
      <w:r w:rsidRPr="00B90A55">
        <w:rPr>
          <w:rFonts w:ascii="Arial" w:eastAsia="Arial" w:hAnsi="Arial" w:cs="Arial"/>
          <w:color w:val="222222"/>
        </w:rPr>
        <w:t xml:space="preserve">2021). PASC can significantly affect a person's quality of life and capacity for doing daily tasks. After recovering from Covid-19, </w:t>
      </w:r>
      <w:r w:rsidR="6B67F14D" w:rsidRPr="00B90A55">
        <w:rPr>
          <w:rFonts w:ascii="Arial" w:eastAsia="Arial" w:hAnsi="Arial" w:cs="Arial"/>
          <w:color w:val="222222"/>
        </w:rPr>
        <w:t>it is</w:t>
      </w:r>
      <w:r w:rsidRPr="00B90A55">
        <w:rPr>
          <w:rFonts w:ascii="Arial" w:eastAsia="Arial" w:hAnsi="Arial" w:cs="Arial"/>
          <w:color w:val="222222"/>
        </w:rPr>
        <w:t xml:space="preserve"> critical for patients to seek medical guidance and help to manage their health if they continue to have any symptoms or develop any new ones.</w:t>
      </w:r>
    </w:p>
    <w:p w14:paraId="5F2BD24C" w14:textId="36FA9C3C" w:rsidR="00F73323" w:rsidRPr="00B90A55" w:rsidRDefault="00F73323" w:rsidP="00B90A55">
      <w:pPr>
        <w:pStyle w:val="Heading2"/>
        <w:spacing w:line="360" w:lineRule="auto"/>
        <w:jc w:val="both"/>
        <w:rPr>
          <w:rFonts w:ascii="Arial" w:eastAsia="Arial" w:hAnsi="Arial" w:cs="Arial"/>
          <w:sz w:val="22"/>
          <w:szCs w:val="22"/>
        </w:rPr>
      </w:pPr>
    </w:p>
    <w:p w14:paraId="32F91040" w14:textId="56811B6F" w:rsidR="00F73323" w:rsidRPr="00B90A55" w:rsidRDefault="0AE81219" w:rsidP="00B90A55">
      <w:pPr>
        <w:spacing w:line="360" w:lineRule="auto"/>
        <w:jc w:val="both"/>
        <w:rPr>
          <w:rFonts w:ascii="Arial" w:hAnsi="Arial" w:cs="Arial"/>
        </w:rPr>
      </w:pPr>
      <w:bookmarkStart w:id="4" w:name="_Toc130532984"/>
      <w:r w:rsidRPr="00B90A55">
        <w:rPr>
          <w:rFonts w:ascii="Arial" w:hAnsi="Arial" w:cs="Arial"/>
        </w:rPr>
        <w:t>Factors influencing the health and well-being of individuals with covid-19</w:t>
      </w:r>
      <w:bookmarkEnd w:id="4"/>
    </w:p>
    <w:p w14:paraId="22FF31A4" w14:textId="7AE0C608" w:rsidR="00F73323" w:rsidRPr="00B90A55" w:rsidRDefault="0AE81219" w:rsidP="00B90A55">
      <w:pPr>
        <w:spacing w:line="360" w:lineRule="auto"/>
        <w:jc w:val="both"/>
        <w:rPr>
          <w:rFonts w:ascii="Arial" w:eastAsia="Arial" w:hAnsi="Arial" w:cs="Arial"/>
        </w:rPr>
      </w:pPr>
      <w:r w:rsidRPr="00B90A55">
        <w:rPr>
          <w:rFonts w:ascii="Arial" w:eastAsia="Arial" w:hAnsi="Arial" w:cs="Arial"/>
        </w:rPr>
        <w:t>Two factors that influenced the health and wellbeing of individuals with covid-19 are vaccinations and Socioeconomic status. Firstly, those who have received the full course of COVID-19 immunisation are much less likely to need hospitalisation or pass away from the virus, according to a study by Public Health England. According to the JMIR Public Health Surveillance, research shows that the Pfizer-BioNTech vaccine can reduce the risk of COVID-19 hospitalisation by 90% to 98% for two doses and 70% to 91% for a single dose (</w:t>
      </w:r>
      <w:r w:rsidR="7EC6AC33" w:rsidRPr="00B90A55">
        <w:rPr>
          <w:rFonts w:ascii="Arial" w:eastAsia="Arial" w:hAnsi="Arial" w:cs="Arial"/>
        </w:rPr>
        <w:t xml:space="preserve">WHO </w:t>
      </w:r>
      <w:r w:rsidRPr="00B90A55">
        <w:rPr>
          <w:rFonts w:ascii="Arial" w:eastAsia="Arial" w:hAnsi="Arial" w:cs="Arial"/>
        </w:rPr>
        <w:t>202</w:t>
      </w:r>
      <w:r w:rsidR="00790169" w:rsidRPr="00B90A55">
        <w:rPr>
          <w:rFonts w:ascii="Arial" w:eastAsia="Arial" w:hAnsi="Arial" w:cs="Arial"/>
        </w:rPr>
        <w:t>3</w:t>
      </w:r>
      <w:r w:rsidRPr="00B90A55">
        <w:rPr>
          <w:rFonts w:ascii="Arial" w:eastAsia="Arial" w:hAnsi="Arial" w:cs="Arial"/>
        </w:rPr>
        <w:t>). On the other hand, the AstraZeneca vaccine can offer 92% protection against hospitalisation after two doses. These figures show how the vaccines work to lessen the severity of COVID-19 infections and are outstanding. The Delta variety, which is thought to be more contagious and potentially more severe, was not yet discovered when these estimates were created, thus it is vital to keep in mind that. Yet, despite the development of this variant, vaccinations continue to be effective in lowering the risk of COVID-19-related hospitalisation and mortality. Given that breakthrough infections are still possible, the statistics indicate that vaccination is essential for defending oneself and the community against the virus.</w:t>
      </w:r>
    </w:p>
    <w:p w14:paraId="66CBD459" w14:textId="60EEFF86" w:rsidR="00F73323" w:rsidRPr="00B90A55" w:rsidRDefault="0AE81219" w:rsidP="00B90A55">
      <w:pPr>
        <w:spacing w:line="360" w:lineRule="auto"/>
        <w:jc w:val="both"/>
        <w:rPr>
          <w:rFonts w:ascii="Arial" w:eastAsia="Arial" w:hAnsi="Arial" w:cs="Arial"/>
        </w:rPr>
      </w:pPr>
      <w:r w:rsidRPr="00B90A55">
        <w:rPr>
          <w:rFonts w:ascii="Arial" w:eastAsia="Arial" w:hAnsi="Arial" w:cs="Arial"/>
        </w:rPr>
        <w:t xml:space="preserve"> </w:t>
      </w:r>
    </w:p>
    <w:p w14:paraId="6E9DCAEC" w14:textId="50C853F0" w:rsidR="00F73323" w:rsidRPr="00B90A55" w:rsidRDefault="0AE81219" w:rsidP="00B90A55">
      <w:pPr>
        <w:spacing w:line="360" w:lineRule="auto"/>
        <w:jc w:val="both"/>
        <w:rPr>
          <w:rFonts w:ascii="Arial" w:eastAsia="Arial" w:hAnsi="Arial" w:cs="Arial"/>
        </w:rPr>
      </w:pPr>
      <w:r w:rsidRPr="00B90A55">
        <w:rPr>
          <w:rFonts w:ascii="Arial" w:eastAsia="Arial" w:hAnsi="Arial" w:cs="Arial"/>
        </w:rPr>
        <w:t xml:space="preserve">Secondly, socioeconomic factors are another crucial factor in influencing the health and wellbeing. All aspects of human functioning, including the quality of life connected to one's health, are influenced by socioeconomic conditions. According to a descriptive study by Head </w:t>
      </w:r>
      <w:r w:rsidR="00536044" w:rsidRPr="00B90A55">
        <w:rPr>
          <w:rFonts w:ascii="Arial" w:eastAsia="Arial" w:hAnsi="Arial" w:cs="Arial"/>
        </w:rPr>
        <w:t xml:space="preserve">et al </w:t>
      </w:r>
      <w:r w:rsidRPr="00B90A55">
        <w:rPr>
          <w:rFonts w:ascii="Arial" w:eastAsia="Arial" w:hAnsi="Arial" w:cs="Arial"/>
        </w:rPr>
        <w:t xml:space="preserve">(2021) individuals living in areas of higher deprivation in the UK are more likely to be diagnosed with and die from COVID-19, age, immune response to vaccine, as well as homeless people, individuals with disability, unemployed, people with cancer, </w:t>
      </w:r>
      <w:r w:rsidR="0505ADD7" w:rsidRPr="00B90A55">
        <w:rPr>
          <w:rFonts w:ascii="Arial" w:eastAsia="Arial" w:hAnsi="Arial" w:cs="Arial"/>
        </w:rPr>
        <w:t>diabetes,</w:t>
      </w:r>
      <w:r w:rsidRPr="00B90A55">
        <w:rPr>
          <w:rFonts w:ascii="Arial" w:eastAsia="Arial" w:hAnsi="Arial" w:cs="Arial"/>
        </w:rPr>
        <w:t xml:space="preserve"> and low immunity. The study found that people living in the most deprived areas of England had a high mortality rate from COVID-19 that was more than twice as high as those living in the least deprived areas. </w:t>
      </w:r>
    </w:p>
    <w:p w14:paraId="10722497" w14:textId="6EF5B178" w:rsidR="00F73323" w:rsidRPr="00B90A55" w:rsidRDefault="0AE81219" w:rsidP="00B90A55">
      <w:pPr>
        <w:spacing w:line="360" w:lineRule="auto"/>
        <w:jc w:val="both"/>
        <w:rPr>
          <w:rFonts w:ascii="Arial" w:eastAsia="Arial" w:hAnsi="Arial" w:cs="Arial"/>
        </w:rPr>
      </w:pPr>
      <w:r w:rsidRPr="00B90A55">
        <w:rPr>
          <w:rFonts w:ascii="Arial" w:eastAsia="Arial" w:hAnsi="Arial" w:cs="Arial"/>
        </w:rPr>
        <w:t xml:space="preserve"> </w:t>
      </w:r>
    </w:p>
    <w:p w14:paraId="44C31C2B" w14:textId="69450309" w:rsidR="00F73323" w:rsidRPr="00B90A55" w:rsidRDefault="0AE81219" w:rsidP="00B90A55">
      <w:pPr>
        <w:spacing w:line="360" w:lineRule="auto"/>
        <w:jc w:val="both"/>
        <w:rPr>
          <w:rFonts w:ascii="Arial" w:hAnsi="Arial" w:cs="Arial"/>
        </w:rPr>
      </w:pPr>
      <w:bookmarkStart w:id="5" w:name="_Toc130532985"/>
      <w:r w:rsidRPr="00B90A55">
        <w:rPr>
          <w:rFonts w:ascii="Arial" w:hAnsi="Arial" w:cs="Arial"/>
        </w:rPr>
        <w:t>Conclusion:</w:t>
      </w:r>
      <w:bookmarkEnd w:id="5"/>
    </w:p>
    <w:p w14:paraId="5BABDBDD" w14:textId="07992476" w:rsidR="00F73323" w:rsidRPr="00B90A55" w:rsidRDefault="23569EA2" w:rsidP="00B90A55">
      <w:pPr>
        <w:spacing w:line="360" w:lineRule="auto"/>
        <w:jc w:val="both"/>
        <w:rPr>
          <w:rFonts w:ascii="Arial" w:eastAsia="Arial" w:hAnsi="Arial" w:cs="Arial"/>
        </w:rPr>
      </w:pPr>
      <w:r w:rsidRPr="34F444B5">
        <w:rPr>
          <w:rFonts w:ascii="Arial" w:eastAsia="Arial" w:hAnsi="Arial" w:cs="Arial"/>
        </w:rPr>
        <w:t xml:space="preserve"> In conclusion, </w:t>
      </w:r>
      <w:bookmarkStart w:id="6" w:name="_Int_qOx2bDr6"/>
      <w:r w:rsidRPr="34F444B5">
        <w:rPr>
          <w:rFonts w:ascii="Arial" w:eastAsia="Arial" w:hAnsi="Arial" w:cs="Arial"/>
        </w:rPr>
        <w:t>as a result of</w:t>
      </w:r>
      <w:bookmarkEnd w:id="6"/>
      <w:r w:rsidRPr="34F444B5">
        <w:rPr>
          <w:rFonts w:ascii="Arial" w:eastAsia="Arial" w:hAnsi="Arial" w:cs="Arial"/>
        </w:rPr>
        <w:t xml:space="preserve"> the global spread of the SARS-CoV-2 virus, COVID-19 is an infectious disease that has high morbidity and death. The prevalence, effectiveness of the vaccine, mortality, and morbidity statistics are a few examples of the indicators that can be used to measure </w:t>
      </w:r>
      <w:r w:rsidR="59E4D662" w:rsidRPr="34F444B5">
        <w:rPr>
          <w:rFonts w:ascii="Arial" w:eastAsia="Arial" w:hAnsi="Arial" w:cs="Arial"/>
        </w:rPr>
        <w:t>Covid19</w:t>
      </w:r>
      <w:r w:rsidRPr="34F444B5">
        <w:rPr>
          <w:rFonts w:ascii="Arial" w:eastAsia="Arial" w:hAnsi="Arial" w:cs="Arial"/>
        </w:rPr>
        <w:t xml:space="preserve">. Among the techniques used to stop the virus's spread are public health surveillance, immunisation, </w:t>
      </w:r>
      <w:r w:rsidR="22B7086E" w:rsidRPr="34F444B5">
        <w:rPr>
          <w:rFonts w:ascii="Arial" w:eastAsia="Arial" w:hAnsi="Arial" w:cs="Arial"/>
        </w:rPr>
        <w:t>sanitation, dietary</w:t>
      </w:r>
      <w:r w:rsidRPr="34F444B5">
        <w:rPr>
          <w:rFonts w:ascii="Arial" w:eastAsia="Arial" w:hAnsi="Arial" w:cs="Arial"/>
        </w:rPr>
        <w:t xml:space="preserve"> and lifestyle </w:t>
      </w:r>
      <w:r w:rsidR="7167F030" w:rsidRPr="34F444B5">
        <w:rPr>
          <w:rFonts w:ascii="Arial" w:eastAsia="Arial" w:hAnsi="Arial" w:cs="Arial"/>
        </w:rPr>
        <w:t>modifications. Procedures</w:t>
      </w:r>
      <w:r w:rsidR="32CCD134" w:rsidRPr="34F444B5">
        <w:rPr>
          <w:rFonts w:ascii="Arial" w:eastAsia="Arial" w:hAnsi="Arial" w:cs="Arial"/>
        </w:rPr>
        <w:t xml:space="preserve"> was put in place for health care professionals and</w:t>
      </w:r>
      <w:r w:rsidR="50C5B1A9" w:rsidRPr="34F444B5">
        <w:rPr>
          <w:rFonts w:ascii="Arial" w:eastAsia="Arial" w:hAnsi="Arial" w:cs="Arial"/>
        </w:rPr>
        <w:t xml:space="preserve"> the public to prevent the spread of covid19 </w:t>
      </w:r>
      <w:r w:rsidR="12186013" w:rsidRPr="34F444B5">
        <w:rPr>
          <w:rFonts w:ascii="Arial" w:eastAsia="Arial" w:hAnsi="Arial" w:cs="Arial"/>
        </w:rPr>
        <w:t>globally. The</w:t>
      </w:r>
      <w:r w:rsidR="50C5B1A9" w:rsidRPr="34F444B5">
        <w:rPr>
          <w:rFonts w:ascii="Arial" w:eastAsia="Arial" w:hAnsi="Arial" w:cs="Arial"/>
        </w:rPr>
        <w:t xml:space="preserve"> </w:t>
      </w:r>
      <w:r w:rsidR="526C16B7" w:rsidRPr="34F444B5">
        <w:rPr>
          <w:rFonts w:ascii="Arial" w:eastAsia="Arial" w:hAnsi="Arial" w:cs="Arial"/>
        </w:rPr>
        <w:t>measures used w</w:t>
      </w:r>
      <w:r w:rsidR="2BF6FEB2" w:rsidRPr="34F444B5">
        <w:rPr>
          <w:rFonts w:ascii="Arial" w:eastAsia="Arial" w:hAnsi="Arial" w:cs="Arial"/>
        </w:rPr>
        <w:t>ere</w:t>
      </w:r>
      <w:r w:rsidR="526C16B7" w:rsidRPr="34F444B5">
        <w:rPr>
          <w:rFonts w:ascii="Arial" w:eastAsia="Arial" w:hAnsi="Arial" w:cs="Arial"/>
        </w:rPr>
        <w:t xml:space="preserve"> hand wash, </w:t>
      </w:r>
      <w:r w:rsidR="03B8B475" w:rsidRPr="34F444B5">
        <w:rPr>
          <w:rFonts w:ascii="Arial" w:eastAsia="Arial" w:hAnsi="Arial" w:cs="Arial"/>
        </w:rPr>
        <w:t>isolation, face</w:t>
      </w:r>
      <w:r w:rsidR="5497EC44" w:rsidRPr="34F444B5">
        <w:rPr>
          <w:rFonts w:ascii="Arial" w:eastAsia="Arial" w:hAnsi="Arial" w:cs="Arial"/>
        </w:rPr>
        <w:t xml:space="preserve"> mask,</w:t>
      </w:r>
      <w:r w:rsidR="526C16B7" w:rsidRPr="34F444B5">
        <w:rPr>
          <w:rFonts w:ascii="Arial" w:eastAsia="Arial" w:hAnsi="Arial" w:cs="Arial"/>
        </w:rPr>
        <w:t xml:space="preserve"> </w:t>
      </w:r>
      <w:r w:rsidR="2D85403A" w:rsidRPr="34F444B5">
        <w:rPr>
          <w:rFonts w:ascii="Arial" w:eastAsia="Arial" w:hAnsi="Arial" w:cs="Arial"/>
        </w:rPr>
        <w:t xml:space="preserve">social distancing </w:t>
      </w:r>
      <w:r w:rsidR="526C16B7" w:rsidRPr="34F444B5">
        <w:rPr>
          <w:rFonts w:ascii="Arial" w:eastAsia="Arial" w:hAnsi="Arial" w:cs="Arial"/>
        </w:rPr>
        <w:t>The</w:t>
      </w:r>
      <w:r w:rsidRPr="34F444B5">
        <w:rPr>
          <w:rFonts w:ascii="Arial" w:eastAsia="Arial" w:hAnsi="Arial" w:cs="Arial"/>
        </w:rPr>
        <w:t xml:space="preserve"> epidemic has made it clear how crucial it is for countries to work together, do research, and innovate </w:t>
      </w:r>
      <w:bookmarkStart w:id="7" w:name="_Int_N8KHlAEL"/>
      <w:r w:rsidRPr="34F444B5">
        <w:rPr>
          <w:rFonts w:ascii="Arial" w:eastAsia="Arial" w:hAnsi="Arial" w:cs="Arial"/>
        </w:rPr>
        <w:t>in order to</w:t>
      </w:r>
      <w:bookmarkEnd w:id="7"/>
      <w:r w:rsidRPr="34F444B5">
        <w:rPr>
          <w:rFonts w:ascii="Arial" w:eastAsia="Arial" w:hAnsi="Arial" w:cs="Arial"/>
        </w:rPr>
        <w:t xml:space="preserve"> stop, identify, and manage infectious diseases. Future COVID-19 and other public health concerns can be lessened by continued </w:t>
      </w:r>
      <w:r w:rsidR="633774F7" w:rsidRPr="34F444B5">
        <w:rPr>
          <w:rFonts w:ascii="Arial" w:eastAsia="Arial" w:hAnsi="Arial" w:cs="Arial"/>
        </w:rPr>
        <w:t>cooperation. From</w:t>
      </w:r>
      <w:r w:rsidR="6F5D7EA9" w:rsidRPr="34F444B5">
        <w:rPr>
          <w:rFonts w:ascii="Arial" w:eastAsia="Arial" w:hAnsi="Arial" w:cs="Arial"/>
        </w:rPr>
        <w:t xml:space="preserve"> the outcome of the </w:t>
      </w:r>
      <w:r w:rsidR="6E8986AD" w:rsidRPr="34F444B5">
        <w:rPr>
          <w:rFonts w:ascii="Arial" w:eastAsia="Arial" w:hAnsi="Arial" w:cs="Arial"/>
        </w:rPr>
        <w:t>vaccine's efficacy and</w:t>
      </w:r>
      <w:r w:rsidR="6F5D7EA9" w:rsidRPr="34F444B5">
        <w:rPr>
          <w:rFonts w:ascii="Arial" w:eastAsia="Arial" w:hAnsi="Arial" w:cs="Arial"/>
        </w:rPr>
        <w:t xml:space="preserve"> the </w:t>
      </w:r>
      <w:r w:rsidR="03D8640D" w:rsidRPr="34F444B5">
        <w:rPr>
          <w:rFonts w:ascii="Arial" w:eastAsia="Arial" w:hAnsi="Arial" w:cs="Arial"/>
        </w:rPr>
        <w:t>protective,</w:t>
      </w:r>
      <w:r w:rsidR="6365CEFF" w:rsidRPr="34F444B5">
        <w:rPr>
          <w:rFonts w:ascii="Arial" w:eastAsia="Arial" w:hAnsi="Arial" w:cs="Arial"/>
        </w:rPr>
        <w:t xml:space="preserve"> </w:t>
      </w:r>
      <w:r w:rsidR="485310CA" w:rsidRPr="34F444B5">
        <w:rPr>
          <w:rFonts w:ascii="Arial" w:eastAsia="Arial" w:hAnsi="Arial" w:cs="Arial"/>
        </w:rPr>
        <w:t xml:space="preserve">preventive, promotion and </w:t>
      </w:r>
      <w:r w:rsidR="5434E39B" w:rsidRPr="34F444B5">
        <w:rPr>
          <w:rFonts w:ascii="Arial" w:eastAsia="Arial" w:hAnsi="Arial" w:cs="Arial"/>
        </w:rPr>
        <w:t>awareness</w:t>
      </w:r>
      <w:r w:rsidR="6365CEFF" w:rsidRPr="34F444B5">
        <w:rPr>
          <w:rFonts w:ascii="Arial" w:eastAsia="Arial" w:hAnsi="Arial" w:cs="Arial"/>
        </w:rPr>
        <w:t xml:space="preserve"> </w:t>
      </w:r>
      <w:r w:rsidR="6F5D7EA9" w:rsidRPr="34F444B5">
        <w:rPr>
          <w:rFonts w:ascii="Arial" w:eastAsia="Arial" w:hAnsi="Arial" w:cs="Arial"/>
        </w:rPr>
        <w:t>measu</w:t>
      </w:r>
      <w:r w:rsidR="288537DA" w:rsidRPr="34F444B5">
        <w:rPr>
          <w:rFonts w:ascii="Arial" w:eastAsia="Arial" w:hAnsi="Arial" w:cs="Arial"/>
        </w:rPr>
        <w:t xml:space="preserve">res </w:t>
      </w:r>
      <w:r w:rsidR="71F53F6C" w:rsidRPr="34F444B5">
        <w:rPr>
          <w:rFonts w:ascii="Arial" w:eastAsia="Arial" w:hAnsi="Arial" w:cs="Arial"/>
        </w:rPr>
        <w:t xml:space="preserve">helps in controlling the </w:t>
      </w:r>
      <w:r w:rsidR="64E7D408" w:rsidRPr="34F444B5">
        <w:rPr>
          <w:rFonts w:ascii="Arial" w:eastAsia="Arial" w:hAnsi="Arial" w:cs="Arial"/>
        </w:rPr>
        <w:t>spread</w:t>
      </w:r>
      <w:r w:rsidR="71F53F6C" w:rsidRPr="34F444B5">
        <w:rPr>
          <w:rFonts w:ascii="Arial" w:eastAsia="Arial" w:hAnsi="Arial" w:cs="Arial"/>
        </w:rPr>
        <w:t xml:space="preserve"> of covid19 </w:t>
      </w:r>
      <w:r w:rsidR="7F4AA1C8" w:rsidRPr="34F444B5">
        <w:rPr>
          <w:rFonts w:ascii="Arial" w:eastAsia="Arial" w:hAnsi="Arial" w:cs="Arial"/>
        </w:rPr>
        <w:t>globally.</w:t>
      </w:r>
    </w:p>
    <w:p w14:paraId="355E673F" w14:textId="608F1752" w:rsidR="00F23715" w:rsidRPr="00B90A55" w:rsidRDefault="0AE81219" w:rsidP="445465B4">
      <w:pPr>
        <w:spacing w:line="360" w:lineRule="auto"/>
        <w:jc w:val="both"/>
        <w:rPr>
          <w:rFonts w:ascii="Arial" w:hAnsi="Arial" w:cs="Arial"/>
        </w:rPr>
      </w:pPr>
      <w:r w:rsidRPr="445465B4">
        <w:rPr>
          <w:rFonts w:ascii="Arial" w:eastAsia="Calibri" w:hAnsi="Arial" w:cs="Arial"/>
        </w:rPr>
        <w:t xml:space="preserve"> </w:t>
      </w:r>
    </w:p>
    <w:p w14:paraId="2D8581B1" w14:textId="7CE1782D" w:rsidR="00F23715" w:rsidRPr="00B90A55" w:rsidRDefault="00F23715" w:rsidP="00B90A55">
      <w:pPr>
        <w:spacing w:line="360" w:lineRule="auto"/>
        <w:jc w:val="both"/>
        <w:rPr>
          <w:rFonts w:ascii="Arial" w:hAnsi="Arial" w:cs="Arial"/>
        </w:rPr>
      </w:pPr>
      <w:bookmarkStart w:id="8" w:name="_Toc130532986"/>
      <w:r w:rsidRPr="445465B4">
        <w:rPr>
          <w:rFonts w:ascii="Arial" w:hAnsi="Arial" w:cs="Arial"/>
        </w:rPr>
        <w:t>REFEREN</w:t>
      </w:r>
      <w:r w:rsidR="00A84F4C" w:rsidRPr="445465B4">
        <w:rPr>
          <w:rFonts w:ascii="Arial" w:hAnsi="Arial" w:cs="Arial"/>
        </w:rPr>
        <w:t>C</w:t>
      </w:r>
      <w:r w:rsidR="006310DC" w:rsidRPr="445465B4">
        <w:rPr>
          <w:rFonts w:ascii="Arial" w:hAnsi="Arial" w:cs="Arial"/>
        </w:rPr>
        <w:t>ES</w:t>
      </w:r>
      <w:bookmarkEnd w:id="8"/>
    </w:p>
    <w:p w14:paraId="4C352409" w14:textId="4033AB2E" w:rsidR="00A7017B" w:rsidRPr="00B90A55" w:rsidRDefault="19F6D5A1" w:rsidP="445465B4">
      <w:pPr>
        <w:spacing w:line="360" w:lineRule="auto"/>
        <w:jc w:val="both"/>
        <w:rPr>
          <w:rFonts w:ascii="Arial" w:hAnsi="Arial" w:cs="Arial"/>
        </w:rPr>
      </w:pPr>
      <w:r w:rsidRPr="34F444B5">
        <w:rPr>
          <w:rFonts w:ascii="Arial" w:hAnsi="Arial" w:cs="Arial"/>
        </w:rPr>
        <w:t xml:space="preserve">Centers for Disease Control and Prevention (2020) </w:t>
      </w:r>
      <w:r w:rsidRPr="34F444B5">
        <w:rPr>
          <w:rFonts w:ascii="Arial" w:hAnsi="Arial" w:cs="Arial"/>
          <w:i/>
          <w:iCs/>
        </w:rPr>
        <w:t xml:space="preserve">CDC updates, expands list of people at high risk of severe covid -19 illness, </w:t>
      </w:r>
      <w:r w:rsidRPr="34F444B5">
        <w:rPr>
          <w:rFonts w:ascii="Arial" w:hAnsi="Arial" w:cs="Arial"/>
        </w:rPr>
        <w:t xml:space="preserve">Available at: </w:t>
      </w:r>
      <w:hyperlink r:id="rId11">
        <w:r w:rsidRPr="34F444B5">
          <w:rPr>
            <w:rStyle w:val="Hyperlink"/>
            <w:rFonts w:ascii="Arial" w:hAnsi="Arial" w:cs="Arial"/>
          </w:rPr>
          <w:t>https://www.cdc.gov/media/releases/2020/p0625-update-expands-covid-19.html</w:t>
        </w:r>
      </w:hyperlink>
      <w:r w:rsidRPr="34F444B5">
        <w:rPr>
          <w:rFonts w:ascii="Arial" w:hAnsi="Arial" w:cs="Arial"/>
        </w:rPr>
        <w:t xml:space="preserve"> (Accessed;24 March 2023).</w:t>
      </w:r>
    </w:p>
    <w:p w14:paraId="2DB43820" w14:textId="0E6C08B7" w:rsidR="00A7017B" w:rsidRPr="00B90A55" w:rsidRDefault="19F6D5A1" w:rsidP="00B90A55">
      <w:pPr>
        <w:spacing w:line="360" w:lineRule="auto"/>
        <w:jc w:val="both"/>
        <w:rPr>
          <w:rFonts w:ascii="Arial" w:hAnsi="Arial" w:cs="Arial"/>
        </w:rPr>
      </w:pPr>
      <w:r w:rsidRPr="00B90A55">
        <w:rPr>
          <w:rFonts w:ascii="Arial" w:hAnsi="Arial" w:cs="Arial"/>
        </w:rPr>
        <w:t xml:space="preserve">Chen N, X, et al., (2020) </w:t>
      </w:r>
      <w:r w:rsidR="533B1D4C" w:rsidRPr="00B90A55">
        <w:rPr>
          <w:rFonts w:ascii="Arial" w:hAnsi="Arial" w:cs="Arial"/>
        </w:rPr>
        <w:t>‘</w:t>
      </w:r>
      <w:r w:rsidRPr="00B90A55">
        <w:rPr>
          <w:rFonts w:ascii="Arial" w:hAnsi="Arial" w:cs="Arial"/>
          <w:color w:val="212121"/>
          <w:shd w:val="clear" w:color="auto" w:fill="FFFFFF"/>
        </w:rPr>
        <w:t>Epidemiological and clinical characteristics of 99 cases of 2019 novel coronavirus pneumonia in Wuhan</w:t>
      </w:r>
      <w:r w:rsidR="381147D4" w:rsidRPr="00B90A55">
        <w:rPr>
          <w:rFonts w:ascii="Arial" w:hAnsi="Arial" w:cs="Arial"/>
          <w:color w:val="212121"/>
          <w:shd w:val="clear" w:color="auto" w:fill="FFFFFF"/>
        </w:rPr>
        <w:t>’</w:t>
      </w:r>
      <w:r w:rsidRPr="00B90A55">
        <w:rPr>
          <w:rFonts w:ascii="Arial" w:hAnsi="Arial" w:cs="Arial"/>
          <w:color w:val="212121"/>
          <w:shd w:val="clear" w:color="auto" w:fill="FFFFFF"/>
        </w:rPr>
        <w:t>, China: a descriptive study. </w:t>
      </w:r>
      <w:r w:rsidRPr="34F444B5">
        <w:rPr>
          <w:rFonts w:ascii="Arial" w:hAnsi="Arial" w:cs="Arial"/>
          <w:i/>
          <w:iCs/>
          <w:color w:val="212121"/>
          <w:shd w:val="clear" w:color="auto" w:fill="FFFFFF"/>
        </w:rPr>
        <w:t>Lancet</w:t>
      </w:r>
      <w:r w:rsidRPr="00B90A55">
        <w:rPr>
          <w:rFonts w:ascii="Arial" w:hAnsi="Arial" w:cs="Arial"/>
          <w:color w:val="212121"/>
          <w:shd w:val="clear" w:color="auto" w:fill="FFFFFF"/>
        </w:rPr>
        <w:t>, </w:t>
      </w:r>
      <w:r w:rsidRPr="34F444B5">
        <w:rPr>
          <w:rFonts w:ascii="Arial" w:hAnsi="Arial" w:cs="Arial"/>
          <w:i/>
          <w:iCs/>
          <w:color w:val="212121"/>
          <w:shd w:val="clear" w:color="auto" w:fill="FFFFFF"/>
        </w:rPr>
        <w:t>395</w:t>
      </w:r>
      <w:r w:rsidRPr="00B90A55">
        <w:rPr>
          <w:rFonts w:ascii="Arial" w:hAnsi="Arial" w:cs="Arial"/>
          <w:color w:val="212121"/>
          <w:shd w:val="clear" w:color="auto" w:fill="FFFFFF"/>
        </w:rPr>
        <w:t xml:space="preserve">(10223), </w:t>
      </w:r>
      <w:r w:rsidR="33368E80" w:rsidRPr="00B90A55">
        <w:rPr>
          <w:rFonts w:ascii="Arial" w:hAnsi="Arial" w:cs="Arial"/>
          <w:color w:val="212121"/>
          <w:shd w:val="clear" w:color="auto" w:fill="FFFFFF"/>
        </w:rPr>
        <w:t xml:space="preserve">pp. </w:t>
      </w:r>
      <w:r w:rsidRPr="00B90A55">
        <w:rPr>
          <w:rFonts w:ascii="Arial" w:hAnsi="Arial" w:cs="Arial"/>
          <w:color w:val="212121"/>
          <w:shd w:val="clear" w:color="auto" w:fill="FFFFFF"/>
        </w:rPr>
        <w:t xml:space="preserve">507–513. </w:t>
      </w:r>
      <w:hyperlink r:id="rId12" w:history="1">
        <w:r w:rsidRPr="00B90A55">
          <w:rPr>
            <w:rStyle w:val="Hyperlink"/>
            <w:rFonts w:ascii="Arial" w:hAnsi="Arial" w:cs="Arial"/>
            <w:shd w:val="clear" w:color="auto" w:fill="FFFFFF"/>
          </w:rPr>
          <w:t>https://doi.org/10.1016/S0140-6736(20)30211-7</w:t>
        </w:r>
      </w:hyperlink>
      <w:r w:rsidRPr="00B90A55">
        <w:rPr>
          <w:rFonts w:ascii="Arial" w:hAnsi="Arial" w:cs="Arial"/>
          <w:color w:val="212121"/>
          <w:shd w:val="clear" w:color="auto" w:fill="FFFFFF"/>
        </w:rPr>
        <w:t xml:space="preserve"> </w:t>
      </w:r>
    </w:p>
    <w:p w14:paraId="75D9E8B5" w14:textId="06A7F01C" w:rsidR="00A7017B" w:rsidRPr="00B90A55" w:rsidRDefault="19F6D5A1" w:rsidP="00B90A55">
      <w:pPr>
        <w:spacing w:line="360" w:lineRule="auto"/>
        <w:jc w:val="both"/>
        <w:textAlignment w:val="bottom"/>
        <w:outlineLvl w:val="0"/>
        <w:rPr>
          <w:rFonts w:ascii="Arial" w:hAnsi="Arial" w:cs="Arial"/>
          <w:color w:val="3C4245"/>
          <w:kern w:val="36"/>
        </w:rPr>
      </w:pPr>
      <w:bookmarkStart w:id="9" w:name="_Toc130532987"/>
      <w:r w:rsidRPr="00B90A55">
        <w:rPr>
          <w:rFonts w:ascii="Arial" w:hAnsi="Arial" w:cs="Arial"/>
          <w:color w:val="212121"/>
          <w:shd w:val="clear" w:color="auto" w:fill="FFFFFF"/>
        </w:rPr>
        <w:t xml:space="preserve">Chippa, V., Aleem, A., and Anjum, F. (2023) </w:t>
      </w:r>
      <w:r w:rsidRPr="34F444B5">
        <w:rPr>
          <w:rFonts w:ascii="Arial" w:hAnsi="Arial" w:cs="Arial"/>
          <w:i/>
          <w:iCs/>
          <w:color w:val="212121"/>
          <w:shd w:val="clear" w:color="auto" w:fill="FFFFFF"/>
        </w:rPr>
        <w:t>Post Acute Coronavirus (COVID-19) Syndrome</w:t>
      </w:r>
      <w:r w:rsidRPr="00B90A55">
        <w:rPr>
          <w:rFonts w:ascii="Arial" w:hAnsi="Arial" w:cs="Arial"/>
          <w:color w:val="212121"/>
          <w:shd w:val="clear" w:color="auto" w:fill="FFFFFF"/>
        </w:rPr>
        <w:t>. In </w:t>
      </w:r>
      <w:r w:rsidRPr="34F444B5">
        <w:rPr>
          <w:rFonts w:ascii="Arial" w:hAnsi="Arial" w:cs="Arial"/>
          <w:i/>
          <w:iCs/>
          <w:color w:val="212121"/>
          <w:shd w:val="clear" w:color="auto" w:fill="FFFFFF"/>
        </w:rPr>
        <w:t>StatPearls</w:t>
      </w:r>
      <w:r w:rsidRPr="00B90A55">
        <w:rPr>
          <w:rFonts w:ascii="Arial" w:hAnsi="Arial" w:cs="Arial"/>
          <w:color w:val="212121"/>
          <w:shd w:val="clear" w:color="auto" w:fill="FFFFFF"/>
        </w:rPr>
        <w:t>. StatPearls Publishing.</w:t>
      </w:r>
      <w:bookmarkEnd w:id="9"/>
    </w:p>
    <w:p w14:paraId="43C153BA" w14:textId="77777777" w:rsidR="00A7017B" w:rsidRPr="00B90A55" w:rsidRDefault="00A7017B" w:rsidP="00B90A55">
      <w:pPr>
        <w:spacing w:line="360" w:lineRule="auto"/>
        <w:jc w:val="both"/>
        <w:rPr>
          <w:rFonts w:ascii="Arial" w:hAnsi="Arial" w:cs="Arial"/>
        </w:rPr>
      </w:pPr>
      <w:r w:rsidRPr="00B90A55">
        <w:rPr>
          <w:rFonts w:ascii="Arial" w:hAnsi="Arial" w:cs="Arial"/>
        </w:rPr>
        <w:t xml:space="preserve">Galal, I. et al. (2021) “Determinants of persistent post-covid-19 symptoms: Value of a novel covid-19 symptom score,” </w:t>
      </w:r>
      <w:r w:rsidRPr="00B90A55">
        <w:rPr>
          <w:rFonts w:ascii="Arial" w:hAnsi="Arial" w:cs="Arial"/>
          <w:i/>
          <w:iCs/>
        </w:rPr>
        <w:t>The Egyptian Journal of Bronchology</w:t>
      </w:r>
      <w:r w:rsidRPr="00B90A55">
        <w:rPr>
          <w:rFonts w:ascii="Arial" w:hAnsi="Arial" w:cs="Arial"/>
        </w:rPr>
        <w:t>, 15(1). Available at: https://doi.org/10.1186/s43168-020-00049-4.</w:t>
      </w:r>
    </w:p>
    <w:p w14:paraId="6AB5D6AB" w14:textId="62E74E44" w:rsidR="00A7017B" w:rsidRPr="00B90A55" w:rsidRDefault="19F6D5A1" w:rsidP="00B90A55">
      <w:pPr>
        <w:spacing w:line="360" w:lineRule="auto"/>
        <w:jc w:val="both"/>
        <w:rPr>
          <w:rFonts w:ascii="Arial" w:hAnsi="Arial" w:cs="Arial"/>
        </w:rPr>
      </w:pPr>
      <w:r w:rsidRPr="34F444B5">
        <w:rPr>
          <w:rFonts w:ascii="Arial" w:hAnsi="Arial" w:cs="Arial"/>
        </w:rPr>
        <w:t xml:space="preserve">Head, A. et al. (2021) “Inequalities in incident and prevalent multimorbidity in England, 2004–19: A population-based, Descriptive Study,” </w:t>
      </w:r>
      <w:r w:rsidRPr="34F444B5">
        <w:rPr>
          <w:rFonts w:ascii="Arial" w:hAnsi="Arial" w:cs="Arial"/>
          <w:i/>
          <w:iCs/>
        </w:rPr>
        <w:t>The Lancet Healthy Longevity</w:t>
      </w:r>
      <w:r w:rsidRPr="34F444B5">
        <w:rPr>
          <w:rFonts w:ascii="Arial" w:hAnsi="Arial" w:cs="Arial"/>
        </w:rPr>
        <w:t xml:space="preserve">, 2(8). Available at: </w:t>
      </w:r>
      <w:hyperlink>
        <w:r w:rsidRPr="34F444B5">
          <w:rPr>
            <w:rStyle w:val="Hyperlink"/>
            <w:rFonts w:ascii="Arial" w:hAnsi="Arial" w:cs="Arial"/>
          </w:rPr>
          <w:t>https://doi.org/10.1016/s2666-7568(21)00146-x</w:t>
        </w:r>
      </w:hyperlink>
      <w:r w:rsidRPr="34F444B5">
        <w:rPr>
          <w:rFonts w:ascii="Arial" w:hAnsi="Arial" w:cs="Arial"/>
        </w:rPr>
        <w:t>.</w:t>
      </w:r>
    </w:p>
    <w:p w14:paraId="5CF93EA1" w14:textId="77777777" w:rsidR="00A7017B" w:rsidRPr="00B90A55" w:rsidRDefault="00A7017B" w:rsidP="00B90A55">
      <w:pPr>
        <w:spacing w:line="360" w:lineRule="auto"/>
        <w:jc w:val="both"/>
        <w:rPr>
          <w:rFonts w:ascii="Arial" w:hAnsi="Arial" w:cs="Arial"/>
        </w:rPr>
      </w:pPr>
      <w:r w:rsidRPr="00B90A55">
        <w:rPr>
          <w:rFonts w:ascii="Arial" w:hAnsi="Arial" w:cs="Arial"/>
        </w:rPr>
        <w:t xml:space="preserve">Iyengar, K. et al. (2020) “Challenges and solutions in meeting up the urgent requirement of ventilators for COVID-19 patients,” Diabetes &amp;amp; Metabolic Syndrome: Clinical Research &amp;amp; Reviews, 14(4), pp. 499–501. Available at: </w:t>
      </w:r>
      <w:hyperlink r:id="rId13" w:history="1">
        <w:r w:rsidRPr="00B90A55">
          <w:rPr>
            <w:rStyle w:val="Hyperlink"/>
            <w:rFonts w:ascii="Arial" w:hAnsi="Arial" w:cs="Arial"/>
          </w:rPr>
          <w:t>https://doi.org/10.1016/j.dsx.2020.04.048</w:t>
        </w:r>
      </w:hyperlink>
      <w:r w:rsidRPr="00B90A55">
        <w:rPr>
          <w:rFonts w:ascii="Arial" w:hAnsi="Arial" w:cs="Arial"/>
        </w:rPr>
        <w:t>.</w:t>
      </w:r>
    </w:p>
    <w:p w14:paraId="60E47E87" w14:textId="77777777" w:rsidR="00A7017B" w:rsidRPr="00B90A55" w:rsidRDefault="00A7017B" w:rsidP="00B90A55">
      <w:pPr>
        <w:spacing w:line="360" w:lineRule="auto"/>
        <w:jc w:val="both"/>
        <w:rPr>
          <w:rFonts w:ascii="Arial" w:hAnsi="Arial" w:cs="Arial"/>
        </w:rPr>
      </w:pPr>
      <w:r w:rsidRPr="00B90A55">
        <w:rPr>
          <w:rFonts w:ascii="Arial" w:hAnsi="Arial" w:cs="Arial"/>
        </w:rPr>
        <w:t>Jain, U. (2020) “Risk of COVID-19 due to shortage of personal protective equipment,”</w:t>
      </w:r>
      <w:r w:rsidRPr="00B90A55">
        <w:rPr>
          <w:rFonts w:ascii="Arial" w:hAnsi="Arial" w:cs="Arial"/>
          <w:i/>
          <w:iCs/>
        </w:rPr>
        <w:t xml:space="preserve"> Cureus</w:t>
      </w:r>
      <w:r w:rsidRPr="00B90A55">
        <w:rPr>
          <w:rFonts w:ascii="Arial" w:hAnsi="Arial" w:cs="Arial"/>
        </w:rPr>
        <w:t xml:space="preserve">. Available at: </w:t>
      </w:r>
      <w:hyperlink r:id="rId14" w:history="1">
        <w:r w:rsidRPr="00B90A55">
          <w:rPr>
            <w:rStyle w:val="Hyperlink"/>
            <w:rFonts w:ascii="Arial" w:hAnsi="Arial" w:cs="Arial"/>
          </w:rPr>
          <w:t>https://doi.org/10.7759/cureus.8837</w:t>
        </w:r>
      </w:hyperlink>
      <w:r w:rsidRPr="00B90A55">
        <w:rPr>
          <w:rFonts w:ascii="Arial" w:hAnsi="Arial" w:cs="Arial"/>
        </w:rPr>
        <w:t>. (Accessed 17 March 2023).</w:t>
      </w:r>
    </w:p>
    <w:p w14:paraId="38D6EB4B" w14:textId="77777777" w:rsidR="00A7017B" w:rsidRPr="00B90A55" w:rsidRDefault="00A7017B" w:rsidP="00B90A55">
      <w:pPr>
        <w:spacing w:line="360" w:lineRule="auto"/>
        <w:jc w:val="both"/>
        <w:rPr>
          <w:rFonts w:ascii="Arial" w:hAnsi="Arial" w:cs="Arial"/>
          <w:color w:val="595959"/>
          <w:shd w:val="clear" w:color="auto" w:fill="F5F5F5"/>
        </w:rPr>
      </w:pPr>
      <w:r w:rsidRPr="00B90A55">
        <w:rPr>
          <w:rFonts w:ascii="Arial" w:hAnsi="Arial" w:cs="Arial"/>
          <w:color w:val="595959"/>
          <w:shd w:val="clear" w:color="auto" w:fill="F5F5F5"/>
        </w:rPr>
        <w:t>Marinaccio, A., Guerra, R. and Iavicoli, S. (2020) ‘Work a key determinant in COVID-19 risk’, </w:t>
      </w:r>
      <w:r w:rsidRPr="00B90A55">
        <w:rPr>
          <w:rFonts w:ascii="Arial" w:hAnsi="Arial" w:cs="Arial"/>
          <w:i/>
          <w:iCs/>
          <w:color w:val="595959"/>
          <w:bdr w:val="none" w:sz="0" w:space="0" w:color="auto" w:frame="1"/>
          <w:shd w:val="clear" w:color="auto" w:fill="F5F5F5"/>
        </w:rPr>
        <w:t>The Lancet. Global health</w:t>
      </w:r>
      <w:r w:rsidRPr="00B90A55">
        <w:rPr>
          <w:rFonts w:ascii="Arial" w:hAnsi="Arial" w:cs="Arial"/>
          <w:color w:val="595959"/>
          <w:shd w:val="clear" w:color="auto" w:fill="F5F5F5"/>
        </w:rPr>
        <w:t>, 8(11), p. e1368. doi:10.10</w:t>
      </w:r>
    </w:p>
    <w:p w14:paraId="280D6574" w14:textId="77777777" w:rsidR="00A7017B" w:rsidRPr="00B90A55" w:rsidRDefault="19F6D5A1" w:rsidP="00B90A55">
      <w:pPr>
        <w:spacing w:line="360" w:lineRule="auto"/>
        <w:jc w:val="both"/>
        <w:rPr>
          <w:rFonts w:ascii="Arial" w:hAnsi="Arial" w:cs="Arial"/>
        </w:rPr>
      </w:pPr>
      <w:r w:rsidRPr="34F444B5">
        <w:rPr>
          <w:rFonts w:ascii="Arial" w:eastAsia="Calibri" w:hAnsi="Arial" w:cs="Arial"/>
          <w:color w:val="222222"/>
        </w:rPr>
        <w:t xml:space="preserve">Moghimi, N. et al. (2021) “The neurological manifestations of post-acute sequelae of SARS-COV-2 infection,” </w:t>
      </w:r>
      <w:r w:rsidRPr="34F444B5">
        <w:rPr>
          <w:rFonts w:ascii="Arial" w:eastAsia="Calibri" w:hAnsi="Arial" w:cs="Arial"/>
          <w:i/>
          <w:iCs/>
          <w:color w:val="222222"/>
        </w:rPr>
        <w:t>Current Neurology and Neuroscience Reports</w:t>
      </w:r>
      <w:r w:rsidRPr="34F444B5">
        <w:rPr>
          <w:rFonts w:ascii="Arial" w:eastAsia="Calibri" w:hAnsi="Arial" w:cs="Arial"/>
          <w:color w:val="222222"/>
        </w:rPr>
        <w:t xml:space="preserve">, 21(9). Available at: </w:t>
      </w:r>
      <w:hyperlink r:id="rId15">
        <w:r w:rsidRPr="34F444B5">
          <w:rPr>
            <w:rStyle w:val="Hyperlink"/>
            <w:rFonts w:ascii="Arial" w:eastAsia="Calibri" w:hAnsi="Arial" w:cs="Arial"/>
          </w:rPr>
          <w:t>https://doi.org/10.1007/s11910-021-01130-1</w:t>
        </w:r>
      </w:hyperlink>
      <w:r w:rsidRPr="34F444B5">
        <w:rPr>
          <w:rFonts w:ascii="Arial" w:eastAsia="Calibri" w:hAnsi="Arial" w:cs="Arial"/>
          <w:color w:val="222222"/>
        </w:rPr>
        <w:t>.</w:t>
      </w:r>
    </w:p>
    <w:p w14:paraId="24F9D860" w14:textId="0790065A" w:rsidR="00A7017B" w:rsidRPr="00B90A55" w:rsidRDefault="19F6D5A1" w:rsidP="00B90A55">
      <w:pPr>
        <w:spacing w:line="360" w:lineRule="auto"/>
        <w:jc w:val="both"/>
        <w:rPr>
          <w:rFonts w:ascii="Arial" w:hAnsi="Arial" w:cs="Arial"/>
        </w:rPr>
      </w:pPr>
      <w:r w:rsidRPr="34F444B5">
        <w:rPr>
          <w:rFonts w:ascii="Arial" w:hAnsi="Arial" w:cs="Arial"/>
        </w:rPr>
        <w:t xml:space="preserve">Moynihan R, </w:t>
      </w:r>
      <w:r w:rsidR="3E8F5391" w:rsidRPr="34F444B5">
        <w:rPr>
          <w:rFonts w:ascii="Arial" w:hAnsi="Arial" w:cs="Arial"/>
        </w:rPr>
        <w:t xml:space="preserve">et al. (2021) </w:t>
      </w:r>
      <w:r w:rsidR="7D784175" w:rsidRPr="34F444B5">
        <w:rPr>
          <w:rFonts w:ascii="Arial" w:hAnsi="Arial" w:cs="Arial"/>
        </w:rPr>
        <w:t>‘</w:t>
      </w:r>
      <w:r w:rsidR="3E8F5391" w:rsidRPr="34F444B5">
        <w:rPr>
          <w:rFonts w:ascii="Arial" w:hAnsi="Arial" w:cs="Arial"/>
        </w:rPr>
        <w:t>Impact</w:t>
      </w:r>
      <w:r w:rsidRPr="34F444B5">
        <w:rPr>
          <w:rFonts w:ascii="Arial" w:hAnsi="Arial" w:cs="Arial"/>
        </w:rPr>
        <w:t xml:space="preserve"> of COVID-19 pandemic on utilisation of healthcare services: a systematic review</w:t>
      </w:r>
      <w:r w:rsidR="70773B4A" w:rsidRPr="34F444B5">
        <w:rPr>
          <w:rFonts w:ascii="Arial" w:hAnsi="Arial" w:cs="Arial"/>
        </w:rPr>
        <w:t>’</w:t>
      </w:r>
      <w:r w:rsidRPr="34F444B5">
        <w:rPr>
          <w:rFonts w:ascii="Arial" w:hAnsi="Arial" w:cs="Arial"/>
        </w:rPr>
        <w:t xml:space="preserve">, </w:t>
      </w:r>
      <w:r w:rsidRPr="34F444B5">
        <w:rPr>
          <w:rFonts w:ascii="Arial" w:hAnsi="Arial" w:cs="Arial"/>
          <w:i/>
          <w:iCs/>
        </w:rPr>
        <w:t>BMJ Ope</w:t>
      </w:r>
      <w:r w:rsidRPr="34F444B5">
        <w:rPr>
          <w:rFonts w:ascii="Arial" w:hAnsi="Arial" w:cs="Arial"/>
        </w:rPr>
        <w:t>n</w:t>
      </w:r>
      <w:r w:rsidR="7855613E" w:rsidRPr="34F444B5">
        <w:rPr>
          <w:rFonts w:ascii="Arial" w:hAnsi="Arial" w:cs="Arial"/>
        </w:rPr>
        <w:t>,</w:t>
      </w:r>
      <w:r w:rsidRPr="34F444B5">
        <w:rPr>
          <w:rFonts w:ascii="Arial" w:hAnsi="Arial" w:cs="Arial"/>
        </w:rPr>
        <w:t xml:space="preserve"> </w:t>
      </w:r>
      <w:r w:rsidR="1768CBF1" w:rsidRPr="34F444B5">
        <w:rPr>
          <w:rFonts w:ascii="Arial" w:hAnsi="Arial" w:cs="Arial"/>
        </w:rPr>
        <w:t xml:space="preserve">Available at: </w:t>
      </w:r>
      <w:hyperlink r:id="rId16">
        <w:r w:rsidR="1768CBF1" w:rsidRPr="34F444B5">
          <w:rPr>
            <w:rStyle w:val="Hyperlink"/>
            <w:rFonts w:ascii="Arial" w:hAnsi="Arial" w:cs="Arial"/>
          </w:rPr>
          <w:t>https://bmjopen.bmj.com/content/11/3/e045343</w:t>
        </w:r>
      </w:hyperlink>
      <w:r w:rsidR="1768CBF1" w:rsidRPr="34F444B5">
        <w:rPr>
          <w:rFonts w:ascii="Arial" w:hAnsi="Arial" w:cs="Arial"/>
        </w:rPr>
        <w:t xml:space="preserve"> </w:t>
      </w:r>
    </w:p>
    <w:p w14:paraId="1FEEAE6C" w14:textId="2C143BE9" w:rsidR="00A7017B" w:rsidRPr="00B90A55" w:rsidRDefault="19F6D5A1" w:rsidP="00B90A55">
      <w:pPr>
        <w:spacing w:line="360" w:lineRule="auto"/>
        <w:jc w:val="both"/>
        <w:rPr>
          <w:rFonts w:ascii="Arial" w:hAnsi="Arial" w:cs="Arial"/>
        </w:rPr>
      </w:pPr>
      <w:r w:rsidRPr="34F444B5">
        <w:rPr>
          <w:rFonts w:ascii="Arial" w:hAnsi="Arial" w:cs="Arial"/>
        </w:rPr>
        <w:t>Nathwani, S. and Rahman, N. (2021) “The 3 P’s model enhancing patient safety during the COVID</w:t>
      </w:r>
      <w:r w:rsidRPr="34F444B5">
        <w:rPr>
          <w:rFonts w:ascii="Cambria Math" w:hAnsi="Cambria Math" w:cs="Cambria Math"/>
        </w:rPr>
        <w:t>‐</w:t>
      </w:r>
      <w:r w:rsidRPr="34F444B5">
        <w:rPr>
          <w:rFonts w:ascii="Arial" w:hAnsi="Arial" w:cs="Arial"/>
        </w:rPr>
        <w:t xml:space="preserve">19 pandemic,” </w:t>
      </w:r>
      <w:r w:rsidRPr="34F444B5">
        <w:rPr>
          <w:rFonts w:ascii="Arial" w:hAnsi="Arial" w:cs="Arial"/>
          <w:i/>
          <w:iCs/>
        </w:rPr>
        <w:t>Oral Surgery</w:t>
      </w:r>
      <w:r w:rsidRPr="34F444B5">
        <w:rPr>
          <w:rFonts w:ascii="Arial" w:hAnsi="Arial" w:cs="Arial"/>
        </w:rPr>
        <w:t xml:space="preserve">, 14(3), pp. 246–254. Available at: </w:t>
      </w:r>
      <w:hyperlink>
        <w:r w:rsidRPr="34F444B5">
          <w:rPr>
            <w:rStyle w:val="Hyperlink"/>
            <w:rFonts w:ascii="Arial" w:hAnsi="Arial" w:cs="Arial"/>
          </w:rPr>
          <w:t>https://doi.org/10.1111/ors.12607</w:t>
        </w:r>
      </w:hyperlink>
      <w:r w:rsidRPr="34F444B5">
        <w:rPr>
          <w:rFonts w:ascii="Arial" w:hAnsi="Arial" w:cs="Arial"/>
        </w:rPr>
        <w:t xml:space="preserve"> </w:t>
      </w:r>
    </w:p>
    <w:p w14:paraId="22A62D05" w14:textId="77777777" w:rsidR="00A7017B" w:rsidRPr="00B90A55" w:rsidRDefault="00A7017B" w:rsidP="00B90A55">
      <w:pPr>
        <w:spacing w:line="360" w:lineRule="auto"/>
        <w:jc w:val="both"/>
        <w:rPr>
          <w:rFonts w:ascii="Arial" w:hAnsi="Arial" w:cs="Arial"/>
        </w:rPr>
      </w:pPr>
      <w:r w:rsidRPr="00B90A55">
        <w:rPr>
          <w:rFonts w:ascii="Arial" w:hAnsi="Arial" w:cs="Arial"/>
        </w:rPr>
        <w:t xml:space="preserve">National Heart Lung and Blood Institute (2022) What is a ventilator? U.S. Department of Health and Human Services. Available at: </w:t>
      </w:r>
      <w:hyperlink r:id="rId17" w:history="1">
        <w:r w:rsidRPr="00B90A55">
          <w:rPr>
            <w:rStyle w:val="Hyperlink"/>
            <w:rFonts w:ascii="Arial" w:hAnsi="Arial" w:cs="Arial"/>
          </w:rPr>
          <w:t>https://www.nhlbi.nih.gov/health/ventilator</w:t>
        </w:r>
      </w:hyperlink>
      <w:r w:rsidRPr="00B90A55">
        <w:rPr>
          <w:rFonts w:ascii="Arial" w:hAnsi="Arial" w:cs="Arial"/>
        </w:rPr>
        <w:t xml:space="preserve"> (Accessed: March 17, 2023).</w:t>
      </w:r>
    </w:p>
    <w:p w14:paraId="5C19CCBE" w14:textId="77777777" w:rsidR="00A7017B" w:rsidRPr="00B90A55" w:rsidRDefault="00A7017B" w:rsidP="00B90A55">
      <w:pPr>
        <w:spacing w:line="360" w:lineRule="auto"/>
        <w:jc w:val="both"/>
        <w:rPr>
          <w:rFonts w:ascii="Arial" w:hAnsi="Arial" w:cs="Arial"/>
        </w:rPr>
      </w:pPr>
      <w:r w:rsidRPr="00B90A55">
        <w:rPr>
          <w:rFonts w:ascii="Arial" w:hAnsi="Arial" w:cs="Arial"/>
        </w:rPr>
        <w:t xml:space="preserve">Office of National Statistic (2023) Coronavirus Covid 19 infection survey, UK: 3 March 2023 </w:t>
      </w:r>
    </w:p>
    <w:p w14:paraId="64D06A24" w14:textId="2E7C781B" w:rsidR="00A7017B" w:rsidRPr="00B90A55" w:rsidRDefault="19F6D5A1" w:rsidP="00B90A55">
      <w:pPr>
        <w:spacing w:line="360" w:lineRule="auto"/>
        <w:jc w:val="both"/>
        <w:rPr>
          <w:rFonts w:ascii="Arial" w:hAnsi="Arial" w:cs="Arial"/>
        </w:rPr>
      </w:pPr>
      <w:r w:rsidRPr="00B90A55">
        <w:rPr>
          <w:rStyle w:val="normaltextrun"/>
          <w:rFonts w:ascii="Arial" w:hAnsi="Arial" w:cs="Arial"/>
          <w:color w:val="222222"/>
          <w:shd w:val="clear" w:color="auto" w:fill="FFFFFF"/>
        </w:rPr>
        <w:t xml:space="preserve">Proal, A.D. and VanElzakker, M.B. (2021) </w:t>
      </w:r>
      <w:r w:rsidR="2BCE1808" w:rsidRPr="00B90A55">
        <w:rPr>
          <w:rStyle w:val="normaltextrun"/>
          <w:rFonts w:ascii="Arial" w:hAnsi="Arial" w:cs="Arial"/>
          <w:color w:val="222222"/>
          <w:shd w:val="clear" w:color="auto" w:fill="FFFFFF"/>
        </w:rPr>
        <w:t>‘</w:t>
      </w:r>
      <w:r w:rsidRPr="00B90A55">
        <w:rPr>
          <w:rStyle w:val="normaltextrun"/>
          <w:rFonts w:ascii="Arial" w:hAnsi="Arial" w:cs="Arial"/>
          <w:color w:val="222222"/>
          <w:shd w:val="clear" w:color="auto" w:fill="FFFFFF"/>
        </w:rPr>
        <w:t>Long Covid or post-acute sequelae of COVID-19 (PASC): An overview of biological factors that may contribute to persistent symptoms,</w:t>
      </w:r>
      <w:r w:rsidR="4C247F91" w:rsidRPr="00B90A55">
        <w:rPr>
          <w:rStyle w:val="normaltextrun"/>
          <w:rFonts w:ascii="Arial" w:hAnsi="Arial" w:cs="Arial"/>
          <w:color w:val="222222"/>
          <w:shd w:val="clear" w:color="auto" w:fill="FFFFFF"/>
        </w:rPr>
        <w:t>’</w:t>
      </w:r>
      <w:r w:rsidRPr="00B90A55">
        <w:rPr>
          <w:rStyle w:val="normaltextrun"/>
          <w:rFonts w:ascii="Arial" w:hAnsi="Arial" w:cs="Arial"/>
          <w:color w:val="222222"/>
          <w:shd w:val="clear" w:color="auto" w:fill="FFFFFF"/>
        </w:rPr>
        <w:t>, 12. Available at: </w:t>
      </w:r>
      <w:hyperlink r:id="rId18" w:tgtFrame="_blank" w:history="1">
        <w:r w:rsidRPr="00B90A55">
          <w:rPr>
            <w:rStyle w:val="normaltextrun"/>
            <w:rFonts w:ascii="Arial" w:hAnsi="Arial" w:cs="Arial"/>
            <w:color w:val="0563C1"/>
            <w:shd w:val="clear" w:color="auto" w:fill="FFFFFF"/>
          </w:rPr>
          <w:t>https://doi.org/10.3389/fmicb.2021.698169</w:t>
        </w:r>
      </w:hyperlink>
      <w:r w:rsidRPr="00B90A55">
        <w:rPr>
          <w:rStyle w:val="eop"/>
          <w:rFonts w:ascii="Arial" w:hAnsi="Arial" w:cs="Arial"/>
          <w:color w:val="222222"/>
          <w:shd w:val="clear" w:color="auto" w:fill="FFFFFF"/>
        </w:rPr>
        <w:t> </w:t>
      </w:r>
    </w:p>
    <w:p w14:paraId="43E3B248" w14:textId="0F05B94C" w:rsidR="00A7017B" w:rsidRPr="00B90A55" w:rsidRDefault="19F6D5A1" w:rsidP="34F444B5">
      <w:pPr>
        <w:spacing w:line="360" w:lineRule="auto"/>
        <w:jc w:val="both"/>
        <w:rPr>
          <w:rFonts w:ascii="Arial" w:hAnsi="Arial" w:cs="Arial"/>
          <w:color w:val="212121"/>
        </w:rPr>
      </w:pPr>
      <w:r w:rsidRPr="00B90A55">
        <w:rPr>
          <w:rFonts w:ascii="Arial" w:hAnsi="Arial" w:cs="Arial"/>
          <w:color w:val="212121"/>
          <w:shd w:val="clear" w:color="auto" w:fill="FFFFFF"/>
        </w:rPr>
        <w:t xml:space="preserve">Rashedi, J., et al., (2020) </w:t>
      </w:r>
      <w:r w:rsidR="063A0D24" w:rsidRPr="00B90A55">
        <w:rPr>
          <w:rFonts w:ascii="Arial" w:hAnsi="Arial" w:cs="Arial"/>
          <w:color w:val="212121"/>
          <w:shd w:val="clear" w:color="auto" w:fill="FFFFFF"/>
        </w:rPr>
        <w:t>‘</w:t>
      </w:r>
      <w:r w:rsidRPr="00B90A55">
        <w:rPr>
          <w:rFonts w:ascii="Arial" w:hAnsi="Arial" w:cs="Arial"/>
          <w:color w:val="212121"/>
          <w:shd w:val="clear" w:color="auto" w:fill="FFFFFF"/>
        </w:rPr>
        <w:t>Risk Factors for COVID-19</w:t>
      </w:r>
      <w:r w:rsidR="3B1525A2" w:rsidRPr="00B90A55">
        <w:rPr>
          <w:rFonts w:ascii="Arial" w:hAnsi="Arial" w:cs="Arial"/>
          <w:color w:val="212121"/>
          <w:shd w:val="clear" w:color="auto" w:fill="FFFFFF"/>
        </w:rPr>
        <w:t>',</w:t>
      </w:r>
      <w:r w:rsidRPr="00B90A55">
        <w:rPr>
          <w:rFonts w:ascii="Arial" w:hAnsi="Arial" w:cs="Arial"/>
          <w:color w:val="212121"/>
          <w:shd w:val="clear" w:color="auto" w:fill="FFFFFF"/>
        </w:rPr>
        <w:t> </w:t>
      </w:r>
      <w:r w:rsidRPr="34F444B5">
        <w:rPr>
          <w:rFonts w:ascii="Arial" w:hAnsi="Arial" w:cs="Arial"/>
          <w:i/>
          <w:iCs/>
          <w:color w:val="212121"/>
          <w:shd w:val="clear" w:color="auto" w:fill="FFFFFF"/>
        </w:rPr>
        <w:t>Le infezioni in medicina</w:t>
      </w:r>
      <w:r w:rsidRPr="00B90A55">
        <w:rPr>
          <w:rFonts w:ascii="Arial" w:hAnsi="Arial" w:cs="Arial"/>
          <w:color w:val="212121"/>
          <w:shd w:val="clear" w:color="auto" w:fill="FFFFFF"/>
        </w:rPr>
        <w:t>, </w:t>
      </w:r>
      <w:r w:rsidRPr="34F444B5">
        <w:rPr>
          <w:rFonts w:ascii="Arial" w:hAnsi="Arial" w:cs="Arial"/>
          <w:i/>
          <w:iCs/>
          <w:color w:val="212121"/>
          <w:shd w:val="clear" w:color="auto" w:fill="FFFFFF"/>
        </w:rPr>
        <w:t>28</w:t>
      </w:r>
      <w:r w:rsidRPr="00B90A55">
        <w:rPr>
          <w:rFonts w:ascii="Arial" w:hAnsi="Arial" w:cs="Arial"/>
          <w:color w:val="212121"/>
          <w:shd w:val="clear" w:color="auto" w:fill="FFFFFF"/>
        </w:rPr>
        <w:t xml:space="preserve">(4), </w:t>
      </w:r>
      <w:r w:rsidR="2525C53E" w:rsidRPr="00B90A55">
        <w:rPr>
          <w:rFonts w:ascii="Arial" w:hAnsi="Arial" w:cs="Arial"/>
          <w:color w:val="212121"/>
          <w:shd w:val="clear" w:color="auto" w:fill="FFFFFF"/>
        </w:rPr>
        <w:t xml:space="preserve">pp. </w:t>
      </w:r>
      <w:r w:rsidRPr="00B90A55">
        <w:rPr>
          <w:rFonts w:ascii="Arial" w:hAnsi="Arial" w:cs="Arial"/>
          <w:color w:val="212121"/>
          <w:shd w:val="clear" w:color="auto" w:fill="FFFFFF"/>
        </w:rPr>
        <w:t>469–474.</w:t>
      </w:r>
    </w:p>
    <w:p w14:paraId="113B5125" w14:textId="64148EE9" w:rsidR="00A7017B" w:rsidRPr="00B90A55" w:rsidRDefault="19F6D5A1" w:rsidP="00B90A55">
      <w:pPr>
        <w:spacing w:line="360" w:lineRule="auto"/>
        <w:jc w:val="both"/>
        <w:rPr>
          <w:rFonts w:ascii="Arial" w:hAnsi="Arial" w:cs="Arial"/>
          <w:color w:val="333333"/>
          <w:shd w:val="clear" w:color="auto" w:fill="F5F5F5"/>
        </w:rPr>
      </w:pPr>
      <w:r w:rsidRPr="00B90A55">
        <w:rPr>
          <w:rFonts w:ascii="Arial" w:hAnsi="Arial" w:cs="Arial"/>
          <w:color w:val="333333"/>
          <w:shd w:val="clear" w:color="auto" w:fill="F5F5F5"/>
        </w:rPr>
        <w:t>Sohrabi, M.-R. </w:t>
      </w:r>
      <w:r w:rsidRPr="34F444B5">
        <w:rPr>
          <w:rFonts w:ascii="Arial" w:hAnsi="Arial" w:cs="Arial"/>
          <w:i/>
          <w:iCs/>
          <w:color w:val="333333"/>
          <w:bdr w:val="none" w:sz="0" w:space="0" w:color="auto" w:frame="1"/>
          <w:shd w:val="clear" w:color="auto" w:fill="F5F5F5"/>
        </w:rPr>
        <w:t>et al.</w:t>
      </w:r>
      <w:r w:rsidRPr="00B90A55">
        <w:rPr>
          <w:rFonts w:ascii="Arial" w:hAnsi="Arial" w:cs="Arial"/>
          <w:color w:val="333333"/>
          <w:shd w:val="clear" w:color="auto" w:fill="F5F5F5"/>
        </w:rPr>
        <w:t> (2021) ‘Sociodemographic determinants and clinical risk factors associated with COVID-19 severity: a cross-sectional analysis of over 200,000 patients in Tehran, Iran’, </w:t>
      </w:r>
      <w:r w:rsidRPr="34F444B5">
        <w:rPr>
          <w:rFonts w:ascii="Arial" w:hAnsi="Arial" w:cs="Arial"/>
          <w:i/>
          <w:iCs/>
          <w:color w:val="333333"/>
          <w:bdr w:val="none" w:sz="0" w:space="0" w:color="auto" w:frame="1"/>
          <w:shd w:val="clear" w:color="auto" w:fill="F5F5F5"/>
        </w:rPr>
        <w:t>BMC Infectious Diseases</w:t>
      </w:r>
      <w:r w:rsidRPr="00B90A55">
        <w:rPr>
          <w:rFonts w:ascii="Arial" w:hAnsi="Arial" w:cs="Arial"/>
          <w:color w:val="333333"/>
          <w:shd w:val="clear" w:color="auto" w:fill="F5F5F5"/>
        </w:rPr>
        <w:t xml:space="preserve">, 21(1). </w:t>
      </w:r>
      <w:r w:rsidR="1B4ECEDE" w:rsidRPr="00B90A55">
        <w:rPr>
          <w:rFonts w:ascii="Arial" w:hAnsi="Arial" w:cs="Arial"/>
          <w:color w:val="333333"/>
          <w:shd w:val="clear" w:color="auto" w:fill="F5F5F5"/>
        </w:rPr>
        <w:t xml:space="preserve">Available at: </w:t>
      </w:r>
      <w:hyperlink>
        <w:r w:rsidR="1B4ECEDE" w:rsidRPr="34F444B5">
          <w:rPr>
            <w:rStyle w:val="Hyperlink"/>
            <w:rFonts w:ascii="Arial" w:hAnsi="Arial" w:cs="Arial"/>
          </w:rPr>
          <w:t>https://</w:t>
        </w:r>
        <w:r w:rsidRPr="34F444B5">
          <w:rPr>
            <w:rStyle w:val="Hyperlink"/>
            <w:rFonts w:ascii="Arial" w:hAnsi="Arial" w:cs="Arial"/>
          </w:rPr>
          <w:t>doi:10.1186/s12879-021-06179-</w:t>
        </w:r>
        <w:r w:rsidR="03BF1CE5" w:rsidRPr="34F444B5">
          <w:rPr>
            <w:rStyle w:val="Hyperlink"/>
            <w:rFonts w:ascii="Arial" w:hAnsi="Arial" w:cs="Arial"/>
          </w:rPr>
          <w:t>4</w:t>
        </w:r>
      </w:hyperlink>
      <w:r w:rsidR="686C3D3F" w:rsidRPr="00B90A55">
        <w:rPr>
          <w:rFonts w:ascii="Arial" w:hAnsi="Arial" w:cs="Arial"/>
          <w:color w:val="333333"/>
          <w:shd w:val="clear" w:color="auto" w:fill="F5F5F5"/>
        </w:rPr>
        <w:t xml:space="preserve"> </w:t>
      </w:r>
    </w:p>
    <w:p w14:paraId="2BA4BBE1" w14:textId="021AEE9F" w:rsidR="00A7017B" w:rsidRPr="00B90A55" w:rsidRDefault="19F6D5A1" w:rsidP="00B90A55">
      <w:pPr>
        <w:spacing w:line="360" w:lineRule="auto"/>
        <w:jc w:val="both"/>
        <w:rPr>
          <w:rFonts w:ascii="Arial" w:eastAsia="Calibri" w:hAnsi="Arial" w:cs="Arial"/>
        </w:rPr>
      </w:pPr>
      <w:r w:rsidRPr="34F444B5">
        <w:rPr>
          <w:rFonts w:ascii="Arial" w:eastAsia="Calibri" w:hAnsi="Arial" w:cs="Arial"/>
          <w:color w:val="222222"/>
        </w:rPr>
        <w:t>Upshaw, T.L. et al. (2021) “Social determinants of COVID-19 incidence and outcomes: A rapid review</w:t>
      </w:r>
      <w:r w:rsidR="25DD7AAC" w:rsidRPr="34F444B5">
        <w:rPr>
          <w:rFonts w:ascii="Arial" w:eastAsia="Calibri" w:hAnsi="Arial" w:cs="Arial"/>
          <w:color w:val="222222"/>
        </w:rPr>
        <w:t>’</w:t>
      </w:r>
      <w:r w:rsidRPr="34F444B5">
        <w:rPr>
          <w:rFonts w:ascii="Arial" w:eastAsia="Calibri" w:hAnsi="Arial" w:cs="Arial"/>
          <w:color w:val="222222"/>
        </w:rPr>
        <w:t xml:space="preserve">, </w:t>
      </w:r>
      <w:r w:rsidRPr="34F444B5">
        <w:rPr>
          <w:rFonts w:ascii="Arial" w:eastAsia="Calibri" w:hAnsi="Arial" w:cs="Arial"/>
          <w:i/>
          <w:iCs/>
          <w:color w:val="222222"/>
        </w:rPr>
        <w:t>PLOS ONE</w:t>
      </w:r>
      <w:r w:rsidRPr="34F444B5">
        <w:rPr>
          <w:rFonts w:ascii="Arial" w:eastAsia="Calibri" w:hAnsi="Arial" w:cs="Arial"/>
          <w:color w:val="222222"/>
        </w:rPr>
        <w:t xml:space="preserve">, 16(3). Available at: </w:t>
      </w:r>
      <w:hyperlink r:id="rId19">
        <w:r w:rsidRPr="34F444B5">
          <w:rPr>
            <w:rStyle w:val="Hyperlink"/>
            <w:rFonts w:ascii="Arial" w:eastAsia="Calibri" w:hAnsi="Arial" w:cs="Arial"/>
          </w:rPr>
          <w:t>https://doi.org/10.1371/journal.pone.0248336</w:t>
        </w:r>
      </w:hyperlink>
      <w:r w:rsidRPr="34F444B5">
        <w:rPr>
          <w:rFonts w:ascii="Arial" w:eastAsia="Calibri" w:hAnsi="Arial" w:cs="Arial"/>
          <w:color w:val="222222"/>
        </w:rPr>
        <w:t xml:space="preserve">. </w:t>
      </w:r>
    </w:p>
    <w:p w14:paraId="69C86C7F" w14:textId="70E40728" w:rsidR="00A7017B" w:rsidRPr="00B90A55" w:rsidRDefault="19F6D5A1" w:rsidP="00B90A55">
      <w:pPr>
        <w:spacing w:line="360" w:lineRule="auto"/>
        <w:jc w:val="both"/>
        <w:rPr>
          <w:rFonts w:ascii="Arial" w:hAnsi="Arial" w:cs="Arial"/>
          <w:shd w:val="clear" w:color="auto" w:fill="F5F5F5"/>
        </w:rPr>
      </w:pPr>
      <w:r w:rsidRPr="00B90A55">
        <w:rPr>
          <w:rFonts w:ascii="Arial" w:hAnsi="Arial" w:cs="Arial"/>
          <w:shd w:val="clear" w:color="auto" w:fill="F5F5F5"/>
        </w:rPr>
        <w:t>Wang et al.</w:t>
      </w:r>
      <w:r w:rsidR="31A9738E" w:rsidRPr="00B90A55">
        <w:rPr>
          <w:rFonts w:ascii="Arial" w:hAnsi="Arial" w:cs="Arial"/>
          <w:shd w:val="clear" w:color="auto" w:fill="F5F5F5"/>
        </w:rPr>
        <w:t>,</w:t>
      </w:r>
      <w:r w:rsidRPr="00B90A55">
        <w:rPr>
          <w:rFonts w:ascii="Arial" w:hAnsi="Arial" w:cs="Arial"/>
          <w:shd w:val="clear" w:color="auto" w:fill="F5F5F5"/>
        </w:rPr>
        <w:t xml:space="preserve"> (2022) Estimating excess mortality due to the COVID-19 pandemic: a systematic analysis of COVID-19-related mortality, 2020-21</w:t>
      </w:r>
      <w:r w:rsidR="153BD9FA" w:rsidRPr="00B90A55">
        <w:rPr>
          <w:rFonts w:ascii="Arial" w:hAnsi="Arial" w:cs="Arial"/>
          <w:shd w:val="clear" w:color="auto" w:fill="F5F5F5"/>
        </w:rPr>
        <w:t>’, Lancet</w:t>
      </w:r>
      <w:r w:rsidR="05EC367E" w:rsidRPr="34F444B5">
        <w:rPr>
          <w:rFonts w:ascii="Arial" w:hAnsi="Arial" w:cs="Arial"/>
          <w:i/>
          <w:iCs/>
          <w:bdr w:val="none" w:sz="0" w:space="0" w:color="auto" w:frame="1"/>
          <w:shd w:val="clear" w:color="auto" w:fill="F5F5F5"/>
        </w:rPr>
        <w:t>,</w:t>
      </w:r>
      <w:r w:rsidRPr="34F444B5">
        <w:rPr>
          <w:rFonts w:ascii="Arial" w:hAnsi="Arial" w:cs="Arial"/>
          <w:i/>
          <w:iCs/>
          <w:bdr w:val="none" w:sz="0" w:space="0" w:color="auto" w:frame="1"/>
          <w:shd w:val="clear" w:color="auto" w:fill="F5F5F5"/>
        </w:rPr>
        <w:t xml:space="preserve"> </w:t>
      </w:r>
      <w:r w:rsidRPr="00B90A55">
        <w:rPr>
          <w:rFonts w:ascii="Arial" w:hAnsi="Arial" w:cs="Arial"/>
          <w:shd w:val="clear" w:color="auto" w:fill="F5F5F5"/>
        </w:rPr>
        <w:t xml:space="preserve">399(10334), pp. 1513–1536. </w:t>
      </w:r>
      <w:r w:rsidR="542C20E0" w:rsidRPr="00B90A55">
        <w:rPr>
          <w:rFonts w:ascii="Arial" w:hAnsi="Arial" w:cs="Arial"/>
          <w:shd w:val="clear" w:color="auto" w:fill="F5F5F5"/>
        </w:rPr>
        <w:t xml:space="preserve">Available at: </w:t>
      </w:r>
      <w:hyperlink>
        <w:r w:rsidR="542C20E0" w:rsidRPr="34F444B5">
          <w:rPr>
            <w:rStyle w:val="Hyperlink"/>
            <w:rFonts w:ascii="Arial" w:hAnsi="Arial" w:cs="Arial"/>
          </w:rPr>
          <w:t>http</w:t>
        </w:r>
        <w:r w:rsidR="31445033" w:rsidRPr="34F444B5">
          <w:rPr>
            <w:rStyle w:val="Hyperlink"/>
            <w:rFonts w:ascii="Arial" w:hAnsi="Arial" w:cs="Arial"/>
          </w:rPr>
          <w:t>:</w:t>
        </w:r>
        <w:r w:rsidR="542C20E0" w:rsidRPr="34F444B5">
          <w:rPr>
            <w:rStyle w:val="Hyperlink"/>
            <w:rFonts w:ascii="Arial" w:hAnsi="Arial" w:cs="Arial"/>
          </w:rPr>
          <w:t>//</w:t>
        </w:r>
        <w:r w:rsidRPr="34F444B5">
          <w:rPr>
            <w:rStyle w:val="Hyperlink"/>
            <w:rFonts w:ascii="Arial" w:hAnsi="Arial" w:cs="Arial"/>
          </w:rPr>
          <w:t>doi:10.1016/S0140-6736(21)02796-3</w:t>
        </w:r>
      </w:hyperlink>
      <w:r w:rsidR="667E1504" w:rsidRPr="00B90A55">
        <w:rPr>
          <w:rFonts w:ascii="Arial" w:hAnsi="Arial" w:cs="Arial"/>
          <w:shd w:val="clear" w:color="auto" w:fill="F5F5F5"/>
        </w:rPr>
        <w:t xml:space="preserve"> </w:t>
      </w:r>
      <w:r w:rsidR="1557BA7A" w:rsidRPr="00B90A55">
        <w:rPr>
          <w:rFonts w:ascii="Arial" w:hAnsi="Arial" w:cs="Arial"/>
          <w:shd w:val="clear" w:color="auto" w:fill="F5F5F5"/>
        </w:rPr>
        <w:t xml:space="preserve"> </w:t>
      </w:r>
    </w:p>
    <w:p w14:paraId="48F72219" w14:textId="77777777" w:rsidR="00A7017B" w:rsidRPr="00B90A55" w:rsidRDefault="19F6D5A1" w:rsidP="00B90A55">
      <w:pPr>
        <w:spacing w:line="360" w:lineRule="auto"/>
        <w:jc w:val="both"/>
        <w:rPr>
          <w:rFonts w:ascii="Arial" w:hAnsi="Arial" w:cs="Arial"/>
        </w:rPr>
      </w:pPr>
      <w:r w:rsidRPr="34F444B5">
        <w:rPr>
          <w:rFonts w:ascii="Arial" w:hAnsi="Arial" w:cs="Arial"/>
        </w:rPr>
        <w:t xml:space="preserve">WHO (2022) </w:t>
      </w:r>
      <w:r w:rsidRPr="34F444B5">
        <w:rPr>
          <w:rFonts w:ascii="Arial" w:hAnsi="Arial" w:cs="Arial"/>
          <w:i/>
          <w:iCs/>
        </w:rPr>
        <w:t>Health promotion and disease prevention through population-based interventions, including action to address social determinants and health inequity</w:t>
      </w:r>
      <w:r w:rsidRPr="34F444B5">
        <w:rPr>
          <w:rFonts w:ascii="Arial" w:hAnsi="Arial" w:cs="Arial"/>
        </w:rPr>
        <w:t xml:space="preserve">, Available at: </w:t>
      </w:r>
      <w:hyperlink r:id="rId20" w:anchor=":~:text=Health%20promotion%20is%20the%20process%20of%20empowering%20people,populations%20at%20increased%20risk%20of%20negative%20health%20outcomes">
        <w:r w:rsidRPr="34F444B5">
          <w:rPr>
            <w:rStyle w:val="Hyperlink"/>
            <w:rFonts w:ascii="Arial" w:hAnsi="Arial" w:cs="Arial"/>
          </w:rPr>
          <w:t>https://www.emro.who.int/about-who/public-health-functions/health-promotion-disease-prevention.html#:~:text=Health%20promotion%20is%20the%20process%20of%20empowering%20people,populations%20at%20increased%20risk%20of%20negative%20health%20outcomes</w:t>
        </w:r>
      </w:hyperlink>
      <w:r w:rsidRPr="34F444B5">
        <w:rPr>
          <w:rFonts w:ascii="Arial" w:hAnsi="Arial" w:cs="Arial"/>
        </w:rPr>
        <w:t xml:space="preserve"> (Accessed 24 March 2023).</w:t>
      </w:r>
    </w:p>
    <w:p w14:paraId="4BE3EA61" w14:textId="77777777" w:rsidR="00A7017B" w:rsidRPr="00B90A55" w:rsidRDefault="00A7017B" w:rsidP="00B90A55">
      <w:pPr>
        <w:spacing w:before="240" w:line="360" w:lineRule="auto"/>
        <w:jc w:val="both"/>
        <w:rPr>
          <w:rFonts w:ascii="Arial" w:hAnsi="Arial" w:cs="Arial"/>
        </w:rPr>
      </w:pPr>
      <w:r w:rsidRPr="00B90A55">
        <w:rPr>
          <w:rFonts w:ascii="Arial" w:hAnsi="Arial" w:cs="Arial"/>
        </w:rPr>
        <w:t xml:space="preserve">WHO (2023) </w:t>
      </w:r>
      <w:r w:rsidRPr="00B90A55">
        <w:rPr>
          <w:rFonts w:ascii="Arial" w:hAnsi="Arial" w:cs="Arial"/>
          <w:i/>
          <w:iCs/>
        </w:rPr>
        <w:t>Coronavirus disease (COVID-19)</w:t>
      </w:r>
      <w:r w:rsidRPr="00B90A55">
        <w:rPr>
          <w:rFonts w:ascii="Arial" w:hAnsi="Arial" w:cs="Arial"/>
        </w:rPr>
        <w:t xml:space="preserve">, Available at:  </w:t>
      </w:r>
      <w:hyperlink r:id="rId21" w:anchor="tab=tab_1" w:history="1">
        <w:r w:rsidRPr="00B90A55">
          <w:rPr>
            <w:rStyle w:val="Hyperlink"/>
            <w:rFonts w:ascii="Arial" w:hAnsi="Arial" w:cs="Arial"/>
          </w:rPr>
          <w:t>https://www.who.int/health-topics/coronavirus#tab=tab_1</w:t>
        </w:r>
      </w:hyperlink>
      <w:r w:rsidRPr="00B90A55">
        <w:rPr>
          <w:rFonts w:ascii="Arial" w:hAnsi="Arial" w:cs="Arial"/>
        </w:rPr>
        <w:t xml:space="preserve"> (Accesses 17</w:t>
      </w:r>
      <w:r w:rsidRPr="00B90A55">
        <w:rPr>
          <w:rFonts w:ascii="Arial" w:hAnsi="Arial" w:cs="Arial"/>
          <w:vertAlign w:val="superscript"/>
        </w:rPr>
        <w:t xml:space="preserve"> </w:t>
      </w:r>
      <w:r w:rsidRPr="00B90A55">
        <w:rPr>
          <w:rFonts w:ascii="Arial" w:hAnsi="Arial" w:cs="Arial"/>
        </w:rPr>
        <w:t>March 2023).</w:t>
      </w:r>
    </w:p>
    <w:p w14:paraId="01A36827" w14:textId="3E42561C" w:rsidR="00A7017B" w:rsidRPr="00B90A55" w:rsidRDefault="19F6D5A1" w:rsidP="00B90A55">
      <w:pPr>
        <w:spacing w:before="240" w:line="360" w:lineRule="auto"/>
        <w:jc w:val="both"/>
        <w:rPr>
          <w:rFonts w:ascii="Arial" w:hAnsi="Arial" w:cs="Arial"/>
        </w:rPr>
      </w:pPr>
      <w:r w:rsidRPr="34F444B5">
        <w:rPr>
          <w:rFonts w:ascii="Arial" w:hAnsi="Arial" w:cs="Arial"/>
        </w:rPr>
        <w:t xml:space="preserve">WHO (2023) </w:t>
      </w:r>
      <w:r w:rsidRPr="34F444B5">
        <w:rPr>
          <w:rFonts w:ascii="Arial" w:hAnsi="Arial" w:cs="Arial"/>
          <w:i/>
          <w:iCs/>
        </w:rPr>
        <w:t xml:space="preserve">Working for better health </w:t>
      </w:r>
      <w:r w:rsidR="033FA630" w:rsidRPr="34F444B5">
        <w:rPr>
          <w:rFonts w:ascii="Arial" w:hAnsi="Arial" w:cs="Arial"/>
          <w:i/>
          <w:iCs/>
        </w:rPr>
        <w:t>for everyone</w:t>
      </w:r>
      <w:r w:rsidRPr="34F444B5">
        <w:rPr>
          <w:rFonts w:ascii="Arial" w:hAnsi="Arial" w:cs="Arial"/>
          <w:i/>
          <w:iCs/>
        </w:rPr>
        <w:t>, everywhere</w:t>
      </w:r>
      <w:r w:rsidRPr="34F444B5">
        <w:rPr>
          <w:rFonts w:ascii="Arial" w:hAnsi="Arial" w:cs="Arial"/>
        </w:rPr>
        <w:t xml:space="preserve">, Available at: </w:t>
      </w:r>
      <w:hyperlink r:id="rId22">
        <w:r w:rsidRPr="34F444B5">
          <w:rPr>
            <w:rStyle w:val="Hyperlink"/>
            <w:rFonts w:ascii="Arial" w:hAnsi="Arial" w:cs="Arial"/>
          </w:rPr>
          <w:t>https://www.who.int/about/what-we-do/who-brochure</w:t>
        </w:r>
      </w:hyperlink>
      <w:r w:rsidRPr="34F444B5">
        <w:rPr>
          <w:rFonts w:ascii="Arial" w:hAnsi="Arial" w:cs="Arial"/>
        </w:rPr>
        <w:t xml:space="preserve"> (Accessed 19 March 2023).</w:t>
      </w:r>
    </w:p>
    <w:p w14:paraId="74DF5CA2" w14:textId="0BFFC284" w:rsidR="00A7017B" w:rsidRPr="00B90A55" w:rsidRDefault="19F6D5A1" w:rsidP="00B90A55">
      <w:pPr>
        <w:pStyle w:val="NormalWeb"/>
        <w:spacing w:line="360" w:lineRule="auto"/>
        <w:ind w:left="567" w:hanging="567"/>
        <w:jc w:val="both"/>
        <w:rPr>
          <w:rFonts w:ascii="Arial" w:hAnsi="Arial" w:cs="Arial"/>
          <w:sz w:val="22"/>
          <w:szCs w:val="22"/>
        </w:rPr>
      </w:pPr>
      <w:r w:rsidRPr="34F444B5">
        <w:rPr>
          <w:rFonts w:ascii="Arial" w:hAnsi="Arial" w:cs="Arial"/>
          <w:sz w:val="22"/>
          <w:szCs w:val="22"/>
        </w:rPr>
        <w:t xml:space="preserve">World Health Organization (2021) </w:t>
      </w:r>
      <w:r w:rsidRPr="34F444B5">
        <w:rPr>
          <w:rFonts w:ascii="Arial" w:hAnsi="Arial" w:cs="Arial"/>
          <w:i/>
          <w:iCs/>
          <w:sz w:val="22"/>
          <w:szCs w:val="22"/>
        </w:rPr>
        <w:t>Covid-19 and the social determinants of Health and Health Equity: Evidence Brief</w:t>
      </w:r>
      <w:r w:rsidRPr="34F444B5">
        <w:rPr>
          <w:rFonts w:ascii="Arial" w:hAnsi="Arial" w:cs="Arial"/>
          <w:sz w:val="22"/>
          <w:szCs w:val="22"/>
        </w:rPr>
        <w:t>. Available at</w:t>
      </w:r>
      <w:r w:rsidR="0F27511D" w:rsidRPr="34F444B5">
        <w:rPr>
          <w:rFonts w:ascii="Arial" w:hAnsi="Arial" w:cs="Arial"/>
          <w:sz w:val="22"/>
          <w:szCs w:val="22"/>
        </w:rPr>
        <w:t>: (</w:t>
      </w:r>
      <w:r w:rsidRPr="34F444B5">
        <w:rPr>
          <w:rFonts w:ascii="Arial" w:hAnsi="Arial" w:cs="Arial"/>
          <w:sz w:val="22"/>
          <w:szCs w:val="22"/>
        </w:rPr>
        <w:t xml:space="preserve">Accessed: March 15, 2023). </w:t>
      </w:r>
    </w:p>
    <w:p w14:paraId="408B965C" w14:textId="27B30496" w:rsidR="00F4432A" w:rsidRDefault="0BE20D00" w:rsidP="34F444B5">
      <w:pPr>
        <w:spacing w:line="360" w:lineRule="auto"/>
        <w:jc w:val="both"/>
        <w:rPr>
          <w:rFonts w:ascii="Calibri" w:eastAsia="Calibri" w:hAnsi="Calibri" w:cs="Calibri"/>
          <w:sz w:val="24"/>
          <w:szCs w:val="24"/>
        </w:rPr>
      </w:pPr>
      <w:r>
        <w:t xml:space="preserve">WHO (2022) How do vaccines work? Available at: </w:t>
      </w:r>
      <w:hyperlink r:id="rId23">
        <w:r w:rsidR="5F5C6C76" w:rsidRPr="34F444B5">
          <w:rPr>
            <w:rStyle w:val="Hyperlink"/>
            <w:rFonts w:ascii="Calibri" w:eastAsia="Calibri" w:hAnsi="Calibri" w:cs="Calibri"/>
            <w:sz w:val="24"/>
            <w:szCs w:val="24"/>
          </w:rPr>
          <w:t>https://www.who.int/news-room/feature-stories/detail/how-do-vaccines-work?adgroupsurvey=%7Badgroupsurvey%7D&amp;gclid=Cj0KCQiA9YugBhCZARIsAACXxeKZdgbXjqSerMM06oBLeYX45eWeG01WruAr6_5_UjgRBpWGfIIV7VIaAoaXEALw_wcB</w:t>
        </w:r>
      </w:hyperlink>
      <w:r w:rsidR="5F5C6C76" w:rsidRPr="34F444B5">
        <w:rPr>
          <w:rFonts w:ascii="Calibri" w:eastAsia="Calibri" w:hAnsi="Calibri" w:cs="Calibri"/>
          <w:sz w:val="24"/>
          <w:szCs w:val="24"/>
        </w:rPr>
        <w:t xml:space="preserve"> (Accessed: March </w:t>
      </w:r>
      <w:r w:rsidR="43A3BD48" w:rsidRPr="34F444B5">
        <w:rPr>
          <w:rFonts w:ascii="Calibri" w:eastAsia="Calibri" w:hAnsi="Calibri" w:cs="Calibri"/>
          <w:sz w:val="24"/>
          <w:szCs w:val="24"/>
        </w:rPr>
        <w:t>4, 2023</w:t>
      </w:r>
      <w:r w:rsidR="34C045E3" w:rsidRPr="34F444B5">
        <w:rPr>
          <w:rFonts w:ascii="Calibri" w:eastAsia="Calibri" w:hAnsi="Calibri" w:cs="Calibri"/>
          <w:sz w:val="24"/>
          <w:szCs w:val="24"/>
        </w:rPr>
        <w:t>).</w:t>
      </w:r>
    </w:p>
    <w:p w14:paraId="52496235" w14:textId="39FEBA78" w:rsidR="00F4432A" w:rsidRDefault="00F4432A" w:rsidP="34F444B5">
      <w:pPr>
        <w:spacing w:line="360" w:lineRule="auto"/>
        <w:jc w:val="both"/>
      </w:pPr>
    </w:p>
    <w:p w14:paraId="6F05B7E5" w14:textId="496CCFC4" w:rsidR="00F4432A" w:rsidRDefault="00F4432A" w:rsidP="00F73323">
      <w:pPr>
        <w:spacing w:line="360" w:lineRule="auto"/>
        <w:jc w:val="both"/>
      </w:pPr>
    </w:p>
    <w:p w14:paraId="6E6B6A8B" w14:textId="29E33642" w:rsidR="00F4432A" w:rsidRDefault="00F4432A" w:rsidP="00F73323">
      <w:pPr>
        <w:spacing w:line="360" w:lineRule="auto"/>
        <w:jc w:val="both"/>
      </w:pPr>
    </w:p>
    <w:p w14:paraId="0CA53ADA" w14:textId="39CF6B80" w:rsidR="00F4432A" w:rsidRDefault="00F4432A" w:rsidP="00F73323">
      <w:pPr>
        <w:spacing w:line="360" w:lineRule="auto"/>
        <w:jc w:val="both"/>
      </w:pPr>
    </w:p>
    <w:p w14:paraId="655BF114" w14:textId="133C7578" w:rsidR="00F4432A" w:rsidRDefault="00F4432A" w:rsidP="00F73323">
      <w:pPr>
        <w:spacing w:line="360" w:lineRule="auto"/>
        <w:jc w:val="both"/>
      </w:pPr>
    </w:p>
    <w:p w14:paraId="117330F9" w14:textId="0B2A72AA" w:rsidR="00F4432A" w:rsidRDefault="00F4432A" w:rsidP="00F73323">
      <w:pPr>
        <w:spacing w:line="360" w:lineRule="auto"/>
        <w:jc w:val="both"/>
      </w:pPr>
    </w:p>
    <w:p w14:paraId="767D8BB1" w14:textId="4964FE62" w:rsidR="00F4432A" w:rsidRDefault="00F4432A" w:rsidP="00F73323">
      <w:pPr>
        <w:spacing w:line="360" w:lineRule="auto"/>
        <w:jc w:val="both"/>
      </w:pPr>
    </w:p>
    <w:p w14:paraId="427FE3D2" w14:textId="3F53D08C" w:rsidR="00F4432A" w:rsidRDefault="00F4432A" w:rsidP="00F73323">
      <w:pPr>
        <w:spacing w:line="360" w:lineRule="auto"/>
        <w:jc w:val="both"/>
      </w:pPr>
    </w:p>
    <w:p w14:paraId="0D745BDC" w14:textId="43F4C7F6" w:rsidR="00F4432A" w:rsidRDefault="00F4432A" w:rsidP="00F73323">
      <w:pPr>
        <w:spacing w:line="360" w:lineRule="auto"/>
        <w:jc w:val="both"/>
      </w:pPr>
    </w:p>
    <w:p w14:paraId="20A7F552" w14:textId="667B132B" w:rsidR="00F4432A" w:rsidRDefault="00F4432A" w:rsidP="00F73323">
      <w:pPr>
        <w:spacing w:line="360" w:lineRule="auto"/>
        <w:jc w:val="both"/>
      </w:pPr>
    </w:p>
    <w:p w14:paraId="1A9B444C" w14:textId="5197CBC2" w:rsidR="00F4432A" w:rsidRDefault="00F4432A" w:rsidP="00F73323">
      <w:pPr>
        <w:spacing w:line="360" w:lineRule="auto"/>
        <w:jc w:val="both"/>
      </w:pPr>
    </w:p>
    <w:p w14:paraId="4770BB80" w14:textId="4AD5F82A" w:rsidR="00F4432A" w:rsidRDefault="00F4432A" w:rsidP="00F73323">
      <w:pPr>
        <w:spacing w:line="360" w:lineRule="auto"/>
        <w:jc w:val="both"/>
      </w:pPr>
    </w:p>
    <w:p w14:paraId="0D9E34DC" w14:textId="095E87FC" w:rsidR="00F4432A" w:rsidRDefault="00F4432A" w:rsidP="00F73323">
      <w:pPr>
        <w:spacing w:line="360" w:lineRule="auto"/>
        <w:jc w:val="both"/>
      </w:pPr>
    </w:p>
    <w:p w14:paraId="0A937A89" w14:textId="56D07EC8" w:rsidR="00F4432A" w:rsidRDefault="00F4432A" w:rsidP="00F73323">
      <w:pPr>
        <w:spacing w:line="360" w:lineRule="auto"/>
        <w:jc w:val="both"/>
      </w:pPr>
    </w:p>
    <w:p w14:paraId="179CB485" w14:textId="71C62170" w:rsidR="00F4432A" w:rsidRDefault="00F4432A" w:rsidP="00F73323">
      <w:pPr>
        <w:spacing w:line="360" w:lineRule="auto"/>
        <w:jc w:val="both"/>
      </w:pPr>
    </w:p>
    <w:p w14:paraId="58FDBEB2" w14:textId="198999FE" w:rsidR="00F4432A" w:rsidRDefault="00F4432A" w:rsidP="00F73323">
      <w:pPr>
        <w:spacing w:line="360" w:lineRule="auto"/>
        <w:jc w:val="both"/>
      </w:pPr>
    </w:p>
    <w:p w14:paraId="4EE56B42" w14:textId="52508F7A" w:rsidR="00F4432A" w:rsidRDefault="00F4432A" w:rsidP="00F73323">
      <w:pPr>
        <w:spacing w:line="360" w:lineRule="auto"/>
        <w:jc w:val="both"/>
      </w:pPr>
    </w:p>
    <w:p w14:paraId="779D269D" w14:textId="62DF596F" w:rsidR="00F4432A" w:rsidRDefault="00F4432A" w:rsidP="00F73323">
      <w:pPr>
        <w:spacing w:line="360" w:lineRule="auto"/>
        <w:jc w:val="both"/>
      </w:pPr>
    </w:p>
    <w:p w14:paraId="2D76CFAB" w14:textId="77777777" w:rsidR="00F4432A" w:rsidRPr="00F73323" w:rsidRDefault="00F4432A" w:rsidP="00F73323">
      <w:pPr>
        <w:spacing w:line="360" w:lineRule="auto"/>
        <w:jc w:val="both"/>
      </w:pPr>
    </w:p>
    <w:p w14:paraId="2220AAC5" w14:textId="77777777" w:rsidR="001438E1" w:rsidRDefault="001438E1" w:rsidP="43DA80C8">
      <w:pPr>
        <w:spacing w:line="360" w:lineRule="auto"/>
      </w:pPr>
    </w:p>
    <w:sectPr w:rsidR="001438E1">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DFF7E4" w14:textId="77777777" w:rsidR="003F691A" w:rsidRDefault="003F691A" w:rsidP="002F65A4">
      <w:pPr>
        <w:spacing w:after="0" w:line="240" w:lineRule="auto"/>
      </w:pPr>
      <w:r>
        <w:separator/>
      </w:r>
    </w:p>
  </w:endnote>
  <w:endnote w:type="continuationSeparator" w:id="0">
    <w:p w14:paraId="72FE352E" w14:textId="77777777" w:rsidR="003F691A" w:rsidRDefault="003F691A" w:rsidP="002F65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 w:name="Yu Mincho">
    <w:altName w:val="游明朝"/>
    <w:charset w:val="80"/>
    <w:family w:val="roman"/>
    <w:pitch w:val="variable"/>
    <w:sig w:usb0="800002E7" w:usb1="2AC7FCF0"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5786411"/>
      <w:docPartObj>
        <w:docPartGallery w:val="Page Numbers (Bottom of Page)"/>
        <w:docPartUnique/>
      </w:docPartObj>
    </w:sdtPr>
    <w:sdtEndPr>
      <w:rPr>
        <w:noProof/>
      </w:rPr>
    </w:sdtEndPr>
    <w:sdtContent>
      <w:p w14:paraId="560BC394" w14:textId="31C52FF1" w:rsidR="00D21F5D" w:rsidRDefault="00D21F5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A71B7C" w14:textId="77777777" w:rsidR="00D21F5D" w:rsidRDefault="00D21F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33113D" w14:textId="77777777" w:rsidR="003F691A" w:rsidRDefault="003F691A" w:rsidP="002F65A4">
      <w:pPr>
        <w:spacing w:after="0" w:line="240" w:lineRule="auto"/>
      </w:pPr>
      <w:r>
        <w:separator/>
      </w:r>
    </w:p>
  </w:footnote>
  <w:footnote w:type="continuationSeparator" w:id="0">
    <w:p w14:paraId="0F914319" w14:textId="77777777" w:rsidR="003F691A" w:rsidRDefault="003F691A" w:rsidP="002F65A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JWi19GkcAEzX/" int2:id="DBSzmPkC">
      <int2:state int2:value="Rejected" int2:type="AugLoop_Text_Critique"/>
    </int2:textHash>
    <int2:textHash int2:hashCode="CaNYWvMb0UhkTh" int2:id="FcJl0hYo">
      <int2:state int2:value="Rejected" int2:type="AugLoop_Text_Critique"/>
    </int2:textHash>
    <int2:textHash int2:hashCode="lqtwgUq/pf1zpD" int2:id="ZKW2qNIY">
      <int2:state int2:value="Rejected" int2:type="AugLoop_Text_Critique"/>
    </int2:textHash>
    <int2:textHash int2:hashCode="MJPIj3COr/u5zd" int2:id="lvFDgRTE">
      <int2:state int2:value="Rejected" int2:type="AugLoop_Text_Critique"/>
    </int2:textHash>
    <int2:textHash int2:hashCode="anU5L6XocmLY8W" int2:id="PxZzRWYb">
      <int2:state int2:value="Rejected" int2:type="AugLoop_Text_Critique"/>
    </int2:textHash>
    <int2:textHash int2:hashCode="Ij23UcA2vCS6rh" int2:id="UDXAuIBn">
      <int2:state int2:value="Rejected" int2:type="AugLoop_Text_Critique"/>
    </int2:textHash>
    <int2:textHash int2:hashCode="CzNjsz4ssty5IR" int2:id="ySUisgvq">
      <int2:state int2:value="Rejected" int2:type="AugLoop_Text_Critique"/>
    </int2:textHash>
    <int2:textHash int2:hashCode="WmT69zvBJYkMMO" int2:id="IouFSpeu">
      <int2:state int2:value="Rejected" int2:type="AugLoop_Text_Critique"/>
    </int2:textHash>
    <int2:textHash int2:hashCode="GvTkI3V62E7Bao" int2:id="nZZkj2Kz">
      <int2:state int2:value="Rejected" int2:type="AugLoop_Text_Critique"/>
    </int2:textHash>
    <int2:textHash int2:hashCode="Gv64e6cTBt5cgI" int2:id="6Nj7mdH1">
      <int2:state int2:value="Rejected" int2:type="AugLoop_Text_Critique"/>
    </int2:textHash>
    <int2:textHash int2:hashCode="y/bVu+/edxChKW" int2:id="RLo3XD5e">
      <int2:state int2:value="Rejected" int2:type="AugLoop_Text_Critique"/>
    </int2:textHash>
    <int2:bookmark int2:bookmarkName="_Int_ZuIV7MOI" int2:invalidationBookmarkName="" int2:hashCode="Zr5HO3gvfSgysE" int2:id="7b2Pl5ne">
      <int2:state int2:value="Rejected" int2:type="AugLoop_Acronyms_AcronymsCritique"/>
    </int2:bookmark>
    <int2:bookmark int2:bookmarkName="_Int_qOx2bDr6" int2:invalidationBookmarkName="" int2:hashCode="VRd/LyDcPFdCnc" int2:id="LbnjBoKd">
      <int2:state int2:value="Rejected" int2:type="AugLoop_Text_Critique"/>
    </int2:bookmark>
    <int2:bookmark int2:bookmarkName="_Int_N8KHlAEL" int2:invalidationBookmarkName="" int2:hashCode="e0dMsLOcF3PXGS" int2:id="wzz7sYPD">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C20B1"/>
    <w:multiLevelType w:val="hybridMultilevel"/>
    <w:tmpl w:val="CA2A6912"/>
    <w:lvl w:ilvl="0" w:tplc="3ECA25B8">
      <w:start w:val="1"/>
      <w:numFmt w:val="bullet"/>
      <w:lvlText w:val=""/>
      <w:lvlJc w:val="left"/>
      <w:pPr>
        <w:tabs>
          <w:tab w:val="num" w:pos="720"/>
        </w:tabs>
        <w:ind w:left="720" w:hanging="360"/>
      </w:pPr>
      <w:rPr>
        <w:rFonts w:ascii="Wingdings" w:hAnsi="Wingdings" w:hint="default"/>
      </w:rPr>
    </w:lvl>
    <w:lvl w:ilvl="1" w:tplc="8B5A6A96" w:tentative="1">
      <w:start w:val="1"/>
      <w:numFmt w:val="bullet"/>
      <w:lvlText w:val=""/>
      <w:lvlJc w:val="left"/>
      <w:pPr>
        <w:tabs>
          <w:tab w:val="num" w:pos="1440"/>
        </w:tabs>
        <w:ind w:left="1440" w:hanging="360"/>
      </w:pPr>
      <w:rPr>
        <w:rFonts w:ascii="Wingdings" w:hAnsi="Wingdings" w:hint="default"/>
      </w:rPr>
    </w:lvl>
    <w:lvl w:ilvl="2" w:tplc="69600A5A" w:tentative="1">
      <w:start w:val="1"/>
      <w:numFmt w:val="bullet"/>
      <w:lvlText w:val=""/>
      <w:lvlJc w:val="left"/>
      <w:pPr>
        <w:tabs>
          <w:tab w:val="num" w:pos="2160"/>
        </w:tabs>
        <w:ind w:left="2160" w:hanging="360"/>
      </w:pPr>
      <w:rPr>
        <w:rFonts w:ascii="Wingdings" w:hAnsi="Wingdings" w:hint="default"/>
      </w:rPr>
    </w:lvl>
    <w:lvl w:ilvl="3" w:tplc="6556F36C" w:tentative="1">
      <w:start w:val="1"/>
      <w:numFmt w:val="bullet"/>
      <w:lvlText w:val=""/>
      <w:lvlJc w:val="left"/>
      <w:pPr>
        <w:tabs>
          <w:tab w:val="num" w:pos="2880"/>
        </w:tabs>
        <w:ind w:left="2880" w:hanging="360"/>
      </w:pPr>
      <w:rPr>
        <w:rFonts w:ascii="Wingdings" w:hAnsi="Wingdings" w:hint="default"/>
      </w:rPr>
    </w:lvl>
    <w:lvl w:ilvl="4" w:tplc="1FEADED4" w:tentative="1">
      <w:start w:val="1"/>
      <w:numFmt w:val="bullet"/>
      <w:lvlText w:val=""/>
      <w:lvlJc w:val="left"/>
      <w:pPr>
        <w:tabs>
          <w:tab w:val="num" w:pos="3600"/>
        </w:tabs>
        <w:ind w:left="3600" w:hanging="360"/>
      </w:pPr>
      <w:rPr>
        <w:rFonts w:ascii="Wingdings" w:hAnsi="Wingdings" w:hint="default"/>
      </w:rPr>
    </w:lvl>
    <w:lvl w:ilvl="5" w:tplc="2DB4C290" w:tentative="1">
      <w:start w:val="1"/>
      <w:numFmt w:val="bullet"/>
      <w:lvlText w:val=""/>
      <w:lvlJc w:val="left"/>
      <w:pPr>
        <w:tabs>
          <w:tab w:val="num" w:pos="4320"/>
        </w:tabs>
        <w:ind w:left="4320" w:hanging="360"/>
      </w:pPr>
      <w:rPr>
        <w:rFonts w:ascii="Wingdings" w:hAnsi="Wingdings" w:hint="default"/>
      </w:rPr>
    </w:lvl>
    <w:lvl w:ilvl="6" w:tplc="C2B63EFC" w:tentative="1">
      <w:start w:val="1"/>
      <w:numFmt w:val="bullet"/>
      <w:lvlText w:val=""/>
      <w:lvlJc w:val="left"/>
      <w:pPr>
        <w:tabs>
          <w:tab w:val="num" w:pos="5040"/>
        </w:tabs>
        <w:ind w:left="5040" w:hanging="360"/>
      </w:pPr>
      <w:rPr>
        <w:rFonts w:ascii="Wingdings" w:hAnsi="Wingdings" w:hint="default"/>
      </w:rPr>
    </w:lvl>
    <w:lvl w:ilvl="7" w:tplc="B254B42A" w:tentative="1">
      <w:start w:val="1"/>
      <w:numFmt w:val="bullet"/>
      <w:lvlText w:val=""/>
      <w:lvlJc w:val="left"/>
      <w:pPr>
        <w:tabs>
          <w:tab w:val="num" w:pos="5760"/>
        </w:tabs>
        <w:ind w:left="5760" w:hanging="360"/>
      </w:pPr>
      <w:rPr>
        <w:rFonts w:ascii="Wingdings" w:hAnsi="Wingdings" w:hint="default"/>
      </w:rPr>
    </w:lvl>
    <w:lvl w:ilvl="8" w:tplc="5DEED0A4"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87B3AAC"/>
    <w:multiLevelType w:val="hybridMultilevel"/>
    <w:tmpl w:val="A1E07AB2"/>
    <w:lvl w:ilvl="0" w:tplc="254636F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1600F8"/>
    <w:multiLevelType w:val="hybridMultilevel"/>
    <w:tmpl w:val="C1CC6798"/>
    <w:lvl w:ilvl="0" w:tplc="AA24D366">
      <w:start w:val="1"/>
      <w:numFmt w:val="bullet"/>
      <w:lvlText w:val="•"/>
      <w:lvlJc w:val="left"/>
      <w:pPr>
        <w:tabs>
          <w:tab w:val="num" w:pos="720"/>
        </w:tabs>
        <w:ind w:left="720" w:hanging="360"/>
      </w:pPr>
      <w:rPr>
        <w:rFonts w:ascii="Arial" w:hAnsi="Arial" w:hint="default"/>
      </w:rPr>
    </w:lvl>
    <w:lvl w:ilvl="1" w:tplc="94D8A444" w:tentative="1">
      <w:start w:val="1"/>
      <w:numFmt w:val="bullet"/>
      <w:lvlText w:val="•"/>
      <w:lvlJc w:val="left"/>
      <w:pPr>
        <w:tabs>
          <w:tab w:val="num" w:pos="1440"/>
        </w:tabs>
        <w:ind w:left="1440" w:hanging="360"/>
      </w:pPr>
      <w:rPr>
        <w:rFonts w:ascii="Arial" w:hAnsi="Arial" w:hint="default"/>
      </w:rPr>
    </w:lvl>
    <w:lvl w:ilvl="2" w:tplc="34FC04CE" w:tentative="1">
      <w:start w:val="1"/>
      <w:numFmt w:val="bullet"/>
      <w:lvlText w:val="•"/>
      <w:lvlJc w:val="left"/>
      <w:pPr>
        <w:tabs>
          <w:tab w:val="num" w:pos="2160"/>
        </w:tabs>
        <w:ind w:left="2160" w:hanging="360"/>
      </w:pPr>
      <w:rPr>
        <w:rFonts w:ascii="Arial" w:hAnsi="Arial" w:hint="default"/>
      </w:rPr>
    </w:lvl>
    <w:lvl w:ilvl="3" w:tplc="C214E9F6" w:tentative="1">
      <w:start w:val="1"/>
      <w:numFmt w:val="bullet"/>
      <w:lvlText w:val="•"/>
      <w:lvlJc w:val="left"/>
      <w:pPr>
        <w:tabs>
          <w:tab w:val="num" w:pos="2880"/>
        </w:tabs>
        <w:ind w:left="2880" w:hanging="360"/>
      </w:pPr>
      <w:rPr>
        <w:rFonts w:ascii="Arial" w:hAnsi="Arial" w:hint="default"/>
      </w:rPr>
    </w:lvl>
    <w:lvl w:ilvl="4" w:tplc="345C22E0" w:tentative="1">
      <w:start w:val="1"/>
      <w:numFmt w:val="bullet"/>
      <w:lvlText w:val="•"/>
      <w:lvlJc w:val="left"/>
      <w:pPr>
        <w:tabs>
          <w:tab w:val="num" w:pos="3600"/>
        </w:tabs>
        <w:ind w:left="3600" w:hanging="360"/>
      </w:pPr>
      <w:rPr>
        <w:rFonts w:ascii="Arial" w:hAnsi="Arial" w:hint="default"/>
      </w:rPr>
    </w:lvl>
    <w:lvl w:ilvl="5" w:tplc="6C9E8542" w:tentative="1">
      <w:start w:val="1"/>
      <w:numFmt w:val="bullet"/>
      <w:lvlText w:val="•"/>
      <w:lvlJc w:val="left"/>
      <w:pPr>
        <w:tabs>
          <w:tab w:val="num" w:pos="4320"/>
        </w:tabs>
        <w:ind w:left="4320" w:hanging="360"/>
      </w:pPr>
      <w:rPr>
        <w:rFonts w:ascii="Arial" w:hAnsi="Arial" w:hint="default"/>
      </w:rPr>
    </w:lvl>
    <w:lvl w:ilvl="6" w:tplc="AA6C8ED0" w:tentative="1">
      <w:start w:val="1"/>
      <w:numFmt w:val="bullet"/>
      <w:lvlText w:val="•"/>
      <w:lvlJc w:val="left"/>
      <w:pPr>
        <w:tabs>
          <w:tab w:val="num" w:pos="5040"/>
        </w:tabs>
        <w:ind w:left="5040" w:hanging="360"/>
      </w:pPr>
      <w:rPr>
        <w:rFonts w:ascii="Arial" w:hAnsi="Arial" w:hint="default"/>
      </w:rPr>
    </w:lvl>
    <w:lvl w:ilvl="7" w:tplc="3446B964" w:tentative="1">
      <w:start w:val="1"/>
      <w:numFmt w:val="bullet"/>
      <w:lvlText w:val="•"/>
      <w:lvlJc w:val="left"/>
      <w:pPr>
        <w:tabs>
          <w:tab w:val="num" w:pos="5760"/>
        </w:tabs>
        <w:ind w:left="5760" w:hanging="360"/>
      </w:pPr>
      <w:rPr>
        <w:rFonts w:ascii="Arial" w:hAnsi="Arial" w:hint="default"/>
      </w:rPr>
    </w:lvl>
    <w:lvl w:ilvl="8" w:tplc="C3D4111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F20191E"/>
    <w:multiLevelType w:val="hybridMultilevel"/>
    <w:tmpl w:val="865E4FBC"/>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4" w15:restartNumberingAfterBreak="0">
    <w:nsid w:val="62523863"/>
    <w:multiLevelType w:val="hybridMultilevel"/>
    <w:tmpl w:val="C94CF584"/>
    <w:lvl w:ilvl="0" w:tplc="5C965DCA">
      <w:start w:val="1"/>
      <w:numFmt w:val="bullet"/>
      <w:lvlText w:val=""/>
      <w:lvlJc w:val="left"/>
      <w:pPr>
        <w:tabs>
          <w:tab w:val="num" w:pos="720"/>
        </w:tabs>
        <w:ind w:left="720" w:hanging="360"/>
      </w:pPr>
      <w:rPr>
        <w:rFonts w:ascii="Wingdings" w:hAnsi="Wingdings" w:hint="default"/>
      </w:rPr>
    </w:lvl>
    <w:lvl w:ilvl="1" w:tplc="6D303B52" w:tentative="1">
      <w:start w:val="1"/>
      <w:numFmt w:val="bullet"/>
      <w:lvlText w:val=""/>
      <w:lvlJc w:val="left"/>
      <w:pPr>
        <w:tabs>
          <w:tab w:val="num" w:pos="1440"/>
        </w:tabs>
        <w:ind w:left="1440" w:hanging="360"/>
      </w:pPr>
      <w:rPr>
        <w:rFonts w:ascii="Wingdings" w:hAnsi="Wingdings" w:hint="default"/>
      </w:rPr>
    </w:lvl>
    <w:lvl w:ilvl="2" w:tplc="3A10E9FA" w:tentative="1">
      <w:start w:val="1"/>
      <w:numFmt w:val="bullet"/>
      <w:lvlText w:val=""/>
      <w:lvlJc w:val="left"/>
      <w:pPr>
        <w:tabs>
          <w:tab w:val="num" w:pos="2160"/>
        </w:tabs>
        <w:ind w:left="2160" w:hanging="360"/>
      </w:pPr>
      <w:rPr>
        <w:rFonts w:ascii="Wingdings" w:hAnsi="Wingdings" w:hint="default"/>
      </w:rPr>
    </w:lvl>
    <w:lvl w:ilvl="3" w:tplc="CD68AEFA" w:tentative="1">
      <w:start w:val="1"/>
      <w:numFmt w:val="bullet"/>
      <w:lvlText w:val=""/>
      <w:lvlJc w:val="left"/>
      <w:pPr>
        <w:tabs>
          <w:tab w:val="num" w:pos="2880"/>
        </w:tabs>
        <w:ind w:left="2880" w:hanging="360"/>
      </w:pPr>
      <w:rPr>
        <w:rFonts w:ascii="Wingdings" w:hAnsi="Wingdings" w:hint="default"/>
      </w:rPr>
    </w:lvl>
    <w:lvl w:ilvl="4" w:tplc="1DFA70D6" w:tentative="1">
      <w:start w:val="1"/>
      <w:numFmt w:val="bullet"/>
      <w:lvlText w:val=""/>
      <w:lvlJc w:val="left"/>
      <w:pPr>
        <w:tabs>
          <w:tab w:val="num" w:pos="3600"/>
        </w:tabs>
        <w:ind w:left="3600" w:hanging="360"/>
      </w:pPr>
      <w:rPr>
        <w:rFonts w:ascii="Wingdings" w:hAnsi="Wingdings" w:hint="default"/>
      </w:rPr>
    </w:lvl>
    <w:lvl w:ilvl="5" w:tplc="26F04D96" w:tentative="1">
      <w:start w:val="1"/>
      <w:numFmt w:val="bullet"/>
      <w:lvlText w:val=""/>
      <w:lvlJc w:val="left"/>
      <w:pPr>
        <w:tabs>
          <w:tab w:val="num" w:pos="4320"/>
        </w:tabs>
        <w:ind w:left="4320" w:hanging="360"/>
      </w:pPr>
      <w:rPr>
        <w:rFonts w:ascii="Wingdings" w:hAnsi="Wingdings" w:hint="default"/>
      </w:rPr>
    </w:lvl>
    <w:lvl w:ilvl="6" w:tplc="C36CA784" w:tentative="1">
      <w:start w:val="1"/>
      <w:numFmt w:val="bullet"/>
      <w:lvlText w:val=""/>
      <w:lvlJc w:val="left"/>
      <w:pPr>
        <w:tabs>
          <w:tab w:val="num" w:pos="5040"/>
        </w:tabs>
        <w:ind w:left="5040" w:hanging="360"/>
      </w:pPr>
      <w:rPr>
        <w:rFonts w:ascii="Wingdings" w:hAnsi="Wingdings" w:hint="default"/>
      </w:rPr>
    </w:lvl>
    <w:lvl w:ilvl="7" w:tplc="DDB28B92" w:tentative="1">
      <w:start w:val="1"/>
      <w:numFmt w:val="bullet"/>
      <w:lvlText w:val=""/>
      <w:lvlJc w:val="left"/>
      <w:pPr>
        <w:tabs>
          <w:tab w:val="num" w:pos="5760"/>
        </w:tabs>
        <w:ind w:left="5760" w:hanging="360"/>
      </w:pPr>
      <w:rPr>
        <w:rFonts w:ascii="Wingdings" w:hAnsi="Wingdings" w:hint="default"/>
      </w:rPr>
    </w:lvl>
    <w:lvl w:ilvl="8" w:tplc="E8B29448"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63AB73A9"/>
    <w:multiLevelType w:val="hybridMultilevel"/>
    <w:tmpl w:val="F95E1EF0"/>
    <w:lvl w:ilvl="0" w:tplc="4F0CF932">
      <w:start w:val="1"/>
      <w:numFmt w:val="bullet"/>
      <w:lvlText w:val=""/>
      <w:lvlJc w:val="left"/>
      <w:pPr>
        <w:tabs>
          <w:tab w:val="num" w:pos="720"/>
        </w:tabs>
        <w:ind w:left="720" w:hanging="360"/>
      </w:pPr>
      <w:rPr>
        <w:rFonts w:ascii="Wingdings" w:hAnsi="Wingdings" w:hint="default"/>
      </w:rPr>
    </w:lvl>
    <w:lvl w:ilvl="1" w:tplc="8564D2E8" w:tentative="1">
      <w:start w:val="1"/>
      <w:numFmt w:val="bullet"/>
      <w:lvlText w:val=""/>
      <w:lvlJc w:val="left"/>
      <w:pPr>
        <w:tabs>
          <w:tab w:val="num" w:pos="1440"/>
        </w:tabs>
        <w:ind w:left="1440" w:hanging="360"/>
      </w:pPr>
      <w:rPr>
        <w:rFonts w:ascii="Wingdings" w:hAnsi="Wingdings" w:hint="default"/>
      </w:rPr>
    </w:lvl>
    <w:lvl w:ilvl="2" w:tplc="888A9B30" w:tentative="1">
      <w:start w:val="1"/>
      <w:numFmt w:val="bullet"/>
      <w:lvlText w:val=""/>
      <w:lvlJc w:val="left"/>
      <w:pPr>
        <w:tabs>
          <w:tab w:val="num" w:pos="2160"/>
        </w:tabs>
        <w:ind w:left="2160" w:hanging="360"/>
      </w:pPr>
      <w:rPr>
        <w:rFonts w:ascii="Wingdings" w:hAnsi="Wingdings" w:hint="default"/>
      </w:rPr>
    </w:lvl>
    <w:lvl w:ilvl="3" w:tplc="204C65D4" w:tentative="1">
      <w:start w:val="1"/>
      <w:numFmt w:val="bullet"/>
      <w:lvlText w:val=""/>
      <w:lvlJc w:val="left"/>
      <w:pPr>
        <w:tabs>
          <w:tab w:val="num" w:pos="2880"/>
        </w:tabs>
        <w:ind w:left="2880" w:hanging="360"/>
      </w:pPr>
      <w:rPr>
        <w:rFonts w:ascii="Wingdings" w:hAnsi="Wingdings" w:hint="default"/>
      </w:rPr>
    </w:lvl>
    <w:lvl w:ilvl="4" w:tplc="E1900AFA" w:tentative="1">
      <w:start w:val="1"/>
      <w:numFmt w:val="bullet"/>
      <w:lvlText w:val=""/>
      <w:lvlJc w:val="left"/>
      <w:pPr>
        <w:tabs>
          <w:tab w:val="num" w:pos="3600"/>
        </w:tabs>
        <w:ind w:left="3600" w:hanging="360"/>
      </w:pPr>
      <w:rPr>
        <w:rFonts w:ascii="Wingdings" w:hAnsi="Wingdings" w:hint="default"/>
      </w:rPr>
    </w:lvl>
    <w:lvl w:ilvl="5" w:tplc="88049CA2" w:tentative="1">
      <w:start w:val="1"/>
      <w:numFmt w:val="bullet"/>
      <w:lvlText w:val=""/>
      <w:lvlJc w:val="left"/>
      <w:pPr>
        <w:tabs>
          <w:tab w:val="num" w:pos="4320"/>
        </w:tabs>
        <w:ind w:left="4320" w:hanging="360"/>
      </w:pPr>
      <w:rPr>
        <w:rFonts w:ascii="Wingdings" w:hAnsi="Wingdings" w:hint="default"/>
      </w:rPr>
    </w:lvl>
    <w:lvl w:ilvl="6" w:tplc="76D663DC" w:tentative="1">
      <w:start w:val="1"/>
      <w:numFmt w:val="bullet"/>
      <w:lvlText w:val=""/>
      <w:lvlJc w:val="left"/>
      <w:pPr>
        <w:tabs>
          <w:tab w:val="num" w:pos="5040"/>
        </w:tabs>
        <w:ind w:left="5040" w:hanging="360"/>
      </w:pPr>
      <w:rPr>
        <w:rFonts w:ascii="Wingdings" w:hAnsi="Wingdings" w:hint="default"/>
      </w:rPr>
    </w:lvl>
    <w:lvl w:ilvl="7" w:tplc="60202B2E" w:tentative="1">
      <w:start w:val="1"/>
      <w:numFmt w:val="bullet"/>
      <w:lvlText w:val=""/>
      <w:lvlJc w:val="left"/>
      <w:pPr>
        <w:tabs>
          <w:tab w:val="num" w:pos="5760"/>
        </w:tabs>
        <w:ind w:left="5760" w:hanging="360"/>
      </w:pPr>
      <w:rPr>
        <w:rFonts w:ascii="Wingdings" w:hAnsi="Wingdings" w:hint="default"/>
      </w:rPr>
    </w:lvl>
    <w:lvl w:ilvl="8" w:tplc="E474C9E0"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24E7BB7"/>
    <w:multiLevelType w:val="hybridMultilevel"/>
    <w:tmpl w:val="EEB8A88E"/>
    <w:lvl w:ilvl="0" w:tplc="01E622C4">
      <w:start w:val="1"/>
      <w:numFmt w:val="bullet"/>
      <w:lvlText w:val=""/>
      <w:lvlJc w:val="left"/>
      <w:pPr>
        <w:tabs>
          <w:tab w:val="num" w:pos="720"/>
        </w:tabs>
        <w:ind w:left="720" w:hanging="360"/>
      </w:pPr>
      <w:rPr>
        <w:rFonts w:ascii="Wingdings" w:hAnsi="Wingdings" w:hint="default"/>
      </w:rPr>
    </w:lvl>
    <w:lvl w:ilvl="1" w:tplc="136EE60C" w:tentative="1">
      <w:start w:val="1"/>
      <w:numFmt w:val="bullet"/>
      <w:lvlText w:val=""/>
      <w:lvlJc w:val="left"/>
      <w:pPr>
        <w:tabs>
          <w:tab w:val="num" w:pos="1440"/>
        </w:tabs>
        <w:ind w:left="1440" w:hanging="360"/>
      </w:pPr>
      <w:rPr>
        <w:rFonts w:ascii="Wingdings" w:hAnsi="Wingdings" w:hint="default"/>
      </w:rPr>
    </w:lvl>
    <w:lvl w:ilvl="2" w:tplc="10DAD424" w:tentative="1">
      <w:start w:val="1"/>
      <w:numFmt w:val="bullet"/>
      <w:lvlText w:val=""/>
      <w:lvlJc w:val="left"/>
      <w:pPr>
        <w:tabs>
          <w:tab w:val="num" w:pos="2160"/>
        </w:tabs>
        <w:ind w:left="2160" w:hanging="360"/>
      </w:pPr>
      <w:rPr>
        <w:rFonts w:ascii="Wingdings" w:hAnsi="Wingdings" w:hint="default"/>
      </w:rPr>
    </w:lvl>
    <w:lvl w:ilvl="3" w:tplc="096CD346" w:tentative="1">
      <w:start w:val="1"/>
      <w:numFmt w:val="bullet"/>
      <w:lvlText w:val=""/>
      <w:lvlJc w:val="left"/>
      <w:pPr>
        <w:tabs>
          <w:tab w:val="num" w:pos="2880"/>
        </w:tabs>
        <w:ind w:left="2880" w:hanging="360"/>
      </w:pPr>
      <w:rPr>
        <w:rFonts w:ascii="Wingdings" w:hAnsi="Wingdings" w:hint="default"/>
      </w:rPr>
    </w:lvl>
    <w:lvl w:ilvl="4" w:tplc="E148260E" w:tentative="1">
      <w:start w:val="1"/>
      <w:numFmt w:val="bullet"/>
      <w:lvlText w:val=""/>
      <w:lvlJc w:val="left"/>
      <w:pPr>
        <w:tabs>
          <w:tab w:val="num" w:pos="3600"/>
        </w:tabs>
        <w:ind w:left="3600" w:hanging="360"/>
      </w:pPr>
      <w:rPr>
        <w:rFonts w:ascii="Wingdings" w:hAnsi="Wingdings" w:hint="default"/>
      </w:rPr>
    </w:lvl>
    <w:lvl w:ilvl="5" w:tplc="633C8D90" w:tentative="1">
      <w:start w:val="1"/>
      <w:numFmt w:val="bullet"/>
      <w:lvlText w:val=""/>
      <w:lvlJc w:val="left"/>
      <w:pPr>
        <w:tabs>
          <w:tab w:val="num" w:pos="4320"/>
        </w:tabs>
        <w:ind w:left="4320" w:hanging="360"/>
      </w:pPr>
      <w:rPr>
        <w:rFonts w:ascii="Wingdings" w:hAnsi="Wingdings" w:hint="default"/>
      </w:rPr>
    </w:lvl>
    <w:lvl w:ilvl="6" w:tplc="6C76499E" w:tentative="1">
      <w:start w:val="1"/>
      <w:numFmt w:val="bullet"/>
      <w:lvlText w:val=""/>
      <w:lvlJc w:val="left"/>
      <w:pPr>
        <w:tabs>
          <w:tab w:val="num" w:pos="5040"/>
        </w:tabs>
        <w:ind w:left="5040" w:hanging="360"/>
      </w:pPr>
      <w:rPr>
        <w:rFonts w:ascii="Wingdings" w:hAnsi="Wingdings" w:hint="default"/>
      </w:rPr>
    </w:lvl>
    <w:lvl w:ilvl="7" w:tplc="B28E8526" w:tentative="1">
      <w:start w:val="1"/>
      <w:numFmt w:val="bullet"/>
      <w:lvlText w:val=""/>
      <w:lvlJc w:val="left"/>
      <w:pPr>
        <w:tabs>
          <w:tab w:val="num" w:pos="5760"/>
        </w:tabs>
        <w:ind w:left="5760" w:hanging="360"/>
      </w:pPr>
      <w:rPr>
        <w:rFonts w:ascii="Wingdings" w:hAnsi="Wingdings" w:hint="default"/>
      </w:rPr>
    </w:lvl>
    <w:lvl w:ilvl="8" w:tplc="632874EC"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75377EF5"/>
    <w:multiLevelType w:val="hybridMultilevel"/>
    <w:tmpl w:val="99B439D0"/>
    <w:lvl w:ilvl="0" w:tplc="36FAA066">
      <w:start w:val="1"/>
      <w:numFmt w:val="bullet"/>
      <w:lvlText w:val=""/>
      <w:lvlJc w:val="left"/>
      <w:pPr>
        <w:tabs>
          <w:tab w:val="num" w:pos="720"/>
        </w:tabs>
        <w:ind w:left="720" w:hanging="360"/>
      </w:pPr>
      <w:rPr>
        <w:rFonts w:ascii="Wingdings" w:hAnsi="Wingdings" w:hint="default"/>
      </w:rPr>
    </w:lvl>
    <w:lvl w:ilvl="1" w:tplc="F368A104" w:tentative="1">
      <w:start w:val="1"/>
      <w:numFmt w:val="bullet"/>
      <w:lvlText w:val=""/>
      <w:lvlJc w:val="left"/>
      <w:pPr>
        <w:tabs>
          <w:tab w:val="num" w:pos="1440"/>
        </w:tabs>
        <w:ind w:left="1440" w:hanging="360"/>
      </w:pPr>
      <w:rPr>
        <w:rFonts w:ascii="Wingdings" w:hAnsi="Wingdings" w:hint="default"/>
      </w:rPr>
    </w:lvl>
    <w:lvl w:ilvl="2" w:tplc="A54E50F0" w:tentative="1">
      <w:start w:val="1"/>
      <w:numFmt w:val="bullet"/>
      <w:lvlText w:val=""/>
      <w:lvlJc w:val="left"/>
      <w:pPr>
        <w:tabs>
          <w:tab w:val="num" w:pos="2160"/>
        </w:tabs>
        <w:ind w:left="2160" w:hanging="360"/>
      </w:pPr>
      <w:rPr>
        <w:rFonts w:ascii="Wingdings" w:hAnsi="Wingdings" w:hint="default"/>
      </w:rPr>
    </w:lvl>
    <w:lvl w:ilvl="3" w:tplc="8F960038" w:tentative="1">
      <w:start w:val="1"/>
      <w:numFmt w:val="bullet"/>
      <w:lvlText w:val=""/>
      <w:lvlJc w:val="left"/>
      <w:pPr>
        <w:tabs>
          <w:tab w:val="num" w:pos="2880"/>
        </w:tabs>
        <w:ind w:left="2880" w:hanging="360"/>
      </w:pPr>
      <w:rPr>
        <w:rFonts w:ascii="Wingdings" w:hAnsi="Wingdings" w:hint="default"/>
      </w:rPr>
    </w:lvl>
    <w:lvl w:ilvl="4" w:tplc="A588C8CA" w:tentative="1">
      <w:start w:val="1"/>
      <w:numFmt w:val="bullet"/>
      <w:lvlText w:val=""/>
      <w:lvlJc w:val="left"/>
      <w:pPr>
        <w:tabs>
          <w:tab w:val="num" w:pos="3600"/>
        </w:tabs>
        <w:ind w:left="3600" w:hanging="360"/>
      </w:pPr>
      <w:rPr>
        <w:rFonts w:ascii="Wingdings" w:hAnsi="Wingdings" w:hint="default"/>
      </w:rPr>
    </w:lvl>
    <w:lvl w:ilvl="5" w:tplc="6E9E2EFE" w:tentative="1">
      <w:start w:val="1"/>
      <w:numFmt w:val="bullet"/>
      <w:lvlText w:val=""/>
      <w:lvlJc w:val="left"/>
      <w:pPr>
        <w:tabs>
          <w:tab w:val="num" w:pos="4320"/>
        </w:tabs>
        <w:ind w:left="4320" w:hanging="360"/>
      </w:pPr>
      <w:rPr>
        <w:rFonts w:ascii="Wingdings" w:hAnsi="Wingdings" w:hint="default"/>
      </w:rPr>
    </w:lvl>
    <w:lvl w:ilvl="6" w:tplc="260275FE" w:tentative="1">
      <w:start w:val="1"/>
      <w:numFmt w:val="bullet"/>
      <w:lvlText w:val=""/>
      <w:lvlJc w:val="left"/>
      <w:pPr>
        <w:tabs>
          <w:tab w:val="num" w:pos="5040"/>
        </w:tabs>
        <w:ind w:left="5040" w:hanging="360"/>
      </w:pPr>
      <w:rPr>
        <w:rFonts w:ascii="Wingdings" w:hAnsi="Wingdings" w:hint="default"/>
      </w:rPr>
    </w:lvl>
    <w:lvl w:ilvl="7" w:tplc="3670D0EE" w:tentative="1">
      <w:start w:val="1"/>
      <w:numFmt w:val="bullet"/>
      <w:lvlText w:val=""/>
      <w:lvlJc w:val="left"/>
      <w:pPr>
        <w:tabs>
          <w:tab w:val="num" w:pos="5760"/>
        </w:tabs>
        <w:ind w:left="5760" w:hanging="360"/>
      </w:pPr>
      <w:rPr>
        <w:rFonts w:ascii="Wingdings" w:hAnsi="Wingdings" w:hint="default"/>
      </w:rPr>
    </w:lvl>
    <w:lvl w:ilvl="8" w:tplc="B8B4801A" w:tentative="1">
      <w:start w:val="1"/>
      <w:numFmt w:val="bullet"/>
      <w:lvlText w:val=""/>
      <w:lvlJc w:val="left"/>
      <w:pPr>
        <w:tabs>
          <w:tab w:val="num" w:pos="6480"/>
        </w:tabs>
        <w:ind w:left="6480" w:hanging="360"/>
      </w:pPr>
      <w:rPr>
        <w:rFonts w:ascii="Wingdings" w:hAnsi="Wingdings" w:hint="default"/>
      </w:rPr>
    </w:lvl>
  </w:abstractNum>
  <w:num w:numId="1" w16cid:durableId="1826437673">
    <w:abstractNumId w:val="5"/>
  </w:num>
  <w:num w:numId="2" w16cid:durableId="823087260">
    <w:abstractNumId w:val="6"/>
  </w:num>
  <w:num w:numId="3" w16cid:durableId="393701460">
    <w:abstractNumId w:val="4"/>
  </w:num>
  <w:num w:numId="4" w16cid:durableId="1451440686">
    <w:abstractNumId w:val="2"/>
  </w:num>
  <w:num w:numId="5" w16cid:durableId="2072196839">
    <w:abstractNumId w:val="0"/>
  </w:num>
  <w:num w:numId="6" w16cid:durableId="1746537412">
    <w:abstractNumId w:val="1"/>
  </w:num>
  <w:num w:numId="7" w16cid:durableId="805583163">
    <w:abstractNumId w:val="7"/>
  </w:num>
  <w:num w:numId="8" w16cid:durableId="11898354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480"/>
    <w:rsid w:val="00021822"/>
    <w:rsid w:val="00032BEE"/>
    <w:rsid w:val="00034238"/>
    <w:rsid w:val="0003546B"/>
    <w:rsid w:val="00036016"/>
    <w:rsid w:val="000369E3"/>
    <w:rsid w:val="00073F0A"/>
    <w:rsid w:val="00095909"/>
    <w:rsid w:val="00107AF4"/>
    <w:rsid w:val="00126856"/>
    <w:rsid w:val="001437D7"/>
    <w:rsid w:val="001438E1"/>
    <w:rsid w:val="0016002D"/>
    <w:rsid w:val="00165571"/>
    <w:rsid w:val="001906F5"/>
    <w:rsid w:val="001C1D67"/>
    <w:rsid w:val="00232785"/>
    <w:rsid w:val="00280430"/>
    <w:rsid w:val="002B019F"/>
    <w:rsid w:val="002B3A87"/>
    <w:rsid w:val="002B50E6"/>
    <w:rsid w:val="002C232E"/>
    <w:rsid w:val="002F65A4"/>
    <w:rsid w:val="00306A02"/>
    <w:rsid w:val="003079DB"/>
    <w:rsid w:val="00317437"/>
    <w:rsid w:val="003424EA"/>
    <w:rsid w:val="00350854"/>
    <w:rsid w:val="00370ED8"/>
    <w:rsid w:val="00371C10"/>
    <w:rsid w:val="00381748"/>
    <w:rsid w:val="003829EF"/>
    <w:rsid w:val="003B7420"/>
    <w:rsid w:val="003D021A"/>
    <w:rsid w:val="003F691A"/>
    <w:rsid w:val="00451A3D"/>
    <w:rsid w:val="004827B0"/>
    <w:rsid w:val="0049448B"/>
    <w:rsid w:val="004A3D60"/>
    <w:rsid w:val="004E28F6"/>
    <w:rsid w:val="004E71F5"/>
    <w:rsid w:val="00501643"/>
    <w:rsid w:val="005081A3"/>
    <w:rsid w:val="00536044"/>
    <w:rsid w:val="00570AF9"/>
    <w:rsid w:val="005A6088"/>
    <w:rsid w:val="005A7F5C"/>
    <w:rsid w:val="005B3123"/>
    <w:rsid w:val="005D68C3"/>
    <w:rsid w:val="005E4966"/>
    <w:rsid w:val="0062AEF2"/>
    <w:rsid w:val="006310DC"/>
    <w:rsid w:val="00640DB8"/>
    <w:rsid w:val="00641570"/>
    <w:rsid w:val="00652FC4"/>
    <w:rsid w:val="00696D9B"/>
    <w:rsid w:val="006A38C1"/>
    <w:rsid w:val="006B6919"/>
    <w:rsid w:val="006DB968"/>
    <w:rsid w:val="0070607D"/>
    <w:rsid w:val="007150DE"/>
    <w:rsid w:val="00725024"/>
    <w:rsid w:val="00741BC0"/>
    <w:rsid w:val="00751387"/>
    <w:rsid w:val="00755B93"/>
    <w:rsid w:val="00763445"/>
    <w:rsid w:val="00781B19"/>
    <w:rsid w:val="00790169"/>
    <w:rsid w:val="007A079D"/>
    <w:rsid w:val="007A0E98"/>
    <w:rsid w:val="007A30DE"/>
    <w:rsid w:val="007B0480"/>
    <w:rsid w:val="007B651A"/>
    <w:rsid w:val="00807DA8"/>
    <w:rsid w:val="008618F8"/>
    <w:rsid w:val="008652F2"/>
    <w:rsid w:val="00885BAE"/>
    <w:rsid w:val="00893603"/>
    <w:rsid w:val="008E7BEF"/>
    <w:rsid w:val="009026BC"/>
    <w:rsid w:val="0093434D"/>
    <w:rsid w:val="00956CF5"/>
    <w:rsid w:val="00965419"/>
    <w:rsid w:val="009D2039"/>
    <w:rsid w:val="009E7257"/>
    <w:rsid w:val="00A03F2B"/>
    <w:rsid w:val="00A08C2D"/>
    <w:rsid w:val="00A450BB"/>
    <w:rsid w:val="00A7017B"/>
    <w:rsid w:val="00A84F4C"/>
    <w:rsid w:val="00AA0B37"/>
    <w:rsid w:val="00AA3BAB"/>
    <w:rsid w:val="00AC414E"/>
    <w:rsid w:val="00AD0821"/>
    <w:rsid w:val="00B17329"/>
    <w:rsid w:val="00B34A51"/>
    <w:rsid w:val="00B421B1"/>
    <w:rsid w:val="00B45EEC"/>
    <w:rsid w:val="00B90A55"/>
    <w:rsid w:val="00BA1AA5"/>
    <w:rsid w:val="00BC4F7D"/>
    <w:rsid w:val="00BE36B0"/>
    <w:rsid w:val="00BF3E2B"/>
    <w:rsid w:val="00C175EA"/>
    <w:rsid w:val="00C17FA8"/>
    <w:rsid w:val="00C27AA0"/>
    <w:rsid w:val="00C55CF3"/>
    <w:rsid w:val="00C65767"/>
    <w:rsid w:val="00C9799F"/>
    <w:rsid w:val="00CA0B21"/>
    <w:rsid w:val="00CD0215"/>
    <w:rsid w:val="00CF632D"/>
    <w:rsid w:val="00D010F5"/>
    <w:rsid w:val="00D049FE"/>
    <w:rsid w:val="00D052BE"/>
    <w:rsid w:val="00D05D58"/>
    <w:rsid w:val="00D104B2"/>
    <w:rsid w:val="00D21F5D"/>
    <w:rsid w:val="00D23A6E"/>
    <w:rsid w:val="00D25EB3"/>
    <w:rsid w:val="00D30A6C"/>
    <w:rsid w:val="00D341D3"/>
    <w:rsid w:val="00D51D7D"/>
    <w:rsid w:val="00D63484"/>
    <w:rsid w:val="00D75F6F"/>
    <w:rsid w:val="00D97D92"/>
    <w:rsid w:val="00DA1C78"/>
    <w:rsid w:val="00DC34FC"/>
    <w:rsid w:val="00DD2D61"/>
    <w:rsid w:val="00DE3C93"/>
    <w:rsid w:val="00E33D9E"/>
    <w:rsid w:val="00E342FE"/>
    <w:rsid w:val="00E50118"/>
    <w:rsid w:val="00E55F76"/>
    <w:rsid w:val="00E67E37"/>
    <w:rsid w:val="00EB686A"/>
    <w:rsid w:val="00EC1DD9"/>
    <w:rsid w:val="00EC5B2B"/>
    <w:rsid w:val="00F23715"/>
    <w:rsid w:val="00F4432A"/>
    <w:rsid w:val="00F627F8"/>
    <w:rsid w:val="00F73323"/>
    <w:rsid w:val="00FC0508"/>
    <w:rsid w:val="00FC13DB"/>
    <w:rsid w:val="00FF22D5"/>
    <w:rsid w:val="00FF75EF"/>
    <w:rsid w:val="01E3A90D"/>
    <w:rsid w:val="02A6AC3C"/>
    <w:rsid w:val="033E08C5"/>
    <w:rsid w:val="033FA630"/>
    <w:rsid w:val="034C48E4"/>
    <w:rsid w:val="0382250B"/>
    <w:rsid w:val="03B8B475"/>
    <w:rsid w:val="03BF1CE5"/>
    <w:rsid w:val="03D8640D"/>
    <w:rsid w:val="03EE7044"/>
    <w:rsid w:val="0505ADD7"/>
    <w:rsid w:val="05362015"/>
    <w:rsid w:val="05EC367E"/>
    <w:rsid w:val="0619FB15"/>
    <w:rsid w:val="063A0D24"/>
    <w:rsid w:val="06A24262"/>
    <w:rsid w:val="070FCDB1"/>
    <w:rsid w:val="082624E9"/>
    <w:rsid w:val="08304625"/>
    <w:rsid w:val="08335679"/>
    <w:rsid w:val="0834B2DE"/>
    <w:rsid w:val="087C4939"/>
    <w:rsid w:val="08946F20"/>
    <w:rsid w:val="0903E725"/>
    <w:rsid w:val="09B56234"/>
    <w:rsid w:val="09CBF179"/>
    <w:rsid w:val="0AC4C614"/>
    <w:rsid w:val="0AE81219"/>
    <w:rsid w:val="0B00A323"/>
    <w:rsid w:val="0B1308CA"/>
    <w:rsid w:val="0B481101"/>
    <w:rsid w:val="0BE20D00"/>
    <w:rsid w:val="0C413698"/>
    <w:rsid w:val="0C42E14C"/>
    <w:rsid w:val="0C583335"/>
    <w:rsid w:val="0C7108F4"/>
    <w:rsid w:val="0CED02F6"/>
    <w:rsid w:val="0D065196"/>
    <w:rsid w:val="0DF0B796"/>
    <w:rsid w:val="0E88D357"/>
    <w:rsid w:val="0F27511D"/>
    <w:rsid w:val="10FF9AC8"/>
    <w:rsid w:val="11C07419"/>
    <w:rsid w:val="11F38E35"/>
    <w:rsid w:val="120E294D"/>
    <w:rsid w:val="12186013"/>
    <w:rsid w:val="12912618"/>
    <w:rsid w:val="135624CD"/>
    <w:rsid w:val="136EB3B5"/>
    <w:rsid w:val="139768A9"/>
    <w:rsid w:val="13F300E6"/>
    <w:rsid w:val="14515DAF"/>
    <w:rsid w:val="14BE24B7"/>
    <w:rsid w:val="14D6E8C3"/>
    <w:rsid w:val="14D9C58A"/>
    <w:rsid w:val="14F814DB"/>
    <w:rsid w:val="153BD9FA"/>
    <w:rsid w:val="1557BA7A"/>
    <w:rsid w:val="156780BA"/>
    <w:rsid w:val="1604C643"/>
    <w:rsid w:val="163152D6"/>
    <w:rsid w:val="1649E0EA"/>
    <w:rsid w:val="16917131"/>
    <w:rsid w:val="16ADD6FB"/>
    <w:rsid w:val="1717140D"/>
    <w:rsid w:val="172DDF01"/>
    <w:rsid w:val="1768CBF1"/>
    <w:rsid w:val="17EAD1B2"/>
    <w:rsid w:val="17F97140"/>
    <w:rsid w:val="1804A7B2"/>
    <w:rsid w:val="1849A75C"/>
    <w:rsid w:val="18C9AF62"/>
    <w:rsid w:val="18E31C99"/>
    <w:rsid w:val="191092FC"/>
    <w:rsid w:val="1955CE6B"/>
    <w:rsid w:val="198181AC"/>
    <w:rsid w:val="19E0A29C"/>
    <w:rsid w:val="19F6D5A1"/>
    <w:rsid w:val="1A9E08A9"/>
    <w:rsid w:val="1B1D520D"/>
    <w:rsid w:val="1B4ECEDE"/>
    <w:rsid w:val="1C37EFC5"/>
    <w:rsid w:val="1C71A4A5"/>
    <w:rsid w:val="1CA15ADC"/>
    <w:rsid w:val="1D25CB35"/>
    <w:rsid w:val="1D9D2085"/>
    <w:rsid w:val="1DE57BAA"/>
    <w:rsid w:val="1DFAAC35"/>
    <w:rsid w:val="1E39B78F"/>
    <w:rsid w:val="1E47D96D"/>
    <w:rsid w:val="1E6B3B09"/>
    <w:rsid w:val="1E7690E6"/>
    <w:rsid w:val="1EC4DBEF"/>
    <w:rsid w:val="1F5FD0E8"/>
    <w:rsid w:val="1FEC2A59"/>
    <w:rsid w:val="20CC674F"/>
    <w:rsid w:val="211B05CA"/>
    <w:rsid w:val="22055BFD"/>
    <w:rsid w:val="227C84DA"/>
    <w:rsid w:val="22B7086E"/>
    <w:rsid w:val="22FE5BC8"/>
    <w:rsid w:val="232658B0"/>
    <w:rsid w:val="23569EA2"/>
    <w:rsid w:val="23D85EE6"/>
    <w:rsid w:val="23E98F5A"/>
    <w:rsid w:val="24562A20"/>
    <w:rsid w:val="24621D87"/>
    <w:rsid w:val="249A2C29"/>
    <w:rsid w:val="24E8045D"/>
    <w:rsid w:val="2525C53E"/>
    <w:rsid w:val="2540B722"/>
    <w:rsid w:val="25DD7AAC"/>
    <w:rsid w:val="25F2FDD9"/>
    <w:rsid w:val="25F6F84A"/>
    <w:rsid w:val="26FF2F3D"/>
    <w:rsid w:val="27049A6A"/>
    <w:rsid w:val="2798F9CA"/>
    <w:rsid w:val="27F32CB7"/>
    <w:rsid w:val="2818F8B0"/>
    <w:rsid w:val="281A863A"/>
    <w:rsid w:val="28815066"/>
    <w:rsid w:val="288537DA"/>
    <w:rsid w:val="29538E19"/>
    <w:rsid w:val="29B1748C"/>
    <w:rsid w:val="29F21FA4"/>
    <w:rsid w:val="2A7F985D"/>
    <w:rsid w:val="2ABC19F9"/>
    <w:rsid w:val="2B7C6B44"/>
    <w:rsid w:val="2BBD0EE1"/>
    <w:rsid w:val="2BCE1808"/>
    <w:rsid w:val="2BF6FEB2"/>
    <w:rsid w:val="2C57EA5A"/>
    <w:rsid w:val="2D65C5A1"/>
    <w:rsid w:val="2D85403A"/>
    <w:rsid w:val="2DC0FDE9"/>
    <w:rsid w:val="2DF3BABB"/>
    <w:rsid w:val="2E86C414"/>
    <w:rsid w:val="301916AE"/>
    <w:rsid w:val="30229475"/>
    <w:rsid w:val="31445033"/>
    <w:rsid w:val="318A6F5C"/>
    <w:rsid w:val="31A9738E"/>
    <w:rsid w:val="31AD282F"/>
    <w:rsid w:val="3254267D"/>
    <w:rsid w:val="32C962EE"/>
    <w:rsid w:val="32CCD134"/>
    <w:rsid w:val="33368E80"/>
    <w:rsid w:val="333EB37F"/>
    <w:rsid w:val="3345AD44"/>
    <w:rsid w:val="3382A9CA"/>
    <w:rsid w:val="342980D7"/>
    <w:rsid w:val="3449FE47"/>
    <w:rsid w:val="34ABF2EF"/>
    <w:rsid w:val="34C045E3"/>
    <w:rsid w:val="34F444B5"/>
    <w:rsid w:val="350E6BD7"/>
    <w:rsid w:val="3520616F"/>
    <w:rsid w:val="3537D2E4"/>
    <w:rsid w:val="35795A0C"/>
    <w:rsid w:val="35829A39"/>
    <w:rsid w:val="3584762A"/>
    <w:rsid w:val="35978EA4"/>
    <w:rsid w:val="3665896F"/>
    <w:rsid w:val="367E1604"/>
    <w:rsid w:val="37452C83"/>
    <w:rsid w:val="374EB7D2"/>
    <w:rsid w:val="3800BE08"/>
    <w:rsid w:val="381147D4"/>
    <w:rsid w:val="38960E05"/>
    <w:rsid w:val="3970BDFB"/>
    <w:rsid w:val="3A115AAB"/>
    <w:rsid w:val="3A865894"/>
    <w:rsid w:val="3A92B93A"/>
    <w:rsid w:val="3B1525A2"/>
    <w:rsid w:val="3B16258F"/>
    <w:rsid w:val="3BF90826"/>
    <w:rsid w:val="3C37D937"/>
    <w:rsid w:val="3C8F74AF"/>
    <w:rsid w:val="3CCDD446"/>
    <w:rsid w:val="3CF4EEEF"/>
    <w:rsid w:val="3D350892"/>
    <w:rsid w:val="3D48D31F"/>
    <w:rsid w:val="3D77FBB0"/>
    <w:rsid w:val="3DEAD870"/>
    <w:rsid w:val="3E2B4510"/>
    <w:rsid w:val="3E5DEF48"/>
    <w:rsid w:val="3E69A4A7"/>
    <w:rsid w:val="3E8F5391"/>
    <w:rsid w:val="3EA8399C"/>
    <w:rsid w:val="3EECA27D"/>
    <w:rsid w:val="40057508"/>
    <w:rsid w:val="40244DCE"/>
    <w:rsid w:val="40A2E006"/>
    <w:rsid w:val="41AB9C71"/>
    <w:rsid w:val="41AFFE6E"/>
    <w:rsid w:val="41CD3292"/>
    <w:rsid w:val="41E95D0B"/>
    <w:rsid w:val="423FD2B5"/>
    <w:rsid w:val="42661550"/>
    <w:rsid w:val="42A5C79B"/>
    <w:rsid w:val="42E2F388"/>
    <w:rsid w:val="42F09A5F"/>
    <w:rsid w:val="43746CD4"/>
    <w:rsid w:val="43820F12"/>
    <w:rsid w:val="43A3BD48"/>
    <w:rsid w:val="43DA80C8"/>
    <w:rsid w:val="43E15892"/>
    <w:rsid w:val="445465B4"/>
    <w:rsid w:val="45777377"/>
    <w:rsid w:val="459DDF96"/>
    <w:rsid w:val="45EBF98F"/>
    <w:rsid w:val="4611BAF0"/>
    <w:rsid w:val="46648FB3"/>
    <w:rsid w:val="46D83BAA"/>
    <w:rsid w:val="46EF24A2"/>
    <w:rsid w:val="471343D8"/>
    <w:rsid w:val="476CC922"/>
    <w:rsid w:val="485310CA"/>
    <w:rsid w:val="496D0FD1"/>
    <w:rsid w:val="499DA5B2"/>
    <w:rsid w:val="49ABEC93"/>
    <w:rsid w:val="4A68BE1A"/>
    <w:rsid w:val="4AA469E4"/>
    <w:rsid w:val="4B3A46D7"/>
    <w:rsid w:val="4BC1181F"/>
    <w:rsid w:val="4C048E7B"/>
    <w:rsid w:val="4C247F91"/>
    <w:rsid w:val="4C42C9FB"/>
    <w:rsid w:val="4C7A5E7B"/>
    <w:rsid w:val="4CA63B98"/>
    <w:rsid w:val="4CB916F0"/>
    <w:rsid w:val="4D3236D0"/>
    <w:rsid w:val="4DB132E0"/>
    <w:rsid w:val="4DD5D65C"/>
    <w:rsid w:val="4E2A7EEE"/>
    <w:rsid w:val="4E3E2ECA"/>
    <w:rsid w:val="4E420BF9"/>
    <w:rsid w:val="4EAAB51B"/>
    <w:rsid w:val="4EE76A41"/>
    <w:rsid w:val="4F90CADE"/>
    <w:rsid w:val="4FD53B60"/>
    <w:rsid w:val="4FDDDC5A"/>
    <w:rsid w:val="4FE20D3C"/>
    <w:rsid w:val="506FA0D4"/>
    <w:rsid w:val="50C5B1A9"/>
    <w:rsid w:val="50EA2390"/>
    <w:rsid w:val="514A38E9"/>
    <w:rsid w:val="516BAFAC"/>
    <w:rsid w:val="5179ACBB"/>
    <w:rsid w:val="525CD130"/>
    <w:rsid w:val="526C16B7"/>
    <w:rsid w:val="529ED705"/>
    <w:rsid w:val="53157D1C"/>
    <w:rsid w:val="5325971C"/>
    <w:rsid w:val="533B1D4C"/>
    <w:rsid w:val="536181FF"/>
    <w:rsid w:val="538B6C8D"/>
    <w:rsid w:val="53EC40E6"/>
    <w:rsid w:val="54112C9A"/>
    <w:rsid w:val="542C20E0"/>
    <w:rsid w:val="5434E39B"/>
    <w:rsid w:val="5457F615"/>
    <w:rsid w:val="5497EC44"/>
    <w:rsid w:val="54B20A8B"/>
    <w:rsid w:val="54CF772C"/>
    <w:rsid w:val="54FD5260"/>
    <w:rsid w:val="5510EB33"/>
    <w:rsid w:val="555A4699"/>
    <w:rsid w:val="55ACFCFB"/>
    <w:rsid w:val="55D7E95F"/>
    <w:rsid w:val="55FFB8AF"/>
    <w:rsid w:val="567CBDCA"/>
    <w:rsid w:val="569C9EA3"/>
    <w:rsid w:val="56AD2B3F"/>
    <w:rsid w:val="576DE09F"/>
    <w:rsid w:val="57DAF632"/>
    <w:rsid w:val="580F9C56"/>
    <w:rsid w:val="582D9D14"/>
    <w:rsid w:val="5834F322"/>
    <w:rsid w:val="58386F04"/>
    <w:rsid w:val="59AB6CB7"/>
    <w:rsid w:val="59D0C383"/>
    <w:rsid w:val="59E31147"/>
    <w:rsid w:val="59E4D662"/>
    <w:rsid w:val="5A2C3F1A"/>
    <w:rsid w:val="5B0B63A4"/>
    <w:rsid w:val="5B17EA22"/>
    <w:rsid w:val="5B473D18"/>
    <w:rsid w:val="5B651623"/>
    <w:rsid w:val="5B6C93E4"/>
    <w:rsid w:val="5C1C5C07"/>
    <w:rsid w:val="5C53001D"/>
    <w:rsid w:val="5CDA361B"/>
    <w:rsid w:val="5CDE2D44"/>
    <w:rsid w:val="5CECBE9E"/>
    <w:rsid w:val="5D8615EE"/>
    <w:rsid w:val="5E4DA6E0"/>
    <w:rsid w:val="5E68D20F"/>
    <w:rsid w:val="5F5C6C76"/>
    <w:rsid w:val="5FA2F43B"/>
    <w:rsid w:val="6058B1F3"/>
    <w:rsid w:val="60E17E44"/>
    <w:rsid w:val="61DB94C9"/>
    <w:rsid w:val="62772000"/>
    <w:rsid w:val="62D497A3"/>
    <w:rsid w:val="6311B056"/>
    <w:rsid w:val="63211803"/>
    <w:rsid w:val="633774F7"/>
    <w:rsid w:val="63535502"/>
    <w:rsid w:val="6365CEFF"/>
    <w:rsid w:val="64060897"/>
    <w:rsid w:val="6467178F"/>
    <w:rsid w:val="64E7D408"/>
    <w:rsid w:val="656EF1C1"/>
    <w:rsid w:val="65A95644"/>
    <w:rsid w:val="6658B8C5"/>
    <w:rsid w:val="667E1504"/>
    <w:rsid w:val="67CE54D2"/>
    <w:rsid w:val="67F48926"/>
    <w:rsid w:val="67F70F3A"/>
    <w:rsid w:val="68535EDD"/>
    <w:rsid w:val="686C3D3F"/>
    <w:rsid w:val="68861700"/>
    <w:rsid w:val="68A69283"/>
    <w:rsid w:val="692817A7"/>
    <w:rsid w:val="693B404C"/>
    <w:rsid w:val="69C97E07"/>
    <w:rsid w:val="6A0FA56B"/>
    <w:rsid w:val="6A4262E4"/>
    <w:rsid w:val="6A61F412"/>
    <w:rsid w:val="6A914C40"/>
    <w:rsid w:val="6B0C8F5A"/>
    <w:rsid w:val="6B4F7477"/>
    <w:rsid w:val="6B67F14D"/>
    <w:rsid w:val="6BA48D78"/>
    <w:rsid w:val="6BDD1663"/>
    <w:rsid w:val="6D2E4D39"/>
    <w:rsid w:val="6DD62030"/>
    <w:rsid w:val="6E1EB4E9"/>
    <w:rsid w:val="6E8986AD"/>
    <w:rsid w:val="6EC2275F"/>
    <w:rsid w:val="6F5D7EA9"/>
    <w:rsid w:val="6F727EBD"/>
    <w:rsid w:val="70536C11"/>
    <w:rsid w:val="705C1710"/>
    <w:rsid w:val="70773B4A"/>
    <w:rsid w:val="7167F030"/>
    <w:rsid w:val="71925F71"/>
    <w:rsid w:val="7198D214"/>
    <w:rsid w:val="71F53F6C"/>
    <w:rsid w:val="720F2C3B"/>
    <w:rsid w:val="72487747"/>
    <w:rsid w:val="726754F9"/>
    <w:rsid w:val="72953150"/>
    <w:rsid w:val="730842FD"/>
    <w:rsid w:val="73475FDD"/>
    <w:rsid w:val="741621E9"/>
    <w:rsid w:val="742050E7"/>
    <w:rsid w:val="74265D4B"/>
    <w:rsid w:val="743101B1"/>
    <w:rsid w:val="74373056"/>
    <w:rsid w:val="74CA19E2"/>
    <w:rsid w:val="74DAF9B4"/>
    <w:rsid w:val="75121D06"/>
    <w:rsid w:val="75BD9E75"/>
    <w:rsid w:val="75CCD212"/>
    <w:rsid w:val="76503F5F"/>
    <w:rsid w:val="7676CA15"/>
    <w:rsid w:val="7679E7A1"/>
    <w:rsid w:val="768B6033"/>
    <w:rsid w:val="775AB8A6"/>
    <w:rsid w:val="7855613E"/>
    <w:rsid w:val="792F96AF"/>
    <w:rsid w:val="79490110"/>
    <w:rsid w:val="7A4A7305"/>
    <w:rsid w:val="7B58A3D8"/>
    <w:rsid w:val="7B9CA3AF"/>
    <w:rsid w:val="7BC8538E"/>
    <w:rsid w:val="7C9542FD"/>
    <w:rsid w:val="7CBB59E9"/>
    <w:rsid w:val="7CBF3675"/>
    <w:rsid w:val="7D3BA5E7"/>
    <w:rsid w:val="7D784175"/>
    <w:rsid w:val="7DD0C1CB"/>
    <w:rsid w:val="7E2D48F3"/>
    <w:rsid w:val="7E5BA7A6"/>
    <w:rsid w:val="7E6D1C93"/>
    <w:rsid w:val="7E7A4CDA"/>
    <w:rsid w:val="7E81DBFA"/>
    <w:rsid w:val="7E942B2C"/>
    <w:rsid w:val="7E9DA93D"/>
    <w:rsid w:val="7EC6AC33"/>
    <w:rsid w:val="7EFA3F8A"/>
    <w:rsid w:val="7F01A2C1"/>
    <w:rsid w:val="7F04BBCB"/>
    <w:rsid w:val="7F4AA1C8"/>
    <w:rsid w:val="7F8652A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017AA"/>
  <w15:chartTrackingRefBased/>
  <w15:docId w15:val="{CAF4DB47-11FE-451A-BF30-4C06331DE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41BC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9D20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35085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0480"/>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F443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D021A"/>
    <w:rPr>
      <w:color w:val="0563C1" w:themeColor="hyperlink"/>
      <w:u w:val="single"/>
    </w:rPr>
  </w:style>
  <w:style w:type="character" w:styleId="UnresolvedMention">
    <w:name w:val="Unresolved Mention"/>
    <w:basedOn w:val="DefaultParagraphFont"/>
    <w:uiPriority w:val="99"/>
    <w:semiHidden/>
    <w:unhideWhenUsed/>
    <w:rsid w:val="003D021A"/>
    <w:rPr>
      <w:color w:val="605E5C"/>
      <w:shd w:val="clear" w:color="auto" w:fill="E1DFDD"/>
    </w:rPr>
  </w:style>
  <w:style w:type="character" w:customStyle="1" w:styleId="Heading1Char">
    <w:name w:val="Heading 1 Char"/>
    <w:basedOn w:val="DefaultParagraphFont"/>
    <w:link w:val="Heading1"/>
    <w:uiPriority w:val="9"/>
    <w:rsid w:val="00741BC0"/>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755B93"/>
    <w:rPr>
      <w:b/>
      <w:bCs/>
    </w:rPr>
  </w:style>
  <w:style w:type="character" w:styleId="FollowedHyperlink">
    <w:name w:val="FollowedHyperlink"/>
    <w:basedOn w:val="DefaultParagraphFont"/>
    <w:uiPriority w:val="99"/>
    <w:semiHidden/>
    <w:unhideWhenUsed/>
    <w:rsid w:val="00763445"/>
    <w:rPr>
      <w:color w:val="954F72" w:themeColor="followedHyperlink"/>
      <w:u w:val="single"/>
    </w:rPr>
  </w:style>
  <w:style w:type="paragraph" w:customStyle="1" w:styleId="paragraph">
    <w:name w:val="paragraph"/>
    <w:basedOn w:val="Normal"/>
    <w:rsid w:val="00781B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781B19"/>
  </w:style>
  <w:style w:type="paragraph" w:styleId="Header">
    <w:name w:val="header"/>
    <w:basedOn w:val="Normal"/>
    <w:link w:val="HeaderChar"/>
    <w:uiPriority w:val="99"/>
    <w:unhideWhenUsed/>
    <w:rsid w:val="002F65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65A4"/>
  </w:style>
  <w:style w:type="paragraph" w:styleId="Footer">
    <w:name w:val="footer"/>
    <w:basedOn w:val="Normal"/>
    <w:link w:val="FooterChar"/>
    <w:uiPriority w:val="99"/>
    <w:unhideWhenUsed/>
    <w:rsid w:val="002F65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65A4"/>
  </w:style>
  <w:style w:type="character" w:customStyle="1" w:styleId="Heading4Char">
    <w:name w:val="Heading 4 Char"/>
    <w:basedOn w:val="DefaultParagraphFont"/>
    <w:link w:val="Heading4"/>
    <w:uiPriority w:val="9"/>
    <w:semiHidden/>
    <w:rsid w:val="00350854"/>
    <w:rPr>
      <w:rFonts w:asciiTheme="majorHAnsi" w:eastAsiaTheme="majorEastAsia" w:hAnsiTheme="majorHAnsi" w:cstheme="majorBidi"/>
      <w:i/>
      <w:iCs/>
      <w:color w:val="2F5496" w:themeColor="accent1" w:themeShade="BF"/>
    </w:rPr>
  </w:style>
  <w:style w:type="character" w:customStyle="1" w:styleId="normaltextrun">
    <w:name w:val="normaltextrun"/>
    <w:basedOn w:val="DefaultParagraphFont"/>
    <w:rsid w:val="00BC4F7D"/>
  </w:style>
  <w:style w:type="character" w:customStyle="1" w:styleId="Heading2Char">
    <w:name w:val="Heading 2 Char"/>
    <w:basedOn w:val="DefaultParagraphFont"/>
    <w:link w:val="Heading2"/>
    <w:uiPriority w:val="9"/>
    <w:rsid w:val="009D203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21F5D"/>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D21F5D"/>
    <w:pPr>
      <w:spacing w:after="100"/>
      <w:ind w:left="220"/>
    </w:pPr>
  </w:style>
  <w:style w:type="paragraph" w:styleId="TOC1">
    <w:name w:val="toc 1"/>
    <w:basedOn w:val="Normal"/>
    <w:next w:val="Normal"/>
    <w:autoRedefine/>
    <w:uiPriority w:val="39"/>
    <w:unhideWhenUsed/>
    <w:rsid w:val="00D21F5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794647">
      <w:bodyDiv w:val="1"/>
      <w:marLeft w:val="0"/>
      <w:marRight w:val="0"/>
      <w:marTop w:val="0"/>
      <w:marBottom w:val="0"/>
      <w:divBdr>
        <w:top w:val="none" w:sz="0" w:space="0" w:color="auto"/>
        <w:left w:val="none" w:sz="0" w:space="0" w:color="auto"/>
        <w:bottom w:val="none" w:sz="0" w:space="0" w:color="auto"/>
        <w:right w:val="none" w:sz="0" w:space="0" w:color="auto"/>
      </w:divBdr>
      <w:divsChild>
        <w:div w:id="1821387139">
          <w:marLeft w:val="547"/>
          <w:marRight w:val="0"/>
          <w:marTop w:val="125"/>
          <w:marBottom w:val="0"/>
          <w:divBdr>
            <w:top w:val="none" w:sz="0" w:space="0" w:color="auto"/>
            <w:left w:val="none" w:sz="0" w:space="0" w:color="auto"/>
            <w:bottom w:val="none" w:sz="0" w:space="0" w:color="auto"/>
            <w:right w:val="none" w:sz="0" w:space="0" w:color="auto"/>
          </w:divBdr>
        </w:div>
        <w:div w:id="1980376587">
          <w:marLeft w:val="547"/>
          <w:marRight w:val="0"/>
          <w:marTop w:val="125"/>
          <w:marBottom w:val="0"/>
          <w:divBdr>
            <w:top w:val="none" w:sz="0" w:space="0" w:color="auto"/>
            <w:left w:val="none" w:sz="0" w:space="0" w:color="auto"/>
            <w:bottom w:val="none" w:sz="0" w:space="0" w:color="auto"/>
            <w:right w:val="none" w:sz="0" w:space="0" w:color="auto"/>
          </w:divBdr>
        </w:div>
        <w:div w:id="2027898539">
          <w:marLeft w:val="547"/>
          <w:marRight w:val="0"/>
          <w:marTop w:val="125"/>
          <w:marBottom w:val="0"/>
          <w:divBdr>
            <w:top w:val="none" w:sz="0" w:space="0" w:color="auto"/>
            <w:left w:val="none" w:sz="0" w:space="0" w:color="auto"/>
            <w:bottom w:val="none" w:sz="0" w:space="0" w:color="auto"/>
            <w:right w:val="none" w:sz="0" w:space="0" w:color="auto"/>
          </w:divBdr>
        </w:div>
        <w:div w:id="2064598869">
          <w:marLeft w:val="547"/>
          <w:marRight w:val="0"/>
          <w:marTop w:val="125"/>
          <w:marBottom w:val="0"/>
          <w:divBdr>
            <w:top w:val="none" w:sz="0" w:space="0" w:color="auto"/>
            <w:left w:val="none" w:sz="0" w:space="0" w:color="auto"/>
            <w:bottom w:val="none" w:sz="0" w:space="0" w:color="auto"/>
            <w:right w:val="none" w:sz="0" w:space="0" w:color="auto"/>
          </w:divBdr>
        </w:div>
      </w:divsChild>
    </w:div>
    <w:div w:id="164589407">
      <w:bodyDiv w:val="1"/>
      <w:marLeft w:val="0"/>
      <w:marRight w:val="0"/>
      <w:marTop w:val="0"/>
      <w:marBottom w:val="0"/>
      <w:divBdr>
        <w:top w:val="none" w:sz="0" w:space="0" w:color="auto"/>
        <w:left w:val="none" w:sz="0" w:space="0" w:color="auto"/>
        <w:bottom w:val="none" w:sz="0" w:space="0" w:color="auto"/>
        <w:right w:val="none" w:sz="0" w:space="0" w:color="auto"/>
      </w:divBdr>
    </w:div>
    <w:div w:id="218253703">
      <w:bodyDiv w:val="1"/>
      <w:marLeft w:val="0"/>
      <w:marRight w:val="0"/>
      <w:marTop w:val="0"/>
      <w:marBottom w:val="0"/>
      <w:divBdr>
        <w:top w:val="none" w:sz="0" w:space="0" w:color="auto"/>
        <w:left w:val="none" w:sz="0" w:space="0" w:color="auto"/>
        <w:bottom w:val="none" w:sz="0" w:space="0" w:color="auto"/>
        <w:right w:val="none" w:sz="0" w:space="0" w:color="auto"/>
      </w:divBdr>
    </w:div>
    <w:div w:id="379014719">
      <w:bodyDiv w:val="1"/>
      <w:marLeft w:val="0"/>
      <w:marRight w:val="0"/>
      <w:marTop w:val="0"/>
      <w:marBottom w:val="0"/>
      <w:divBdr>
        <w:top w:val="none" w:sz="0" w:space="0" w:color="auto"/>
        <w:left w:val="none" w:sz="0" w:space="0" w:color="auto"/>
        <w:bottom w:val="none" w:sz="0" w:space="0" w:color="auto"/>
        <w:right w:val="none" w:sz="0" w:space="0" w:color="auto"/>
      </w:divBdr>
    </w:div>
    <w:div w:id="483545435">
      <w:bodyDiv w:val="1"/>
      <w:marLeft w:val="0"/>
      <w:marRight w:val="0"/>
      <w:marTop w:val="0"/>
      <w:marBottom w:val="0"/>
      <w:divBdr>
        <w:top w:val="none" w:sz="0" w:space="0" w:color="auto"/>
        <w:left w:val="none" w:sz="0" w:space="0" w:color="auto"/>
        <w:bottom w:val="none" w:sz="0" w:space="0" w:color="auto"/>
        <w:right w:val="none" w:sz="0" w:space="0" w:color="auto"/>
      </w:divBdr>
      <w:divsChild>
        <w:div w:id="401877888">
          <w:marLeft w:val="547"/>
          <w:marRight w:val="0"/>
          <w:marTop w:val="144"/>
          <w:marBottom w:val="0"/>
          <w:divBdr>
            <w:top w:val="none" w:sz="0" w:space="0" w:color="auto"/>
            <w:left w:val="none" w:sz="0" w:space="0" w:color="auto"/>
            <w:bottom w:val="none" w:sz="0" w:space="0" w:color="auto"/>
            <w:right w:val="none" w:sz="0" w:space="0" w:color="auto"/>
          </w:divBdr>
        </w:div>
        <w:div w:id="711542053">
          <w:marLeft w:val="547"/>
          <w:marRight w:val="0"/>
          <w:marTop w:val="144"/>
          <w:marBottom w:val="0"/>
          <w:divBdr>
            <w:top w:val="none" w:sz="0" w:space="0" w:color="auto"/>
            <w:left w:val="none" w:sz="0" w:space="0" w:color="auto"/>
            <w:bottom w:val="none" w:sz="0" w:space="0" w:color="auto"/>
            <w:right w:val="none" w:sz="0" w:space="0" w:color="auto"/>
          </w:divBdr>
        </w:div>
        <w:div w:id="1153062812">
          <w:marLeft w:val="547"/>
          <w:marRight w:val="0"/>
          <w:marTop w:val="144"/>
          <w:marBottom w:val="0"/>
          <w:divBdr>
            <w:top w:val="none" w:sz="0" w:space="0" w:color="auto"/>
            <w:left w:val="none" w:sz="0" w:space="0" w:color="auto"/>
            <w:bottom w:val="none" w:sz="0" w:space="0" w:color="auto"/>
            <w:right w:val="none" w:sz="0" w:space="0" w:color="auto"/>
          </w:divBdr>
        </w:div>
        <w:div w:id="1814759639">
          <w:marLeft w:val="547"/>
          <w:marRight w:val="0"/>
          <w:marTop w:val="144"/>
          <w:marBottom w:val="0"/>
          <w:divBdr>
            <w:top w:val="none" w:sz="0" w:space="0" w:color="auto"/>
            <w:left w:val="none" w:sz="0" w:space="0" w:color="auto"/>
            <w:bottom w:val="none" w:sz="0" w:space="0" w:color="auto"/>
            <w:right w:val="none" w:sz="0" w:space="0" w:color="auto"/>
          </w:divBdr>
        </w:div>
        <w:div w:id="1814907642">
          <w:marLeft w:val="547"/>
          <w:marRight w:val="0"/>
          <w:marTop w:val="144"/>
          <w:marBottom w:val="0"/>
          <w:divBdr>
            <w:top w:val="none" w:sz="0" w:space="0" w:color="auto"/>
            <w:left w:val="none" w:sz="0" w:space="0" w:color="auto"/>
            <w:bottom w:val="none" w:sz="0" w:space="0" w:color="auto"/>
            <w:right w:val="none" w:sz="0" w:space="0" w:color="auto"/>
          </w:divBdr>
        </w:div>
      </w:divsChild>
    </w:div>
    <w:div w:id="532035402">
      <w:bodyDiv w:val="1"/>
      <w:marLeft w:val="0"/>
      <w:marRight w:val="0"/>
      <w:marTop w:val="0"/>
      <w:marBottom w:val="0"/>
      <w:divBdr>
        <w:top w:val="none" w:sz="0" w:space="0" w:color="auto"/>
        <w:left w:val="none" w:sz="0" w:space="0" w:color="auto"/>
        <w:bottom w:val="none" w:sz="0" w:space="0" w:color="auto"/>
        <w:right w:val="none" w:sz="0" w:space="0" w:color="auto"/>
      </w:divBdr>
      <w:divsChild>
        <w:div w:id="1371342806">
          <w:marLeft w:val="547"/>
          <w:marRight w:val="0"/>
          <w:marTop w:val="115"/>
          <w:marBottom w:val="0"/>
          <w:divBdr>
            <w:top w:val="none" w:sz="0" w:space="0" w:color="auto"/>
            <w:left w:val="none" w:sz="0" w:space="0" w:color="auto"/>
            <w:bottom w:val="none" w:sz="0" w:space="0" w:color="auto"/>
            <w:right w:val="none" w:sz="0" w:space="0" w:color="auto"/>
          </w:divBdr>
        </w:div>
      </w:divsChild>
    </w:div>
    <w:div w:id="597106041">
      <w:bodyDiv w:val="1"/>
      <w:marLeft w:val="0"/>
      <w:marRight w:val="0"/>
      <w:marTop w:val="0"/>
      <w:marBottom w:val="0"/>
      <w:divBdr>
        <w:top w:val="none" w:sz="0" w:space="0" w:color="auto"/>
        <w:left w:val="none" w:sz="0" w:space="0" w:color="auto"/>
        <w:bottom w:val="none" w:sz="0" w:space="0" w:color="auto"/>
        <w:right w:val="none" w:sz="0" w:space="0" w:color="auto"/>
      </w:divBdr>
    </w:div>
    <w:div w:id="611791027">
      <w:bodyDiv w:val="1"/>
      <w:marLeft w:val="0"/>
      <w:marRight w:val="0"/>
      <w:marTop w:val="0"/>
      <w:marBottom w:val="0"/>
      <w:divBdr>
        <w:top w:val="none" w:sz="0" w:space="0" w:color="auto"/>
        <w:left w:val="none" w:sz="0" w:space="0" w:color="auto"/>
        <w:bottom w:val="none" w:sz="0" w:space="0" w:color="auto"/>
        <w:right w:val="none" w:sz="0" w:space="0" w:color="auto"/>
      </w:divBdr>
    </w:div>
    <w:div w:id="655836993">
      <w:bodyDiv w:val="1"/>
      <w:marLeft w:val="0"/>
      <w:marRight w:val="0"/>
      <w:marTop w:val="0"/>
      <w:marBottom w:val="0"/>
      <w:divBdr>
        <w:top w:val="none" w:sz="0" w:space="0" w:color="auto"/>
        <w:left w:val="none" w:sz="0" w:space="0" w:color="auto"/>
        <w:bottom w:val="none" w:sz="0" w:space="0" w:color="auto"/>
        <w:right w:val="none" w:sz="0" w:space="0" w:color="auto"/>
      </w:divBdr>
    </w:div>
    <w:div w:id="920604631">
      <w:bodyDiv w:val="1"/>
      <w:marLeft w:val="0"/>
      <w:marRight w:val="0"/>
      <w:marTop w:val="0"/>
      <w:marBottom w:val="0"/>
      <w:divBdr>
        <w:top w:val="none" w:sz="0" w:space="0" w:color="auto"/>
        <w:left w:val="none" w:sz="0" w:space="0" w:color="auto"/>
        <w:bottom w:val="none" w:sz="0" w:space="0" w:color="auto"/>
        <w:right w:val="none" w:sz="0" w:space="0" w:color="auto"/>
      </w:divBdr>
      <w:divsChild>
        <w:div w:id="53044922">
          <w:marLeft w:val="547"/>
          <w:marRight w:val="0"/>
          <w:marTop w:val="154"/>
          <w:marBottom w:val="0"/>
          <w:divBdr>
            <w:top w:val="none" w:sz="0" w:space="0" w:color="auto"/>
            <w:left w:val="none" w:sz="0" w:space="0" w:color="auto"/>
            <w:bottom w:val="none" w:sz="0" w:space="0" w:color="auto"/>
            <w:right w:val="none" w:sz="0" w:space="0" w:color="auto"/>
          </w:divBdr>
        </w:div>
        <w:div w:id="777481782">
          <w:marLeft w:val="547"/>
          <w:marRight w:val="0"/>
          <w:marTop w:val="154"/>
          <w:marBottom w:val="0"/>
          <w:divBdr>
            <w:top w:val="none" w:sz="0" w:space="0" w:color="auto"/>
            <w:left w:val="none" w:sz="0" w:space="0" w:color="auto"/>
            <w:bottom w:val="none" w:sz="0" w:space="0" w:color="auto"/>
            <w:right w:val="none" w:sz="0" w:space="0" w:color="auto"/>
          </w:divBdr>
        </w:div>
        <w:div w:id="1582062103">
          <w:marLeft w:val="547"/>
          <w:marRight w:val="0"/>
          <w:marTop w:val="154"/>
          <w:marBottom w:val="0"/>
          <w:divBdr>
            <w:top w:val="none" w:sz="0" w:space="0" w:color="auto"/>
            <w:left w:val="none" w:sz="0" w:space="0" w:color="auto"/>
            <w:bottom w:val="none" w:sz="0" w:space="0" w:color="auto"/>
            <w:right w:val="none" w:sz="0" w:space="0" w:color="auto"/>
          </w:divBdr>
        </w:div>
        <w:div w:id="1865825554">
          <w:marLeft w:val="547"/>
          <w:marRight w:val="0"/>
          <w:marTop w:val="154"/>
          <w:marBottom w:val="0"/>
          <w:divBdr>
            <w:top w:val="none" w:sz="0" w:space="0" w:color="auto"/>
            <w:left w:val="none" w:sz="0" w:space="0" w:color="auto"/>
            <w:bottom w:val="none" w:sz="0" w:space="0" w:color="auto"/>
            <w:right w:val="none" w:sz="0" w:space="0" w:color="auto"/>
          </w:divBdr>
        </w:div>
      </w:divsChild>
    </w:div>
    <w:div w:id="929243413">
      <w:bodyDiv w:val="1"/>
      <w:marLeft w:val="0"/>
      <w:marRight w:val="0"/>
      <w:marTop w:val="0"/>
      <w:marBottom w:val="0"/>
      <w:divBdr>
        <w:top w:val="none" w:sz="0" w:space="0" w:color="auto"/>
        <w:left w:val="none" w:sz="0" w:space="0" w:color="auto"/>
        <w:bottom w:val="none" w:sz="0" w:space="0" w:color="auto"/>
        <w:right w:val="none" w:sz="0" w:space="0" w:color="auto"/>
      </w:divBdr>
    </w:div>
    <w:div w:id="942690604">
      <w:bodyDiv w:val="1"/>
      <w:marLeft w:val="0"/>
      <w:marRight w:val="0"/>
      <w:marTop w:val="0"/>
      <w:marBottom w:val="0"/>
      <w:divBdr>
        <w:top w:val="none" w:sz="0" w:space="0" w:color="auto"/>
        <w:left w:val="none" w:sz="0" w:space="0" w:color="auto"/>
        <w:bottom w:val="none" w:sz="0" w:space="0" w:color="auto"/>
        <w:right w:val="none" w:sz="0" w:space="0" w:color="auto"/>
      </w:divBdr>
    </w:div>
    <w:div w:id="1058169413">
      <w:bodyDiv w:val="1"/>
      <w:marLeft w:val="0"/>
      <w:marRight w:val="0"/>
      <w:marTop w:val="0"/>
      <w:marBottom w:val="0"/>
      <w:divBdr>
        <w:top w:val="none" w:sz="0" w:space="0" w:color="auto"/>
        <w:left w:val="none" w:sz="0" w:space="0" w:color="auto"/>
        <w:bottom w:val="none" w:sz="0" w:space="0" w:color="auto"/>
        <w:right w:val="none" w:sz="0" w:space="0" w:color="auto"/>
      </w:divBdr>
    </w:div>
    <w:div w:id="1062287880">
      <w:bodyDiv w:val="1"/>
      <w:marLeft w:val="0"/>
      <w:marRight w:val="0"/>
      <w:marTop w:val="0"/>
      <w:marBottom w:val="0"/>
      <w:divBdr>
        <w:top w:val="none" w:sz="0" w:space="0" w:color="auto"/>
        <w:left w:val="none" w:sz="0" w:space="0" w:color="auto"/>
        <w:bottom w:val="none" w:sz="0" w:space="0" w:color="auto"/>
        <w:right w:val="none" w:sz="0" w:space="0" w:color="auto"/>
      </w:divBdr>
      <w:divsChild>
        <w:div w:id="235433183">
          <w:marLeft w:val="547"/>
          <w:marRight w:val="0"/>
          <w:marTop w:val="144"/>
          <w:marBottom w:val="0"/>
          <w:divBdr>
            <w:top w:val="none" w:sz="0" w:space="0" w:color="auto"/>
            <w:left w:val="none" w:sz="0" w:space="0" w:color="auto"/>
            <w:bottom w:val="none" w:sz="0" w:space="0" w:color="auto"/>
            <w:right w:val="none" w:sz="0" w:space="0" w:color="auto"/>
          </w:divBdr>
        </w:div>
        <w:div w:id="923802811">
          <w:marLeft w:val="547"/>
          <w:marRight w:val="0"/>
          <w:marTop w:val="144"/>
          <w:marBottom w:val="0"/>
          <w:divBdr>
            <w:top w:val="none" w:sz="0" w:space="0" w:color="auto"/>
            <w:left w:val="none" w:sz="0" w:space="0" w:color="auto"/>
            <w:bottom w:val="none" w:sz="0" w:space="0" w:color="auto"/>
            <w:right w:val="none" w:sz="0" w:space="0" w:color="auto"/>
          </w:divBdr>
        </w:div>
        <w:div w:id="1142313855">
          <w:marLeft w:val="547"/>
          <w:marRight w:val="0"/>
          <w:marTop w:val="144"/>
          <w:marBottom w:val="0"/>
          <w:divBdr>
            <w:top w:val="none" w:sz="0" w:space="0" w:color="auto"/>
            <w:left w:val="none" w:sz="0" w:space="0" w:color="auto"/>
            <w:bottom w:val="none" w:sz="0" w:space="0" w:color="auto"/>
            <w:right w:val="none" w:sz="0" w:space="0" w:color="auto"/>
          </w:divBdr>
        </w:div>
        <w:div w:id="1760904553">
          <w:marLeft w:val="547"/>
          <w:marRight w:val="0"/>
          <w:marTop w:val="144"/>
          <w:marBottom w:val="0"/>
          <w:divBdr>
            <w:top w:val="none" w:sz="0" w:space="0" w:color="auto"/>
            <w:left w:val="none" w:sz="0" w:space="0" w:color="auto"/>
            <w:bottom w:val="none" w:sz="0" w:space="0" w:color="auto"/>
            <w:right w:val="none" w:sz="0" w:space="0" w:color="auto"/>
          </w:divBdr>
        </w:div>
        <w:div w:id="1801798857">
          <w:marLeft w:val="547"/>
          <w:marRight w:val="0"/>
          <w:marTop w:val="144"/>
          <w:marBottom w:val="0"/>
          <w:divBdr>
            <w:top w:val="none" w:sz="0" w:space="0" w:color="auto"/>
            <w:left w:val="none" w:sz="0" w:space="0" w:color="auto"/>
            <w:bottom w:val="none" w:sz="0" w:space="0" w:color="auto"/>
            <w:right w:val="none" w:sz="0" w:space="0" w:color="auto"/>
          </w:divBdr>
        </w:div>
      </w:divsChild>
    </w:div>
    <w:div w:id="1067336057">
      <w:bodyDiv w:val="1"/>
      <w:marLeft w:val="0"/>
      <w:marRight w:val="0"/>
      <w:marTop w:val="0"/>
      <w:marBottom w:val="0"/>
      <w:divBdr>
        <w:top w:val="none" w:sz="0" w:space="0" w:color="auto"/>
        <w:left w:val="none" w:sz="0" w:space="0" w:color="auto"/>
        <w:bottom w:val="none" w:sz="0" w:space="0" w:color="auto"/>
        <w:right w:val="none" w:sz="0" w:space="0" w:color="auto"/>
      </w:divBdr>
    </w:div>
    <w:div w:id="1226992692">
      <w:bodyDiv w:val="1"/>
      <w:marLeft w:val="0"/>
      <w:marRight w:val="0"/>
      <w:marTop w:val="0"/>
      <w:marBottom w:val="0"/>
      <w:divBdr>
        <w:top w:val="none" w:sz="0" w:space="0" w:color="auto"/>
        <w:left w:val="none" w:sz="0" w:space="0" w:color="auto"/>
        <w:bottom w:val="none" w:sz="0" w:space="0" w:color="auto"/>
        <w:right w:val="none" w:sz="0" w:space="0" w:color="auto"/>
      </w:divBdr>
    </w:div>
    <w:div w:id="1233855163">
      <w:bodyDiv w:val="1"/>
      <w:marLeft w:val="0"/>
      <w:marRight w:val="0"/>
      <w:marTop w:val="0"/>
      <w:marBottom w:val="0"/>
      <w:divBdr>
        <w:top w:val="none" w:sz="0" w:space="0" w:color="auto"/>
        <w:left w:val="none" w:sz="0" w:space="0" w:color="auto"/>
        <w:bottom w:val="none" w:sz="0" w:space="0" w:color="auto"/>
        <w:right w:val="none" w:sz="0" w:space="0" w:color="auto"/>
      </w:divBdr>
    </w:div>
    <w:div w:id="1297757242">
      <w:bodyDiv w:val="1"/>
      <w:marLeft w:val="0"/>
      <w:marRight w:val="0"/>
      <w:marTop w:val="0"/>
      <w:marBottom w:val="0"/>
      <w:divBdr>
        <w:top w:val="none" w:sz="0" w:space="0" w:color="auto"/>
        <w:left w:val="none" w:sz="0" w:space="0" w:color="auto"/>
        <w:bottom w:val="none" w:sz="0" w:space="0" w:color="auto"/>
        <w:right w:val="none" w:sz="0" w:space="0" w:color="auto"/>
      </w:divBdr>
      <w:divsChild>
        <w:div w:id="169025798">
          <w:marLeft w:val="547"/>
          <w:marRight w:val="0"/>
          <w:marTop w:val="154"/>
          <w:marBottom w:val="0"/>
          <w:divBdr>
            <w:top w:val="none" w:sz="0" w:space="0" w:color="auto"/>
            <w:left w:val="none" w:sz="0" w:space="0" w:color="auto"/>
            <w:bottom w:val="none" w:sz="0" w:space="0" w:color="auto"/>
            <w:right w:val="none" w:sz="0" w:space="0" w:color="auto"/>
          </w:divBdr>
        </w:div>
        <w:div w:id="895236185">
          <w:marLeft w:val="547"/>
          <w:marRight w:val="0"/>
          <w:marTop w:val="154"/>
          <w:marBottom w:val="0"/>
          <w:divBdr>
            <w:top w:val="none" w:sz="0" w:space="0" w:color="auto"/>
            <w:left w:val="none" w:sz="0" w:space="0" w:color="auto"/>
            <w:bottom w:val="none" w:sz="0" w:space="0" w:color="auto"/>
            <w:right w:val="none" w:sz="0" w:space="0" w:color="auto"/>
          </w:divBdr>
        </w:div>
      </w:divsChild>
    </w:div>
    <w:div w:id="1450323276">
      <w:bodyDiv w:val="1"/>
      <w:marLeft w:val="0"/>
      <w:marRight w:val="0"/>
      <w:marTop w:val="0"/>
      <w:marBottom w:val="0"/>
      <w:divBdr>
        <w:top w:val="none" w:sz="0" w:space="0" w:color="auto"/>
        <w:left w:val="none" w:sz="0" w:space="0" w:color="auto"/>
        <w:bottom w:val="none" w:sz="0" w:space="0" w:color="auto"/>
        <w:right w:val="none" w:sz="0" w:space="0" w:color="auto"/>
      </w:divBdr>
    </w:div>
    <w:div w:id="1525171510">
      <w:bodyDiv w:val="1"/>
      <w:marLeft w:val="0"/>
      <w:marRight w:val="0"/>
      <w:marTop w:val="0"/>
      <w:marBottom w:val="0"/>
      <w:divBdr>
        <w:top w:val="none" w:sz="0" w:space="0" w:color="auto"/>
        <w:left w:val="none" w:sz="0" w:space="0" w:color="auto"/>
        <w:bottom w:val="none" w:sz="0" w:space="0" w:color="auto"/>
        <w:right w:val="none" w:sz="0" w:space="0" w:color="auto"/>
      </w:divBdr>
    </w:div>
    <w:div w:id="1762557625">
      <w:bodyDiv w:val="1"/>
      <w:marLeft w:val="0"/>
      <w:marRight w:val="0"/>
      <w:marTop w:val="0"/>
      <w:marBottom w:val="0"/>
      <w:divBdr>
        <w:top w:val="none" w:sz="0" w:space="0" w:color="auto"/>
        <w:left w:val="none" w:sz="0" w:space="0" w:color="auto"/>
        <w:bottom w:val="none" w:sz="0" w:space="0" w:color="auto"/>
        <w:right w:val="none" w:sz="0" w:space="0" w:color="auto"/>
      </w:divBdr>
    </w:div>
    <w:div w:id="1777018689">
      <w:bodyDiv w:val="1"/>
      <w:marLeft w:val="0"/>
      <w:marRight w:val="0"/>
      <w:marTop w:val="0"/>
      <w:marBottom w:val="0"/>
      <w:divBdr>
        <w:top w:val="none" w:sz="0" w:space="0" w:color="auto"/>
        <w:left w:val="none" w:sz="0" w:space="0" w:color="auto"/>
        <w:bottom w:val="none" w:sz="0" w:space="0" w:color="auto"/>
        <w:right w:val="none" w:sz="0" w:space="0" w:color="auto"/>
      </w:divBdr>
    </w:div>
    <w:div w:id="2136632617">
      <w:bodyDiv w:val="1"/>
      <w:marLeft w:val="0"/>
      <w:marRight w:val="0"/>
      <w:marTop w:val="0"/>
      <w:marBottom w:val="0"/>
      <w:divBdr>
        <w:top w:val="none" w:sz="0" w:space="0" w:color="auto"/>
        <w:left w:val="none" w:sz="0" w:space="0" w:color="auto"/>
        <w:bottom w:val="none" w:sz="0" w:space="0" w:color="auto"/>
        <w:right w:val="none" w:sz="0" w:space="0" w:color="auto"/>
      </w:divBdr>
      <w:divsChild>
        <w:div w:id="1406801605">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16/j.dsx.2020.04.048" TargetMode="External"/><Relationship Id="rId18" Type="http://schemas.openxmlformats.org/officeDocument/2006/relationships/hyperlink" Target="https://doi.org/10.3389/fmicb.2021.698169"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who.int/health-topics/coronavirus" TargetMode="External"/><Relationship Id="rId7" Type="http://schemas.openxmlformats.org/officeDocument/2006/relationships/settings" Target="settings.xml"/><Relationship Id="rId12" Type="http://schemas.openxmlformats.org/officeDocument/2006/relationships/hyperlink" Target="https://doi.org/10.1016/S0140-6736(20)30211-7" TargetMode="External"/><Relationship Id="rId17" Type="http://schemas.openxmlformats.org/officeDocument/2006/relationships/hyperlink" Target="https://www.nhlbi.nih.gov/health/ventilator"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bmjopen.bmj.com/content/11/3/e045343" TargetMode="External"/><Relationship Id="rId20" Type="http://schemas.openxmlformats.org/officeDocument/2006/relationships/hyperlink" Target="https://www.emro.who.int/about-who/public-health-functions/health-promotion-disease-prevention.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dc.gov/media/releases/2020/p0625-update-expands-covid-19.html"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doi.org/10.1007/s11910-021-01130-1" TargetMode="External"/><Relationship Id="rId23" Type="http://schemas.openxmlformats.org/officeDocument/2006/relationships/hyperlink" Target="https://www.who.int/news-room/feature-stories/detail/how-do-vaccines-work?adgroupsurvey=%7Badgroupsurvey%7D&amp;gclid=Cj0KCQiA9YugBhCZARIsAACXxeKZdgbXjqSerMM06oBLeYX45eWeG01WruAr6_5_UjgRBpWGfIIV7VIaAoaXEALw_wcB" TargetMode="External"/><Relationship Id="rId10" Type="http://schemas.openxmlformats.org/officeDocument/2006/relationships/endnotes" Target="endnotes.xml"/><Relationship Id="rId19" Type="http://schemas.openxmlformats.org/officeDocument/2006/relationships/hyperlink" Target="https://doi.org/10.1371/journal.pone.024833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7759/cureus.8837" TargetMode="External"/><Relationship Id="rId22" Type="http://schemas.openxmlformats.org/officeDocument/2006/relationships/hyperlink" Target="https://www.who.int/about/what-we-do/who-brochure" TargetMode="Externa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1C78B1F6210C4E9A58F73BA6479D21" ma:contentTypeVersion="11" ma:contentTypeDescription="Create a new document." ma:contentTypeScope="" ma:versionID="8afdbd8c7d7ced6fbb67990a3af59cf2">
  <xsd:schema xmlns:xsd="http://www.w3.org/2001/XMLSchema" xmlns:xs="http://www.w3.org/2001/XMLSchema" xmlns:p="http://schemas.microsoft.com/office/2006/metadata/properties" xmlns:ns3="f856874f-9946-48cd-ac29-4cb76853c4c1" xmlns:ns4="2c5f1cb7-c8e7-4c33-a07f-489018ddf9f3" targetNamespace="http://schemas.microsoft.com/office/2006/metadata/properties" ma:root="true" ma:fieldsID="627c84850fa7835952a2d25fd6504a64" ns3:_="" ns4:_="">
    <xsd:import namespace="f856874f-9946-48cd-ac29-4cb76853c4c1"/>
    <xsd:import namespace="2c5f1cb7-c8e7-4c33-a07f-489018ddf9f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56874f-9946-48cd-ac29-4cb76853c4c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c5f1cb7-c8e7-4c33-a07f-489018ddf9f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_activity xmlns="f856874f-9946-48cd-ac29-4cb76853c4c1" xsi:nil="true"/>
  </documentManagement>
</p:properties>
</file>

<file path=customXml/itemProps1.xml><?xml version="1.0" encoding="utf-8"?>
<ds:datastoreItem xmlns:ds="http://schemas.openxmlformats.org/officeDocument/2006/customXml" ds:itemID="{9692BD1C-2413-4635-9538-0E1547105D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56874f-9946-48cd-ac29-4cb76853c4c1"/>
    <ds:schemaRef ds:uri="2c5f1cb7-c8e7-4c33-a07f-489018ddf9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66E3DB7-49E8-4AE3-B5C0-33165A6C3D49}">
  <ds:schemaRefs>
    <ds:schemaRef ds:uri="http://schemas.microsoft.com/sharepoint/v3/contenttype/forms"/>
  </ds:schemaRefs>
</ds:datastoreItem>
</file>

<file path=customXml/itemProps3.xml><?xml version="1.0" encoding="utf-8"?>
<ds:datastoreItem xmlns:ds="http://schemas.openxmlformats.org/officeDocument/2006/customXml" ds:itemID="{B2FB84E9-268A-418A-8B3E-D7C0728199A4}">
  <ds:schemaRefs>
    <ds:schemaRef ds:uri="http://schemas.openxmlformats.org/officeDocument/2006/bibliography"/>
  </ds:schemaRefs>
</ds:datastoreItem>
</file>

<file path=customXml/itemProps4.xml><?xml version="1.0" encoding="utf-8"?>
<ds:datastoreItem xmlns:ds="http://schemas.openxmlformats.org/officeDocument/2006/customXml" ds:itemID="{8F5572F8-E3C4-4E18-B8AF-A9FD7D99698D}">
  <ds:schemaRefs>
    <ds:schemaRef ds:uri="http://schemas.microsoft.com/office/2006/metadata/properties"/>
    <ds:schemaRef ds:uri="http://schemas.microsoft.com/office/infopath/2007/PartnerControls"/>
    <ds:schemaRef ds:uri="f856874f-9946-48cd-ac29-4cb76853c4c1"/>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2978</Words>
  <Characters>16981</Characters>
  <Application>Microsoft Office Word</Application>
  <DocSecurity>4</DocSecurity>
  <Lines>141</Lines>
  <Paragraphs>39</Paragraphs>
  <ScaleCrop>false</ScaleCrop>
  <Company/>
  <LinksUpToDate>false</LinksUpToDate>
  <CharactersWithSpaces>19920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dc:creator>
  <cp:keywords/>
  <dc:description/>
  <cp:lastModifiedBy>Isaac Njoku (2133548)</cp:lastModifiedBy>
  <cp:revision>56</cp:revision>
  <dcterms:created xsi:type="dcterms:W3CDTF">2023-03-24T06:20:00Z</dcterms:created>
  <dcterms:modified xsi:type="dcterms:W3CDTF">2023-03-24T09:05:00Z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0x010100341C78B1F6210C4E9A58F73BA6479D21</vt:lpwstr>
  </property>
</Properties>
</file>