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F99DCFC" w14:textId="34DF5920" w:rsidR="00F5427C" w:rsidRDefault="00696EBB" w:rsidP="00F5427C">
      <w:pPr>
        <w:ind w:left="2160" w:firstLine="720"/>
        <w:rPr>
          <w:rFonts w:ascii="Times New Roman" w:hAnsi="Times New Roman" w:cs="Times New Roman"/>
          <w:b/>
          <w:bCs/>
        </w:rPr>
      </w:pPr>
      <w:bookmarkStart w:id="0" w:name="_Toc199679037"/>
      <w:r w:rsidRPr="00ED4D3B">
        <w:rPr>
          <w:rFonts w:ascii="Times New Roman" w:hAnsi="Times New Roman" w:cs="Times New Roman"/>
          <w:noProof/>
        </w:rPr>
        <w:drawing>
          <wp:anchor distT="0" distB="0" distL="114300" distR="114300" simplePos="0" relativeHeight="251659264" behindDoc="0" locked="0" layoutInCell="1" allowOverlap="1" wp14:anchorId="776AFC2F" wp14:editId="5E5995ED">
            <wp:simplePos x="0" y="0"/>
            <wp:positionH relativeFrom="column">
              <wp:posOffset>0</wp:posOffset>
            </wp:positionH>
            <wp:positionV relativeFrom="paragraph">
              <wp:posOffset>0</wp:posOffset>
            </wp:positionV>
            <wp:extent cx="2292351" cy="916940"/>
            <wp:effectExtent l="0" t="0" r="0" b="0"/>
            <wp:wrapNone/>
            <wp:docPr id="2050" name="Picture 2"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0" name="Picture 2" descr="Discover University of Wales Trinity Saint Davi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292351" cy="916940"/>
                    </a:xfrm>
                    <a:prstGeom prst="rect">
                      <a:avLst/>
                    </a:prstGeom>
                    <a:noFill/>
                  </pic:spPr>
                </pic:pic>
              </a:graphicData>
            </a:graphic>
          </wp:anchor>
        </w:drawing>
      </w:r>
      <w:bookmarkEnd w:id="0"/>
    </w:p>
    <w:p w14:paraId="2AF2B998" w14:textId="77777777" w:rsidR="00F5427C" w:rsidRDefault="00F5427C" w:rsidP="00F5427C">
      <w:pPr>
        <w:jc w:val="center"/>
        <w:rPr>
          <w:rFonts w:ascii="Times New Roman" w:hAnsi="Times New Roman" w:cs="Times New Roman"/>
          <w:b/>
          <w:bCs/>
        </w:rPr>
      </w:pPr>
    </w:p>
    <w:p w14:paraId="4E9255A1" w14:textId="77777777" w:rsidR="00F5427C" w:rsidRDefault="00F5427C" w:rsidP="00F5427C">
      <w:pPr>
        <w:jc w:val="center"/>
        <w:rPr>
          <w:rFonts w:ascii="Times New Roman" w:hAnsi="Times New Roman" w:cs="Times New Roman"/>
          <w:b/>
          <w:bCs/>
        </w:rPr>
      </w:pPr>
    </w:p>
    <w:p w14:paraId="17EE26D7" w14:textId="77777777" w:rsidR="00F5427C" w:rsidRDefault="00F5427C" w:rsidP="00F5427C">
      <w:pPr>
        <w:jc w:val="center"/>
        <w:rPr>
          <w:rFonts w:ascii="Times New Roman" w:hAnsi="Times New Roman" w:cs="Times New Roman"/>
          <w:b/>
          <w:bCs/>
        </w:rPr>
      </w:pPr>
    </w:p>
    <w:p w14:paraId="1F4B4888" w14:textId="77777777" w:rsidR="004A7FFE" w:rsidRDefault="004A7FFE" w:rsidP="00F5427C">
      <w:pPr>
        <w:jc w:val="center"/>
        <w:rPr>
          <w:rFonts w:ascii="Times New Roman" w:hAnsi="Times New Roman" w:cs="Times New Roman"/>
          <w:b/>
          <w:bCs/>
        </w:rPr>
      </w:pPr>
    </w:p>
    <w:p w14:paraId="71DEEE5F" w14:textId="77777777" w:rsidR="00696EBB" w:rsidRDefault="00696EBB" w:rsidP="00F5427C">
      <w:pPr>
        <w:jc w:val="center"/>
        <w:rPr>
          <w:rFonts w:ascii="Times New Roman" w:hAnsi="Times New Roman" w:cs="Times New Roman"/>
          <w:b/>
          <w:bCs/>
        </w:rPr>
      </w:pPr>
    </w:p>
    <w:p w14:paraId="2F90D758" w14:textId="77777777" w:rsidR="00F5427C" w:rsidRDefault="00F5427C" w:rsidP="00F5427C">
      <w:pPr>
        <w:jc w:val="center"/>
        <w:rPr>
          <w:rFonts w:ascii="Times New Roman" w:hAnsi="Times New Roman" w:cs="Times New Roman"/>
          <w:b/>
          <w:bCs/>
        </w:rPr>
      </w:pPr>
    </w:p>
    <w:p w14:paraId="7DF2B2D4" w14:textId="4CC1EB49" w:rsidR="00F5427C" w:rsidRDefault="00F5427C" w:rsidP="00F5427C">
      <w:pPr>
        <w:ind w:left="2160" w:firstLine="720"/>
        <w:rPr>
          <w:rFonts w:ascii="Times New Roman" w:hAnsi="Times New Roman" w:cs="Times New Roman"/>
          <w:b/>
          <w:bCs/>
        </w:rPr>
      </w:pPr>
      <w:r>
        <w:rPr>
          <w:rFonts w:ascii="Times New Roman" w:hAnsi="Times New Roman" w:cs="Times New Roman"/>
          <w:b/>
          <w:bCs/>
        </w:rPr>
        <w:t>Module Number: LCBB5014</w:t>
      </w:r>
    </w:p>
    <w:p w14:paraId="7AF06C85" w14:textId="77777777" w:rsidR="00F5427C" w:rsidRDefault="00F5427C" w:rsidP="00F5427C">
      <w:pPr>
        <w:jc w:val="center"/>
        <w:rPr>
          <w:rFonts w:ascii="Times New Roman" w:hAnsi="Times New Roman" w:cs="Times New Roman"/>
          <w:b/>
          <w:bCs/>
        </w:rPr>
      </w:pPr>
    </w:p>
    <w:p w14:paraId="74801529" w14:textId="77777777" w:rsidR="00F5427C" w:rsidRDefault="00F5427C" w:rsidP="00F5427C">
      <w:pPr>
        <w:jc w:val="center"/>
        <w:rPr>
          <w:rFonts w:ascii="Times New Roman" w:hAnsi="Times New Roman" w:cs="Times New Roman"/>
          <w:b/>
          <w:bCs/>
        </w:rPr>
      </w:pPr>
      <w:r>
        <w:rPr>
          <w:rFonts w:ascii="Times New Roman" w:hAnsi="Times New Roman" w:cs="Times New Roman"/>
          <w:b/>
          <w:bCs/>
        </w:rPr>
        <w:t>Module Leader: NASSIR IBRAHIM</w:t>
      </w:r>
    </w:p>
    <w:p w14:paraId="70B8C6FE" w14:textId="77777777" w:rsidR="00F5427C" w:rsidRDefault="00F5427C" w:rsidP="00F5427C">
      <w:pPr>
        <w:jc w:val="center"/>
        <w:rPr>
          <w:rFonts w:ascii="Times New Roman" w:hAnsi="Times New Roman" w:cs="Times New Roman"/>
          <w:b/>
          <w:bCs/>
        </w:rPr>
      </w:pPr>
    </w:p>
    <w:p w14:paraId="7BB6FD46" w14:textId="77777777" w:rsidR="00F5427C" w:rsidRDefault="00F5427C" w:rsidP="00F5427C">
      <w:pPr>
        <w:jc w:val="center"/>
        <w:rPr>
          <w:rFonts w:ascii="Times New Roman" w:hAnsi="Times New Roman" w:cs="Times New Roman"/>
          <w:b/>
          <w:bCs/>
        </w:rPr>
      </w:pPr>
      <w:r>
        <w:rPr>
          <w:rFonts w:ascii="Times New Roman" w:hAnsi="Times New Roman" w:cs="Times New Roman"/>
          <w:b/>
          <w:bCs/>
        </w:rPr>
        <w:t>Student Name: ANDRADA COMARITA</w:t>
      </w:r>
    </w:p>
    <w:p w14:paraId="361F6223" w14:textId="77777777" w:rsidR="00F5427C" w:rsidRDefault="00F5427C" w:rsidP="00F5427C">
      <w:pPr>
        <w:jc w:val="center"/>
        <w:rPr>
          <w:rFonts w:ascii="Times New Roman" w:hAnsi="Times New Roman" w:cs="Times New Roman"/>
          <w:b/>
          <w:bCs/>
        </w:rPr>
      </w:pPr>
    </w:p>
    <w:p w14:paraId="6D04AE5B" w14:textId="77777777" w:rsidR="00F5427C" w:rsidRDefault="00F5427C" w:rsidP="00F5427C">
      <w:pPr>
        <w:spacing w:line="360" w:lineRule="auto"/>
        <w:jc w:val="center"/>
        <w:rPr>
          <w:rFonts w:ascii="Times New Roman" w:hAnsi="Times New Roman" w:cs="Times New Roman"/>
          <w:b/>
          <w:bCs/>
        </w:rPr>
      </w:pPr>
      <w:r>
        <w:rPr>
          <w:rFonts w:ascii="Times New Roman" w:hAnsi="Times New Roman" w:cs="Times New Roman"/>
          <w:b/>
          <w:bCs/>
        </w:rPr>
        <w:t>Student ID: 2238778</w:t>
      </w:r>
    </w:p>
    <w:p w14:paraId="27E1CF04" w14:textId="77777777" w:rsidR="00F5427C" w:rsidRDefault="00F5427C" w:rsidP="00F5427C">
      <w:pPr>
        <w:spacing w:line="360" w:lineRule="auto"/>
        <w:jc w:val="center"/>
        <w:rPr>
          <w:rFonts w:ascii="Times New Roman" w:hAnsi="Times New Roman" w:cs="Times New Roman"/>
          <w:b/>
          <w:bCs/>
        </w:rPr>
      </w:pPr>
    </w:p>
    <w:p w14:paraId="64148976" w14:textId="77777777" w:rsidR="00F5427C" w:rsidRDefault="00F5427C" w:rsidP="00F5427C">
      <w:pPr>
        <w:spacing w:line="360" w:lineRule="auto"/>
        <w:jc w:val="center"/>
        <w:rPr>
          <w:rFonts w:ascii="Times New Roman" w:hAnsi="Times New Roman" w:cs="Times New Roman"/>
          <w:b/>
          <w:bCs/>
        </w:rPr>
      </w:pPr>
    </w:p>
    <w:p w14:paraId="740CAF65" w14:textId="77777777" w:rsidR="00F5427C" w:rsidRDefault="00F5427C" w:rsidP="00F5427C">
      <w:pPr>
        <w:spacing w:line="360" w:lineRule="auto"/>
        <w:jc w:val="center"/>
        <w:rPr>
          <w:rFonts w:ascii="Times New Roman" w:hAnsi="Times New Roman" w:cs="Times New Roman"/>
        </w:rPr>
      </w:pPr>
    </w:p>
    <w:p w14:paraId="67A1CA7F" w14:textId="77777777" w:rsidR="00F5427C" w:rsidRDefault="00F5427C" w:rsidP="00F5427C">
      <w:pPr>
        <w:spacing w:line="360" w:lineRule="auto"/>
        <w:jc w:val="both"/>
        <w:rPr>
          <w:rFonts w:ascii="Times New Roman" w:hAnsi="Times New Roman" w:cs="Times New Roman"/>
        </w:rPr>
      </w:pPr>
    </w:p>
    <w:p w14:paraId="33DE0350" w14:textId="77777777" w:rsidR="00F5427C" w:rsidRDefault="00F5427C" w:rsidP="00F5427C">
      <w:pPr>
        <w:spacing w:line="360" w:lineRule="auto"/>
        <w:jc w:val="both"/>
        <w:rPr>
          <w:rFonts w:ascii="Times New Roman" w:hAnsi="Times New Roman" w:cs="Times New Roman"/>
        </w:rPr>
      </w:pPr>
    </w:p>
    <w:p w14:paraId="7D1C9B27" w14:textId="77777777" w:rsidR="00F5427C" w:rsidRDefault="00F5427C" w:rsidP="00F5427C">
      <w:pPr>
        <w:spacing w:line="360" w:lineRule="auto"/>
        <w:jc w:val="both"/>
        <w:rPr>
          <w:rFonts w:ascii="Times New Roman" w:hAnsi="Times New Roman" w:cs="Times New Roman"/>
        </w:rPr>
      </w:pPr>
    </w:p>
    <w:p w14:paraId="3BD9D9FB" w14:textId="77777777" w:rsidR="00F5427C" w:rsidRDefault="00F5427C" w:rsidP="00F5427C">
      <w:pPr>
        <w:spacing w:line="360" w:lineRule="auto"/>
        <w:jc w:val="both"/>
        <w:rPr>
          <w:rFonts w:ascii="Times New Roman" w:hAnsi="Times New Roman" w:cs="Times New Roman"/>
        </w:rPr>
      </w:pPr>
    </w:p>
    <w:p w14:paraId="33A97B39" w14:textId="77777777" w:rsidR="00F5427C" w:rsidRDefault="00F5427C" w:rsidP="00F5427C">
      <w:pPr>
        <w:spacing w:line="360" w:lineRule="auto"/>
        <w:jc w:val="both"/>
        <w:rPr>
          <w:rFonts w:ascii="Times New Roman" w:hAnsi="Times New Roman" w:cs="Times New Roman"/>
        </w:rPr>
      </w:pPr>
    </w:p>
    <w:p w14:paraId="14438C2A" w14:textId="77777777" w:rsidR="00F5427C" w:rsidRDefault="00F5427C" w:rsidP="00F5427C">
      <w:pPr>
        <w:spacing w:line="360" w:lineRule="auto"/>
        <w:jc w:val="both"/>
        <w:rPr>
          <w:rFonts w:ascii="Times New Roman" w:hAnsi="Times New Roman" w:cs="Times New Roman"/>
        </w:rPr>
      </w:pPr>
    </w:p>
    <w:p w14:paraId="7D61D8E4" w14:textId="77777777" w:rsidR="00F5427C" w:rsidRDefault="00F5427C" w:rsidP="00F5427C">
      <w:pPr>
        <w:spacing w:line="360" w:lineRule="auto"/>
        <w:jc w:val="both"/>
        <w:rPr>
          <w:rFonts w:ascii="Times New Roman" w:hAnsi="Times New Roman" w:cs="Times New Roman"/>
        </w:rPr>
      </w:pPr>
    </w:p>
    <w:p w14:paraId="4E6DA33A" w14:textId="77777777" w:rsidR="00F5427C" w:rsidRDefault="00F5427C" w:rsidP="00F5427C">
      <w:pPr>
        <w:spacing w:line="360" w:lineRule="auto"/>
        <w:jc w:val="both"/>
        <w:rPr>
          <w:rFonts w:ascii="Times New Roman" w:hAnsi="Times New Roman" w:cs="Times New Roman"/>
        </w:rPr>
      </w:pPr>
    </w:p>
    <w:p w14:paraId="4727369A" w14:textId="77777777" w:rsidR="00F5427C" w:rsidRDefault="00F5427C" w:rsidP="00F5427C">
      <w:pPr>
        <w:spacing w:line="360" w:lineRule="auto"/>
        <w:jc w:val="both"/>
        <w:rPr>
          <w:rFonts w:ascii="Times New Roman" w:hAnsi="Times New Roman" w:cs="Times New Roman"/>
        </w:rPr>
      </w:pPr>
    </w:p>
    <w:p w14:paraId="6583A168" w14:textId="77777777" w:rsidR="00F5427C" w:rsidRDefault="00F5427C" w:rsidP="00F5427C">
      <w:pPr>
        <w:spacing w:line="360" w:lineRule="auto"/>
        <w:jc w:val="both"/>
        <w:rPr>
          <w:rFonts w:ascii="Times New Roman" w:hAnsi="Times New Roman" w:cs="Times New Roman"/>
        </w:rPr>
      </w:pPr>
    </w:p>
    <w:p w14:paraId="79E6E18B" w14:textId="77777777" w:rsidR="00F5427C" w:rsidRDefault="00F5427C" w:rsidP="00F5427C">
      <w:pPr>
        <w:spacing w:line="360" w:lineRule="auto"/>
        <w:jc w:val="both"/>
        <w:rPr>
          <w:rFonts w:ascii="Times New Roman" w:hAnsi="Times New Roman" w:cs="Times New Roman"/>
        </w:rPr>
      </w:pPr>
    </w:p>
    <w:p w14:paraId="29677C32" w14:textId="77777777" w:rsidR="00F5427C" w:rsidRDefault="00F5427C" w:rsidP="00F5427C">
      <w:pPr>
        <w:spacing w:line="360" w:lineRule="auto"/>
        <w:jc w:val="both"/>
        <w:rPr>
          <w:rFonts w:ascii="Times New Roman" w:hAnsi="Times New Roman" w:cs="Times New Roman"/>
        </w:rPr>
      </w:pPr>
    </w:p>
    <w:p w14:paraId="0214625C" w14:textId="77777777" w:rsidR="00F5427C" w:rsidRDefault="00F5427C" w:rsidP="00F5427C">
      <w:pPr>
        <w:spacing w:line="360" w:lineRule="auto"/>
        <w:jc w:val="both"/>
        <w:rPr>
          <w:rFonts w:ascii="Times New Roman" w:hAnsi="Times New Roman" w:cs="Times New Roman"/>
          <w:b/>
          <w:bCs/>
          <w:lang w:val="en-US"/>
        </w:rPr>
      </w:pPr>
    </w:p>
    <w:p w14:paraId="630E0EE1" w14:textId="77777777" w:rsidR="00F5427C" w:rsidRDefault="00F5427C" w:rsidP="00F5427C">
      <w:pPr>
        <w:pStyle w:val="TOCHeading"/>
        <w:rPr>
          <w:color w:val="0D0D0D" w:themeColor="text1" w:themeTint="F2"/>
        </w:rPr>
      </w:pPr>
      <w:r w:rsidRPr="00F5427C">
        <w:rPr>
          <w:color w:val="0D0D0D" w:themeColor="text1" w:themeTint="F2"/>
        </w:rPr>
        <w:t>Table of Contents</w:t>
      </w:r>
    </w:p>
    <w:p w14:paraId="589D74CB" w14:textId="77777777" w:rsidR="00F5427C" w:rsidRPr="00F5427C" w:rsidRDefault="00F5427C" w:rsidP="00F5427C">
      <w:pPr>
        <w:rPr>
          <w:lang w:val="en-US"/>
        </w:rPr>
      </w:pPr>
    </w:p>
    <w:p w14:paraId="1F1F7B9F" w14:textId="77777777" w:rsidR="00F5427C" w:rsidRPr="00F5427C" w:rsidRDefault="00F5427C" w:rsidP="00F5427C">
      <w:pPr>
        <w:rPr>
          <w:lang w:val="en-US"/>
        </w:rPr>
      </w:pPr>
    </w:p>
    <w:p w14:paraId="2D5DB511" w14:textId="77777777" w:rsidR="00F5427C" w:rsidRDefault="00F5427C" w:rsidP="00F5427C">
      <w:pPr>
        <w:pStyle w:val="TOC1"/>
        <w:tabs>
          <w:tab w:val="right" w:leader="dot" w:pos="9350"/>
        </w:tabs>
        <w:rPr>
          <w:rFonts w:eastAsiaTheme="minorEastAsia"/>
          <w:lang w:val="en-US"/>
        </w:rPr>
      </w:pPr>
      <w:hyperlink w:anchor="_Toc211524717">
        <w:r>
          <w:rPr>
            <w:rStyle w:val="IndexLink"/>
          </w:rPr>
          <w:t>1. Introduction</w:t>
        </w:r>
        <w:r>
          <w:rPr>
            <w:rStyle w:val="IndexLink"/>
          </w:rPr>
          <w:tab/>
        </w:r>
      </w:hyperlink>
      <w:r>
        <w:t>3</w:t>
      </w:r>
    </w:p>
    <w:p w14:paraId="7EF82A29" w14:textId="77777777" w:rsidR="00F5427C" w:rsidRDefault="00F5427C" w:rsidP="00F5427C">
      <w:pPr>
        <w:pStyle w:val="TOC1"/>
        <w:tabs>
          <w:tab w:val="right" w:leader="dot" w:pos="9350"/>
        </w:tabs>
        <w:rPr>
          <w:rFonts w:eastAsiaTheme="minorEastAsia"/>
          <w:lang w:val="en-US"/>
        </w:rPr>
      </w:pPr>
      <w:hyperlink w:anchor="_Toc211524718">
        <w:r>
          <w:rPr>
            <w:rStyle w:val="IndexLink"/>
          </w:rPr>
          <w:t>2. Trends in BI, DW, and DM</w:t>
        </w:r>
        <w:r>
          <w:rPr>
            <w:rStyle w:val="IndexLink"/>
          </w:rPr>
          <w:tab/>
        </w:r>
      </w:hyperlink>
      <w:r>
        <w:t>3</w:t>
      </w:r>
    </w:p>
    <w:p w14:paraId="117650B2" w14:textId="77777777" w:rsidR="00F5427C" w:rsidRDefault="00F5427C" w:rsidP="00F5427C">
      <w:pPr>
        <w:pStyle w:val="TOC1"/>
        <w:tabs>
          <w:tab w:val="right" w:leader="dot" w:pos="9350"/>
        </w:tabs>
        <w:rPr>
          <w:rFonts w:eastAsiaTheme="minorEastAsia"/>
          <w:lang w:val="en-US"/>
        </w:rPr>
      </w:pPr>
      <w:hyperlink w:anchor="_Toc211524719">
        <w:r>
          <w:rPr>
            <w:rStyle w:val="IndexLink"/>
          </w:rPr>
          <w:t>3. Data Warehousing in the Organisation Applications</w:t>
        </w:r>
        <w:r>
          <w:rPr>
            <w:rStyle w:val="IndexLink"/>
          </w:rPr>
          <w:tab/>
        </w:r>
      </w:hyperlink>
      <w:r>
        <w:t>4</w:t>
      </w:r>
    </w:p>
    <w:p w14:paraId="0302826D" w14:textId="77777777" w:rsidR="00F5427C" w:rsidRDefault="00F5427C" w:rsidP="00F5427C">
      <w:pPr>
        <w:pStyle w:val="TOC1"/>
        <w:tabs>
          <w:tab w:val="right" w:leader="dot" w:pos="9350"/>
        </w:tabs>
        <w:rPr>
          <w:rFonts w:eastAsiaTheme="minorEastAsia"/>
          <w:lang w:val="en-US"/>
        </w:rPr>
      </w:pPr>
      <w:hyperlink w:anchor="_Toc211524720">
        <w:r>
          <w:rPr>
            <w:rStyle w:val="IndexLink"/>
          </w:rPr>
          <w:t>4. Data Mining Techniques</w:t>
        </w:r>
        <w:r>
          <w:rPr>
            <w:rStyle w:val="IndexLink"/>
          </w:rPr>
          <w:tab/>
        </w:r>
      </w:hyperlink>
      <w:r>
        <w:t>5</w:t>
      </w:r>
    </w:p>
    <w:p w14:paraId="12524733" w14:textId="77777777" w:rsidR="00F5427C" w:rsidRDefault="00F5427C" w:rsidP="00F5427C">
      <w:pPr>
        <w:pStyle w:val="TOC1"/>
        <w:tabs>
          <w:tab w:val="right" w:leader="dot" w:pos="9350"/>
        </w:tabs>
        <w:rPr>
          <w:rFonts w:eastAsiaTheme="minorEastAsia"/>
          <w:lang w:val="en-US"/>
        </w:rPr>
      </w:pPr>
      <w:hyperlink w:anchor="_Toc211524721">
        <w:r>
          <w:rPr>
            <w:rStyle w:val="IndexLink"/>
          </w:rPr>
          <w:t>5. Predictive Analysis</w:t>
        </w:r>
        <w:r>
          <w:rPr>
            <w:rStyle w:val="IndexLink"/>
          </w:rPr>
          <w:tab/>
        </w:r>
      </w:hyperlink>
      <w:r>
        <w:t>6</w:t>
      </w:r>
    </w:p>
    <w:p w14:paraId="79821A76" w14:textId="77777777" w:rsidR="00F5427C" w:rsidRDefault="00F5427C" w:rsidP="00F5427C">
      <w:pPr>
        <w:pStyle w:val="TOC1"/>
        <w:tabs>
          <w:tab w:val="right" w:leader="dot" w:pos="9350"/>
        </w:tabs>
        <w:rPr>
          <w:rFonts w:eastAsiaTheme="minorEastAsia"/>
          <w:lang w:val="en-US"/>
        </w:rPr>
      </w:pPr>
      <w:hyperlink w:anchor="_Toc211524722">
        <w:r>
          <w:rPr>
            <w:rStyle w:val="IndexLink"/>
          </w:rPr>
          <w:t>6. Ethical and Data Security Considerations</w:t>
        </w:r>
        <w:r>
          <w:rPr>
            <w:rStyle w:val="IndexLink"/>
          </w:rPr>
          <w:tab/>
        </w:r>
      </w:hyperlink>
      <w:r>
        <w:t>7</w:t>
      </w:r>
    </w:p>
    <w:p w14:paraId="0F3E14C9" w14:textId="77777777" w:rsidR="00F5427C" w:rsidRDefault="00F5427C" w:rsidP="00F5427C">
      <w:pPr>
        <w:pStyle w:val="TOC1"/>
        <w:tabs>
          <w:tab w:val="right" w:leader="dot" w:pos="9350"/>
        </w:tabs>
        <w:rPr>
          <w:rFonts w:eastAsiaTheme="minorEastAsia"/>
          <w:lang w:val="en-US"/>
        </w:rPr>
      </w:pPr>
      <w:hyperlink w:anchor="_Toc211524723">
        <w:r>
          <w:rPr>
            <w:rStyle w:val="IndexLink"/>
          </w:rPr>
          <w:t>7. Reporting and Dashboard Solutions</w:t>
        </w:r>
        <w:r>
          <w:rPr>
            <w:rStyle w:val="IndexLink"/>
          </w:rPr>
          <w:tab/>
        </w:r>
      </w:hyperlink>
      <w:r>
        <w:t>7</w:t>
      </w:r>
    </w:p>
    <w:p w14:paraId="5BB0167E" w14:textId="77777777" w:rsidR="00F5427C" w:rsidRDefault="00F5427C" w:rsidP="00F5427C">
      <w:pPr>
        <w:pStyle w:val="TOC1"/>
        <w:tabs>
          <w:tab w:val="right" w:leader="dot" w:pos="9350"/>
        </w:tabs>
        <w:rPr>
          <w:rFonts w:eastAsiaTheme="minorEastAsia"/>
          <w:lang w:val="en-US"/>
        </w:rPr>
      </w:pPr>
      <w:hyperlink w:anchor="_Toc211524724">
        <w:r>
          <w:rPr>
            <w:rStyle w:val="IndexLink"/>
          </w:rPr>
          <w:t>8. Conclusion</w:t>
        </w:r>
        <w:r>
          <w:rPr>
            <w:rStyle w:val="IndexLink"/>
          </w:rPr>
          <w:tab/>
        </w:r>
      </w:hyperlink>
      <w:r>
        <w:t>8</w:t>
      </w:r>
    </w:p>
    <w:p w14:paraId="0D5BD7D0" w14:textId="77777777" w:rsidR="00F5427C" w:rsidRDefault="00F5427C" w:rsidP="00F5427C">
      <w:pPr>
        <w:pStyle w:val="TOC1"/>
        <w:tabs>
          <w:tab w:val="right" w:leader="dot" w:pos="9350"/>
        </w:tabs>
        <w:rPr>
          <w:rFonts w:eastAsiaTheme="minorEastAsia"/>
          <w:lang w:val="en-US"/>
        </w:rPr>
      </w:pPr>
      <w:hyperlink w:anchor="_Toc211524725">
        <w:r>
          <w:rPr>
            <w:rStyle w:val="IndexLink"/>
          </w:rPr>
          <w:t>References</w:t>
        </w:r>
        <w:r>
          <w:rPr>
            <w:rStyle w:val="IndexLink"/>
          </w:rPr>
          <w:tab/>
        </w:r>
      </w:hyperlink>
      <w:r>
        <w:t>9</w:t>
      </w:r>
    </w:p>
    <w:p w14:paraId="1772F997" w14:textId="77777777" w:rsidR="00F5427C" w:rsidRDefault="00F5427C" w:rsidP="00F5427C"/>
    <w:p w14:paraId="30DDE415" w14:textId="77777777" w:rsidR="00F5427C" w:rsidRDefault="00F5427C" w:rsidP="00F5427C">
      <w:pPr>
        <w:spacing w:line="360" w:lineRule="auto"/>
        <w:jc w:val="both"/>
        <w:rPr>
          <w:rFonts w:ascii="Times New Roman" w:hAnsi="Times New Roman" w:cs="Times New Roman"/>
          <w:b/>
          <w:bCs/>
          <w:lang w:val="en-US"/>
        </w:rPr>
      </w:pPr>
    </w:p>
    <w:p w14:paraId="4B83C562" w14:textId="77777777" w:rsidR="00F5427C" w:rsidRDefault="00F5427C" w:rsidP="00F5427C">
      <w:pPr>
        <w:spacing w:line="360" w:lineRule="auto"/>
        <w:jc w:val="both"/>
        <w:rPr>
          <w:rFonts w:ascii="Times New Roman" w:hAnsi="Times New Roman" w:cs="Times New Roman"/>
          <w:b/>
          <w:bCs/>
          <w:lang w:val="en-US"/>
        </w:rPr>
      </w:pPr>
    </w:p>
    <w:p w14:paraId="19380C95" w14:textId="77777777" w:rsidR="00F5427C" w:rsidRDefault="00F5427C" w:rsidP="00F5427C">
      <w:pPr>
        <w:spacing w:line="360" w:lineRule="auto"/>
        <w:jc w:val="both"/>
        <w:rPr>
          <w:rFonts w:ascii="Times New Roman" w:hAnsi="Times New Roman" w:cs="Times New Roman"/>
          <w:b/>
          <w:bCs/>
          <w:lang w:val="en-US"/>
        </w:rPr>
      </w:pPr>
    </w:p>
    <w:p w14:paraId="16476AA7" w14:textId="77777777" w:rsidR="00F5427C" w:rsidRDefault="00F5427C" w:rsidP="00F5427C">
      <w:pPr>
        <w:spacing w:line="360" w:lineRule="auto"/>
        <w:jc w:val="both"/>
        <w:rPr>
          <w:rFonts w:ascii="Times New Roman" w:hAnsi="Times New Roman" w:cs="Times New Roman"/>
          <w:b/>
          <w:bCs/>
          <w:lang w:val="en-US"/>
        </w:rPr>
      </w:pPr>
    </w:p>
    <w:p w14:paraId="4CD336D3" w14:textId="77777777" w:rsidR="00F5427C" w:rsidRDefault="00F5427C" w:rsidP="00F5427C">
      <w:pPr>
        <w:spacing w:line="360" w:lineRule="auto"/>
        <w:jc w:val="both"/>
        <w:rPr>
          <w:rFonts w:ascii="Times New Roman" w:hAnsi="Times New Roman" w:cs="Times New Roman"/>
          <w:b/>
          <w:bCs/>
          <w:lang w:val="en-US"/>
        </w:rPr>
      </w:pPr>
    </w:p>
    <w:p w14:paraId="5DEB124B" w14:textId="77777777" w:rsidR="00F5427C" w:rsidRDefault="00F5427C" w:rsidP="00F5427C">
      <w:pPr>
        <w:spacing w:line="360" w:lineRule="auto"/>
        <w:jc w:val="both"/>
        <w:rPr>
          <w:rFonts w:ascii="Times New Roman" w:hAnsi="Times New Roman" w:cs="Times New Roman"/>
          <w:b/>
          <w:bCs/>
          <w:lang w:val="en-US"/>
        </w:rPr>
      </w:pPr>
    </w:p>
    <w:p w14:paraId="1E29B8B1" w14:textId="77777777" w:rsidR="00F5427C" w:rsidRDefault="00F5427C" w:rsidP="00F5427C">
      <w:pPr>
        <w:spacing w:line="360" w:lineRule="auto"/>
        <w:jc w:val="both"/>
        <w:rPr>
          <w:rFonts w:ascii="Times New Roman" w:hAnsi="Times New Roman" w:cs="Times New Roman"/>
          <w:b/>
          <w:bCs/>
          <w:lang w:val="en-US"/>
        </w:rPr>
      </w:pPr>
    </w:p>
    <w:p w14:paraId="419F11ED" w14:textId="77777777" w:rsidR="00F5427C" w:rsidRDefault="00F5427C" w:rsidP="00F5427C">
      <w:pPr>
        <w:spacing w:line="360" w:lineRule="auto"/>
        <w:jc w:val="both"/>
        <w:rPr>
          <w:rFonts w:ascii="Times New Roman" w:hAnsi="Times New Roman" w:cs="Times New Roman"/>
          <w:b/>
          <w:bCs/>
          <w:lang w:val="en-US"/>
        </w:rPr>
      </w:pPr>
    </w:p>
    <w:p w14:paraId="0E7F90B6" w14:textId="77777777" w:rsidR="00F5427C" w:rsidRDefault="00F5427C" w:rsidP="00F5427C">
      <w:pPr>
        <w:spacing w:line="360" w:lineRule="auto"/>
        <w:jc w:val="both"/>
        <w:rPr>
          <w:rFonts w:ascii="Times New Roman" w:hAnsi="Times New Roman" w:cs="Times New Roman"/>
          <w:b/>
          <w:bCs/>
          <w:lang w:val="en-US"/>
        </w:rPr>
      </w:pPr>
    </w:p>
    <w:p w14:paraId="4EDF40E7" w14:textId="77777777" w:rsidR="00F5427C" w:rsidRDefault="00F5427C" w:rsidP="00F5427C">
      <w:pPr>
        <w:spacing w:line="360" w:lineRule="auto"/>
        <w:jc w:val="both"/>
        <w:rPr>
          <w:rFonts w:ascii="Times New Roman" w:hAnsi="Times New Roman" w:cs="Times New Roman"/>
          <w:b/>
          <w:bCs/>
          <w:lang w:val="en-US"/>
        </w:rPr>
      </w:pPr>
    </w:p>
    <w:p w14:paraId="65C9ACE4" w14:textId="77777777" w:rsidR="00F5427C" w:rsidRDefault="00F5427C" w:rsidP="00F5427C">
      <w:pPr>
        <w:spacing w:line="360" w:lineRule="auto"/>
        <w:jc w:val="both"/>
        <w:rPr>
          <w:rFonts w:ascii="Times New Roman" w:hAnsi="Times New Roman" w:cs="Times New Roman"/>
          <w:b/>
          <w:bCs/>
          <w:lang w:val="en-US"/>
        </w:rPr>
      </w:pPr>
    </w:p>
    <w:p w14:paraId="04FA91E8" w14:textId="77777777" w:rsidR="00F5427C" w:rsidRDefault="00F5427C" w:rsidP="00F5427C">
      <w:pPr>
        <w:spacing w:line="360" w:lineRule="auto"/>
        <w:jc w:val="both"/>
        <w:rPr>
          <w:rFonts w:ascii="Times New Roman" w:hAnsi="Times New Roman" w:cs="Times New Roman"/>
          <w:b/>
          <w:bCs/>
          <w:lang w:val="en-US"/>
        </w:rPr>
      </w:pPr>
    </w:p>
    <w:p w14:paraId="1BBC140D" w14:textId="77777777" w:rsidR="00F5427C" w:rsidRDefault="00F5427C" w:rsidP="00F5427C">
      <w:pPr>
        <w:spacing w:line="360" w:lineRule="auto"/>
        <w:jc w:val="both"/>
        <w:rPr>
          <w:rFonts w:ascii="Times New Roman" w:hAnsi="Times New Roman" w:cs="Times New Roman"/>
          <w:b/>
          <w:bCs/>
          <w:lang w:val="en-US"/>
        </w:rPr>
      </w:pPr>
    </w:p>
    <w:p w14:paraId="1959F4FE" w14:textId="77777777" w:rsidR="00F5427C" w:rsidRDefault="00F5427C" w:rsidP="00F5427C">
      <w:pPr>
        <w:spacing w:line="360" w:lineRule="auto"/>
        <w:jc w:val="both"/>
        <w:rPr>
          <w:rFonts w:ascii="Times New Roman" w:hAnsi="Times New Roman" w:cs="Times New Roman"/>
        </w:rPr>
      </w:pPr>
    </w:p>
    <w:p w14:paraId="2B186594" w14:textId="1796CDBB" w:rsidR="00F5427C" w:rsidRDefault="00F5427C" w:rsidP="00F5427C">
      <w:pPr>
        <w:pStyle w:val="Heading1"/>
        <w:numPr>
          <w:ilvl w:val="0"/>
          <w:numId w:val="1"/>
        </w:numPr>
        <w:rPr>
          <w:color w:val="0D0D0D" w:themeColor="text1" w:themeTint="F2"/>
        </w:rPr>
      </w:pPr>
      <w:bookmarkStart w:id="1" w:name="_Toc211524717"/>
      <w:r w:rsidRPr="00F5427C">
        <w:rPr>
          <w:color w:val="0D0D0D" w:themeColor="text1" w:themeTint="F2"/>
        </w:rPr>
        <w:t>Introduction</w:t>
      </w:r>
      <w:bookmarkEnd w:id="1"/>
    </w:p>
    <w:p w14:paraId="403A4C88" w14:textId="77777777" w:rsidR="00F5427C" w:rsidRPr="00F5427C" w:rsidRDefault="00F5427C" w:rsidP="00F5427C"/>
    <w:p w14:paraId="61FDA62C" w14:textId="77777777" w:rsidR="00F5427C" w:rsidRDefault="00F5427C" w:rsidP="00F5427C">
      <w:pPr>
        <w:spacing w:line="360" w:lineRule="auto"/>
        <w:jc w:val="both"/>
        <w:rPr>
          <w:rFonts w:ascii="Times New Roman" w:hAnsi="Times New Roman" w:cs="Times New Roman"/>
          <w:lang w:val="en-US"/>
        </w:rPr>
      </w:pPr>
      <w:r>
        <w:rPr>
          <w:rFonts w:ascii="Times New Roman" w:hAnsi="Times New Roman" w:cs="Times New Roman"/>
          <w:lang w:val="en-US"/>
        </w:rPr>
        <w:t xml:space="preserve">The Bath Clinic of Circle Health Group is a private acute hospital that has a total of approximately 67 beds (24 inpatient and 43 day-case), a total of over 180 staff, and also provides a variety of elective procedures, including </w:t>
      </w:r>
      <w:proofErr w:type="spellStart"/>
      <w:r>
        <w:rPr>
          <w:rFonts w:ascii="Times New Roman" w:hAnsi="Times New Roman" w:cs="Times New Roman"/>
          <w:lang w:val="en-US"/>
        </w:rPr>
        <w:t>orthopaedics</w:t>
      </w:r>
      <w:proofErr w:type="spellEnd"/>
      <w:r>
        <w:rPr>
          <w:rFonts w:ascii="Times New Roman" w:hAnsi="Times New Roman" w:cs="Times New Roman"/>
          <w:lang w:val="en-US"/>
        </w:rPr>
        <w:t>, general surgery, ophthalmology, and diagnostics, including MRI, CT, and endoscopy (Care Quality Commission, 2022). It works with private and NHS clients and has high volumes of complex operations as well as in the number of patients, i.e. over 200 hip replacements and 270 cataract surgeries per year and generates a lot of structured and unstructured data in clinical, administrative and operational scopes (Circle Health Group, 2024).</w:t>
      </w:r>
    </w:p>
    <w:p w14:paraId="5ADCC3CB" w14:textId="77777777" w:rsidR="00F5427C" w:rsidRDefault="00F5427C" w:rsidP="00F5427C">
      <w:pPr>
        <w:spacing w:line="360" w:lineRule="auto"/>
        <w:jc w:val="both"/>
        <w:rPr>
          <w:rFonts w:ascii="Times New Roman" w:hAnsi="Times New Roman" w:cs="Times New Roman"/>
          <w:lang w:val="en-US"/>
        </w:rPr>
      </w:pPr>
      <w:r>
        <w:rPr>
          <w:rFonts w:ascii="Times New Roman" w:hAnsi="Times New Roman" w:cs="Times New Roman"/>
          <w:lang w:val="en-US"/>
        </w:rPr>
        <w:t>The purpose of this report is to assess the potential of applying Business Intelligence (BI), Data Warehousing (DW), and Data Mining (DM) in the context of improving the process of data-driven decision-making at Bath Clinic. It discusses the existing trends, suggests the data warehousing solutions, defines the mining methods, suggests the predictors, analyses the ethical issues, and introduces the real-time dashboard strategies.</w:t>
      </w:r>
    </w:p>
    <w:p w14:paraId="62502C78" w14:textId="77777777" w:rsidR="00F5427C" w:rsidRDefault="00F5427C" w:rsidP="00F5427C">
      <w:pPr>
        <w:spacing w:line="360" w:lineRule="auto"/>
        <w:jc w:val="both"/>
        <w:rPr>
          <w:rFonts w:ascii="Times New Roman" w:hAnsi="Times New Roman" w:cs="Times New Roman"/>
        </w:rPr>
      </w:pPr>
      <w:r>
        <w:rPr>
          <w:rFonts w:ascii="Times New Roman" w:hAnsi="Times New Roman" w:cs="Times New Roman"/>
          <w:lang w:val="en-US"/>
        </w:rPr>
        <w:t>The report is organized in the following way: introduction to BI, DW, DM trends; introduction to the possibility of DW use in this healthcare environment; introduction to data mining tools; introduction to predictive analytics tools; introduction of ethical/security issues; introduction of dashboard and reporting tools; and conclusion/recommendations</w:t>
      </w:r>
      <w:r>
        <w:rPr>
          <w:rFonts w:ascii="Times New Roman" w:hAnsi="Times New Roman" w:cs="Times New Roman"/>
        </w:rPr>
        <w:t>.</w:t>
      </w:r>
    </w:p>
    <w:p w14:paraId="38C6DCBF" w14:textId="00E5424A" w:rsidR="00F5427C" w:rsidRDefault="00F5427C" w:rsidP="00F5427C">
      <w:pPr>
        <w:pStyle w:val="Heading1"/>
        <w:numPr>
          <w:ilvl w:val="0"/>
          <w:numId w:val="1"/>
        </w:numPr>
        <w:rPr>
          <w:color w:val="0D0D0D" w:themeColor="text1" w:themeTint="F2"/>
        </w:rPr>
      </w:pPr>
      <w:bookmarkStart w:id="2" w:name="_Toc211524718"/>
      <w:r w:rsidRPr="00F5427C">
        <w:rPr>
          <w:color w:val="0D0D0D" w:themeColor="text1" w:themeTint="F2"/>
        </w:rPr>
        <w:t>Trends in BI, DW, and DM</w:t>
      </w:r>
      <w:bookmarkEnd w:id="2"/>
      <w:r w:rsidRPr="00F5427C">
        <w:rPr>
          <w:color w:val="0D0D0D" w:themeColor="text1" w:themeTint="F2"/>
        </w:rPr>
        <w:t xml:space="preserve"> </w:t>
      </w:r>
    </w:p>
    <w:p w14:paraId="1698D9B9" w14:textId="77777777" w:rsidR="00F5427C" w:rsidRPr="00F5427C" w:rsidRDefault="00F5427C" w:rsidP="00F5427C">
      <w:pPr>
        <w:pStyle w:val="ListParagraph"/>
        <w:ind w:left="756"/>
      </w:pPr>
    </w:p>
    <w:p w14:paraId="400F6D78" w14:textId="77777777" w:rsidR="00F5427C" w:rsidRDefault="00F5427C" w:rsidP="00F5427C">
      <w:pPr>
        <w:spacing w:line="360" w:lineRule="auto"/>
        <w:jc w:val="both"/>
        <w:rPr>
          <w:rFonts w:ascii="Times New Roman" w:hAnsi="Times New Roman" w:cs="Times New Roman"/>
          <w:b/>
          <w:bCs/>
        </w:rPr>
      </w:pPr>
      <w:r>
        <w:rPr>
          <w:rFonts w:ascii="Times New Roman" w:hAnsi="Times New Roman" w:cs="Times New Roman"/>
        </w:rPr>
        <w:t xml:space="preserve">Business Intelligence (BI) refers to a collection of data mining technologies and practices to derive comprehension about data to help in strategic and operational decision-making. It comprises reporting, dashboards, OLAP and visual analytics. BG Data Warehousing (DW) supports BI by merging heterogeneous data into a centralized repository that is the best to </w:t>
      </w:r>
      <w:proofErr w:type="spellStart"/>
      <w:r>
        <w:rPr>
          <w:rFonts w:ascii="Times New Roman" w:hAnsi="Times New Roman" w:cs="Times New Roman"/>
        </w:rPr>
        <w:lastRenderedPageBreak/>
        <w:t>analyze</w:t>
      </w:r>
      <w:proofErr w:type="spellEnd"/>
      <w:r>
        <w:rPr>
          <w:rFonts w:ascii="Times New Roman" w:hAnsi="Times New Roman" w:cs="Times New Roman"/>
        </w:rPr>
        <w:t xml:space="preserve"> the data. Data Mining (DM) is a branch of BI, which uses machine learning and statistics to identify hidden patterns and predictive relationships. All these are pipelines: DW will structure data, DM will be used to discover patterns, and BI will provide insights to the stakeholders. Healthcare This pipeline is used to assist applications like predictive diagnostics, segmentation of patients, and real-time monitoring of operations (Ahmed, 2023).</w:t>
      </w:r>
    </w:p>
    <w:p w14:paraId="2AE76585" w14:textId="77777777" w:rsidR="00F5427C" w:rsidRDefault="00F5427C" w:rsidP="00F5427C">
      <w:pPr>
        <w:spacing w:line="360" w:lineRule="auto"/>
        <w:jc w:val="both"/>
        <w:rPr>
          <w:rFonts w:ascii="Times New Roman" w:hAnsi="Times New Roman" w:cs="Times New Roman"/>
          <w:lang w:val="en-US"/>
        </w:rPr>
      </w:pPr>
      <w:r>
        <w:rPr>
          <w:rFonts w:ascii="Times New Roman" w:hAnsi="Times New Roman" w:cs="Times New Roman"/>
        </w:rPr>
        <w:t xml:space="preserve">The ways these technologies are implemented are changing fast due to the current trends. In-memory processing has demonstrated a 40 percent decrease in clinical pathway decision latency in the mid-sized hospitals with the implementation of real-time BI (Philips, 2024). The integration of AI/ML with BI can facilitate automated decision support; as one example, hospitals with AI-driven BI systems have already said that the diagnostic accuracy has increased 28 percent (Ahmed, 2023). Scalability Cloud-based DWs such as Google </w:t>
      </w:r>
      <w:proofErr w:type="spellStart"/>
      <w:r>
        <w:rPr>
          <w:rFonts w:ascii="Times New Roman" w:hAnsi="Times New Roman" w:cs="Times New Roman"/>
        </w:rPr>
        <w:t>BigQuery</w:t>
      </w:r>
      <w:proofErr w:type="spellEnd"/>
      <w:r>
        <w:rPr>
          <w:rFonts w:ascii="Times New Roman" w:hAnsi="Times New Roman" w:cs="Times New Roman"/>
        </w:rPr>
        <w:t xml:space="preserve"> or Snowflake have been popular and are currently accessible to 71% of healthcare IT departments as analytics workloads. The implementation of CRISP-DM, a six-step cyclic model, establishes alignment between data mining goals and results (Wirth and Hipp, 2021), and dimensional data </w:t>
      </w:r>
      <w:proofErr w:type="spellStart"/>
      <w:r>
        <w:rPr>
          <w:rFonts w:ascii="Times New Roman" w:hAnsi="Times New Roman" w:cs="Times New Roman"/>
        </w:rPr>
        <w:t>modeling</w:t>
      </w:r>
      <w:proofErr w:type="spellEnd"/>
      <w:r>
        <w:rPr>
          <w:rFonts w:ascii="Times New Roman" w:hAnsi="Times New Roman" w:cs="Times New Roman"/>
        </w:rPr>
        <w:t xml:space="preserve"> in Kimball is suitable to scalable data modelling, subject-oriented data modelling, which is best applied to a healthcare data mart that is in a modular form, such as surgery, or radiology (George, 2020). </w:t>
      </w:r>
    </w:p>
    <w:p w14:paraId="0A2E5964" w14:textId="09A28AC7" w:rsidR="00F5427C" w:rsidRDefault="00F5427C" w:rsidP="00F5427C">
      <w:pPr>
        <w:pStyle w:val="Heading1"/>
        <w:numPr>
          <w:ilvl w:val="0"/>
          <w:numId w:val="1"/>
        </w:numPr>
        <w:rPr>
          <w:color w:val="0D0D0D" w:themeColor="text1" w:themeTint="F2"/>
        </w:rPr>
      </w:pPr>
      <w:bookmarkStart w:id="3" w:name="_Toc211524719"/>
      <w:r w:rsidRPr="00F5427C">
        <w:rPr>
          <w:color w:val="0D0D0D" w:themeColor="text1" w:themeTint="F2"/>
        </w:rPr>
        <w:t>Data Warehousing in the Organisation Applications</w:t>
      </w:r>
      <w:bookmarkEnd w:id="3"/>
    </w:p>
    <w:p w14:paraId="11F1F076" w14:textId="77777777" w:rsidR="00F5427C" w:rsidRPr="00F5427C" w:rsidRDefault="00F5427C" w:rsidP="00F5427C">
      <w:pPr>
        <w:pStyle w:val="ListParagraph"/>
        <w:ind w:left="756"/>
      </w:pPr>
    </w:p>
    <w:p w14:paraId="2F27FC0A" w14:textId="77777777" w:rsidR="00F5427C" w:rsidRDefault="00F5427C" w:rsidP="00F5427C">
      <w:pPr>
        <w:spacing w:line="360" w:lineRule="auto"/>
        <w:jc w:val="both"/>
        <w:rPr>
          <w:rFonts w:ascii="Times New Roman" w:hAnsi="Times New Roman" w:cs="Times New Roman"/>
          <w:lang w:val="en-US"/>
        </w:rPr>
      </w:pPr>
      <w:r>
        <w:rPr>
          <w:rFonts w:ascii="Times New Roman" w:hAnsi="Times New Roman" w:cs="Times New Roman"/>
          <w:lang w:val="en-US"/>
        </w:rPr>
        <w:t xml:space="preserve">A data warehouse (DW) is a central and integrated storage location that is optimized to respond to analytical queries and reports and consolidate data across different departments and periods. It entrusts data mining facilities are used through ETL (Extract, Transform, Load) to collect information about operational systems and to process and normalize, as well as to make it accessible in structured forms like star and snowflake models. OLAP (Online Analytical Processing) is placed on top of the DW to allow multidimensional analysis, which is essential in healthcare because the decision-making process should include patient care, logistics, and compliance. Kimball methodology, which has become the common design in healthcare, recommends a bottom-up design that is dimensional and guarantees scalable subject-area data marts, e.g., diagnostics or patient admissions (Kavishwar and Pande, 2023). Practical applications, e.g. East Hospital London, demonstrate that DW systems can decrease latency in reporting time significantly and enhance data granularity and contextual correctness of clinicians (S., TOM and G., 2017). In the case of Bath Clinic, where the workload of the </w:t>
      </w:r>
      <w:r>
        <w:rPr>
          <w:rFonts w:ascii="Times New Roman" w:hAnsi="Times New Roman" w:cs="Times New Roman"/>
          <w:lang w:val="en-US"/>
        </w:rPr>
        <w:lastRenderedPageBreak/>
        <w:t>electronic health record is complex in terms of the elective and diagnostic work, a clinical data warehouse would allow integrating EHRs, imaging, surgical scheduling, and billing data and establish a single source of truth.</w:t>
      </w:r>
    </w:p>
    <w:p w14:paraId="2BFCD3A4" w14:textId="77777777" w:rsidR="00F5427C" w:rsidRDefault="00F5427C" w:rsidP="00F5427C">
      <w:pPr>
        <w:spacing w:line="360" w:lineRule="auto"/>
        <w:jc w:val="both"/>
        <w:rPr>
          <w:rFonts w:ascii="Times New Roman" w:hAnsi="Times New Roman" w:cs="Times New Roman"/>
          <w:lang w:val="en-US"/>
        </w:rPr>
      </w:pPr>
      <w:r>
        <w:rPr>
          <w:rFonts w:ascii="Times New Roman" w:hAnsi="Times New Roman" w:cs="Times New Roman"/>
          <w:lang w:val="en-US"/>
        </w:rPr>
        <w:t xml:space="preserve">The </w:t>
      </w:r>
      <w:proofErr w:type="spellStart"/>
      <w:r>
        <w:rPr>
          <w:rFonts w:ascii="Times New Roman" w:hAnsi="Times New Roman" w:cs="Times New Roman"/>
          <w:lang w:val="en-US"/>
        </w:rPr>
        <w:t>organisational</w:t>
      </w:r>
      <w:proofErr w:type="spellEnd"/>
      <w:r>
        <w:rPr>
          <w:rFonts w:ascii="Times New Roman" w:hAnsi="Times New Roman" w:cs="Times New Roman"/>
          <w:lang w:val="en-US"/>
        </w:rPr>
        <w:t xml:space="preserve"> performance is measurable. DWs enhance data availability and consistency, as they allow standard views of silo systems - limiting patient ID differences or diagnostic codes. A meta-analysis released in 2024 indicates that this data harmonization increases the accuracy of the data analysis by 35% and decreases the times of conducting a query on the data by 60% of the conventional databases (Jane et al., 2024). It enhances the efficiency of operations by removing spreadsheet-based reporting in favor of automated, scheduled dashboarding to free up 1015% of managerial time per week (Staff, 2025). DWs facilitate cross-departmentalization, which is important in mid-sized hospitals such as Bath Clinic in which imaging, surgery, and administration departments need to synchronize the flow and utilization of resources. As an illustration, the combination of diagnostic turnaround time with patient scheduling facilitates active theatre control. Similarly, in one of the studies (Prince Charles Hospital, Australia), the implementation of DW resulted in 22 percent decrease in surgical delays and better resource planning through combined financial, clinical, and ICU records (</w:t>
      </w:r>
      <w:proofErr w:type="spellStart"/>
      <w:r>
        <w:rPr>
          <w:rFonts w:ascii="Times New Roman" w:hAnsi="Times New Roman" w:cs="Times New Roman"/>
          <w:lang w:val="en-US"/>
        </w:rPr>
        <w:t>Mawilmada</w:t>
      </w:r>
      <w:proofErr w:type="spellEnd"/>
      <w:r>
        <w:rPr>
          <w:rFonts w:ascii="Times New Roman" w:hAnsi="Times New Roman" w:cs="Times New Roman"/>
          <w:lang w:val="en-US"/>
        </w:rPr>
        <w:t>, 2011). In the case of Bath Clinic, a corresponding DW model would allow elective surgery scheduling by optimizing resource requirements (e.g. theatre slots, staff hours) based on previous case duration data or patient demographics-based demand forecasting with predictive analytics built into BI dashboard. Not only would this reduce idle capacity, but it would also improve patient throughput by 1220 percent, to the level of desired care quality.</w:t>
      </w:r>
    </w:p>
    <w:p w14:paraId="1D500369" w14:textId="29B0DBD3" w:rsidR="00F5427C" w:rsidRDefault="00F5427C" w:rsidP="00F5427C">
      <w:pPr>
        <w:pStyle w:val="Heading1"/>
        <w:numPr>
          <w:ilvl w:val="0"/>
          <w:numId w:val="1"/>
        </w:numPr>
        <w:rPr>
          <w:color w:val="0D0D0D" w:themeColor="text1" w:themeTint="F2"/>
        </w:rPr>
      </w:pPr>
      <w:bookmarkStart w:id="4" w:name="_Toc211524720"/>
      <w:r w:rsidRPr="00F5427C">
        <w:rPr>
          <w:color w:val="0D0D0D" w:themeColor="text1" w:themeTint="F2"/>
        </w:rPr>
        <w:t>Data Mining Techniques</w:t>
      </w:r>
      <w:bookmarkEnd w:id="4"/>
      <w:r w:rsidRPr="00F5427C">
        <w:rPr>
          <w:color w:val="0D0D0D" w:themeColor="text1" w:themeTint="F2"/>
        </w:rPr>
        <w:t xml:space="preserve"> </w:t>
      </w:r>
    </w:p>
    <w:p w14:paraId="248F54B1" w14:textId="77777777" w:rsidR="00F5427C" w:rsidRPr="00F5427C" w:rsidRDefault="00F5427C" w:rsidP="00F5427C">
      <w:pPr>
        <w:pStyle w:val="ListParagraph"/>
        <w:ind w:left="756"/>
      </w:pPr>
    </w:p>
    <w:p w14:paraId="219F9BE7" w14:textId="77777777" w:rsidR="00F5427C" w:rsidRDefault="00F5427C" w:rsidP="00F5427C">
      <w:pPr>
        <w:spacing w:line="360" w:lineRule="auto"/>
        <w:jc w:val="both"/>
        <w:rPr>
          <w:rFonts w:ascii="Times New Roman" w:hAnsi="Times New Roman" w:cs="Times New Roman"/>
          <w:lang w:val="en-US"/>
        </w:rPr>
      </w:pPr>
      <w:r>
        <w:rPr>
          <w:rFonts w:ascii="Times New Roman" w:hAnsi="Times New Roman" w:cs="Times New Roman"/>
          <w:lang w:val="en-US"/>
        </w:rPr>
        <w:t xml:space="preserve">Clustering and classification are two essential methods of data mining that could be used in the case of the Bath Clinic, and both have specific benefits to the health care organization and clinical practice. The unsupervised learning method used is called clustering, whereby similarities amongst multivariate clinical data are used to group patients together, either in terms of comorbidities, age, diagnostic history, or resource utilization, without defined categories. As an illustration, in a study of hospital records, clustering was employed to divide heart failure patients into three phenotypic groupings with various prognosis and treatment requirements and the precision of care pathways improved by 15 percent (Wu et al., 2021). Conversely, classification is a supervised method of learning that forecasts the outcomes that </w:t>
      </w:r>
      <w:r>
        <w:rPr>
          <w:rFonts w:ascii="Times New Roman" w:hAnsi="Times New Roman" w:cs="Times New Roman"/>
          <w:lang w:val="en-US"/>
        </w:rPr>
        <w:lastRenderedPageBreak/>
        <w:t>are predefined in consideration of past labelled information. As an example, the 30-day readmission random-effect logistic regression or decision tree predictive models have attained more than 80% sensitivity in certain hospitals (</w:t>
      </w:r>
      <w:proofErr w:type="spellStart"/>
      <w:r>
        <w:rPr>
          <w:rFonts w:ascii="Times New Roman" w:hAnsi="Times New Roman" w:cs="Times New Roman"/>
          <w:lang w:val="en-US"/>
        </w:rPr>
        <w:t>Birjandi</w:t>
      </w:r>
      <w:proofErr w:type="spellEnd"/>
      <w:r>
        <w:rPr>
          <w:rFonts w:ascii="Times New Roman" w:hAnsi="Times New Roman" w:cs="Times New Roman"/>
          <w:lang w:val="en-US"/>
        </w:rPr>
        <w:t xml:space="preserve"> and </w:t>
      </w:r>
      <w:proofErr w:type="spellStart"/>
      <w:r>
        <w:rPr>
          <w:rFonts w:ascii="Times New Roman" w:hAnsi="Times New Roman" w:cs="Times New Roman"/>
          <w:lang w:val="en-US"/>
        </w:rPr>
        <w:t>Khasteh</w:t>
      </w:r>
      <w:proofErr w:type="spellEnd"/>
      <w:r>
        <w:rPr>
          <w:rFonts w:ascii="Times New Roman" w:hAnsi="Times New Roman" w:cs="Times New Roman"/>
          <w:lang w:val="en-US"/>
        </w:rPr>
        <w:t>, 2021). The combination of these methods is applied in more than 60 percent of the healthcare mining applications in volume, which is an indication of its practical application.</w:t>
      </w:r>
    </w:p>
    <w:p w14:paraId="032CAEB6" w14:textId="77777777" w:rsidR="00F5427C" w:rsidRDefault="00F5427C" w:rsidP="00F5427C">
      <w:pPr>
        <w:spacing w:line="360" w:lineRule="auto"/>
        <w:jc w:val="both"/>
        <w:rPr>
          <w:rFonts w:ascii="Times New Roman" w:hAnsi="Times New Roman" w:cs="Times New Roman"/>
          <w:lang w:val="en-US"/>
        </w:rPr>
      </w:pPr>
      <w:r>
        <w:rPr>
          <w:rFonts w:ascii="Times New Roman" w:hAnsi="Times New Roman" w:cs="Times New Roman"/>
          <w:lang w:val="en-US"/>
        </w:rPr>
        <w:t xml:space="preserve">Clustering Bath Clinic outpatient service provision will be beneficial as it can be used to cluster patients in terms of utilization profile to direct differentiated scheduling models that have the potential to reduce waiting time variance by 25%. It is also able to group high-cost elective cases to conduct targeted case operation scrutiny. The classification, in turn, matches the objective of the clinic is the minimization of the post-operative complications, and it is possible to score patients on the risk of the pre-operational level and preventive measures. Such models are also capable of predicting likelihood of overuse of theatre, which can be applied in effort to allocate resources. There are user-friendly tools such as RapidMiner and IBM SPSS Modeler to deploy such models. To have better control and scalability, scikit-learn or </w:t>
      </w:r>
      <w:proofErr w:type="spellStart"/>
      <w:r>
        <w:rPr>
          <w:rFonts w:ascii="Times New Roman" w:hAnsi="Times New Roman" w:cs="Times New Roman"/>
          <w:lang w:val="en-US"/>
        </w:rPr>
        <w:t>XGBoost</w:t>
      </w:r>
      <w:proofErr w:type="spellEnd"/>
      <w:r>
        <w:rPr>
          <w:rFonts w:ascii="Times New Roman" w:hAnsi="Times New Roman" w:cs="Times New Roman"/>
          <w:lang w:val="en-US"/>
        </w:rPr>
        <w:t xml:space="preserve"> can be incorporated into the BI environment to perform retraining and deploy daily via dashboards. By using this suite, Bath Clinic can be able to put into practice predictive analytics with high interpretability and quantifiable clinical ROI.</w:t>
      </w:r>
    </w:p>
    <w:p w14:paraId="64371BA9" w14:textId="7EF186A5" w:rsidR="00F5427C" w:rsidRDefault="00F5427C" w:rsidP="00F5427C">
      <w:pPr>
        <w:pStyle w:val="Heading1"/>
        <w:numPr>
          <w:ilvl w:val="0"/>
          <w:numId w:val="1"/>
        </w:numPr>
        <w:rPr>
          <w:color w:val="0D0D0D" w:themeColor="text1" w:themeTint="F2"/>
        </w:rPr>
      </w:pPr>
      <w:bookmarkStart w:id="5" w:name="_Toc211524721"/>
      <w:r w:rsidRPr="00F5427C">
        <w:rPr>
          <w:color w:val="0D0D0D" w:themeColor="text1" w:themeTint="F2"/>
        </w:rPr>
        <w:t>Predictive Analysis</w:t>
      </w:r>
      <w:bookmarkEnd w:id="5"/>
      <w:r w:rsidRPr="00F5427C">
        <w:rPr>
          <w:color w:val="0D0D0D" w:themeColor="text1" w:themeTint="F2"/>
        </w:rPr>
        <w:t xml:space="preserve"> </w:t>
      </w:r>
    </w:p>
    <w:p w14:paraId="44229D18" w14:textId="77777777" w:rsidR="00F5427C" w:rsidRPr="00F5427C" w:rsidRDefault="00F5427C" w:rsidP="00F5427C">
      <w:pPr>
        <w:pStyle w:val="ListParagraph"/>
        <w:ind w:left="756"/>
      </w:pPr>
    </w:p>
    <w:p w14:paraId="312D0E4B" w14:textId="77777777" w:rsidR="00F5427C" w:rsidRDefault="00F5427C" w:rsidP="00F5427C">
      <w:pPr>
        <w:spacing w:line="360" w:lineRule="auto"/>
        <w:jc w:val="both"/>
        <w:rPr>
          <w:rFonts w:ascii="Times New Roman" w:hAnsi="Times New Roman" w:cs="Times New Roman"/>
          <w:lang w:val="en-US"/>
        </w:rPr>
      </w:pPr>
      <w:r>
        <w:rPr>
          <w:rFonts w:ascii="Times New Roman" w:hAnsi="Times New Roman" w:cs="Times New Roman"/>
          <w:lang w:val="en-US"/>
        </w:rPr>
        <w:t xml:space="preserve">In the case of Bath Clinic, predictive analytics can be applied to operational and clinical workflows to improve foresight and efficiency in detail. Some of the most appropriate ones are Power BI, Microsoft Excel (with analytics additions), and SPSS or RapidMiner in case of more complicated statistical modeling. Power BI is distinguished by the real-time dashboarding application, drag and drop functionality, and compatibility with the hospital data systems, including electronic health records (EHR) and scheduling systems. It has been demonstrated to be compatible with machine learning frameworks, such as ARIMA and LSTM, and outperform the forecast accuracy of such frameworks by more than 85% in clinical applications (Nikitha, Hussain and Poornima, 2024). Comparatively, SPSS offers solid regression modelling and statistical inference, which was verified in healthcare contexts where SPSS scored 0.993 </w:t>
      </w:r>
      <w:proofErr w:type="spellStart"/>
      <w:r>
        <w:rPr>
          <w:rFonts w:ascii="Times New Roman" w:hAnsi="Times New Roman" w:cs="Times New Roman"/>
          <w:lang w:val="en-US"/>
        </w:rPr>
        <w:t>Cronbachs</w:t>
      </w:r>
      <w:proofErr w:type="spellEnd"/>
      <w:r>
        <w:rPr>
          <w:rFonts w:ascii="Times New Roman" w:hAnsi="Times New Roman" w:cs="Times New Roman"/>
          <w:lang w:val="en-US"/>
        </w:rPr>
        <w:t xml:space="preserve"> alpha in reliability of the regression models applied in predicting patient outcomes (U et al., 2024). Excel is still useful with small datasets and quick prototyping particularly with Solver and Analysis </w:t>
      </w:r>
      <w:proofErr w:type="spellStart"/>
      <w:r>
        <w:rPr>
          <w:rFonts w:ascii="Times New Roman" w:hAnsi="Times New Roman" w:cs="Times New Roman"/>
          <w:lang w:val="en-US"/>
        </w:rPr>
        <w:t>ToolPak</w:t>
      </w:r>
      <w:proofErr w:type="spellEnd"/>
      <w:r>
        <w:rPr>
          <w:rFonts w:ascii="Times New Roman" w:hAnsi="Times New Roman" w:cs="Times New Roman"/>
          <w:lang w:val="en-US"/>
        </w:rPr>
        <w:t xml:space="preserve"> to perform time series forecasting. Practically, the tools will be </w:t>
      </w:r>
      <w:r>
        <w:rPr>
          <w:rFonts w:ascii="Times New Roman" w:hAnsi="Times New Roman" w:cs="Times New Roman"/>
          <w:lang w:val="en-US"/>
        </w:rPr>
        <w:lastRenderedPageBreak/>
        <w:t>able to predict the elective surgery time, optimize the inventory stock replenishing cycles, and detect high-risk patient no-shows. As an example, the use of Power BI with appointment systems can examine the attendance history of the past to make predictions and prevent no-show in the future, lowering the empty slot rates by 12-15% (Mansoor and Dar, 2024). To predict the probability of surgical complications, SPSS or RapidMiner can be used to construct logistic models, which can be used in the preoperative decision-making process. The proper choice of the toolset therefore balances usability, system integration and predictive power that is specific to mid-sized healthcare environments.</w:t>
      </w:r>
    </w:p>
    <w:p w14:paraId="288A334E" w14:textId="242E3FE2" w:rsidR="00F5427C" w:rsidRDefault="00F5427C" w:rsidP="00F5427C">
      <w:pPr>
        <w:pStyle w:val="Heading1"/>
        <w:numPr>
          <w:ilvl w:val="0"/>
          <w:numId w:val="1"/>
        </w:numPr>
        <w:rPr>
          <w:color w:val="0D0D0D" w:themeColor="text1" w:themeTint="F2"/>
        </w:rPr>
      </w:pPr>
      <w:bookmarkStart w:id="6" w:name="_Toc211524722"/>
      <w:r w:rsidRPr="00F5427C">
        <w:rPr>
          <w:color w:val="0D0D0D" w:themeColor="text1" w:themeTint="F2"/>
        </w:rPr>
        <w:t>Ethical and Data Security Considerations</w:t>
      </w:r>
      <w:bookmarkEnd w:id="6"/>
    </w:p>
    <w:p w14:paraId="4924CF37" w14:textId="77777777" w:rsidR="00F5427C" w:rsidRPr="00F5427C" w:rsidRDefault="00F5427C" w:rsidP="00F5427C">
      <w:pPr>
        <w:pStyle w:val="ListParagraph"/>
        <w:ind w:left="756"/>
      </w:pPr>
    </w:p>
    <w:p w14:paraId="58DF0BEE" w14:textId="77777777" w:rsidR="00F5427C" w:rsidRDefault="00F5427C" w:rsidP="00F5427C">
      <w:pPr>
        <w:spacing w:line="360" w:lineRule="auto"/>
        <w:jc w:val="both"/>
        <w:rPr>
          <w:rFonts w:ascii="Times New Roman" w:hAnsi="Times New Roman" w:cs="Times New Roman"/>
          <w:lang w:val="en-US"/>
        </w:rPr>
      </w:pPr>
      <w:r>
        <w:rPr>
          <w:rFonts w:ascii="Times New Roman" w:hAnsi="Times New Roman" w:cs="Times New Roman"/>
        </w:rPr>
        <w:t>The usage of business intelligence in healthcare requires the adherence to the ethical and regulation standards, including GDPR, which provides patients with the right to regulate access to their data, including the right to view, fix, and limit the usage (Lawton, 2020). The NHS data policies demand noticeably clear consent and openness which are very essential in the legal handling of data. The ownership of data is dual in healthcare, as the organisation controls the infrastructure, but ethical frameworks are focused on patients owning the right to data, which means that all information regarding data collection and utilisation must be disclosed (</w:t>
      </w:r>
      <w:proofErr w:type="spellStart"/>
      <w:r>
        <w:rPr>
          <w:rFonts w:ascii="Times New Roman" w:hAnsi="Times New Roman" w:cs="Times New Roman"/>
        </w:rPr>
        <w:t>Pokhidnia</w:t>
      </w:r>
      <w:proofErr w:type="spellEnd"/>
      <w:r>
        <w:rPr>
          <w:rFonts w:ascii="Times New Roman" w:hAnsi="Times New Roman" w:cs="Times New Roman"/>
        </w:rPr>
        <w:t>, 2025). Role-based access, encryption, and two-factor authentication are required to safeguard sensitive health data against internal and external attacks. As the number of ransomware attacks has grown by more than 150% in UK healthcare in the last three years, real-time AI-based cybersecurity has become a necessary measure to detect and respond to anomalies (Arefin and Simcox, 2024). Another aspect of ethical compliance is the protection against insider abuse, which should be continuously trained staff and registered (Pina et al., 2024). Not only is it obligatory under the law, but the active introduction of ethics into data governance can also build social confidence in the digital health infrastructure</w:t>
      </w:r>
      <w:r>
        <w:rPr>
          <w:rFonts w:ascii="Times New Roman" w:hAnsi="Times New Roman" w:cs="Times New Roman"/>
          <w:lang w:val="en-US"/>
        </w:rPr>
        <w:t>.</w:t>
      </w:r>
    </w:p>
    <w:p w14:paraId="7FD98612" w14:textId="24C7B334" w:rsidR="00F5427C" w:rsidRDefault="00F5427C" w:rsidP="00F5427C">
      <w:pPr>
        <w:pStyle w:val="Heading1"/>
        <w:numPr>
          <w:ilvl w:val="0"/>
          <w:numId w:val="1"/>
        </w:numPr>
        <w:rPr>
          <w:color w:val="0D0D0D" w:themeColor="text1" w:themeTint="F2"/>
        </w:rPr>
      </w:pPr>
      <w:bookmarkStart w:id="7" w:name="_Toc211524723"/>
      <w:r w:rsidRPr="00F5427C">
        <w:rPr>
          <w:color w:val="0D0D0D" w:themeColor="text1" w:themeTint="F2"/>
        </w:rPr>
        <w:t>Reporting and Dashboard Solutions</w:t>
      </w:r>
      <w:bookmarkEnd w:id="7"/>
      <w:r w:rsidRPr="00F5427C">
        <w:rPr>
          <w:color w:val="0D0D0D" w:themeColor="text1" w:themeTint="F2"/>
        </w:rPr>
        <w:t xml:space="preserve"> </w:t>
      </w:r>
    </w:p>
    <w:p w14:paraId="189B9C4B" w14:textId="77777777" w:rsidR="00F5427C" w:rsidRPr="00F5427C" w:rsidRDefault="00F5427C" w:rsidP="00F5427C">
      <w:pPr>
        <w:pStyle w:val="ListParagraph"/>
        <w:ind w:left="756"/>
      </w:pPr>
    </w:p>
    <w:p w14:paraId="56F94DDC" w14:textId="77777777" w:rsidR="00F5427C" w:rsidRDefault="00F5427C" w:rsidP="00F5427C">
      <w:pPr>
        <w:spacing w:line="360" w:lineRule="auto"/>
        <w:jc w:val="both"/>
        <w:rPr>
          <w:rFonts w:ascii="Times New Roman" w:hAnsi="Times New Roman" w:cs="Times New Roman"/>
          <w:lang w:val="en-US"/>
        </w:rPr>
      </w:pPr>
      <w:r>
        <w:rPr>
          <w:rFonts w:ascii="Times New Roman" w:hAnsi="Times New Roman" w:cs="Times New Roman"/>
        </w:rPr>
        <w:t xml:space="preserve">Successful reporting and dashboard systems are part of the digital transformation in Bath Clinic especially in real-time decision-making and optimization of operations. They become the dominant tools, as both provide powerful integration with hospital systems and promote more than 25 real-time KPIs in healthcare organizations (Picozzi et al., 2024). These interfaces allow </w:t>
      </w:r>
      <w:r>
        <w:rPr>
          <w:rFonts w:ascii="Times New Roman" w:hAnsi="Times New Roman" w:cs="Times New Roman"/>
        </w:rPr>
        <w:lastRenderedPageBreak/>
        <w:t>real-time tracking of clinical outcomes like diagnostic turnaround time and operation time and enhance responsiveness by up to 42 percent (Putra et al., 2025). Real-time dashboards can be used to monitor vital KPIs such as the average patient wait times, the rate of utilisation of the theatres (ideally more than 85 percent), staff to patient ratio (ideally 1:5 when managing the elective surgery) to ensure effective management of patient flow and resource usage at Bath Clinic. Department-dependent custom dashboards deliver custom insights, i.e., the percentage of adherence to appointments daily or resource shortages that, according to similar environments, decreased clinical scheduling errors by 25% (Castañeda et al., 2024). Thus, dashboards do not only centralise data but also offer an objective, active structure of clinical and managerial excellence</w:t>
      </w:r>
      <w:r>
        <w:rPr>
          <w:rFonts w:ascii="Times New Roman" w:hAnsi="Times New Roman" w:cs="Times New Roman"/>
          <w:lang w:val="en-US"/>
        </w:rPr>
        <w:t>.</w:t>
      </w:r>
    </w:p>
    <w:p w14:paraId="352CCB5C" w14:textId="5DE1A490" w:rsidR="00F5427C" w:rsidRDefault="00F5427C" w:rsidP="004A7FFE">
      <w:pPr>
        <w:pStyle w:val="Heading1"/>
        <w:numPr>
          <w:ilvl w:val="0"/>
          <w:numId w:val="1"/>
        </w:numPr>
        <w:rPr>
          <w:color w:val="0D0D0D" w:themeColor="text1" w:themeTint="F2"/>
        </w:rPr>
      </w:pPr>
      <w:bookmarkStart w:id="8" w:name="_Toc211524724"/>
      <w:r w:rsidRPr="00F5427C">
        <w:rPr>
          <w:color w:val="0D0D0D" w:themeColor="text1" w:themeTint="F2"/>
        </w:rPr>
        <w:t>Conclusion</w:t>
      </w:r>
      <w:bookmarkEnd w:id="8"/>
    </w:p>
    <w:p w14:paraId="19333E17" w14:textId="77777777" w:rsidR="004A7FFE" w:rsidRPr="004A7FFE" w:rsidRDefault="004A7FFE" w:rsidP="004A7FFE">
      <w:pPr>
        <w:pStyle w:val="ListParagraph"/>
        <w:ind w:left="756"/>
      </w:pPr>
    </w:p>
    <w:p w14:paraId="12826B7B" w14:textId="77777777" w:rsidR="00F5427C" w:rsidRDefault="00F5427C" w:rsidP="00F5427C">
      <w:pPr>
        <w:spacing w:line="360" w:lineRule="auto"/>
        <w:jc w:val="both"/>
        <w:rPr>
          <w:rFonts w:ascii="Times New Roman" w:hAnsi="Times New Roman" w:cs="Times New Roman"/>
          <w:lang w:val="en-US"/>
        </w:rPr>
      </w:pPr>
      <w:r>
        <w:rPr>
          <w:rFonts w:ascii="Times New Roman" w:hAnsi="Times New Roman" w:cs="Times New Roman"/>
        </w:rPr>
        <w:t>As stipulated in this report, Business Intelligence (BI), Data Warehousing (DW), and Data Mining (DM) will have a quantifiable level of improvement to the clinical and operational performance of Bath Clinic. DW allows consolidated data and enables predictive models; DM methods such as classification and clustering provide engine in patient stratification and risk scoring; but Power BI dashboard provides real-time insights on KPIs such as wait times and theatres notification. The strategic use of BI would have improved clinical accuracy and managerial foresight through the minimization of data latency and the multiplication of evidence-based interventions. It is advisable to suggest that Bath Clinic should focus on the application of a DW, combine predictive tools through Power BI, and ensure an elevated level of adherence to GDPR with an encrypted and role-based access control. This gradual process is a guarantee of scalable, ethical, and high impact BI integration</w:t>
      </w:r>
      <w:r>
        <w:rPr>
          <w:rFonts w:ascii="Times New Roman" w:hAnsi="Times New Roman" w:cs="Times New Roman"/>
          <w:lang w:val="en-US"/>
        </w:rPr>
        <w:t>.</w:t>
      </w:r>
    </w:p>
    <w:p w14:paraId="3062061B" w14:textId="77777777" w:rsidR="00F5427C" w:rsidRDefault="00F5427C" w:rsidP="00F5427C">
      <w:pPr>
        <w:spacing w:line="360" w:lineRule="auto"/>
        <w:jc w:val="both"/>
        <w:rPr>
          <w:rFonts w:ascii="Times New Roman" w:hAnsi="Times New Roman" w:cs="Times New Roman"/>
        </w:rPr>
      </w:pPr>
    </w:p>
    <w:p w14:paraId="3B910B08" w14:textId="77777777" w:rsidR="00F5427C" w:rsidRDefault="00F5427C" w:rsidP="00F5427C">
      <w:pPr>
        <w:spacing w:line="360" w:lineRule="auto"/>
        <w:jc w:val="both"/>
        <w:rPr>
          <w:rFonts w:ascii="Times New Roman" w:hAnsi="Times New Roman" w:cs="Times New Roman"/>
        </w:rPr>
      </w:pPr>
    </w:p>
    <w:p w14:paraId="466107D9" w14:textId="77777777" w:rsidR="00F5427C" w:rsidRDefault="00F5427C" w:rsidP="00F5427C">
      <w:pPr>
        <w:spacing w:line="360" w:lineRule="auto"/>
        <w:jc w:val="both"/>
        <w:rPr>
          <w:rFonts w:ascii="Times New Roman" w:hAnsi="Times New Roman" w:cs="Times New Roman"/>
        </w:rPr>
      </w:pPr>
    </w:p>
    <w:p w14:paraId="1376F6C9" w14:textId="77777777" w:rsidR="00F5427C" w:rsidRDefault="00F5427C" w:rsidP="00F5427C">
      <w:pPr>
        <w:spacing w:line="360" w:lineRule="auto"/>
        <w:jc w:val="both"/>
        <w:rPr>
          <w:rFonts w:ascii="Times New Roman" w:hAnsi="Times New Roman" w:cs="Times New Roman"/>
        </w:rPr>
      </w:pPr>
    </w:p>
    <w:p w14:paraId="55E64686" w14:textId="77777777" w:rsidR="00F5427C" w:rsidRDefault="00F5427C" w:rsidP="00F5427C">
      <w:pPr>
        <w:spacing w:line="360" w:lineRule="auto"/>
        <w:jc w:val="both"/>
        <w:rPr>
          <w:rFonts w:ascii="Times New Roman" w:hAnsi="Times New Roman" w:cs="Times New Roman"/>
        </w:rPr>
      </w:pPr>
    </w:p>
    <w:p w14:paraId="7E2C63C9" w14:textId="77777777" w:rsidR="00F5427C" w:rsidRDefault="00F5427C" w:rsidP="00F5427C">
      <w:pPr>
        <w:spacing w:line="360" w:lineRule="auto"/>
        <w:jc w:val="both"/>
        <w:rPr>
          <w:rFonts w:ascii="Times New Roman" w:hAnsi="Times New Roman" w:cs="Times New Roman"/>
        </w:rPr>
      </w:pPr>
    </w:p>
    <w:p w14:paraId="2CF797C4" w14:textId="77777777" w:rsidR="00F5427C" w:rsidRDefault="00F5427C" w:rsidP="00F5427C">
      <w:pPr>
        <w:spacing w:line="360" w:lineRule="auto"/>
        <w:jc w:val="both"/>
        <w:rPr>
          <w:rFonts w:ascii="Times New Roman" w:hAnsi="Times New Roman" w:cs="Times New Roman"/>
        </w:rPr>
      </w:pPr>
    </w:p>
    <w:p w14:paraId="3185FE9D" w14:textId="77777777" w:rsidR="00F5427C" w:rsidRDefault="00F5427C" w:rsidP="00F5427C">
      <w:pPr>
        <w:spacing w:line="360" w:lineRule="auto"/>
        <w:jc w:val="both"/>
        <w:rPr>
          <w:rFonts w:ascii="Times New Roman" w:hAnsi="Times New Roman" w:cs="Times New Roman"/>
        </w:rPr>
      </w:pPr>
    </w:p>
    <w:p w14:paraId="7C85A0A7" w14:textId="77777777" w:rsidR="00F5427C" w:rsidRDefault="00F5427C" w:rsidP="00F5427C">
      <w:pPr>
        <w:pStyle w:val="Heading1"/>
        <w:rPr>
          <w:color w:val="0D0D0D" w:themeColor="text1" w:themeTint="F2"/>
        </w:rPr>
      </w:pPr>
      <w:bookmarkStart w:id="9" w:name="_Toc211524725"/>
      <w:r w:rsidRPr="004A7FFE">
        <w:rPr>
          <w:color w:val="0D0D0D" w:themeColor="text1" w:themeTint="F2"/>
        </w:rPr>
        <w:t>References</w:t>
      </w:r>
      <w:bookmarkEnd w:id="9"/>
    </w:p>
    <w:p w14:paraId="5911F402" w14:textId="77777777" w:rsidR="004A7FFE" w:rsidRPr="004A7FFE" w:rsidRDefault="004A7FFE" w:rsidP="004A7FFE"/>
    <w:p w14:paraId="2D711BC8" w14:textId="77777777" w:rsidR="00F5427C" w:rsidRDefault="00F5427C" w:rsidP="00F5427C">
      <w:pPr>
        <w:pStyle w:val="NormalWeb"/>
        <w:spacing w:beforeAutospacing="0" w:after="240" w:afterAutospacing="0" w:line="360" w:lineRule="auto"/>
      </w:pPr>
      <w:r>
        <w:t xml:space="preserve">Ahmed, S. (2023) ‘Data Mining and Business Intelligence for Better Healthcare Decision’, </w:t>
      </w:r>
      <w:r>
        <w:rPr>
          <w:i/>
          <w:iCs/>
        </w:rPr>
        <w:t>Journal of information technology and computing</w:t>
      </w:r>
      <w:r>
        <w:t>, 4(1), pp. 29–36. Available at: https://doi.org/10.48185/jitc.v4i1.705.</w:t>
      </w:r>
    </w:p>
    <w:p w14:paraId="67439DE6" w14:textId="77777777" w:rsidR="00F5427C" w:rsidRDefault="00F5427C" w:rsidP="00F5427C">
      <w:pPr>
        <w:pStyle w:val="NormalWeb"/>
        <w:spacing w:beforeAutospacing="0" w:after="240" w:afterAutospacing="0" w:line="360" w:lineRule="auto"/>
      </w:pPr>
      <w:r>
        <w:t xml:space="preserve">Arefin, S. and Simcox, M. (2024) AI-Driven Solutions for Safeguarding Healthcare Data: Innovations in Cybersecurity’, </w:t>
      </w:r>
      <w:r>
        <w:rPr>
          <w:i/>
          <w:iCs/>
        </w:rPr>
        <w:t>International Business Research</w:t>
      </w:r>
      <w:r>
        <w:t>, 17(6), p. 74. Available at: https://doi.org/10.5539/ibr.v17n6p74.</w:t>
      </w:r>
    </w:p>
    <w:p w14:paraId="280D5D05" w14:textId="77777777" w:rsidR="00F5427C" w:rsidRDefault="00F5427C" w:rsidP="00F5427C">
      <w:pPr>
        <w:pStyle w:val="NormalWeb"/>
        <w:spacing w:beforeAutospacing="0" w:after="240" w:afterAutospacing="0" w:line="360" w:lineRule="auto"/>
      </w:pPr>
      <w:proofErr w:type="spellStart"/>
      <w:r>
        <w:t>Birjandi</w:t>
      </w:r>
      <w:proofErr w:type="spellEnd"/>
      <w:r>
        <w:t xml:space="preserve">, S.M. and </w:t>
      </w:r>
      <w:proofErr w:type="spellStart"/>
      <w:r>
        <w:t>Khasteh</w:t>
      </w:r>
      <w:proofErr w:type="spellEnd"/>
      <w:r>
        <w:t xml:space="preserve">, S.H. (2021) ‘A survey on data mining techniques used in medicine’, </w:t>
      </w:r>
      <w:r>
        <w:rPr>
          <w:i/>
          <w:iCs/>
        </w:rPr>
        <w:t>Journal of Diabetes &amp; Metabolic Disorders</w:t>
      </w:r>
      <w:r>
        <w:t>, 20(2), pp. 2055–2071. Available at: https://doi.org/10.1007/s40200-021-00884-2.</w:t>
      </w:r>
    </w:p>
    <w:p w14:paraId="23B641D7" w14:textId="77777777" w:rsidR="00F5427C" w:rsidRDefault="00F5427C" w:rsidP="00F5427C">
      <w:pPr>
        <w:pStyle w:val="NormalWeb"/>
        <w:spacing w:beforeAutospacing="0" w:after="240" w:afterAutospacing="0" w:line="360" w:lineRule="auto"/>
      </w:pPr>
      <w:r>
        <w:t xml:space="preserve">Care Quality Commission (2022) </w:t>
      </w:r>
      <w:r>
        <w:rPr>
          <w:i/>
          <w:iCs/>
        </w:rPr>
        <w:t>Bath Clinic - Care Quality Commission</w:t>
      </w:r>
      <w:r>
        <w:t xml:space="preserve">, </w:t>
      </w:r>
      <w:r>
        <w:rPr>
          <w:i/>
          <w:iCs/>
        </w:rPr>
        <w:t>Cqc.org.uk</w:t>
      </w:r>
      <w:r>
        <w:t>. Available at: https://www.cqc.org.uk/location/1-128758255/inspection-summary? (Accessed: 16 October 2025).</w:t>
      </w:r>
    </w:p>
    <w:p w14:paraId="2208915A" w14:textId="77777777" w:rsidR="00F5427C" w:rsidRDefault="00F5427C" w:rsidP="00F5427C">
      <w:pPr>
        <w:pStyle w:val="NormalWeb"/>
        <w:spacing w:beforeAutospacing="0" w:after="240" w:afterAutospacing="0" w:line="360" w:lineRule="auto"/>
      </w:pPr>
      <w:r>
        <w:t>Castañeda, H.A., Raúl, P., ANTONIO, G., Herminio, A. and Flores, A. (2024) ‘Generating Dashboards with Python on the RPA process for optimizing the assignment of gardening tasks. Available at: https://doi.org/10.18687/leird2024.1.1.709.</w:t>
      </w:r>
    </w:p>
    <w:p w14:paraId="3DBCDEAC" w14:textId="77777777" w:rsidR="00F5427C" w:rsidRDefault="00F5427C" w:rsidP="00F5427C">
      <w:pPr>
        <w:pStyle w:val="NormalWeb"/>
        <w:spacing w:beforeAutospacing="0" w:after="240" w:afterAutospacing="0" w:line="360" w:lineRule="auto"/>
      </w:pPr>
      <w:r>
        <w:t xml:space="preserve">Circle Health Group (2024) </w:t>
      </w:r>
      <w:r>
        <w:rPr>
          <w:i/>
          <w:iCs/>
        </w:rPr>
        <w:t>Bath Clinic</w:t>
      </w:r>
      <w:r>
        <w:t xml:space="preserve">, </w:t>
      </w:r>
      <w:r>
        <w:rPr>
          <w:i/>
          <w:iCs/>
        </w:rPr>
        <w:t>Circle Health Group</w:t>
      </w:r>
      <w:r>
        <w:t>. Available at: https://www.circlehealthgroup.co.uk/hospitals/bath-clinic? (Accessed: 16 October 2025).</w:t>
      </w:r>
    </w:p>
    <w:p w14:paraId="11B73013" w14:textId="77777777" w:rsidR="00F5427C" w:rsidRDefault="00F5427C" w:rsidP="00F5427C">
      <w:pPr>
        <w:pStyle w:val="NormalWeb"/>
        <w:spacing w:beforeAutospacing="0" w:after="240" w:afterAutospacing="0" w:line="360" w:lineRule="auto"/>
      </w:pPr>
      <w:r>
        <w:t xml:space="preserve">George, J. (2020) ‘An Agile Dimensional Data Mart Architecture for Clinical Laboratory Towards the Development of an Evolving Enterprise Clinical Data Warehouse’, </w:t>
      </w:r>
      <w:r>
        <w:rPr>
          <w:i/>
          <w:iCs/>
        </w:rPr>
        <w:t>International Journal of Advanced Trends in Computer Science and Engineering</w:t>
      </w:r>
      <w:r>
        <w:t>, 9(4), pp. 5089–5094. Available at: https://doi.org/10.30534/ijatcse/2020/131942020.</w:t>
      </w:r>
    </w:p>
    <w:p w14:paraId="3BBBF63C" w14:textId="77777777" w:rsidR="00F5427C" w:rsidRDefault="00F5427C" w:rsidP="00F5427C">
      <w:pPr>
        <w:pStyle w:val="NormalWeb"/>
        <w:spacing w:beforeAutospacing="0" w:after="240" w:afterAutospacing="0" w:line="360" w:lineRule="auto"/>
      </w:pPr>
      <w:r>
        <w:t xml:space="preserve">Jane, M., Angeles, A.A., </w:t>
      </w:r>
      <w:proofErr w:type="spellStart"/>
      <w:r>
        <w:t>Gallinera</w:t>
      </w:r>
      <w:proofErr w:type="spellEnd"/>
      <w:r>
        <w:t>, E.P. and Eileen, B. (2024) ‘A Comprehensive Evaluation of Standard Data Warehousing and Data Mining Techniques in the Field of Business’, 8, pp. 208–219. Available at: https://doi.org/10.1145/3664968.3664997.</w:t>
      </w:r>
    </w:p>
    <w:p w14:paraId="34E23184" w14:textId="77777777" w:rsidR="00F5427C" w:rsidRDefault="00F5427C" w:rsidP="00F5427C">
      <w:pPr>
        <w:pStyle w:val="NormalWeb"/>
        <w:spacing w:beforeAutospacing="0" w:after="240" w:afterAutospacing="0" w:line="360" w:lineRule="auto"/>
      </w:pPr>
      <w:r>
        <w:lastRenderedPageBreak/>
        <w:t xml:space="preserve">Kavishwar, P.D. and Pande, S.R. (2023) COMPARISON OF DATA MODELS IN DATA WAREHOUSE’, </w:t>
      </w:r>
      <w:r>
        <w:rPr>
          <w:i/>
          <w:iCs/>
        </w:rPr>
        <w:t>International Journal of Research in Biosciences and Agriculture Technology</w:t>
      </w:r>
      <w:r>
        <w:t xml:space="preserve"> [Preprint]. Available at: https://doi.org/10.29369/ijrbat.2023.02.1.0032.</w:t>
      </w:r>
    </w:p>
    <w:p w14:paraId="649266FF" w14:textId="77777777" w:rsidR="00F5427C" w:rsidRDefault="00F5427C" w:rsidP="00F5427C">
      <w:pPr>
        <w:pStyle w:val="NormalWeb"/>
        <w:spacing w:beforeAutospacing="0" w:after="240" w:afterAutospacing="0" w:line="360" w:lineRule="auto"/>
      </w:pPr>
      <w:r>
        <w:t xml:space="preserve">Lawton, A. (2020) ‘General data protection regulation: What does this mean in terms of law and ethics?’, </w:t>
      </w:r>
      <w:r>
        <w:rPr>
          <w:i/>
          <w:iCs/>
        </w:rPr>
        <w:t>Archives of disease in childhood - Education &amp; practice edition</w:t>
      </w:r>
      <w:r>
        <w:t>, 105(5), pp. 294–295. Available at: https://doi.org/10.1136/archdischild-2019-318519.</w:t>
      </w:r>
    </w:p>
    <w:p w14:paraId="5F8640DE" w14:textId="77777777" w:rsidR="00F5427C" w:rsidRDefault="00F5427C" w:rsidP="00F5427C">
      <w:pPr>
        <w:pStyle w:val="NormalWeb"/>
        <w:spacing w:beforeAutospacing="0" w:after="240" w:afterAutospacing="0" w:line="360" w:lineRule="auto"/>
      </w:pPr>
      <w:r>
        <w:t xml:space="preserve">Mansoor, I. and Dar, F.J. (2024) Utilizing Data Analytics and Business Intelligence Tools in Laboratory Workflow’, </w:t>
      </w:r>
      <w:r>
        <w:rPr>
          <w:i/>
          <w:iCs/>
        </w:rPr>
        <w:t>EJIFCC</w:t>
      </w:r>
      <w:r>
        <w:t>, 35(1), p. 34. Available at: https://pmc.ncbi.nlm.nih.gov/articles/PMC11063783/ (Accessed: 16 October 2025).</w:t>
      </w:r>
    </w:p>
    <w:p w14:paraId="3C7364A2" w14:textId="77777777" w:rsidR="00F5427C" w:rsidRDefault="00F5427C" w:rsidP="00F5427C">
      <w:pPr>
        <w:pStyle w:val="NormalWeb"/>
        <w:spacing w:beforeAutospacing="0" w:after="240" w:afterAutospacing="0" w:line="360" w:lineRule="auto"/>
      </w:pPr>
      <w:proofErr w:type="spellStart"/>
      <w:r>
        <w:t>Mawilmada</w:t>
      </w:r>
      <w:proofErr w:type="spellEnd"/>
      <w:r>
        <w:t xml:space="preserve">, P. (2011) </w:t>
      </w:r>
      <w:r>
        <w:rPr>
          <w:i/>
          <w:iCs/>
        </w:rPr>
        <w:t>How to improve cardiac surgery decision making? In data warehousing perspective</w:t>
      </w:r>
      <w:r>
        <w:t xml:space="preserve">, </w:t>
      </w:r>
      <w:r>
        <w:rPr>
          <w:i/>
          <w:iCs/>
        </w:rPr>
        <w:t>eprints.qut.edu</w:t>
      </w:r>
      <w:r>
        <w:t>. Available at: https://eprints.qut.edu.au/60854/ (Accessed: 16 October 2025).</w:t>
      </w:r>
    </w:p>
    <w:p w14:paraId="31E8687A" w14:textId="77777777" w:rsidR="00F5427C" w:rsidRDefault="00F5427C" w:rsidP="00F5427C">
      <w:pPr>
        <w:pStyle w:val="NormalWeb"/>
        <w:spacing w:beforeAutospacing="0" w:after="240" w:afterAutospacing="0" w:line="360" w:lineRule="auto"/>
      </w:pPr>
      <w:r>
        <w:t>Nikitha, D., Hussain, S.I. and Poornima, M. (2024) ‘Integrating Power BI with Machine Learning Models for Predictive Analytics’, pp. 1245–1250. Available at: https://doi.org/10.1109/ic3i61595.2024.10828685.</w:t>
      </w:r>
    </w:p>
    <w:p w14:paraId="3BFCF10E" w14:textId="77777777" w:rsidR="00F5427C" w:rsidRDefault="00F5427C" w:rsidP="00F5427C">
      <w:pPr>
        <w:pStyle w:val="NormalWeb"/>
        <w:spacing w:beforeAutospacing="0" w:after="240" w:afterAutospacing="0" w:line="360" w:lineRule="auto"/>
      </w:pPr>
      <w:r>
        <w:t xml:space="preserve">Philips (2024) </w:t>
      </w:r>
      <w:r>
        <w:rPr>
          <w:i/>
          <w:iCs/>
        </w:rPr>
        <w:t>10 healthcare technology trends for 2025</w:t>
      </w:r>
      <w:r>
        <w:t xml:space="preserve">, </w:t>
      </w:r>
      <w:r>
        <w:rPr>
          <w:i/>
          <w:iCs/>
        </w:rPr>
        <w:t>Philips</w:t>
      </w:r>
      <w:r>
        <w:t>. Available at: https://www.philips.com/a-w/about/news/archive/features/2024/10-healthcare-technology-trends-for-2025.html? (Accessed: 16 October 2025).</w:t>
      </w:r>
    </w:p>
    <w:p w14:paraId="71B86CAA" w14:textId="77777777" w:rsidR="00F5427C" w:rsidRDefault="00F5427C" w:rsidP="00F5427C">
      <w:pPr>
        <w:pStyle w:val="NormalWeb"/>
        <w:spacing w:beforeAutospacing="0" w:after="240" w:afterAutospacing="0" w:line="360" w:lineRule="auto"/>
      </w:pPr>
      <w:r>
        <w:t xml:space="preserve">Picozzi, P., Nocco, U., Pezzillo, A., De Cosmo, A. and </w:t>
      </w:r>
      <w:proofErr w:type="spellStart"/>
      <w:r>
        <w:t>Cimolin</w:t>
      </w:r>
      <w:proofErr w:type="spellEnd"/>
      <w:r>
        <w:t xml:space="preserve">, V. (2024) The Use of Business Intelligence Software to Monitor Key Performance Indicators (KPIs) for the Evaluation of a Computerized Management System (CMMS)’, </w:t>
      </w:r>
      <w:r>
        <w:rPr>
          <w:i/>
          <w:iCs/>
        </w:rPr>
        <w:t>Electronics</w:t>
      </w:r>
      <w:r>
        <w:t>, 13(12), p. 2286. Available at: https://doi.org/10.3390/electronics13122286.</w:t>
      </w:r>
    </w:p>
    <w:p w14:paraId="4B2DBA02" w14:textId="77777777" w:rsidR="00F5427C" w:rsidRDefault="00F5427C" w:rsidP="00F5427C">
      <w:pPr>
        <w:pStyle w:val="NormalWeb"/>
        <w:spacing w:beforeAutospacing="0" w:after="240" w:afterAutospacing="0" w:line="360" w:lineRule="auto"/>
      </w:pPr>
      <w:r>
        <w:t xml:space="preserve">Pina, E., Ramos, J., Jorge, H., Váz, P., Silva, J., </w:t>
      </w:r>
      <w:proofErr w:type="spellStart"/>
      <w:r>
        <w:t>Wanzeller</w:t>
      </w:r>
      <w:proofErr w:type="spellEnd"/>
      <w:r>
        <w:t xml:space="preserve">, C., Abbasi, M. and Martins, P. (2024) ‘Data Privacy and Ethical Considerations in Database Management’, </w:t>
      </w:r>
      <w:r>
        <w:rPr>
          <w:i/>
          <w:iCs/>
        </w:rPr>
        <w:t>Journal of Cybersecurity and Privacy</w:t>
      </w:r>
      <w:r>
        <w:t>, 4(3), pp. 494–517. Available at: https://doi.org/10.3390/jcp4030024.</w:t>
      </w:r>
    </w:p>
    <w:p w14:paraId="3445A922" w14:textId="77777777" w:rsidR="00F5427C" w:rsidRDefault="00F5427C" w:rsidP="00F5427C">
      <w:pPr>
        <w:pStyle w:val="NormalWeb"/>
        <w:spacing w:beforeAutospacing="0" w:after="240" w:afterAutospacing="0" w:line="360" w:lineRule="auto"/>
      </w:pPr>
      <w:proofErr w:type="spellStart"/>
      <w:r>
        <w:t>Pokhidnia</w:t>
      </w:r>
      <w:proofErr w:type="spellEnd"/>
      <w:r>
        <w:t xml:space="preserve">, B. (2025) ‘ETHICS IN INFORMATION MANAGEMENT: PERSONAL DATA PROTECTION’, </w:t>
      </w:r>
      <w:r>
        <w:rPr>
          <w:i/>
          <w:iCs/>
        </w:rPr>
        <w:t>Economic scope</w:t>
      </w:r>
      <w:r>
        <w:t>, (197), pp. 212–216. Available at: https://doi.org/10.30838/ep.197.212-216.</w:t>
      </w:r>
    </w:p>
    <w:p w14:paraId="6F763EFC" w14:textId="77777777" w:rsidR="00F5427C" w:rsidRDefault="00F5427C" w:rsidP="00F5427C">
      <w:pPr>
        <w:pStyle w:val="NormalWeb"/>
        <w:spacing w:beforeAutospacing="0" w:after="240" w:afterAutospacing="0" w:line="360" w:lineRule="auto"/>
      </w:pPr>
      <w:r>
        <w:lastRenderedPageBreak/>
        <w:t xml:space="preserve">Putra, H., </w:t>
      </w:r>
      <w:proofErr w:type="spellStart"/>
      <w:r>
        <w:t>Qatrunnada</w:t>
      </w:r>
      <w:proofErr w:type="spellEnd"/>
      <w:r>
        <w:t xml:space="preserve">, R., </w:t>
      </w:r>
      <w:proofErr w:type="spellStart"/>
      <w:r>
        <w:t>Rahmadoni</w:t>
      </w:r>
      <w:proofErr w:type="spellEnd"/>
      <w:r>
        <w:t xml:space="preserve">, J. and </w:t>
      </w:r>
      <w:proofErr w:type="spellStart"/>
      <w:r>
        <w:t>Khairati</w:t>
      </w:r>
      <w:proofErr w:type="spellEnd"/>
      <w:r>
        <w:t xml:space="preserve">, F. (2025) ‘Enhancing Organizational Control Through Business Intelligence: Monitoring and Automated Alerts’, </w:t>
      </w:r>
      <w:r>
        <w:rPr>
          <w:i/>
          <w:iCs/>
        </w:rPr>
        <w:t>Electronic Journal of Education, Social Economics and Technology</w:t>
      </w:r>
      <w:r>
        <w:t>, 6(1), pp. 112–120. Available at: https://doi.org/10.33122/ejeset.v6i1.222.</w:t>
      </w:r>
    </w:p>
    <w:p w14:paraId="265B4E3F" w14:textId="77777777" w:rsidR="00F5427C" w:rsidRDefault="00F5427C" w:rsidP="00F5427C">
      <w:pPr>
        <w:pStyle w:val="NormalWeb"/>
        <w:spacing w:beforeAutospacing="0" w:after="240" w:afterAutospacing="0" w:line="360" w:lineRule="auto"/>
      </w:pPr>
      <w:r>
        <w:t xml:space="preserve">S., A., TOM, P. and G., T. (2017) Healthcare Data Warehousing’, </w:t>
      </w:r>
      <w:proofErr w:type="spellStart"/>
      <w:r>
        <w:rPr>
          <w:i/>
          <w:iCs/>
        </w:rPr>
        <w:t>i</w:t>
      </w:r>
      <w:proofErr w:type="spellEnd"/>
      <w:r>
        <w:rPr>
          <w:i/>
          <w:iCs/>
        </w:rPr>
        <w:t>-manager’s Journal on Computer Science</w:t>
      </w:r>
      <w:r>
        <w:t>, 4(4), p. 1. Available at: https://doi.org/10.26634/jcom.4.4.13414.</w:t>
      </w:r>
    </w:p>
    <w:p w14:paraId="17D594BD" w14:textId="77777777" w:rsidR="00F5427C" w:rsidRDefault="00F5427C" w:rsidP="00F5427C">
      <w:pPr>
        <w:pStyle w:val="NormalWeb"/>
        <w:spacing w:beforeAutospacing="0" w:after="240" w:afterAutospacing="0" w:line="360" w:lineRule="auto"/>
      </w:pPr>
      <w:r>
        <w:t xml:space="preserve">Staff, A. (2025) </w:t>
      </w:r>
      <w:r>
        <w:rPr>
          <w:i/>
          <w:iCs/>
        </w:rPr>
        <w:t>Healthcare data warehouse benefits, features, and use cases</w:t>
      </w:r>
      <w:r>
        <w:t xml:space="preserve">, </w:t>
      </w:r>
      <w:r>
        <w:rPr>
          <w:i/>
          <w:iCs/>
        </w:rPr>
        <w:t>Arcadia</w:t>
      </w:r>
      <w:r>
        <w:t>. Available at: https://arcadia.io/resources/healthcare-data-warehouse? (Accessed: 16 October 2025).</w:t>
      </w:r>
    </w:p>
    <w:p w14:paraId="77B7E5EE" w14:textId="77777777" w:rsidR="00F5427C" w:rsidRDefault="00F5427C" w:rsidP="00F5427C">
      <w:pPr>
        <w:pStyle w:val="NormalWeb"/>
        <w:spacing w:beforeAutospacing="0" w:after="240" w:afterAutospacing="0" w:line="360" w:lineRule="auto"/>
      </w:pPr>
      <w:r>
        <w:t xml:space="preserve">U, S., J, M., Velagapudi, T., Abhinav, G., Kumar, T. and </w:t>
      </w:r>
      <w:proofErr w:type="spellStart"/>
      <w:r>
        <w:t>Dogiparthy</w:t>
      </w:r>
      <w:proofErr w:type="spellEnd"/>
      <w:r>
        <w:t xml:space="preserve">, S. (2024) ‘A New Approach to Computationally- Successful Linear and Polynomial Regression Analytics of Large Data in Medicine’, </w:t>
      </w:r>
      <w:r>
        <w:rPr>
          <w:i/>
          <w:iCs/>
        </w:rPr>
        <w:t>Journal of Computer Allied Intelligence</w:t>
      </w:r>
      <w:r>
        <w:t>, 2(2), pp. 35–48. Available at: https://doi.org/10.69996/jcai.2024009.</w:t>
      </w:r>
    </w:p>
    <w:p w14:paraId="64FCE268" w14:textId="77777777" w:rsidR="00F5427C" w:rsidRDefault="00F5427C" w:rsidP="00F5427C">
      <w:pPr>
        <w:pStyle w:val="NormalWeb"/>
        <w:spacing w:beforeAutospacing="0" w:after="240" w:afterAutospacing="0" w:line="360" w:lineRule="auto"/>
      </w:pPr>
      <w:r>
        <w:t xml:space="preserve">Wirth, R. and Hipp, J. (2021) </w:t>
      </w:r>
      <w:r>
        <w:rPr>
          <w:i/>
          <w:iCs/>
        </w:rPr>
        <w:t>CRISP-DM: Towards a Standard Process Model for Data Mining</w:t>
      </w:r>
      <w:r>
        <w:t>. Available at: https://cs.unibo.it/~danilo.montesi/CBD/Beatriz/10.1.1.198.5133.pdf? (Accessed: 16 October 2025).</w:t>
      </w:r>
    </w:p>
    <w:p w14:paraId="54868EDD" w14:textId="77777777" w:rsidR="00F5427C" w:rsidRDefault="00F5427C" w:rsidP="00F5427C">
      <w:pPr>
        <w:pStyle w:val="NormalWeb"/>
        <w:spacing w:beforeAutospacing="0" w:after="240" w:afterAutospacing="0" w:line="360" w:lineRule="auto"/>
      </w:pPr>
      <w:r>
        <w:t xml:space="preserve">Wu, W.-T., Li, Y.-J., Feng, A.-Z., Li, L., Huang, T., Xu, A.-D. and Lyu, J. (2021) Data mining in clinical big data: The frequently used databases, steps, and methodological models’, </w:t>
      </w:r>
      <w:r>
        <w:rPr>
          <w:i/>
          <w:iCs/>
        </w:rPr>
        <w:t>Military Medical Research</w:t>
      </w:r>
      <w:r>
        <w:t>, 8(1). Available at: https://doi.org/10.1186/s40779-021-00338-z.</w:t>
      </w:r>
    </w:p>
    <w:p w14:paraId="74A778C5" w14:textId="77777777" w:rsidR="00BB751D" w:rsidRPr="00F5427C" w:rsidRDefault="00BB751D" w:rsidP="00F5427C"/>
    <w:sectPr w:rsidR="00BB751D" w:rsidRPr="00F5427C">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97B28CE" w14:textId="77777777" w:rsidR="00B46A9E" w:rsidRDefault="00B46A9E" w:rsidP="00F5427C">
      <w:pPr>
        <w:spacing w:after="0" w:line="240" w:lineRule="auto"/>
      </w:pPr>
      <w:r>
        <w:separator/>
      </w:r>
    </w:p>
  </w:endnote>
  <w:endnote w:type="continuationSeparator" w:id="0">
    <w:p w14:paraId="01B7AECD" w14:textId="77777777" w:rsidR="00B46A9E" w:rsidRDefault="00B46A9E" w:rsidP="00F5427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55144634"/>
      <w:docPartObj>
        <w:docPartGallery w:val="Page Numbers (Bottom of Page)"/>
        <w:docPartUnique/>
      </w:docPartObj>
    </w:sdtPr>
    <w:sdtContent>
      <w:p w14:paraId="45FC4B4B" w14:textId="31D899DB" w:rsidR="00F5427C" w:rsidRDefault="00F5427C">
        <w:pPr>
          <w:pStyle w:val="Footer"/>
          <w:jc w:val="right"/>
        </w:pPr>
        <w:r>
          <w:fldChar w:fldCharType="begin"/>
        </w:r>
        <w:r>
          <w:instrText>PAGE   \* MERGEFORMAT</w:instrText>
        </w:r>
        <w:r>
          <w:fldChar w:fldCharType="separate"/>
        </w:r>
        <w:r>
          <w:t>2</w:t>
        </w:r>
        <w:r>
          <w:fldChar w:fldCharType="end"/>
        </w:r>
      </w:p>
    </w:sdtContent>
  </w:sdt>
  <w:p w14:paraId="5640788D" w14:textId="77777777" w:rsidR="00F5427C" w:rsidRDefault="00F5427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C87FF26" w14:textId="77777777" w:rsidR="00B46A9E" w:rsidRDefault="00B46A9E" w:rsidP="00F5427C">
      <w:pPr>
        <w:spacing w:after="0" w:line="240" w:lineRule="auto"/>
      </w:pPr>
      <w:r>
        <w:separator/>
      </w:r>
    </w:p>
  </w:footnote>
  <w:footnote w:type="continuationSeparator" w:id="0">
    <w:p w14:paraId="1570A982" w14:textId="77777777" w:rsidR="00B46A9E" w:rsidRDefault="00B46A9E" w:rsidP="00F5427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B2900E0"/>
    <w:multiLevelType w:val="hybridMultilevel"/>
    <w:tmpl w:val="3DA0B1AE"/>
    <w:lvl w:ilvl="0" w:tplc="8D8A5FE4">
      <w:start w:val="1"/>
      <w:numFmt w:val="decimal"/>
      <w:lvlText w:val="%1."/>
      <w:lvlJc w:val="left"/>
      <w:pPr>
        <w:ind w:left="756" w:hanging="396"/>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7995148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5427C"/>
    <w:rsid w:val="00125F22"/>
    <w:rsid w:val="002D7012"/>
    <w:rsid w:val="00360EF1"/>
    <w:rsid w:val="004A7FFE"/>
    <w:rsid w:val="00696EBB"/>
    <w:rsid w:val="00811FD4"/>
    <w:rsid w:val="009D3DBE"/>
    <w:rsid w:val="009D477A"/>
    <w:rsid w:val="00B46A9E"/>
    <w:rsid w:val="00BB751D"/>
    <w:rsid w:val="00EE7128"/>
    <w:rsid w:val="00F5427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F5611EC"/>
  <w15:chartTrackingRefBased/>
  <w15:docId w15:val="{E09FB43C-589A-4F34-AB50-E5DD7A9A37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qFormat="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5427C"/>
    <w:pPr>
      <w:suppressAutoHyphens/>
      <w:spacing w:line="278" w:lineRule="auto"/>
    </w:pPr>
    <w:rPr>
      <w:sz w:val="24"/>
      <w:szCs w:val="24"/>
    </w:rPr>
  </w:style>
  <w:style w:type="paragraph" w:styleId="Heading1">
    <w:name w:val="heading 1"/>
    <w:basedOn w:val="Normal"/>
    <w:next w:val="Normal"/>
    <w:link w:val="Heading1Char"/>
    <w:uiPriority w:val="9"/>
    <w:qFormat/>
    <w:rsid w:val="00F5427C"/>
    <w:pPr>
      <w:keepNext/>
      <w:keepLines/>
      <w:suppressAutoHyphens w:val="0"/>
      <w:spacing w:before="360" w:after="80" w:line="259" w:lineRule="auto"/>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F5427C"/>
    <w:pPr>
      <w:keepNext/>
      <w:keepLines/>
      <w:suppressAutoHyphens w:val="0"/>
      <w:spacing w:before="160" w:after="80" w:line="259" w:lineRule="auto"/>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F5427C"/>
    <w:pPr>
      <w:keepNext/>
      <w:keepLines/>
      <w:suppressAutoHyphens w:val="0"/>
      <w:spacing w:before="160" w:after="80" w:line="259" w:lineRule="auto"/>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F5427C"/>
    <w:pPr>
      <w:keepNext/>
      <w:keepLines/>
      <w:suppressAutoHyphens w:val="0"/>
      <w:spacing w:before="80" w:after="40" w:line="259" w:lineRule="auto"/>
      <w:outlineLvl w:val="3"/>
    </w:pPr>
    <w:rPr>
      <w:rFonts w:eastAsiaTheme="majorEastAsia" w:cstheme="majorBidi"/>
      <w:i/>
      <w:iCs/>
      <w:color w:val="2F5496" w:themeColor="accent1" w:themeShade="BF"/>
      <w:sz w:val="22"/>
      <w:szCs w:val="22"/>
    </w:rPr>
  </w:style>
  <w:style w:type="paragraph" w:styleId="Heading5">
    <w:name w:val="heading 5"/>
    <w:basedOn w:val="Normal"/>
    <w:next w:val="Normal"/>
    <w:link w:val="Heading5Char"/>
    <w:uiPriority w:val="9"/>
    <w:semiHidden/>
    <w:unhideWhenUsed/>
    <w:qFormat/>
    <w:rsid w:val="00F5427C"/>
    <w:pPr>
      <w:keepNext/>
      <w:keepLines/>
      <w:suppressAutoHyphens w:val="0"/>
      <w:spacing w:before="80" w:after="40" w:line="259" w:lineRule="auto"/>
      <w:outlineLvl w:val="4"/>
    </w:pPr>
    <w:rPr>
      <w:rFonts w:eastAsiaTheme="majorEastAsia" w:cstheme="majorBidi"/>
      <w:color w:val="2F5496" w:themeColor="accent1" w:themeShade="BF"/>
      <w:sz w:val="22"/>
      <w:szCs w:val="22"/>
    </w:rPr>
  </w:style>
  <w:style w:type="paragraph" w:styleId="Heading6">
    <w:name w:val="heading 6"/>
    <w:basedOn w:val="Normal"/>
    <w:next w:val="Normal"/>
    <w:link w:val="Heading6Char"/>
    <w:uiPriority w:val="9"/>
    <w:semiHidden/>
    <w:unhideWhenUsed/>
    <w:qFormat/>
    <w:rsid w:val="00F5427C"/>
    <w:pPr>
      <w:keepNext/>
      <w:keepLines/>
      <w:suppressAutoHyphens w:val="0"/>
      <w:spacing w:before="40" w:after="0" w:line="259" w:lineRule="auto"/>
      <w:outlineLvl w:val="5"/>
    </w:pPr>
    <w:rPr>
      <w:rFonts w:eastAsiaTheme="majorEastAsia" w:cstheme="majorBidi"/>
      <w:i/>
      <w:iCs/>
      <w:color w:val="595959" w:themeColor="text1" w:themeTint="A6"/>
      <w:sz w:val="22"/>
      <w:szCs w:val="22"/>
    </w:rPr>
  </w:style>
  <w:style w:type="paragraph" w:styleId="Heading7">
    <w:name w:val="heading 7"/>
    <w:basedOn w:val="Normal"/>
    <w:next w:val="Normal"/>
    <w:link w:val="Heading7Char"/>
    <w:uiPriority w:val="9"/>
    <w:semiHidden/>
    <w:unhideWhenUsed/>
    <w:qFormat/>
    <w:rsid w:val="00F5427C"/>
    <w:pPr>
      <w:keepNext/>
      <w:keepLines/>
      <w:suppressAutoHyphens w:val="0"/>
      <w:spacing w:before="40" w:after="0" w:line="259" w:lineRule="auto"/>
      <w:outlineLvl w:val="6"/>
    </w:pPr>
    <w:rPr>
      <w:rFonts w:eastAsiaTheme="majorEastAsia" w:cstheme="majorBidi"/>
      <w:color w:val="595959" w:themeColor="text1" w:themeTint="A6"/>
      <w:sz w:val="22"/>
      <w:szCs w:val="22"/>
    </w:rPr>
  </w:style>
  <w:style w:type="paragraph" w:styleId="Heading8">
    <w:name w:val="heading 8"/>
    <w:basedOn w:val="Normal"/>
    <w:next w:val="Normal"/>
    <w:link w:val="Heading8Char"/>
    <w:uiPriority w:val="9"/>
    <w:semiHidden/>
    <w:unhideWhenUsed/>
    <w:qFormat/>
    <w:rsid w:val="00F5427C"/>
    <w:pPr>
      <w:keepNext/>
      <w:keepLines/>
      <w:suppressAutoHyphens w:val="0"/>
      <w:spacing w:after="0" w:line="259" w:lineRule="auto"/>
      <w:outlineLvl w:val="7"/>
    </w:pPr>
    <w:rPr>
      <w:rFonts w:eastAsiaTheme="majorEastAsia" w:cstheme="majorBidi"/>
      <w:i/>
      <w:iCs/>
      <w:color w:val="272727" w:themeColor="text1" w:themeTint="D8"/>
      <w:sz w:val="22"/>
      <w:szCs w:val="22"/>
    </w:rPr>
  </w:style>
  <w:style w:type="paragraph" w:styleId="Heading9">
    <w:name w:val="heading 9"/>
    <w:basedOn w:val="Normal"/>
    <w:next w:val="Normal"/>
    <w:link w:val="Heading9Char"/>
    <w:uiPriority w:val="9"/>
    <w:semiHidden/>
    <w:unhideWhenUsed/>
    <w:qFormat/>
    <w:rsid w:val="00F5427C"/>
    <w:pPr>
      <w:keepNext/>
      <w:keepLines/>
      <w:suppressAutoHyphens w:val="0"/>
      <w:spacing w:after="0" w:line="259" w:lineRule="auto"/>
      <w:outlineLvl w:val="8"/>
    </w:pPr>
    <w:rPr>
      <w:rFonts w:eastAsiaTheme="majorEastAsia" w:cstheme="majorBidi"/>
      <w:color w:val="272727" w:themeColor="text1" w:themeTint="D8"/>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qFormat/>
    <w:rsid w:val="00F5427C"/>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F5427C"/>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F5427C"/>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F5427C"/>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F5427C"/>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F5427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5427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5427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5427C"/>
    <w:rPr>
      <w:rFonts w:eastAsiaTheme="majorEastAsia" w:cstheme="majorBidi"/>
      <w:color w:val="272727" w:themeColor="text1" w:themeTint="D8"/>
    </w:rPr>
  </w:style>
  <w:style w:type="paragraph" w:styleId="Title">
    <w:name w:val="Title"/>
    <w:basedOn w:val="Normal"/>
    <w:next w:val="Normal"/>
    <w:link w:val="TitleChar"/>
    <w:uiPriority w:val="10"/>
    <w:qFormat/>
    <w:rsid w:val="00F5427C"/>
    <w:pPr>
      <w:suppressAutoHyphens w:val="0"/>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5427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5427C"/>
    <w:pPr>
      <w:numPr>
        <w:ilvl w:val="1"/>
      </w:numPr>
      <w:suppressAutoHyphens w:val="0"/>
      <w:spacing w:line="259" w:lineRule="auto"/>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5427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5427C"/>
    <w:pPr>
      <w:suppressAutoHyphens w:val="0"/>
      <w:spacing w:before="160" w:line="259" w:lineRule="auto"/>
      <w:jc w:val="center"/>
    </w:pPr>
    <w:rPr>
      <w:i/>
      <w:iCs/>
      <w:color w:val="404040" w:themeColor="text1" w:themeTint="BF"/>
      <w:sz w:val="22"/>
      <w:szCs w:val="22"/>
    </w:rPr>
  </w:style>
  <w:style w:type="character" w:customStyle="1" w:styleId="QuoteChar">
    <w:name w:val="Quote Char"/>
    <w:basedOn w:val="DefaultParagraphFont"/>
    <w:link w:val="Quote"/>
    <w:uiPriority w:val="29"/>
    <w:rsid w:val="00F5427C"/>
    <w:rPr>
      <w:i/>
      <w:iCs/>
      <w:color w:val="404040" w:themeColor="text1" w:themeTint="BF"/>
    </w:rPr>
  </w:style>
  <w:style w:type="paragraph" w:styleId="ListParagraph">
    <w:name w:val="List Paragraph"/>
    <w:basedOn w:val="Normal"/>
    <w:uiPriority w:val="34"/>
    <w:qFormat/>
    <w:rsid w:val="00F5427C"/>
    <w:pPr>
      <w:suppressAutoHyphens w:val="0"/>
      <w:spacing w:line="259" w:lineRule="auto"/>
      <w:ind w:left="720"/>
      <w:contextualSpacing/>
    </w:pPr>
    <w:rPr>
      <w:sz w:val="22"/>
      <w:szCs w:val="22"/>
    </w:rPr>
  </w:style>
  <w:style w:type="character" w:styleId="IntenseEmphasis">
    <w:name w:val="Intense Emphasis"/>
    <w:basedOn w:val="DefaultParagraphFont"/>
    <w:uiPriority w:val="21"/>
    <w:qFormat/>
    <w:rsid w:val="00F5427C"/>
    <w:rPr>
      <w:i/>
      <w:iCs/>
      <w:color w:val="2F5496" w:themeColor="accent1" w:themeShade="BF"/>
    </w:rPr>
  </w:style>
  <w:style w:type="paragraph" w:styleId="IntenseQuote">
    <w:name w:val="Intense Quote"/>
    <w:basedOn w:val="Normal"/>
    <w:next w:val="Normal"/>
    <w:link w:val="IntenseQuoteChar"/>
    <w:uiPriority w:val="30"/>
    <w:qFormat/>
    <w:rsid w:val="00F5427C"/>
    <w:pPr>
      <w:pBdr>
        <w:top w:val="single" w:sz="4" w:space="10" w:color="2F5496" w:themeColor="accent1" w:themeShade="BF"/>
        <w:bottom w:val="single" w:sz="4" w:space="10" w:color="2F5496" w:themeColor="accent1" w:themeShade="BF"/>
      </w:pBdr>
      <w:suppressAutoHyphens w:val="0"/>
      <w:spacing w:before="360" w:after="360" w:line="259" w:lineRule="auto"/>
      <w:ind w:left="864" w:right="864"/>
      <w:jc w:val="center"/>
    </w:pPr>
    <w:rPr>
      <w:i/>
      <w:iCs/>
      <w:color w:val="2F5496" w:themeColor="accent1" w:themeShade="BF"/>
      <w:sz w:val="22"/>
      <w:szCs w:val="22"/>
    </w:rPr>
  </w:style>
  <w:style w:type="character" w:customStyle="1" w:styleId="IntenseQuoteChar">
    <w:name w:val="Intense Quote Char"/>
    <w:basedOn w:val="DefaultParagraphFont"/>
    <w:link w:val="IntenseQuote"/>
    <w:uiPriority w:val="30"/>
    <w:rsid w:val="00F5427C"/>
    <w:rPr>
      <w:i/>
      <w:iCs/>
      <w:color w:val="2F5496" w:themeColor="accent1" w:themeShade="BF"/>
    </w:rPr>
  </w:style>
  <w:style w:type="character" w:styleId="IntenseReference">
    <w:name w:val="Intense Reference"/>
    <w:basedOn w:val="DefaultParagraphFont"/>
    <w:uiPriority w:val="32"/>
    <w:qFormat/>
    <w:rsid w:val="00F5427C"/>
    <w:rPr>
      <w:b/>
      <w:bCs/>
      <w:smallCaps/>
      <w:color w:val="2F5496" w:themeColor="accent1" w:themeShade="BF"/>
      <w:spacing w:val="5"/>
    </w:rPr>
  </w:style>
  <w:style w:type="character" w:customStyle="1" w:styleId="IndexLink">
    <w:name w:val="Index Link"/>
    <w:qFormat/>
    <w:rsid w:val="00F5427C"/>
  </w:style>
  <w:style w:type="paragraph" w:styleId="TOCHeading">
    <w:name w:val="TOC Heading"/>
    <w:basedOn w:val="Heading1"/>
    <w:next w:val="Normal"/>
    <w:uiPriority w:val="39"/>
    <w:unhideWhenUsed/>
    <w:qFormat/>
    <w:rsid w:val="00F5427C"/>
    <w:pPr>
      <w:suppressAutoHyphens/>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F5427C"/>
    <w:pPr>
      <w:spacing w:after="100"/>
    </w:pPr>
  </w:style>
  <w:style w:type="paragraph" w:styleId="NormalWeb">
    <w:name w:val="Normal (Web)"/>
    <w:basedOn w:val="Normal"/>
    <w:uiPriority w:val="99"/>
    <w:semiHidden/>
    <w:unhideWhenUsed/>
    <w:qFormat/>
    <w:rsid w:val="00F5427C"/>
    <w:pPr>
      <w:spacing w:beforeAutospacing="1" w:afterAutospacing="1" w:line="240" w:lineRule="auto"/>
    </w:pPr>
    <w:rPr>
      <w:rFonts w:ascii="Times New Roman" w:eastAsia="Times New Roman" w:hAnsi="Times New Roman" w:cs="Times New Roman"/>
      <w:kern w:val="0"/>
      <w:lang w:val="en-US"/>
      <w14:ligatures w14:val="none"/>
    </w:rPr>
  </w:style>
  <w:style w:type="paragraph" w:styleId="Header">
    <w:name w:val="header"/>
    <w:basedOn w:val="Normal"/>
    <w:link w:val="HeaderChar"/>
    <w:uiPriority w:val="99"/>
    <w:unhideWhenUsed/>
    <w:rsid w:val="00F5427C"/>
    <w:pPr>
      <w:tabs>
        <w:tab w:val="center" w:pos="4513"/>
        <w:tab w:val="right" w:pos="9026"/>
      </w:tabs>
      <w:spacing w:after="0" w:line="240" w:lineRule="auto"/>
    </w:pPr>
  </w:style>
  <w:style w:type="character" w:customStyle="1" w:styleId="HeaderChar">
    <w:name w:val="Header Char"/>
    <w:basedOn w:val="DefaultParagraphFont"/>
    <w:link w:val="Header"/>
    <w:uiPriority w:val="99"/>
    <w:rsid w:val="00F5427C"/>
    <w:rPr>
      <w:sz w:val="24"/>
      <w:szCs w:val="24"/>
    </w:rPr>
  </w:style>
  <w:style w:type="paragraph" w:styleId="Footer">
    <w:name w:val="footer"/>
    <w:basedOn w:val="Normal"/>
    <w:link w:val="FooterChar"/>
    <w:uiPriority w:val="99"/>
    <w:unhideWhenUsed/>
    <w:rsid w:val="00F5427C"/>
    <w:pPr>
      <w:tabs>
        <w:tab w:val="center" w:pos="4513"/>
        <w:tab w:val="right" w:pos="9026"/>
      </w:tabs>
      <w:spacing w:after="0" w:line="240" w:lineRule="auto"/>
    </w:pPr>
  </w:style>
  <w:style w:type="character" w:customStyle="1" w:styleId="FooterChar">
    <w:name w:val="Footer Char"/>
    <w:basedOn w:val="DefaultParagraphFont"/>
    <w:link w:val="Footer"/>
    <w:uiPriority w:val="99"/>
    <w:rsid w:val="00F5427C"/>
    <w:rPr>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11</Pages>
  <Words>2890</Words>
  <Characters>17716</Characters>
  <Application>Microsoft Office Word</Application>
  <DocSecurity>0</DocSecurity>
  <Lines>322</Lines>
  <Paragraphs>69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20537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alesiaeenisaieushbshswu68263@outlook.com</dc:creator>
  <cp:keywords/>
  <dc:description/>
  <cp:lastModifiedBy>alesiaeenisaieushbshswu68263@outlook.com</cp:lastModifiedBy>
  <cp:revision>2</cp:revision>
  <dcterms:created xsi:type="dcterms:W3CDTF">2025-10-16T18:58:00Z</dcterms:created>
  <dcterms:modified xsi:type="dcterms:W3CDTF">2025-10-16T18:58:00Z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816ce4ce-eea5-484b-943f-de3689a55908</vt:lpwstr>
  </property>
</Properties>
</file>