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4C4CD3" w14:textId="2A27FCA6" w:rsidR="00F3538F" w:rsidRPr="00052299" w:rsidRDefault="00AE6BDE" w:rsidP="00052299">
      <w:pPr>
        <w:spacing w:line="360" w:lineRule="auto"/>
        <w:ind w:left="720" w:hanging="360"/>
        <w:jc w:val="center"/>
        <w:rPr>
          <w:rFonts w:ascii="Arial" w:hAnsi="Arial" w:cs="Arial"/>
          <w:u w:val="single"/>
        </w:rPr>
      </w:pPr>
      <w:r w:rsidRPr="00052299">
        <w:rPr>
          <w:rFonts w:ascii="Arial" w:hAnsi="Arial" w:cs="Arial"/>
          <w:u w:val="single"/>
        </w:rPr>
        <w:t>Task 3 – Reflective Portfolio</w:t>
      </w:r>
    </w:p>
    <w:p w14:paraId="601B22F4" w14:textId="77777777" w:rsidR="00F3538F" w:rsidRPr="00052299" w:rsidRDefault="00F3538F" w:rsidP="00052299">
      <w:pPr>
        <w:pStyle w:val="ListParagraph"/>
        <w:spacing w:line="360" w:lineRule="auto"/>
        <w:rPr>
          <w:rFonts w:ascii="Arial" w:hAnsi="Arial" w:cs="Arial"/>
        </w:rPr>
      </w:pPr>
    </w:p>
    <w:p w14:paraId="5FDE8373" w14:textId="702A69BA" w:rsidR="00297A78" w:rsidRPr="00052299" w:rsidRDefault="000C509D" w:rsidP="00052299">
      <w:pPr>
        <w:pStyle w:val="ListParagraph"/>
        <w:numPr>
          <w:ilvl w:val="0"/>
          <w:numId w:val="1"/>
        </w:numPr>
        <w:spacing w:line="360" w:lineRule="auto"/>
        <w:rPr>
          <w:rFonts w:ascii="Arial" w:hAnsi="Arial" w:cs="Arial"/>
        </w:rPr>
      </w:pPr>
      <w:r w:rsidRPr="00052299">
        <w:rPr>
          <w:rFonts w:ascii="Arial" w:hAnsi="Arial" w:cs="Arial"/>
        </w:rPr>
        <w:t xml:space="preserve">A SWOT analysis of a typical warehouse worker's skill </w:t>
      </w:r>
      <w:r w:rsidR="00AE6BDE" w:rsidRPr="00052299">
        <w:rPr>
          <w:rFonts w:ascii="Arial" w:hAnsi="Arial" w:cs="Arial"/>
        </w:rPr>
        <w:t>set,</w:t>
      </w:r>
      <w:r w:rsidRPr="00052299">
        <w:rPr>
          <w:rFonts w:ascii="Arial" w:hAnsi="Arial" w:cs="Arial"/>
        </w:rPr>
        <w:t xml:space="preserve"> and competencies reveals several strengths, including physical fitness, attention to detail, communication skills, and time management. However, they may lack specialized skills, formal education, and have limited career advancement opportunities within the industry. Threats such as automation, outsourcing, and economic downturns could impact job security. Opportunities for career growth and advancement to supervisory positions are available through training and development programs, as well as exploring career paths outside the industry.</w:t>
      </w:r>
    </w:p>
    <w:p w14:paraId="3A6D2397" w14:textId="77777777" w:rsidR="00297A78" w:rsidRPr="00052299" w:rsidRDefault="00297A78" w:rsidP="00052299">
      <w:pPr>
        <w:pStyle w:val="ListParagraph"/>
        <w:spacing w:line="360" w:lineRule="auto"/>
        <w:rPr>
          <w:rFonts w:ascii="Arial" w:hAnsi="Arial" w:cs="Arial"/>
        </w:rPr>
      </w:pPr>
    </w:p>
    <w:p w14:paraId="21545B16" w14:textId="77777777" w:rsidR="00297A78" w:rsidRPr="00052299" w:rsidRDefault="000C509D" w:rsidP="00052299">
      <w:pPr>
        <w:pStyle w:val="ListParagraph"/>
        <w:spacing w:line="360" w:lineRule="auto"/>
        <w:rPr>
          <w:rFonts w:ascii="Arial" w:hAnsi="Arial" w:cs="Arial"/>
        </w:rPr>
      </w:pPr>
      <w:r w:rsidRPr="00052299">
        <w:rPr>
          <w:rFonts w:ascii="Arial" w:hAnsi="Arial" w:cs="Arial"/>
        </w:rPr>
        <w:t>To address these challenges and leverage their strengths, warehouse workers can create a Personal Development Plan (PDP). A PDP can help them set specific goals for career development, assess their skills, identify relevant training programs, network with colleagues and industry professionals, evaluate job performance, seek feedback, and remain flexible. By using insights from the SWOT analysis and PDP, warehouse workers can position themselves for success in their current role and future career advancement opportunities</w:t>
      </w:r>
      <w:r w:rsidR="00297A78" w:rsidRPr="00052299">
        <w:rPr>
          <w:rFonts w:ascii="Arial" w:hAnsi="Arial" w:cs="Arial"/>
        </w:rPr>
        <w:t>.</w:t>
      </w:r>
    </w:p>
    <w:p w14:paraId="2BB66F47" w14:textId="77777777" w:rsidR="00297A78" w:rsidRPr="00052299" w:rsidRDefault="00297A78" w:rsidP="00052299">
      <w:pPr>
        <w:pStyle w:val="ListParagraph"/>
        <w:spacing w:line="360" w:lineRule="auto"/>
        <w:rPr>
          <w:rFonts w:ascii="Arial" w:hAnsi="Arial" w:cs="Arial"/>
        </w:rPr>
      </w:pPr>
    </w:p>
    <w:p w14:paraId="7ABA0595" w14:textId="3C372C97" w:rsidR="000C509D" w:rsidRPr="00052299" w:rsidRDefault="000C509D" w:rsidP="00052299">
      <w:pPr>
        <w:pStyle w:val="ListParagraph"/>
        <w:spacing w:line="360" w:lineRule="auto"/>
        <w:rPr>
          <w:rFonts w:ascii="Arial" w:hAnsi="Arial" w:cs="Arial"/>
        </w:rPr>
      </w:pPr>
      <w:r w:rsidRPr="00052299">
        <w:rPr>
          <w:rFonts w:ascii="Arial" w:hAnsi="Arial" w:cs="Arial"/>
        </w:rPr>
        <w:t>In summary, combining SWOT analysis and PDP can be valuable tools for warehouse workers to identify areas for improvement, capitalize on their strengths, and achieve their career goals. With the right skills, knowledge, and attitude, warehouse workers can maximize their potential, adapt to changes in the industry, and succeed in their careers.</w:t>
      </w:r>
    </w:p>
    <w:p w14:paraId="20BDC239" w14:textId="77777777" w:rsidR="002726CA" w:rsidRPr="00052299" w:rsidRDefault="002726CA" w:rsidP="00052299">
      <w:pPr>
        <w:pStyle w:val="ListParagraph"/>
        <w:spacing w:line="360" w:lineRule="auto"/>
        <w:rPr>
          <w:rFonts w:ascii="Arial" w:hAnsi="Arial" w:cs="Arial"/>
        </w:rPr>
      </w:pPr>
    </w:p>
    <w:p w14:paraId="4C351D0A" w14:textId="09212645" w:rsidR="00297A78" w:rsidRPr="00052299" w:rsidRDefault="002726CA" w:rsidP="00052299">
      <w:pPr>
        <w:pStyle w:val="ListParagraph"/>
        <w:numPr>
          <w:ilvl w:val="0"/>
          <w:numId w:val="1"/>
        </w:numPr>
        <w:spacing w:line="360" w:lineRule="auto"/>
        <w:rPr>
          <w:rFonts w:ascii="Arial" w:hAnsi="Arial" w:cs="Arial"/>
        </w:rPr>
      </w:pPr>
      <w:r w:rsidRPr="00052299">
        <w:rPr>
          <w:rFonts w:ascii="Arial" w:hAnsi="Arial" w:cs="Arial"/>
        </w:rPr>
        <w:t xml:space="preserve">The learning style theory developed by Honey and Mumford (1986) posits that </w:t>
      </w:r>
      <w:r w:rsidR="00052299" w:rsidRPr="00052299">
        <w:rPr>
          <w:rFonts w:ascii="Arial" w:hAnsi="Arial" w:cs="Arial"/>
        </w:rPr>
        <w:t>everyone</w:t>
      </w:r>
      <w:r w:rsidRPr="00052299">
        <w:rPr>
          <w:rFonts w:ascii="Arial" w:hAnsi="Arial" w:cs="Arial"/>
        </w:rPr>
        <w:t xml:space="preserve"> possesses distinct and specific preferences for acquiring knowledge. Consequently, comprehending these inclinations can potentially enhance the overall effectiveness of the learning process. The theory classifies four fundamental categories of learning styles: Activist, Reflector, Theorist, and Pragmatist. In this written piece, I intend to reflect on how these mentioned learning styles could potentially influence a typical warehouse worker within their workplace setting.</w:t>
      </w:r>
    </w:p>
    <w:p w14:paraId="3A22F3E5" w14:textId="77777777" w:rsidR="002726CA" w:rsidRPr="00052299" w:rsidRDefault="002726CA" w:rsidP="00052299">
      <w:pPr>
        <w:pStyle w:val="ListParagraph"/>
        <w:spacing w:line="360" w:lineRule="auto"/>
        <w:rPr>
          <w:rFonts w:ascii="Arial" w:hAnsi="Arial" w:cs="Arial"/>
        </w:rPr>
      </w:pPr>
    </w:p>
    <w:p w14:paraId="15A30266" w14:textId="77777777" w:rsidR="00297A78" w:rsidRPr="00052299" w:rsidRDefault="00B16AE4" w:rsidP="00052299">
      <w:pPr>
        <w:pStyle w:val="ListParagraph"/>
        <w:spacing w:line="360" w:lineRule="auto"/>
        <w:rPr>
          <w:rFonts w:ascii="Arial" w:hAnsi="Arial" w:cs="Arial"/>
        </w:rPr>
      </w:pPr>
      <w:r w:rsidRPr="00052299">
        <w:rPr>
          <w:rFonts w:ascii="Arial" w:hAnsi="Arial" w:cs="Arial"/>
        </w:rPr>
        <w:t xml:space="preserve">Firstly, let us consider the Activist learning style. Activists tend to learn by doing and experiencing things and may prefer to jump straight into practical tasks rather than </w:t>
      </w:r>
      <w:r w:rsidRPr="00052299">
        <w:rPr>
          <w:rFonts w:ascii="Arial" w:hAnsi="Arial" w:cs="Arial"/>
        </w:rPr>
        <w:lastRenderedPageBreak/>
        <w:t>spending time planning and reflecting. In a warehouse setting, an Activist worker might prefer to be given hands-on tasks and learn through trial and error rather than sitting through lengthy training sessions or reading instruction manuals. This approach might suit certain aspects of warehouse work, such as learning how to use machinery or completing physical tasks. However, it may also lead to mistakes or accidents if the worker is not properly trained or supervised.</w:t>
      </w:r>
    </w:p>
    <w:p w14:paraId="70C55E95" w14:textId="77777777" w:rsidR="00297A78" w:rsidRPr="00052299" w:rsidRDefault="00297A78" w:rsidP="00052299">
      <w:pPr>
        <w:pStyle w:val="ListParagraph"/>
        <w:spacing w:line="360" w:lineRule="auto"/>
        <w:rPr>
          <w:rFonts w:ascii="Arial" w:hAnsi="Arial" w:cs="Arial"/>
        </w:rPr>
      </w:pPr>
    </w:p>
    <w:p w14:paraId="75F9B19C" w14:textId="77777777" w:rsidR="00297A78" w:rsidRPr="00052299" w:rsidRDefault="00B16AE4" w:rsidP="00052299">
      <w:pPr>
        <w:pStyle w:val="ListParagraph"/>
        <w:spacing w:line="360" w:lineRule="auto"/>
        <w:rPr>
          <w:rFonts w:ascii="Arial" w:hAnsi="Arial" w:cs="Arial"/>
        </w:rPr>
      </w:pPr>
      <w:r w:rsidRPr="00052299">
        <w:rPr>
          <w:rFonts w:ascii="Arial" w:hAnsi="Arial" w:cs="Arial"/>
        </w:rPr>
        <w:t>On the other end of the spectrum, we have Reflectors. Reflectors tend to prefer to step back and observe situations before acting and may take time to process information before making decisions (Honey &amp; Mumford, 1986). In a warehouse setting, a Reflector worker might take longer to adapt to new tasks or procedures, as they would need time to understand how things work before feeling comfortable performing them. However, once they have a thorough understanding, they may be able to work more efficiently and with fewer errors. Reflective workers may also be more effective in roles that involve problem-solving, as they tend to be thorough in their analysis and consider multiple perspectives before deciding.</w:t>
      </w:r>
    </w:p>
    <w:p w14:paraId="66ABAD1E" w14:textId="77777777" w:rsidR="00297A78" w:rsidRPr="00052299" w:rsidRDefault="00297A78" w:rsidP="00052299">
      <w:pPr>
        <w:pStyle w:val="ListParagraph"/>
        <w:spacing w:line="360" w:lineRule="auto"/>
        <w:rPr>
          <w:rFonts w:ascii="Arial" w:hAnsi="Arial" w:cs="Arial"/>
        </w:rPr>
      </w:pPr>
    </w:p>
    <w:p w14:paraId="7E5E57F1" w14:textId="77777777" w:rsidR="00297A78" w:rsidRPr="00052299" w:rsidRDefault="00B16AE4" w:rsidP="00052299">
      <w:pPr>
        <w:pStyle w:val="ListParagraph"/>
        <w:spacing w:line="360" w:lineRule="auto"/>
        <w:rPr>
          <w:rFonts w:ascii="Arial" w:hAnsi="Arial" w:cs="Arial"/>
        </w:rPr>
      </w:pPr>
      <w:r w:rsidRPr="00052299">
        <w:rPr>
          <w:rFonts w:ascii="Arial" w:hAnsi="Arial" w:cs="Arial"/>
        </w:rPr>
        <w:t>The Theorist learning style involves a preference for learning through logic and reasoning, and a focus on understanding the underlying principles and concepts behind tasks. In a warehouse setting, a Theorist worker might be interested in understanding the science behind how different materials are stored, or the physics behind how machinery works. This type of worker may be particularly suited to roles that involve planning or quality control, as they may be able to identify potential problems or inefficiencies based on their understanding of the underlying principles.</w:t>
      </w:r>
    </w:p>
    <w:p w14:paraId="0BB3EBD9" w14:textId="77777777" w:rsidR="00297A78" w:rsidRPr="00052299" w:rsidRDefault="00297A78" w:rsidP="00052299">
      <w:pPr>
        <w:pStyle w:val="ListParagraph"/>
        <w:spacing w:line="360" w:lineRule="auto"/>
        <w:rPr>
          <w:rFonts w:ascii="Arial" w:hAnsi="Arial" w:cs="Arial"/>
        </w:rPr>
      </w:pPr>
    </w:p>
    <w:p w14:paraId="04458BBF" w14:textId="77777777" w:rsidR="00297A78" w:rsidRPr="00052299" w:rsidRDefault="00B16AE4" w:rsidP="00052299">
      <w:pPr>
        <w:pStyle w:val="ListParagraph"/>
        <w:spacing w:line="360" w:lineRule="auto"/>
        <w:rPr>
          <w:rFonts w:ascii="Arial" w:hAnsi="Arial" w:cs="Arial"/>
        </w:rPr>
      </w:pPr>
      <w:r w:rsidRPr="00052299">
        <w:rPr>
          <w:rFonts w:ascii="Arial" w:hAnsi="Arial" w:cs="Arial"/>
        </w:rPr>
        <w:t>Finally, we have the Pragmatist learning style. Pragmatists tend to prefer to learn through hands-on experience, but with a focus on practical applications rather than theoretical concepts. In a warehouse setting, a Pragmatist worker might prefer to learn through trial and error but would want to see immediate practical applications of what they are learning. For example, they may want to understand how a particular storage system works in order to find ways to make it more efficient or to better protect the products being stored.</w:t>
      </w:r>
    </w:p>
    <w:p w14:paraId="0239E119" w14:textId="77777777" w:rsidR="00297A78" w:rsidRPr="00052299" w:rsidRDefault="00297A78" w:rsidP="00052299">
      <w:pPr>
        <w:pStyle w:val="ListParagraph"/>
        <w:spacing w:line="360" w:lineRule="auto"/>
        <w:rPr>
          <w:rFonts w:ascii="Arial" w:hAnsi="Arial" w:cs="Arial"/>
        </w:rPr>
      </w:pPr>
    </w:p>
    <w:p w14:paraId="4998C561" w14:textId="77777777" w:rsidR="00F15B64" w:rsidRPr="00052299" w:rsidRDefault="00B16AE4" w:rsidP="00052299">
      <w:pPr>
        <w:pStyle w:val="ListParagraph"/>
        <w:spacing w:line="360" w:lineRule="auto"/>
        <w:rPr>
          <w:rFonts w:ascii="Arial" w:hAnsi="Arial" w:cs="Arial"/>
        </w:rPr>
      </w:pPr>
      <w:r w:rsidRPr="00052299">
        <w:rPr>
          <w:rFonts w:ascii="Arial" w:hAnsi="Arial" w:cs="Arial"/>
        </w:rPr>
        <w:t xml:space="preserve">It is worth noting that while individuals may have a preferred learning style, it is important to be able to adapt and learn using different approaches when necessary. For example, a Reflective worker may need to learn how to use a new machine </w:t>
      </w:r>
      <w:r w:rsidRPr="00052299">
        <w:rPr>
          <w:rFonts w:ascii="Arial" w:hAnsi="Arial" w:cs="Arial"/>
        </w:rPr>
        <w:lastRenderedPageBreak/>
        <w:t xml:space="preserve">quickly in order to meet a deadline and may need to temporarily adopt a more Activist approach in order to do so. Similarly, a Theorist worker may need to learn how to perform a new task quickly without necessarily understanding </w:t>
      </w:r>
      <w:proofErr w:type="gramStart"/>
      <w:r w:rsidRPr="00052299">
        <w:rPr>
          <w:rFonts w:ascii="Arial" w:hAnsi="Arial" w:cs="Arial"/>
        </w:rPr>
        <w:t>all of</w:t>
      </w:r>
      <w:proofErr w:type="gramEnd"/>
      <w:r w:rsidRPr="00052299">
        <w:rPr>
          <w:rFonts w:ascii="Arial" w:hAnsi="Arial" w:cs="Arial"/>
        </w:rPr>
        <w:t xml:space="preserve"> the underlying principles and may need to temporarily adopt a more Pragmatist approach in order to do so</w:t>
      </w:r>
      <w:r w:rsidR="00F15B64" w:rsidRPr="00052299">
        <w:rPr>
          <w:rFonts w:ascii="Arial" w:hAnsi="Arial" w:cs="Arial"/>
        </w:rPr>
        <w:t>.</w:t>
      </w:r>
    </w:p>
    <w:p w14:paraId="1351C6D8" w14:textId="77777777" w:rsidR="00F15B64" w:rsidRPr="00052299" w:rsidRDefault="00F15B64" w:rsidP="00052299">
      <w:pPr>
        <w:pStyle w:val="ListParagraph"/>
        <w:spacing w:line="360" w:lineRule="auto"/>
        <w:rPr>
          <w:rFonts w:ascii="Arial" w:hAnsi="Arial" w:cs="Arial"/>
        </w:rPr>
      </w:pPr>
    </w:p>
    <w:p w14:paraId="118CEF0A" w14:textId="77777777" w:rsidR="00F15B64" w:rsidRPr="00052299" w:rsidRDefault="00B16AE4" w:rsidP="00052299">
      <w:pPr>
        <w:pStyle w:val="ListParagraph"/>
        <w:spacing w:line="360" w:lineRule="auto"/>
        <w:rPr>
          <w:rFonts w:ascii="Arial" w:hAnsi="Arial" w:cs="Arial"/>
        </w:rPr>
      </w:pPr>
      <w:r w:rsidRPr="00052299">
        <w:rPr>
          <w:rFonts w:ascii="Arial" w:hAnsi="Arial" w:cs="Arial"/>
        </w:rPr>
        <w:t>Also, while learning style theories like Honey and Mumford's can be useful in understanding how individuals learn, they are not without criticism. Some research has suggested that the concept of learning styles may be oversimplified and may not be supported by empirical evidence (Pashler et al., 2009). Therefore, while it can be helpful to consider learning styles when designing training programs or supporting individual learning, it is important to keep in mind that individuals may also benefit from exposure to different learning methods and styles.</w:t>
      </w:r>
    </w:p>
    <w:p w14:paraId="2EF4BCB5" w14:textId="77777777" w:rsidR="00F15B64" w:rsidRPr="00052299" w:rsidRDefault="00F15B64" w:rsidP="00052299">
      <w:pPr>
        <w:pStyle w:val="ListParagraph"/>
        <w:spacing w:line="360" w:lineRule="auto"/>
        <w:rPr>
          <w:rFonts w:ascii="Arial" w:hAnsi="Arial" w:cs="Arial"/>
        </w:rPr>
      </w:pPr>
    </w:p>
    <w:p w14:paraId="16B302DE" w14:textId="2EB9556A" w:rsidR="00B16AE4" w:rsidRPr="00052299" w:rsidRDefault="00B16AE4" w:rsidP="00052299">
      <w:pPr>
        <w:pStyle w:val="ListParagraph"/>
        <w:spacing w:line="360" w:lineRule="auto"/>
        <w:rPr>
          <w:rFonts w:ascii="Arial" w:hAnsi="Arial" w:cs="Arial"/>
        </w:rPr>
      </w:pPr>
      <w:r w:rsidRPr="00052299">
        <w:rPr>
          <w:rFonts w:ascii="Arial" w:hAnsi="Arial" w:cs="Arial"/>
        </w:rPr>
        <w:t xml:space="preserve">In conclusion, understanding different learning styles, such as those proposed by Honey and Mumford, can have a positive impact on the learning and performance of warehouse workers. Employers can use this knowledge to tailor their training programs to suit the different learning styles of their employees, which can lead to better job satisfaction and productivity. While it is important to consider learning styles when designing training programs, it is also important to be aware of the limitations of learning style theories and to offer a variety of training methods to ensure that all workers </w:t>
      </w:r>
      <w:r w:rsidR="000F3EC8" w:rsidRPr="00052299">
        <w:rPr>
          <w:rFonts w:ascii="Arial" w:hAnsi="Arial" w:cs="Arial"/>
        </w:rPr>
        <w:t xml:space="preserve">can </w:t>
      </w:r>
      <w:r w:rsidRPr="00052299">
        <w:rPr>
          <w:rFonts w:ascii="Arial" w:hAnsi="Arial" w:cs="Arial"/>
        </w:rPr>
        <w:t>learn in a way that suits them.</w:t>
      </w:r>
    </w:p>
    <w:p w14:paraId="527738C9" w14:textId="77777777" w:rsidR="00F15B64" w:rsidRPr="00052299" w:rsidRDefault="00F15B64" w:rsidP="00052299">
      <w:pPr>
        <w:spacing w:line="360" w:lineRule="auto"/>
        <w:rPr>
          <w:rFonts w:ascii="Arial" w:hAnsi="Arial" w:cs="Arial"/>
        </w:rPr>
      </w:pPr>
    </w:p>
    <w:p w14:paraId="3689405F" w14:textId="1C8A40C3" w:rsidR="0022304A" w:rsidRPr="00052299" w:rsidRDefault="0022304A" w:rsidP="00052299">
      <w:pPr>
        <w:pStyle w:val="ListParagraph"/>
        <w:numPr>
          <w:ilvl w:val="0"/>
          <w:numId w:val="1"/>
        </w:numPr>
        <w:spacing w:line="360" w:lineRule="auto"/>
        <w:rPr>
          <w:rFonts w:ascii="Arial" w:hAnsi="Arial" w:cs="Arial"/>
          <w:u w:val="single"/>
        </w:rPr>
      </w:pPr>
      <w:r w:rsidRPr="00052299">
        <w:rPr>
          <w:rFonts w:ascii="Arial" w:hAnsi="Arial" w:cs="Arial"/>
          <w:u w:val="single"/>
        </w:rPr>
        <w:t>Introduction</w:t>
      </w:r>
    </w:p>
    <w:p w14:paraId="20465F8D" w14:textId="77777777" w:rsidR="00477B29" w:rsidRPr="00052299" w:rsidRDefault="00477B29" w:rsidP="00052299">
      <w:pPr>
        <w:pStyle w:val="ListParagraph"/>
        <w:spacing w:line="360" w:lineRule="auto"/>
        <w:rPr>
          <w:rFonts w:ascii="Arial" w:hAnsi="Arial" w:cs="Arial"/>
        </w:rPr>
      </w:pPr>
    </w:p>
    <w:p w14:paraId="6F57EA21" w14:textId="438A4A40" w:rsidR="00477B29" w:rsidRPr="00052299" w:rsidRDefault="0022304A" w:rsidP="00052299">
      <w:pPr>
        <w:pStyle w:val="ListParagraph"/>
        <w:spacing w:line="360" w:lineRule="auto"/>
        <w:rPr>
          <w:rFonts w:ascii="Arial" w:hAnsi="Arial" w:cs="Arial"/>
        </w:rPr>
      </w:pPr>
      <w:r w:rsidRPr="00052299">
        <w:rPr>
          <w:rFonts w:ascii="Arial" w:hAnsi="Arial" w:cs="Arial"/>
        </w:rPr>
        <w:t xml:space="preserve">Taking the time to thoughtfully consider one's past experiences and acquired knowledge is an essential component of personal growth and development. It enables individuals to gain a deeper understanding of themselves, their strengths, and weaknesses, while also providing a foundation for future success. In this </w:t>
      </w:r>
      <w:r w:rsidR="008A0818" w:rsidRPr="00052299">
        <w:rPr>
          <w:rFonts w:ascii="Arial" w:hAnsi="Arial" w:cs="Arial"/>
        </w:rPr>
        <w:t>reflective</w:t>
      </w:r>
      <w:r w:rsidRPr="00052299">
        <w:rPr>
          <w:rFonts w:ascii="Arial" w:hAnsi="Arial" w:cs="Arial"/>
        </w:rPr>
        <w:t xml:space="preserve"> essay, I will delve into several key concepts that have impacted my own journey towards self-discovery and professional development.</w:t>
      </w:r>
      <w:r w:rsidRPr="00052299">
        <w:rPr>
          <w:rFonts w:ascii="Arial" w:hAnsi="Arial" w:cs="Arial"/>
        </w:rPr>
        <w:br/>
      </w:r>
      <w:r w:rsidRPr="00052299">
        <w:rPr>
          <w:rFonts w:ascii="Arial" w:hAnsi="Arial" w:cs="Arial"/>
        </w:rPr>
        <w:br/>
        <w:t xml:space="preserve">Firstly, it is important to note the significant role that improving self-awareness plays in this process. By taking a closer look at our values, beliefs, and motivations we can begin to identify areas where we may need improvement or adjustment. This </w:t>
      </w:r>
      <w:r w:rsidRPr="00052299">
        <w:rPr>
          <w:rFonts w:ascii="Arial" w:hAnsi="Arial" w:cs="Arial"/>
        </w:rPr>
        <w:lastRenderedPageBreak/>
        <w:t>heightened sense of self-awareness allows us to move forward with greater confidence and focus.</w:t>
      </w:r>
      <w:r w:rsidRPr="00052299">
        <w:rPr>
          <w:rFonts w:ascii="Arial" w:hAnsi="Arial" w:cs="Arial"/>
        </w:rPr>
        <w:br/>
      </w:r>
    </w:p>
    <w:p w14:paraId="04538D4B" w14:textId="77777777" w:rsidR="00477B29" w:rsidRPr="00052299" w:rsidRDefault="0022304A" w:rsidP="00052299">
      <w:pPr>
        <w:pStyle w:val="ListParagraph"/>
        <w:spacing w:line="360" w:lineRule="auto"/>
        <w:rPr>
          <w:rFonts w:ascii="Arial" w:hAnsi="Arial" w:cs="Arial"/>
        </w:rPr>
      </w:pPr>
      <w:r w:rsidRPr="00052299">
        <w:rPr>
          <w:rFonts w:ascii="Arial" w:hAnsi="Arial" w:cs="Arial"/>
        </w:rPr>
        <w:t>Another crucial aspect of personal growth is exploring employment opportunities. Whether seeking out internships, part-time jobs or full-time employment, each experience provides valuable insight into potential career paths. Furthermore, these experiences help individuals develop necessary skills such as teamwork, leadership, communication, and problem-solving skills.</w:t>
      </w:r>
      <w:r w:rsidRPr="00052299">
        <w:rPr>
          <w:rFonts w:ascii="Arial" w:hAnsi="Arial" w:cs="Arial"/>
        </w:rPr>
        <w:br/>
      </w:r>
    </w:p>
    <w:p w14:paraId="47EB52DA" w14:textId="77777777" w:rsidR="00477B29" w:rsidRPr="00052299" w:rsidRDefault="0022304A" w:rsidP="00052299">
      <w:pPr>
        <w:pStyle w:val="ListParagraph"/>
        <w:spacing w:line="360" w:lineRule="auto"/>
        <w:rPr>
          <w:rFonts w:ascii="Arial" w:hAnsi="Arial" w:cs="Arial"/>
        </w:rPr>
      </w:pPr>
      <w:r w:rsidRPr="00052299">
        <w:rPr>
          <w:rFonts w:ascii="Arial" w:hAnsi="Arial" w:cs="Arial"/>
        </w:rPr>
        <w:t>Career development is another crucial element that should be considered when reflecting on one's experiences. Gaining clarity on what you want to achieve professionally can take time; however, taking proactive steps towards achieving your goals can lead to positive outcomes. Some ways in which this can be achieved include attending networking events or workshops related to your industry of interest.</w:t>
      </w:r>
      <w:r w:rsidRPr="00052299">
        <w:rPr>
          <w:rFonts w:ascii="Arial" w:hAnsi="Arial" w:cs="Arial"/>
        </w:rPr>
        <w:br/>
      </w:r>
    </w:p>
    <w:p w14:paraId="4A775886" w14:textId="14602800" w:rsidR="0022304A" w:rsidRPr="00052299" w:rsidRDefault="0022304A" w:rsidP="00052299">
      <w:pPr>
        <w:pStyle w:val="ListParagraph"/>
        <w:spacing w:line="360" w:lineRule="auto"/>
        <w:rPr>
          <w:rFonts w:ascii="Arial" w:hAnsi="Arial" w:cs="Arial"/>
        </w:rPr>
      </w:pPr>
      <w:r w:rsidRPr="00052299">
        <w:rPr>
          <w:rFonts w:ascii="Arial" w:hAnsi="Arial" w:cs="Arial"/>
        </w:rPr>
        <w:t>Understanding employment legislation is also important when pursuing a career path. Familiarizing oneself with legal requirements surrounding aspects such as minimum wage laws or employee rights helps ensure fair treatment within the workplace.</w:t>
      </w:r>
      <w:r w:rsidRPr="00052299">
        <w:rPr>
          <w:rFonts w:ascii="Arial" w:hAnsi="Arial" w:cs="Arial"/>
        </w:rPr>
        <w:br/>
        <w:t>Lastly, alternative options after graduation from university must be considered. While traditional routes such as full-time work or graduate school may seem appealing, there are other paths worth exploring such as entrepreneurship or volunteer work.</w:t>
      </w:r>
      <w:r w:rsidRPr="00052299">
        <w:rPr>
          <w:rFonts w:ascii="Arial" w:hAnsi="Arial" w:cs="Arial"/>
        </w:rPr>
        <w:br/>
      </w:r>
      <w:r w:rsidRPr="00052299">
        <w:rPr>
          <w:rFonts w:ascii="Arial" w:hAnsi="Arial" w:cs="Arial"/>
        </w:rPr>
        <w:br/>
        <w:t>To reflect upon my own learning throughout my university journey I will utilize Gibbs' Reflective Cycle model. Through examining my past experiences using this framework I hope to gain a deeper understanding of how they have shaped me both personally and professionally.</w:t>
      </w:r>
    </w:p>
    <w:p w14:paraId="3565C6D9" w14:textId="77777777" w:rsidR="002B2D95" w:rsidRPr="00052299" w:rsidRDefault="002B2D95" w:rsidP="00052299">
      <w:pPr>
        <w:pStyle w:val="ListParagraph"/>
        <w:spacing w:line="360" w:lineRule="auto"/>
        <w:rPr>
          <w:rFonts w:ascii="Arial" w:hAnsi="Arial" w:cs="Arial"/>
          <w:u w:val="single"/>
        </w:rPr>
      </w:pPr>
    </w:p>
    <w:p w14:paraId="5F8BE89D" w14:textId="12467E3E" w:rsidR="0022304A" w:rsidRPr="00052299" w:rsidRDefault="0022304A" w:rsidP="00052299">
      <w:pPr>
        <w:pStyle w:val="ListParagraph"/>
        <w:spacing w:line="360" w:lineRule="auto"/>
        <w:rPr>
          <w:rFonts w:ascii="Arial" w:hAnsi="Arial" w:cs="Arial"/>
          <w:u w:val="single"/>
        </w:rPr>
      </w:pPr>
      <w:r w:rsidRPr="00052299">
        <w:rPr>
          <w:rFonts w:ascii="Arial" w:hAnsi="Arial" w:cs="Arial"/>
          <w:u w:val="single"/>
        </w:rPr>
        <w:t>Improving Self-awareness</w:t>
      </w:r>
    </w:p>
    <w:p w14:paraId="64D1ADB4" w14:textId="77777777" w:rsidR="00477B29" w:rsidRPr="00052299" w:rsidRDefault="00477B29" w:rsidP="00052299">
      <w:pPr>
        <w:pStyle w:val="ListParagraph"/>
        <w:spacing w:line="360" w:lineRule="auto"/>
        <w:rPr>
          <w:rFonts w:ascii="Arial" w:hAnsi="Arial" w:cs="Arial"/>
        </w:rPr>
      </w:pPr>
    </w:p>
    <w:p w14:paraId="1567CA5F" w14:textId="7C124AEF" w:rsidR="0022304A" w:rsidRPr="00052299" w:rsidRDefault="0022304A" w:rsidP="00052299">
      <w:pPr>
        <w:pStyle w:val="ListParagraph"/>
        <w:spacing w:line="360" w:lineRule="auto"/>
        <w:rPr>
          <w:rFonts w:ascii="Arial" w:hAnsi="Arial" w:cs="Arial"/>
        </w:rPr>
      </w:pPr>
      <w:r w:rsidRPr="00052299">
        <w:rPr>
          <w:rFonts w:ascii="Arial" w:hAnsi="Arial" w:cs="Arial"/>
        </w:rPr>
        <w:t xml:space="preserve">Self-awareness is an essential aspect of personal growth and development. According to Duval and Wicklund (1972), self-awareness refers to the ability to focus one's attention on oneself and evaluate one's thoughts, feelings, and behaviours. Throughout my university journey, I have engaged in various activities that have helped me improve my self-awareness. For example, attending workshops on emotional intelligence has enabled me to understand and manage my emotions better. Additionally, participating in group discussions has allowed me to identify my </w:t>
      </w:r>
      <w:r w:rsidRPr="00052299">
        <w:rPr>
          <w:rFonts w:ascii="Arial" w:hAnsi="Arial" w:cs="Arial"/>
        </w:rPr>
        <w:lastRenderedPageBreak/>
        <w:t>strengths and weaknesses in communication skills, helping me to tailor my communication style to different situations.</w:t>
      </w:r>
    </w:p>
    <w:p w14:paraId="49CB513D" w14:textId="77777777" w:rsidR="0022304A" w:rsidRPr="00052299" w:rsidRDefault="0022304A" w:rsidP="00052299">
      <w:pPr>
        <w:pStyle w:val="ListParagraph"/>
        <w:spacing w:line="360" w:lineRule="auto"/>
        <w:rPr>
          <w:rFonts w:ascii="Arial" w:hAnsi="Arial" w:cs="Arial"/>
        </w:rPr>
      </w:pPr>
    </w:p>
    <w:p w14:paraId="17F869E1" w14:textId="77777777" w:rsidR="0022304A" w:rsidRPr="00052299" w:rsidRDefault="0022304A" w:rsidP="00052299">
      <w:pPr>
        <w:pStyle w:val="ListParagraph"/>
        <w:spacing w:line="360" w:lineRule="auto"/>
        <w:rPr>
          <w:rFonts w:ascii="Arial" w:hAnsi="Arial" w:cs="Arial"/>
          <w:u w:val="single"/>
        </w:rPr>
      </w:pPr>
      <w:r w:rsidRPr="00052299">
        <w:rPr>
          <w:rFonts w:ascii="Arial" w:hAnsi="Arial" w:cs="Arial"/>
          <w:u w:val="single"/>
        </w:rPr>
        <w:t>Exploring Employment Opportunities</w:t>
      </w:r>
    </w:p>
    <w:p w14:paraId="470A9566" w14:textId="77777777" w:rsidR="00477B29" w:rsidRPr="00052299" w:rsidRDefault="00477B29" w:rsidP="00052299">
      <w:pPr>
        <w:pStyle w:val="ListParagraph"/>
        <w:spacing w:line="360" w:lineRule="auto"/>
        <w:rPr>
          <w:rFonts w:ascii="Arial" w:hAnsi="Arial" w:cs="Arial"/>
        </w:rPr>
      </w:pPr>
    </w:p>
    <w:p w14:paraId="6DBF5B83" w14:textId="378EC693" w:rsidR="0022304A" w:rsidRPr="00052299" w:rsidRDefault="00B147CB" w:rsidP="00052299">
      <w:pPr>
        <w:pStyle w:val="ListParagraph"/>
        <w:spacing w:line="360" w:lineRule="auto"/>
        <w:rPr>
          <w:rFonts w:ascii="Arial" w:hAnsi="Arial" w:cs="Arial"/>
        </w:rPr>
      </w:pPr>
      <w:r w:rsidRPr="00052299">
        <w:rPr>
          <w:rFonts w:ascii="Arial" w:hAnsi="Arial" w:cs="Arial"/>
        </w:rPr>
        <w:t>As an individual who is currently pursuing higher education and approaching the conclusion of their academic journey, comprehensively examining potential job prospects is immensely consequential. This process involves meticulously researching probable employment opportunities and engaging in networking activities with professionals who are involved in areas of work that align with one's career aspirations. Participating in career fairs organized by universities presents students with a valuable opportunity to directly interact with employers who are actively seeking recent graduates to join their respective organizations.</w:t>
      </w:r>
      <w:r w:rsidRPr="00052299">
        <w:rPr>
          <w:rFonts w:ascii="Arial" w:hAnsi="Arial" w:cs="Arial"/>
        </w:rPr>
        <w:br/>
      </w:r>
      <w:r w:rsidRPr="00052299">
        <w:rPr>
          <w:rFonts w:ascii="Arial" w:hAnsi="Arial" w:cs="Arial"/>
        </w:rPr>
        <w:br/>
        <w:t xml:space="preserve">Furthermore, consulting with academic advisors can prove highly beneficial for students as they endeavour to narrow down their career options based on their specific interests and qualifications. By conducting informational interviews with professionals who have already established themselves within the desired field, individuals can acquire a more comprehensive understanding of the requisite skills and experiences necessary to achieve success within that </w:t>
      </w:r>
      <w:proofErr w:type="gramStart"/>
      <w:r w:rsidRPr="00052299">
        <w:rPr>
          <w:rFonts w:ascii="Arial" w:hAnsi="Arial" w:cs="Arial"/>
        </w:rPr>
        <w:t>particular occupation</w:t>
      </w:r>
      <w:proofErr w:type="gramEnd"/>
      <w:r w:rsidRPr="00052299">
        <w:rPr>
          <w:rFonts w:ascii="Arial" w:hAnsi="Arial" w:cs="Arial"/>
        </w:rPr>
        <w:t>.</w:t>
      </w:r>
    </w:p>
    <w:p w14:paraId="66AE60D7" w14:textId="77777777" w:rsidR="00B147CB" w:rsidRPr="00052299" w:rsidRDefault="00B147CB" w:rsidP="00052299">
      <w:pPr>
        <w:pStyle w:val="ListParagraph"/>
        <w:spacing w:line="360" w:lineRule="auto"/>
        <w:rPr>
          <w:rFonts w:ascii="Arial" w:hAnsi="Arial" w:cs="Arial"/>
        </w:rPr>
      </w:pPr>
    </w:p>
    <w:p w14:paraId="61269F8F" w14:textId="77777777" w:rsidR="0022304A" w:rsidRPr="00052299" w:rsidRDefault="0022304A" w:rsidP="00052299">
      <w:pPr>
        <w:pStyle w:val="ListParagraph"/>
        <w:spacing w:line="360" w:lineRule="auto"/>
        <w:rPr>
          <w:rFonts w:ascii="Arial" w:hAnsi="Arial" w:cs="Arial"/>
          <w:u w:val="single"/>
        </w:rPr>
      </w:pPr>
      <w:r w:rsidRPr="00052299">
        <w:rPr>
          <w:rFonts w:ascii="Arial" w:hAnsi="Arial" w:cs="Arial"/>
          <w:u w:val="single"/>
        </w:rPr>
        <w:t>Career Development</w:t>
      </w:r>
    </w:p>
    <w:p w14:paraId="12D62757" w14:textId="77777777" w:rsidR="00477B29" w:rsidRPr="00052299" w:rsidRDefault="00477B29" w:rsidP="00052299">
      <w:pPr>
        <w:pStyle w:val="ListParagraph"/>
        <w:spacing w:line="360" w:lineRule="auto"/>
        <w:rPr>
          <w:rFonts w:ascii="Arial" w:hAnsi="Arial" w:cs="Arial"/>
        </w:rPr>
      </w:pPr>
    </w:p>
    <w:p w14:paraId="21C40B3D" w14:textId="2F1D51C1" w:rsidR="0022304A" w:rsidRPr="00052299" w:rsidRDefault="0022304A" w:rsidP="00052299">
      <w:pPr>
        <w:pStyle w:val="ListParagraph"/>
        <w:spacing w:line="360" w:lineRule="auto"/>
        <w:rPr>
          <w:rFonts w:ascii="Arial" w:hAnsi="Arial" w:cs="Arial"/>
        </w:rPr>
      </w:pPr>
      <w:r w:rsidRPr="00052299">
        <w:rPr>
          <w:rFonts w:ascii="Arial" w:hAnsi="Arial" w:cs="Arial"/>
        </w:rPr>
        <w:t>Career development is a lifelong process that involves managing one's career path through continuous learning and skill acquisition (Hall &amp; Mirvis, 1996). A useful approach towards developing a successful career path includes setting clear goals aligned with personal values and professional objectives. As a student preparing for life after university, I have set specific short-term and long-term goals for myself that align with my future aspirations. By regularly assessing my progress towards these goals and seeking feedback from mentors and colleagues, I can continuously improve and adjust my career path as needed.</w:t>
      </w:r>
    </w:p>
    <w:p w14:paraId="78EFF847" w14:textId="77777777" w:rsidR="0022304A" w:rsidRPr="00052299" w:rsidRDefault="0022304A" w:rsidP="00052299">
      <w:pPr>
        <w:pStyle w:val="ListParagraph"/>
        <w:spacing w:line="360" w:lineRule="auto"/>
        <w:rPr>
          <w:rFonts w:ascii="Arial" w:hAnsi="Arial" w:cs="Arial"/>
        </w:rPr>
      </w:pPr>
    </w:p>
    <w:p w14:paraId="2914A2D2" w14:textId="77777777" w:rsidR="0022304A" w:rsidRPr="00052299" w:rsidRDefault="0022304A" w:rsidP="00052299">
      <w:pPr>
        <w:pStyle w:val="ListParagraph"/>
        <w:spacing w:line="360" w:lineRule="auto"/>
        <w:rPr>
          <w:rFonts w:ascii="Arial" w:hAnsi="Arial" w:cs="Arial"/>
          <w:u w:val="single"/>
        </w:rPr>
      </w:pPr>
      <w:r w:rsidRPr="00052299">
        <w:rPr>
          <w:rFonts w:ascii="Arial" w:hAnsi="Arial" w:cs="Arial"/>
          <w:u w:val="single"/>
        </w:rPr>
        <w:t>Employment Legislation</w:t>
      </w:r>
    </w:p>
    <w:p w14:paraId="5C687A01" w14:textId="77777777" w:rsidR="00477B29" w:rsidRPr="00052299" w:rsidRDefault="00477B29" w:rsidP="00052299">
      <w:pPr>
        <w:pStyle w:val="ListParagraph"/>
        <w:spacing w:line="360" w:lineRule="auto"/>
        <w:rPr>
          <w:rFonts w:ascii="Arial" w:hAnsi="Arial" w:cs="Arial"/>
        </w:rPr>
      </w:pPr>
    </w:p>
    <w:p w14:paraId="17B722D7" w14:textId="2EBE7A59" w:rsidR="0022304A" w:rsidRPr="00052299" w:rsidRDefault="0022304A" w:rsidP="00052299">
      <w:pPr>
        <w:pStyle w:val="ListParagraph"/>
        <w:spacing w:line="360" w:lineRule="auto"/>
        <w:rPr>
          <w:rFonts w:ascii="Arial" w:hAnsi="Arial" w:cs="Arial"/>
        </w:rPr>
      </w:pPr>
      <w:r w:rsidRPr="00052299">
        <w:rPr>
          <w:rFonts w:ascii="Arial" w:hAnsi="Arial" w:cs="Arial"/>
        </w:rPr>
        <w:t xml:space="preserve">Understanding employment laws is essential when preparing for a job search or launching a business venture. Employment laws protect workers' rights while offering </w:t>
      </w:r>
      <w:r w:rsidRPr="00052299">
        <w:rPr>
          <w:rFonts w:ascii="Arial" w:hAnsi="Arial" w:cs="Arial"/>
        </w:rPr>
        <w:lastRenderedPageBreak/>
        <w:t>guidelines for employees' conduct within an organization. Therefore, it is imperative to keep up to date with labour laws relevant to your field of interest so you can make informed decisions regarding your employment conditions. For example, being aware of laws related to discrimination and harassment in the workplace can help individuals identify and address problematic behaviour, protecting both their own rights and those of their colleagues.</w:t>
      </w:r>
    </w:p>
    <w:p w14:paraId="67C04FB2" w14:textId="77777777" w:rsidR="0022304A" w:rsidRPr="00052299" w:rsidRDefault="0022304A" w:rsidP="00052299">
      <w:pPr>
        <w:pStyle w:val="ListParagraph"/>
        <w:spacing w:line="360" w:lineRule="auto"/>
        <w:rPr>
          <w:rFonts w:ascii="Arial" w:hAnsi="Arial" w:cs="Arial"/>
        </w:rPr>
      </w:pPr>
    </w:p>
    <w:p w14:paraId="57BE4557" w14:textId="77777777" w:rsidR="0022304A" w:rsidRPr="00052299" w:rsidRDefault="0022304A" w:rsidP="00052299">
      <w:pPr>
        <w:pStyle w:val="ListParagraph"/>
        <w:spacing w:line="360" w:lineRule="auto"/>
        <w:rPr>
          <w:rFonts w:ascii="Arial" w:hAnsi="Arial" w:cs="Arial"/>
          <w:u w:val="single"/>
        </w:rPr>
      </w:pPr>
      <w:r w:rsidRPr="00052299">
        <w:rPr>
          <w:rFonts w:ascii="Arial" w:hAnsi="Arial" w:cs="Arial"/>
          <w:u w:val="single"/>
        </w:rPr>
        <w:t>Alternatives After Graduation from University</w:t>
      </w:r>
    </w:p>
    <w:p w14:paraId="68D0D669" w14:textId="77777777" w:rsidR="00477B29" w:rsidRPr="00052299" w:rsidRDefault="00477B29" w:rsidP="00052299">
      <w:pPr>
        <w:pStyle w:val="ListParagraph"/>
        <w:spacing w:line="360" w:lineRule="auto"/>
        <w:rPr>
          <w:rFonts w:ascii="Arial" w:hAnsi="Arial" w:cs="Arial"/>
        </w:rPr>
      </w:pPr>
    </w:p>
    <w:p w14:paraId="3977071A" w14:textId="76565391" w:rsidR="0022304A" w:rsidRPr="00052299" w:rsidRDefault="0022304A" w:rsidP="00052299">
      <w:pPr>
        <w:pStyle w:val="ListParagraph"/>
        <w:spacing w:line="360" w:lineRule="auto"/>
        <w:rPr>
          <w:rFonts w:ascii="Arial" w:hAnsi="Arial" w:cs="Arial"/>
        </w:rPr>
      </w:pPr>
      <w:r w:rsidRPr="00052299">
        <w:rPr>
          <w:rFonts w:ascii="Arial" w:hAnsi="Arial" w:cs="Arial"/>
        </w:rPr>
        <w:t>After graduation, there are several alternative options available apart from traditional employment opportunities such as freelancing or entrepreneurship. Freelancing provides individuals with flexibility regarding working hours while gaining experience in different industries simultaneously (Sicilia et al., 2020). Additionally, freelancers often have control over the types of projects they work on and the clients they work with, allowing them to tailor their work to their interests and preferences. Entrepreneurship offers graduates an opportunity to create their own businesses based on their passions or identified gaps in existing markets. By taking on the risk and responsibility of starting their own business, entrepreneurs can reap the benefits of being their own boss and potentially achieving financial success.</w:t>
      </w:r>
    </w:p>
    <w:p w14:paraId="26584AE3" w14:textId="77777777" w:rsidR="0022304A" w:rsidRPr="00052299" w:rsidRDefault="0022304A" w:rsidP="00052299">
      <w:pPr>
        <w:pStyle w:val="ListParagraph"/>
        <w:spacing w:line="360" w:lineRule="auto"/>
        <w:rPr>
          <w:rFonts w:ascii="Arial" w:hAnsi="Arial" w:cs="Arial"/>
        </w:rPr>
      </w:pPr>
    </w:p>
    <w:p w14:paraId="243DA329" w14:textId="77777777" w:rsidR="0022304A" w:rsidRPr="00052299" w:rsidRDefault="0022304A" w:rsidP="00052299">
      <w:pPr>
        <w:pStyle w:val="ListParagraph"/>
        <w:spacing w:line="360" w:lineRule="auto"/>
        <w:rPr>
          <w:rFonts w:ascii="Arial" w:hAnsi="Arial" w:cs="Arial"/>
          <w:u w:val="single"/>
        </w:rPr>
      </w:pPr>
      <w:r w:rsidRPr="00052299">
        <w:rPr>
          <w:rFonts w:ascii="Arial" w:hAnsi="Arial" w:cs="Arial"/>
          <w:u w:val="single"/>
        </w:rPr>
        <w:t>Conclusion</w:t>
      </w:r>
    </w:p>
    <w:p w14:paraId="5E8D85E4" w14:textId="77777777" w:rsidR="00477B29" w:rsidRPr="00052299" w:rsidRDefault="00477B29" w:rsidP="00052299">
      <w:pPr>
        <w:pStyle w:val="ListParagraph"/>
        <w:spacing w:line="360" w:lineRule="auto"/>
        <w:rPr>
          <w:rFonts w:ascii="Arial" w:hAnsi="Arial" w:cs="Arial"/>
        </w:rPr>
      </w:pPr>
    </w:p>
    <w:p w14:paraId="14914008" w14:textId="3D5E1D0E" w:rsidR="00B21D61" w:rsidRPr="00052299" w:rsidRDefault="0022304A" w:rsidP="00052299">
      <w:pPr>
        <w:pStyle w:val="ListParagraph"/>
        <w:spacing w:line="360" w:lineRule="auto"/>
        <w:rPr>
          <w:rFonts w:ascii="Arial" w:hAnsi="Arial" w:cs="Arial"/>
        </w:rPr>
      </w:pPr>
      <w:r w:rsidRPr="00052299">
        <w:rPr>
          <w:rFonts w:ascii="Arial" w:hAnsi="Arial" w:cs="Arial"/>
        </w:rPr>
        <w:t>Reflecting on my experiences and learning throughout my university journey has helped me assess critical concepts related to improving self-awareness, exploring employment opportunities, career development, employment legislation, and alternatives after graduation from university effectively. The knowledge gained through reflecting on these concepts will undoubtedly guide me towards making informed decisions as I embark on building my career path.</w:t>
      </w:r>
    </w:p>
    <w:p w14:paraId="24C8908C" w14:textId="77777777" w:rsidR="00477B29" w:rsidRPr="00052299" w:rsidRDefault="00477B29" w:rsidP="00052299">
      <w:pPr>
        <w:spacing w:line="360" w:lineRule="auto"/>
        <w:rPr>
          <w:rFonts w:ascii="Arial" w:hAnsi="Arial" w:cs="Arial"/>
          <w:u w:val="single"/>
        </w:rPr>
      </w:pPr>
    </w:p>
    <w:p w14:paraId="0E51E561" w14:textId="2237526A" w:rsidR="00477B29" w:rsidRPr="00052299" w:rsidRDefault="0022304A" w:rsidP="00052299">
      <w:pPr>
        <w:spacing w:line="360" w:lineRule="auto"/>
        <w:rPr>
          <w:rFonts w:ascii="Arial" w:hAnsi="Arial" w:cs="Arial"/>
          <w:u w:val="single"/>
        </w:rPr>
      </w:pPr>
      <w:r w:rsidRPr="00052299">
        <w:rPr>
          <w:rFonts w:ascii="Arial" w:hAnsi="Arial" w:cs="Arial"/>
          <w:u w:val="single"/>
        </w:rPr>
        <w:t>References</w:t>
      </w:r>
    </w:p>
    <w:p w14:paraId="7D766DD6" w14:textId="1E99D375" w:rsidR="0022304A" w:rsidRPr="00052299" w:rsidRDefault="0022304A" w:rsidP="00052299">
      <w:pPr>
        <w:spacing w:line="360" w:lineRule="auto"/>
        <w:rPr>
          <w:rFonts w:ascii="Arial" w:hAnsi="Arial" w:cs="Arial"/>
        </w:rPr>
      </w:pPr>
      <w:r w:rsidRPr="00052299">
        <w:rPr>
          <w:rFonts w:ascii="Arial" w:hAnsi="Arial" w:cs="Arial"/>
        </w:rPr>
        <w:t>Duval, S., &amp; Wicklund, R. A. (1972). A theory of objective self-awareness. Academic Press.</w:t>
      </w:r>
    </w:p>
    <w:p w14:paraId="43609AC3" w14:textId="022F27FC" w:rsidR="0022304A" w:rsidRPr="00052299" w:rsidRDefault="0022304A" w:rsidP="00052299">
      <w:pPr>
        <w:spacing w:line="360" w:lineRule="auto"/>
        <w:rPr>
          <w:rFonts w:ascii="Arial" w:hAnsi="Arial" w:cs="Arial"/>
        </w:rPr>
      </w:pPr>
      <w:r w:rsidRPr="00052299">
        <w:rPr>
          <w:rFonts w:ascii="Arial" w:hAnsi="Arial" w:cs="Arial"/>
        </w:rPr>
        <w:t xml:space="preserve">Hall, D. T., &amp; Mirvis, P. H. (1996). The new career contract: Developing the whole person at midlife and beyond. Journal of Vocational Behavior, 48(3), 269-289. </w:t>
      </w:r>
      <w:hyperlink r:id="rId7" w:history="1">
        <w:r w:rsidR="002B2D95" w:rsidRPr="00052299">
          <w:rPr>
            <w:rStyle w:val="Hyperlink"/>
            <w:rFonts w:ascii="Arial" w:hAnsi="Arial" w:cs="Arial"/>
          </w:rPr>
          <w:t>https://doi.org/10.1006/jvbe.1996.0042</w:t>
        </w:r>
      </w:hyperlink>
    </w:p>
    <w:p w14:paraId="19587EEC" w14:textId="0C442768" w:rsidR="002B2D95" w:rsidRPr="00052299" w:rsidRDefault="002B2D95" w:rsidP="00052299">
      <w:pPr>
        <w:spacing w:line="360" w:lineRule="auto"/>
        <w:rPr>
          <w:rFonts w:ascii="Arial" w:hAnsi="Arial" w:cs="Arial"/>
        </w:rPr>
      </w:pPr>
      <w:r w:rsidRPr="00052299">
        <w:rPr>
          <w:rFonts w:ascii="Arial" w:hAnsi="Arial" w:cs="Arial"/>
        </w:rPr>
        <w:lastRenderedPageBreak/>
        <w:t>Honey, P., &amp; Mumford, A. (1986). The manual of learning styles. Maidenhead, UK: Peter Honey.</w:t>
      </w:r>
    </w:p>
    <w:p w14:paraId="3BA9BD41" w14:textId="6BD27027" w:rsidR="002B2D95" w:rsidRPr="00052299" w:rsidRDefault="002B2D95" w:rsidP="00052299">
      <w:pPr>
        <w:spacing w:line="360" w:lineRule="auto"/>
        <w:rPr>
          <w:rFonts w:ascii="Arial" w:hAnsi="Arial" w:cs="Arial"/>
        </w:rPr>
      </w:pPr>
      <w:r w:rsidRPr="00052299">
        <w:rPr>
          <w:rFonts w:ascii="Arial" w:hAnsi="Arial" w:cs="Arial"/>
        </w:rPr>
        <w:t>Pashler, H., McDaniel, M., Rohrer, D., &amp; Bjork, R. (2008). Learning Styles: Concepts and Evidence. Psychological Science in the Public Interest, 9(3), 105–119. https://doi.org/10.1111/j.1539-6053.2009.01038.x</w:t>
      </w:r>
    </w:p>
    <w:p w14:paraId="40EFC3A6" w14:textId="0DB467D3" w:rsidR="002B2D95" w:rsidRPr="00052299" w:rsidRDefault="0022304A" w:rsidP="00052299">
      <w:pPr>
        <w:spacing w:line="360" w:lineRule="auto"/>
        <w:rPr>
          <w:rFonts w:ascii="Arial" w:hAnsi="Arial" w:cs="Arial"/>
        </w:rPr>
      </w:pPr>
      <w:r w:rsidRPr="00052299">
        <w:rPr>
          <w:rFonts w:ascii="Arial" w:hAnsi="Arial" w:cs="Arial"/>
        </w:rPr>
        <w:t xml:space="preserve">Sicilia, M.-A., et al. (2020). An integrative model of psychological contract and freelancers’ job performance. Journal of Business Research, 117, 1-10. </w:t>
      </w:r>
      <w:hyperlink r:id="rId8" w:history="1">
        <w:r w:rsidR="002B2D95" w:rsidRPr="00052299">
          <w:rPr>
            <w:rStyle w:val="Hyperlink"/>
            <w:rFonts w:ascii="Arial" w:hAnsi="Arial" w:cs="Arial"/>
          </w:rPr>
          <w:t>https://doi.org/10.1016/j.jbusres.2020.03.017</w:t>
        </w:r>
      </w:hyperlink>
    </w:p>
    <w:p w14:paraId="263FC3E2" w14:textId="26945FCC" w:rsidR="007837E5" w:rsidRPr="002B2D95" w:rsidRDefault="007837E5" w:rsidP="002B2D95">
      <w:pPr>
        <w:ind w:left="360"/>
        <w:rPr>
          <w:rFonts w:ascii="Arial" w:hAnsi="Arial" w:cs="Arial"/>
        </w:rPr>
      </w:pPr>
    </w:p>
    <w:sectPr w:rsidR="007837E5" w:rsidRPr="002B2D95">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635286" w14:textId="77777777" w:rsidR="005E6D9B" w:rsidRDefault="005E6D9B" w:rsidP="005E6D9B">
      <w:pPr>
        <w:spacing w:after="0" w:line="240" w:lineRule="auto"/>
      </w:pPr>
      <w:r>
        <w:separator/>
      </w:r>
    </w:p>
  </w:endnote>
  <w:endnote w:type="continuationSeparator" w:id="0">
    <w:p w14:paraId="6F6E7344" w14:textId="77777777" w:rsidR="005E6D9B" w:rsidRDefault="005E6D9B" w:rsidP="005E6D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4067093"/>
      <w:docPartObj>
        <w:docPartGallery w:val="Page Numbers (Bottom of Page)"/>
        <w:docPartUnique/>
      </w:docPartObj>
    </w:sdtPr>
    <w:sdtContent>
      <w:sdt>
        <w:sdtPr>
          <w:id w:val="1728636285"/>
          <w:docPartObj>
            <w:docPartGallery w:val="Page Numbers (Top of Page)"/>
            <w:docPartUnique/>
          </w:docPartObj>
        </w:sdtPr>
        <w:sdtContent>
          <w:p w14:paraId="478CDF89" w14:textId="4F0083A9" w:rsidR="00346716" w:rsidRDefault="00346716">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84B1787" w14:textId="77777777" w:rsidR="00106655" w:rsidRDefault="001066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6F8F85" w14:textId="77777777" w:rsidR="005E6D9B" w:rsidRDefault="005E6D9B" w:rsidP="005E6D9B">
      <w:pPr>
        <w:spacing w:after="0" w:line="240" w:lineRule="auto"/>
      </w:pPr>
      <w:r>
        <w:separator/>
      </w:r>
    </w:p>
  </w:footnote>
  <w:footnote w:type="continuationSeparator" w:id="0">
    <w:p w14:paraId="7EE532BA" w14:textId="77777777" w:rsidR="005E6D9B" w:rsidRDefault="005E6D9B" w:rsidP="005E6D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24F487" w14:textId="008A2463" w:rsidR="005E6D9B" w:rsidRPr="00DB5DA9" w:rsidRDefault="005E6D9B">
    <w:pPr>
      <w:pStyle w:val="Header"/>
      <w:rPr>
        <w:rFonts w:ascii="Arial" w:hAnsi="Arial" w:cs="Arial"/>
      </w:rPr>
    </w:pPr>
    <w:r w:rsidRPr="00DB5DA9">
      <w:rPr>
        <w:rFonts w:ascii="Arial" w:hAnsi="Arial" w:cs="Arial"/>
      </w:rPr>
      <w:t>Muhammad Shabbir</w:t>
    </w:r>
    <w:r w:rsidR="00606CC6" w:rsidRPr="00DB5DA9">
      <w:rPr>
        <w:rFonts w:ascii="Arial" w:hAnsi="Arial" w:cs="Arial"/>
      </w:rPr>
      <w:t xml:space="preserve"> </w:t>
    </w:r>
    <w:r w:rsidR="00475800" w:rsidRPr="00DB5DA9">
      <w:rPr>
        <w:rFonts w:ascii="Arial" w:hAnsi="Arial" w:cs="Arial"/>
      </w:rPr>
      <w:t>–</w:t>
    </w:r>
    <w:r w:rsidR="00606CC6" w:rsidRPr="00DB5DA9">
      <w:rPr>
        <w:rFonts w:ascii="Arial" w:hAnsi="Arial" w:cs="Arial"/>
      </w:rPr>
      <w:t xml:space="preserve"> 2127503</w:t>
    </w:r>
  </w:p>
  <w:p w14:paraId="2F33BBAE" w14:textId="409AADF2" w:rsidR="00475800" w:rsidRPr="00DB5DA9" w:rsidRDefault="000E6E3D">
    <w:pPr>
      <w:pStyle w:val="Header"/>
      <w:rPr>
        <w:rFonts w:ascii="Arial" w:hAnsi="Arial" w:cs="Arial"/>
      </w:rPr>
    </w:pPr>
    <w:r w:rsidRPr="00DB5DA9">
      <w:rPr>
        <w:rFonts w:ascii="Arial" w:hAnsi="Arial" w:cs="Arial"/>
      </w:rPr>
      <w:t>BMSW</w:t>
    </w:r>
    <w:r w:rsidR="00475800" w:rsidRPr="00DB5DA9">
      <w:rPr>
        <w:rFonts w:ascii="Arial" w:hAnsi="Arial" w:cs="Arial"/>
      </w:rPr>
      <w:t>4005</w:t>
    </w:r>
    <w:r w:rsidRPr="00DB5DA9">
      <w:rPr>
        <w:rFonts w:ascii="Arial" w:hAnsi="Arial" w:cs="Arial"/>
      </w:rPr>
      <w:t xml:space="preserve"> </w:t>
    </w:r>
    <w:r w:rsidR="009142FB" w:rsidRPr="00DB5DA9">
      <w:rPr>
        <w:rFonts w:ascii="Arial" w:hAnsi="Arial" w:cs="Arial"/>
      </w:rPr>
      <w:t>–</w:t>
    </w:r>
    <w:r w:rsidRPr="00DB5DA9">
      <w:rPr>
        <w:rFonts w:ascii="Arial" w:hAnsi="Arial" w:cs="Arial"/>
      </w:rPr>
      <w:t xml:space="preserve"> </w:t>
    </w:r>
    <w:r w:rsidR="009142FB" w:rsidRPr="00DB5DA9">
      <w:rPr>
        <w:rFonts w:ascii="Arial" w:hAnsi="Arial" w:cs="Arial"/>
      </w:rPr>
      <w:t>Professional and Career development</w:t>
    </w:r>
  </w:p>
  <w:p w14:paraId="7D7D5B41" w14:textId="2FF4479E" w:rsidR="00DB5DA9" w:rsidRPr="00DB5DA9" w:rsidRDefault="00DB5DA9">
    <w:pPr>
      <w:pStyle w:val="Header"/>
      <w:rPr>
        <w:rFonts w:ascii="Arial" w:hAnsi="Arial" w:cs="Arial"/>
      </w:rPr>
    </w:pPr>
    <w:r w:rsidRPr="00DB5DA9">
      <w:rPr>
        <w:rFonts w:ascii="Arial" w:hAnsi="Arial" w:cs="Arial"/>
      </w:rPr>
      <w:t xml:space="preserve">Module </w:t>
    </w:r>
    <w:r w:rsidR="00FB3EF4">
      <w:rPr>
        <w:rFonts w:ascii="Arial" w:hAnsi="Arial" w:cs="Arial"/>
      </w:rPr>
      <w:t>lectu</w:t>
    </w:r>
    <w:r w:rsidR="0025139D">
      <w:rPr>
        <w:rFonts w:ascii="Arial" w:hAnsi="Arial" w:cs="Arial"/>
      </w:rPr>
      <w:t>re</w:t>
    </w:r>
    <w:r w:rsidR="00FB3EF4">
      <w:rPr>
        <w:rFonts w:ascii="Arial" w:hAnsi="Arial" w:cs="Arial"/>
      </w:rPr>
      <w:t>r</w:t>
    </w:r>
    <w:r w:rsidRPr="00DB5DA9">
      <w:rPr>
        <w:rFonts w:ascii="Arial" w:hAnsi="Arial" w:cs="Arial"/>
      </w:rPr>
      <w:t xml:space="preserve">: </w:t>
    </w:r>
    <w:r w:rsidRPr="00DB5DA9">
      <w:rPr>
        <w:rFonts w:ascii="Arial" w:hAnsi="Arial" w:cs="Arial"/>
        <w:bCs/>
        <w:color w:val="000000" w:themeColor="text1"/>
      </w:rPr>
      <w:t>Olubukola Adegbite</w:t>
    </w:r>
  </w:p>
  <w:p w14:paraId="6F4D62B6" w14:textId="77777777" w:rsidR="005E6D9B" w:rsidRDefault="005E6D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2D1DC2"/>
    <w:multiLevelType w:val="hybridMultilevel"/>
    <w:tmpl w:val="FFD6480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820968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03AB"/>
    <w:rsid w:val="00052299"/>
    <w:rsid w:val="000C509D"/>
    <w:rsid w:val="000E6E3D"/>
    <w:rsid w:val="000F3EC8"/>
    <w:rsid w:val="00106655"/>
    <w:rsid w:val="00220E9F"/>
    <w:rsid w:val="0022304A"/>
    <w:rsid w:val="0025139D"/>
    <w:rsid w:val="002726CA"/>
    <w:rsid w:val="00297A78"/>
    <w:rsid w:val="002B2D95"/>
    <w:rsid w:val="002C2883"/>
    <w:rsid w:val="00346716"/>
    <w:rsid w:val="003703BB"/>
    <w:rsid w:val="00475800"/>
    <w:rsid w:val="00477B29"/>
    <w:rsid w:val="005615E1"/>
    <w:rsid w:val="005E6D9B"/>
    <w:rsid w:val="00606CC6"/>
    <w:rsid w:val="0075011B"/>
    <w:rsid w:val="007837E5"/>
    <w:rsid w:val="00837B58"/>
    <w:rsid w:val="008503AB"/>
    <w:rsid w:val="008726C4"/>
    <w:rsid w:val="008A0818"/>
    <w:rsid w:val="008A648E"/>
    <w:rsid w:val="009142FB"/>
    <w:rsid w:val="00A631B0"/>
    <w:rsid w:val="00A867CC"/>
    <w:rsid w:val="00AE6BDE"/>
    <w:rsid w:val="00B147CB"/>
    <w:rsid w:val="00B16AE4"/>
    <w:rsid w:val="00B21D61"/>
    <w:rsid w:val="00B36529"/>
    <w:rsid w:val="00CB6C54"/>
    <w:rsid w:val="00D5731E"/>
    <w:rsid w:val="00D8265F"/>
    <w:rsid w:val="00DB5DA9"/>
    <w:rsid w:val="00EE080A"/>
    <w:rsid w:val="00F15B64"/>
    <w:rsid w:val="00F3538F"/>
    <w:rsid w:val="00FB3E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73889"/>
  <w15:chartTrackingRefBased/>
  <w15:docId w15:val="{32F4D490-D8B1-4763-AF4B-C9D02736E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7A78"/>
    <w:pPr>
      <w:ind w:left="720"/>
      <w:contextualSpacing/>
    </w:pPr>
  </w:style>
  <w:style w:type="character" w:styleId="Hyperlink">
    <w:name w:val="Hyperlink"/>
    <w:basedOn w:val="DefaultParagraphFont"/>
    <w:uiPriority w:val="99"/>
    <w:unhideWhenUsed/>
    <w:rsid w:val="002B2D95"/>
    <w:rPr>
      <w:color w:val="0563C1" w:themeColor="hyperlink"/>
      <w:u w:val="single"/>
    </w:rPr>
  </w:style>
  <w:style w:type="character" w:styleId="UnresolvedMention">
    <w:name w:val="Unresolved Mention"/>
    <w:basedOn w:val="DefaultParagraphFont"/>
    <w:uiPriority w:val="99"/>
    <w:semiHidden/>
    <w:unhideWhenUsed/>
    <w:rsid w:val="002B2D95"/>
    <w:rPr>
      <w:color w:val="605E5C"/>
      <w:shd w:val="clear" w:color="auto" w:fill="E1DFDD"/>
    </w:rPr>
  </w:style>
  <w:style w:type="character" w:styleId="FollowedHyperlink">
    <w:name w:val="FollowedHyperlink"/>
    <w:basedOn w:val="DefaultParagraphFont"/>
    <w:uiPriority w:val="99"/>
    <w:semiHidden/>
    <w:unhideWhenUsed/>
    <w:rsid w:val="002B2D95"/>
    <w:rPr>
      <w:color w:val="954F72" w:themeColor="followedHyperlink"/>
      <w:u w:val="single"/>
    </w:rPr>
  </w:style>
  <w:style w:type="paragraph" w:styleId="Header">
    <w:name w:val="header"/>
    <w:basedOn w:val="Normal"/>
    <w:link w:val="HeaderChar"/>
    <w:uiPriority w:val="99"/>
    <w:unhideWhenUsed/>
    <w:rsid w:val="005E6D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6D9B"/>
  </w:style>
  <w:style w:type="paragraph" w:styleId="Footer">
    <w:name w:val="footer"/>
    <w:basedOn w:val="Normal"/>
    <w:link w:val="FooterChar"/>
    <w:uiPriority w:val="99"/>
    <w:unhideWhenUsed/>
    <w:rsid w:val="005E6D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6D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104351">
      <w:bodyDiv w:val="1"/>
      <w:marLeft w:val="0"/>
      <w:marRight w:val="0"/>
      <w:marTop w:val="0"/>
      <w:marBottom w:val="0"/>
      <w:divBdr>
        <w:top w:val="none" w:sz="0" w:space="0" w:color="auto"/>
        <w:left w:val="none" w:sz="0" w:space="0" w:color="auto"/>
        <w:bottom w:val="none" w:sz="0" w:space="0" w:color="auto"/>
        <w:right w:val="none" w:sz="0" w:space="0" w:color="auto"/>
      </w:divBdr>
    </w:div>
    <w:div w:id="1443457699">
      <w:bodyDiv w:val="1"/>
      <w:marLeft w:val="0"/>
      <w:marRight w:val="0"/>
      <w:marTop w:val="0"/>
      <w:marBottom w:val="0"/>
      <w:divBdr>
        <w:top w:val="none" w:sz="0" w:space="0" w:color="auto"/>
        <w:left w:val="none" w:sz="0" w:space="0" w:color="auto"/>
        <w:bottom w:val="none" w:sz="0" w:space="0" w:color="auto"/>
        <w:right w:val="none" w:sz="0" w:space="0" w:color="auto"/>
      </w:divBdr>
    </w:div>
    <w:div w:id="1642535297">
      <w:bodyDiv w:val="1"/>
      <w:marLeft w:val="0"/>
      <w:marRight w:val="0"/>
      <w:marTop w:val="0"/>
      <w:marBottom w:val="0"/>
      <w:divBdr>
        <w:top w:val="none" w:sz="0" w:space="0" w:color="auto"/>
        <w:left w:val="none" w:sz="0" w:space="0" w:color="auto"/>
        <w:bottom w:val="none" w:sz="0" w:space="0" w:color="auto"/>
        <w:right w:val="none" w:sz="0" w:space="0" w:color="auto"/>
      </w:divBdr>
    </w:div>
    <w:div w:id="1662343504">
      <w:bodyDiv w:val="1"/>
      <w:marLeft w:val="0"/>
      <w:marRight w:val="0"/>
      <w:marTop w:val="0"/>
      <w:marBottom w:val="0"/>
      <w:divBdr>
        <w:top w:val="none" w:sz="0" w:space="0" w:color="auto"/>
        <w:left w:val="none" w:sz="0" w:space="0" w:color="auto"/>
        <w:bottom w:val="none" w:sz="0" w:space="0" w:color="auto"/>
        <w:right w:val="none" w:sz="0" w:space="0" w:color="auto"/>
      </w:divBdr>
    </w:div>
    <w:div w:id="1776289723">
      <w:bodyDiv w:val="1"/>
      <w:marLeft w:val="0"/>
      <w:marRight w:val="0"/>
      <w:marTop w:val="0"/>
      <w:marBottom w:val="0"/>
      <w:divBdr>
        <w:top w:val="none" w:sz="0" w:space="0" w:color="auto"/>
        <w:left w:val="none" w:sz="0" w:space="0" w:color="auto"/>
        <w:bottom w:val="none" w:sz="0" w:space="0" w:color="auto"/>
        <w:right w:val="none" w:sz="0" w:space="0" w:color="auto"/>
      </w:divBdr>
    </w:div>
    <w:div w:id="1792169772">
      <w:bodyDiv w:val="1"/>
      <w:marLeft w:val="0"/>
      <w:marRight w:val="0"/>
      <w:marTop w:val="0"/>
      <w:marBottom w:val="0"/>
      <w:divBdr>
        <w:top w:val="none" w:sz="0" w:space="0" w:color="auto"/>
        <w:left w:val="none" w:sz="0" w:space="0" w:color="auto"/>
        <w:bottom w:val="none" w:sz="0" w:space="0" w:color="auto"/>
        <w:right w:val="none" w:sz="0" w:space="0" w:color="auto"/>
      </w:divBdr>
    </w:div>
    <w:div w:id="1811289618">
      <w:bodyDiv w:val="1"/>
      <w:marLeft w:val="0"/>
      <w:marRight w:val="0"/>
      <w:marTop w:val="0"/>
      <w:marBottom w:val="0"/>
      <w:divBdr>
        <w:top w:val="none" w:sz="0" w:space="0" w:color="auto"/>
        <w:left w:val="none" w:sz="0" w:space="0" w:color="auto"/>
        <w:bottom w:val="none" w:sz="0" w:space="0" w:color="auto"/>
        <w:right w:val="none" w:sz="0" w:space="0" w:color="auto"/>
      </w:divBdr>
    </w:div>
    <w:div w:id="1981685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jbusres.2020.03.017" TargetMode="External"/><Relationship Id="rId3" Type="http://schemas.openxmlformats.org/officeDocument/2006/relationships/settings" Target="settings.xml"/><Relationship Id="rId7" Type="http://schemas.openxmlformats.org/officeDocument/2006/relationships/hyperlink" Target="https://doi.org/10.1006/jvbe.1996.0042"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7</Pages>
  <Words>2104</Words>
  <Characters>11997</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Adeeba Shabbir (Student)</dc:creator>
  <cp:keywords/>
  <dc:description/>
  <cp:lastModifiedBy>Muhammad Shabbir (2127503)</cp:lastModifiedBy>
  <cp:revision>19</cp:revision>
  <dcterms:created xsi:type="dcterms:W3CDTF">2023-03-22T20:59:00Z</dcterms:created>
  <dcterms:modified xsi:type="dcterms:W3CDTF">2023-03-22T21:15:00Z</dcterms:modified>
</cp:coreProperties>
</file>