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E567A" w:rsidRDefault="00E778A0" w:rsidP="00E778A0">
      <w:pPr>
        <w:pStyle w:val="Title"/>
        <w:jc w:val="center"/>
        <w:rPr>
          <w:sz w:val="40"/>
        </w:rPr>
      </w:pPr>
      <w:r w:rsidRPr="00E778A0">
        <w:rPr>
          <w:sz w:val="40"/>
        </w:rPr>
        <w:t>To what extent do ‘revenant burials’ indicate a fear of the dead returning?</w:t>
      </w:r>
    </w:p>
    <w:p w:rsidR="00E778A0" w:rsidRDefault="00E778A0" w:rsidP="00E778A0"/>
    <w:p w:rsidR="00E778A0" w:rsidRDefault="00E778A0" w:rsidP="00E778A0">
      <w:r>
        <w:t xml:space="preserve">The term revenant is derived from the </w:t>
      </w:r>
      <w:proofErr w:type="spellStart"/>
      <w:r>
        <w:t>latin</w:t>
      </w:r>
      <w:proofErr w:type="spellEnd"/>
      <w:r>
        <w:t xml:space="preserve"> word ‘</w:t>
      </w:r>
      <w:proofErr w:type="spellStart"/>
      <w:r>
        <w:rPr>
          <w:i/>
        </w:rPr>
        <w:t>revenans</w:t>
      </w:r>
      <w:proofErr w:type="spellEnd"/>
      <w:r>
        <w:t>’, meaning ‘returning’.</w:t>
      </w:r>
      <w:r>
        <w:rPr>
          <w:rStyle w:val="FootnoteReference"/>
        </w:rPr>
        <w:footnoteReference w:id="1"/>
      </w:r>
      <w:r>
        <w:t xml:space="preserve"> However, this is not the only term used </w:t>
      </w:r>
      <w:proofErr w:type="gramStart"/>
      <w:r>
        <w:t>in regards to</w:t>
      </w:r>
      <w:proofErr w:type="gramEnd"/>
      <w:r>
        <w:t xml:space="preserve"> revenants; it appears that within Icelandic narratives the creatures referred to as ‘</w:t>
      </w:r>
      <w:proofErr w:type="spellStart"/>
      <w:r>
        <w:rPr>
          <w:i/>
        </w:rPr>
        <w:t>draugrs</w:t>
      </w:r>
      <w:proofErr w:type="spellEnd"/>
      <w:r>
        <w:rPr>
          <w:i/>
        </w:rPr>
        <w:t xml:space="preserve">’ </w:t>
      </w:r>
      <w:r>
        <w:t>bear many similarities to revenants.</w:t>
      </w:r>
      <w:r>
        <w:rPr>
          <w:rStyle w:val="FootnoteReference"/>
        </w:rPr>
        <w:footnoteReference w:id="2"/>
      </w:r>
      <w:r w:rsidRPr="00E778A0">
        <w:t>There</w:t>
      </w:r>
      <w:r>
        <w:t xml:space="preserve"> are many record of revenants within medieval sources and actions taken in the burials of suspected revenants to prevent their return. Revenants are often viewed as being a reanimation of the dead, remaining in a state of neither death or live (a form of ‘undead’). </w:t>
      </w:r>
      <w:r>
        <w:rPr>
          <w:rStyle w:val="FootnoteReference"/>
        </w:rPr>
        <w:footnoteReference w:id="3"/>
      </w:r>
      <w:r>
        <w:t xml:space="preserve"> Revenants are not limited to any </w:t>
      </w:r>
      <w:proofErr w:type="gramStart"/>
      <w:r>
        <w:t>particular location</w:t>
      </w:r>
      <w:proofErr w:type="gramEnd"/>
      <w:r>
        <w:t xml:space="preserve"> or time period. There is evidence of their presence throughout history in both the ancient and medieval worlds with there being some clear examples of revenant burials in both the ancient and medieval periods. Revenants are often linked to the concept of haunting and being haunted.</w:t>
      </w:r>
      <w:r>
        <w:rPr>
          <w:rStyle w:val="FootnoteReference"/>
        </w:rPr>
        <w:footnoteReference w:id="4"/>
      </w:r>
      <w:r>
        <w:t xml:space="preserve"> Whilst there are many characteristics and features associated with revenants, there appears to be a strong association to the idea of revenants having physical superiority over humans (this feature of physical superiority appears heavily in Flemish narratives surrounding revenants).</w:t>
      </w:r>
      <w:r>
        <w:rPr>
          <w:rStyle w:val="FootnoteReference"/>
        </w:rPr>
        <w:footnoteReference w:id="5"/>
      </w:r>
      <w:r>
        <w:t xml:space="preserve"> This could be interpreted as part of the logic behind such extreme measures being taken to ensure that any person thought to have been a revenant after their death was treated in such abnormal manners during their burial. </w:t>
      </w:r>
    </w:p>
    <w:p w:rsidR="00E778A0" w:rsidRDefault="00E778A0" w:rsidP="00E778A0">
      <w:proofErr w:type="gramStart"/>
      <w:r>
        <w:t>During the course of</w:t>
      </w:r>
      <w:proofErr w:type="gramEnd"/>
      <w:r>
        <w:t xml:space="preserve"> this essay, I intent to look at a number of key factors that contribute to answering the question of whether revenant burials indicate a fear of the dead returning. Firstly, I intent to examine </w:t>
      </w:r>
      <w:r w:rsidR="00B30A29">
        <w:t>the importance of burials and to look at the link between burial rituals and revenants. Secondly, I will look at where the fear of revenants appears to stem from and, finally, look at some examples of revenant burials and what these suggest about the feelings held towards revenants in the time periods from which the examples come from.</w:t>
      </w:r>
    </w:p>
    <w:p w:rsidR="0085659A" w:rsidRDefault="0085659A" w:rsidP="0085659A">
      <w:r>
        <w:t>Throughout history, the importance of burials and the rituals associated with them appear to hold considerable influence. In most cases, per Weaver, it could be suggested that the neglecting of the rituals during a burial would result in the burial being considered incomplete or deviant.</w:t>
      </w:r>
      <w:r>
        <w:rPr>
          <w:rStyle w:val="FootnoteReference"/>
        </w:rPr>
        <w:footnoteReference w:id="6"/>
      </w:r>
      <w:r>
        <w:t xml:space="preserve"> It appears to be that it is in these situations that the risk of revenants being created are increased. It could be argued that funerary rituals provide a means by which a community can restore balance to their society following the death of a member whilst also honouring them and allowing them to continue into what was considered the afterlife.</w:t>
      </w:r>
      <w:r>
        <w:rPr>
          <w:rStyle w:val="FootnoteReference"/>
        </w:rPr>
        <w:footnoteReference w:id="7"/>
      </w:r>
      <w:r>
        <w:t xml:space="preserve"> </w:t>
      </w:r>
      <w:r>
        <w:t>To neglect a body after death would likely result in the neglected individual in death reappearing in order to cause harm to the living, in most cases those who had neglected them.</w:t>
      </w:r>
      <w:r>
        <w:rPr>
          <w:rStyle w:val="FootnoteReference"/>
        </w:rPr>
        <w:footnoteReference w:id="8"/>
      </w:r>
      <w:r>
        <w:t xml:space="preserve"> This suggests that there was a fear in causing a revenant to be formed before having to perform a revenant burial. Furthermore, increasing the extent to which it is possible to argue that there was a clear fear of the dead returning.</w:t>
      </w:r>
      <w:r w:rsidR="002D5B40">
        <w:t xml:space="preserve">  The ritualistic elements of burials can be hard to define due to the simple fact that defining the concept of rituals is considered to be highly “…</w:t>
      </w:r>
      <w:r w:rsidR="002D5B40">
        <w:rPr>
          <w:i/>
        </w:rPr>
        <w:t>complex and difficult</w:t>
      </w:r>
      <w:proofErr w:type="gramStart"/>
      <w:r w:rsidR="002D5B40">
        <w:t>…</w:t>
      </w:r>
      <w:r w:rsidR="002D5B40" w:rsidRPr="002D5B40">
        <w:t>“</w:t>
      </w:r>
      <w:r w:rsidR="002D5B40">
        <w:t xml:space="preserve"> Weaver</w:t>
      </w:r>
      <w:proofErr w:type="gramEnd"/>
      <w:r w:rsidR="002D5B40">
        <w:t xml:space="preserve"> suggests that </w:t>
      </w:r>
      <w:r w:rsidR="002D5B40">
        <w:lastRenderedPageBreak/>
        <w:t xml:space="preserve">in its most simplest form, a ritual </w:t>
      </w:r>
      <w:r w:rsidR="002D5B40" w:rsidRPr="002D5B40">
        <w:rPr>
          <w:i/>
        </w:rPr>
        <w:t>“…ritual is a multifaceted combination of customary actions and mental activities that can occur in both the sacred and secular realms.”</w:t>
      </w:r>
      <w:r w:rsidR="002D5B40">
        <w:rPr>
          <w:rStyle w:val="FootnoteReference"/>
          <w:i/>
        </w:rPr>
        <w:footnoteReference w:id="9"/>
      </w:r>
      <w:r w:rsidR="00017C48">
        <w:t xml:space="preserve"> </w:t>
      </w:r>
    </w:p>
    <w:p w:rsidR="002D5B40" w:rsidRDefault="002D5B40" w:rsidP="002D5B40">
      <w:r>
        <w:t xml:space="preserve">Burial customs appear to also be of great importance and of influence throughout history whilst also maintaining high levels of individualisation in both regular burials and then in burials that can </w:t>
      </w:r>
      <w:proofErr w:type="gramStart"/>
      <w:r>
        <w:t>be considered to be</w:t>
      </w:r>
      <w:proofErr w:type="gramEnd"/>
      <w:r>
        <w:t xml:space="preserve"> revenant burials. For example, within the Greek world burial customs would heavily vary due to </w:t>
      </w:r>
      <w:proofErr w:type="gramStart"/>
      <w:r>
        <w:t>a number of</w:t>
      </w:r>
      <w:proofErr w:type="gramEnd"/>
      <w:r>
        <w:t xml:space="preserve"> different factors. These </w:t>
      </w:r>
      <w:r w:rsidR="00017C48">
        <w:t xml:space="preserve">factors </w:t>
      </w:r>
      <w:r>
        <w:t xml:space="preserve">included </w:t>
      </w:r>
      <w:proofErr w:type="gramStart"/>
      <w:r>
        <w:t>time period</w:t>
      </w:r>
      <w:proofErr w:type="gramEnd"/>
      <w:r>
        <w:t>, geographical location and the personal preferences of individuals and the societies that they were a part of.</w:t>
      </w:r>
      <w:r>
        <w:rPr>
          <w:rStyle w:val="FootnoteReference"/>
        </w:rPr>
        <w:footnoteReference w:id="10"/>
      </w:r>
      <w:r>
        <w:t xml:space="preserve"> However, despite this, there does appear to be some common styles of burial throughout the world in history. In most all formal burials, skeletons have been found in varying positions ranging from lying on their backs to being position in such a way that they were sitting or in some cases standing.</w:t>
      </w:r>
      <w:r>
        <w:rPr>
          <w:rStyle w:val="FootnoteReference"/>
        </w:rPr>
        <w:footnoteReference w:id="11"/>
      </w:r>
      <w:r>
        <w:t xml:space="preserve"> Within ancient societies there appear to have been reasoning behind doing this. According to Herodotus, the </w:t>
      </w:r>
      <w:proofErr w:type="spellStart"/>
      <w:r>
        <w:t>Nasamones</w:t>
      </w:r>
      <w:proofErr w:type="spellEnd"/>
      <w:r>
        <w:t xml:space="preserve"> decided upon burying their dead sitting </w:t>
      </w:r>
      <w:proofErr w:type="gramStart"/>
      <w:r>
        <w:t>so as to</w:t>
      </w:r>
      <w:proofErr w:type="gramEnd"/>
      <w:r>
        <w:t xml:space="preserve"> allow for the spirit of the dead man to be released without any issues.</w:t>
      </w:r>
      <w:r>
        <w:rPr>
          <w:rStyle w:val="FootnoteReference"/>
        </w:rPr>
        <w:footnoteReference w:id="12"/>
      </w:r>
      <w:r>
        <w:t xml:space="preserve"> It also appears that within the ancient world, there would be individuals buried in what would be considered revenant burials; although, arguably this would have been a result of the body have originally been neglected or in ritualistic failures in the burial procedure.  Herodotus does also suggest that there is a high level of respect held for the dead in Greece; this can be seen in the fact that he writes of there being festivals honouring the dead.</w:t>
      </w:r>
      <w:r>
        <w:rPr>
          <w:rStyle w:val="FootnoteReference"/>
        </w:rPr>
        <w:footnoteReference w:id="13"/>
      </w:r>
      <w:r>
        <w:t xml:space="preserve"> Once again, this shows that there was a clear importance in the dignified treating of the dead and an arguable feeling a terror about what would occur in the situation that a body was not buried in a dignified manner.</w:t>
      </w:r>
    </w:p>
    <w:p w:rsidR="00064389" w:rsidRPr="000F6034" w:rsidRDefault="00064389" w:rsidP="00064389">
      <w:r>
        <w:t>These customs appear to have continued into the medieval world. Within medieval England there appears to have been a completely different set of burials set aside for certain groups of people.</w:t>
      </w:r>
      <w:r>
        <w:rPr>
          <w:rStyle w:val="FootnoteReference"/>
        </w:rPr>
        <w:footnoteReference w:id="14"/>
      </w:r>
      <w:r>
        <w:t xml:space="preserve"> These groups included: outcasts, criminals, women who died in child-birth, people with disabilities and unbaptised children.</w:t>
      </w:r>
      <w:r>
        <w:rPr>
          <w:rStyle w:val="FootnoteReference"/>
        </w:rPr>
        <w:footnoteReference w:id="15"/>
      </w:r>
      <w:r>
        <w:t xml:space="preserve"> This are likely due to these groups being groups considered possible groups from which revenants would be spawned. Therefore, could this mean that the differences in style of burial to those outside of those groups show that there was a great level of fear of people coming back from the grave. There does appear to be a shift in the reasoning behind the fear associated with people coming back from the dead in the middles ages due to the prominence of religion.</w:t>
      </w:r>
      <w:r>
        <w:rPr>
          <w:rStyle w:val="FootnoteReference"/>
        </w:rPr>
        <w:footnoteReference w:id="16"/>
      </w:r>
      <w:r>
        <w:t xml:space="preserve"> The concept of demonic possession of bodies seems to become somewhat linked to the idea of revenants, therefore it is safe to assume that revenant burials would’ve had the support of ecclesiastical groups.</w:t>
      </w:r>
      <w:r>
        <w:rPr>
          <w:rStyle w:val="FootnoteReference"/>
        </w:rPr>
        <w:footnoteReference w:id="17"/>
      </w:r>
    </w:p>
    <w:p w:rsidR="00A529F7" w:rsidRPr="00BA427B" w:rsidRDefault="00A529F7" w:rsidP="00A529F7">
      <w:r>
        <w:t>A lot of the fear that appears to be associated with revenants has stemmed from necrophobia, in other words a fear of the dead.</w:t>
      </w:r>
      <w:r>
        <w:rPr>
          <w:rStyle w:val="FootnoteReference"/>
        </w:rPr>
        <w:footnoteReference w:id="18"/>
      </w:r>
      <w:r>
        <w:t xml:space="preserve"> According to Weaver, this is a universal concept that has been present from the Neolithic period to the present.</w:t>
      </w:r>
      <w:r>
        <w:rPr>
          <w:rStyle w:val="FootnoteReference"/>
        </w:rPr>
        <w:footnoteReference w:id="19"/>
      </w:r>
      <w:r>
        <w:t xml:space="preserve"> The fundamental basis of this fear finds its origins on the belief in the ability of the dead to reanimate and exist in a state of ‘undead’ (as previously mentioned, neither dead or alive).</w:t>
      </w:r>
      <w:r>
        <w:rPr>
          <w:rStyle w:val="FootnoteReference"/>
        </w:rPr>
        <w:footnoteReference w:id="20"/>
      </w:r>
      <w:r>
        <w:t xml:space="preserve"> Much of the fear surrounding revenants also appears to be linked to the belief in their </w:t>
      </w:r>
      <w:r>
        <w:lastRenderedPageBreak/>
        <w:t>ability to leave graves with the intent of harming the living.</w:t>
      </w:r>
      <w:r>
        <w:rPr>
          <w:rStyle w:val="FootnoteReference"/>
        </w:rPr>
        <w:footnoteReference w:id="21"/>
      </w:r>
      <w:r>
        <w:t xml:space="preserve"> According to Van </w:t>
      </w:r>
      <w:proofErr w:type="spellStart"/>
      <w:r>
        <w:t>Effelterre</w:t>
      </w:r>
      <w:proofErr w:type="spellEnd"/>
      <w:r>
        <w:t>, in some contexts it is possible to view this fear as leading to both terror and horror.</w:t>
      </w:r>
      <w:r>
        <w:rPr>
          <w:rStyle w:val="FootnoteReference"/>
        </w:rPr>
        <w:footnoteReference w:id="22"/>
      </w:r>
      <w:r>
        <w:t xml:space="preserve"> This fear is heavily reflected in the methods used by which to stop revenants from being able to leave their graves.</w:t>
      </w:r>
      <w:r>
        <w:rPr>
          <w:rStyle w:val="FootnoteReference"/>
        </w:rPr>
        <w:footnoteReference w:id="23"/>
      </w:r>
      <w:r>
        <w:t xml:space="preserve"> Revenant burials served the purpose of trapping the revenant within its own grave so as to not allow it to go unchecked. This was achieved through numerous means; according to Weaver (and the ancient archaeological examples examined for this essay), these means included but where not limited to tying the body down, staking the body in the grave, flipping the body on its stomach, burying the body deeper into the ground, and pinning the body in the grave with rock or other heavy objects.</w:t>
      </w:r>
      <w:r>
        <w:rPr>
          <w:rStyle w:val="FootnoteReference"/>
        </w:rPr>
        <w:footnoteReference w:id="24"/>
      </w:r>
      <w:r>
        <w:t xml:space="preserve"> In </w:t>
      </w:r>
      <w:proofErr w:type="spellStart"/>
      <w:r>
        <w:t>Alfaye</w:t>
      </w:r>
      <w:proofErr w:type="spellEnd"/>
      <w:r>
        <w:t xml:space="preserve"> Villa’s work it is suggested that there was also a high probability that the bodied would have also been nailed into their graves so as to pin them there.</w:t>
      </w:r>
      <w:r>
        <w:rPr>
          <w:rStyle w:val="FootnoteReference"/>
        </w:rPr>
        <w:footnoteReference w:id="25"/>
      </w:r>
    </w:p>
    <w:p w:rsidR="004C5F36" w:rsidRPr="004C5F36" w:rsidRDefault="004C5F36" w:rsidP="004C5F36">
      <w:r>
        <w:t xml:space="preserve">These measures taken within Revenant burials in the ancient world appear to have carried on well into the medieval period. According to </w:t>
      </w:r>
      <w:proofErr w:type="spellStart"/>
      <w:r>
        <w:t>Balter</w:t>
      </w:r>
      <w:proofErr w:type="spellEnd"/>
      <w:r>
        <w:t>, prior to the 7</w:t>
      </w:r>
      <w:r w:rsidRPr="00544FF8">
        <w:rPr>
          <w:vertAlign w:val="superscript"/>
        </w:rPr>
        <w:t>th</w:t>
      </w:r>
      <w:r>
        <w:t xml:space="preserve"> century CE and the converting of the </w:t>
      </w:r>
      <w:proofErr w:type="spellStart"/>
      <w:r>
        <w:t>anglo-saxons</w:t>
      </w:r>
      <w:proofErr w:type="spellEnd"/>
      <w:r>
        <w:t xml:space="preserve"> from paganism to Christianity, criminals and other outcasts appear to have been treated as part of the community in the way that they were buried. However, there bodies where still treated differently in the way that they were left in the grave.</w:t>
      </w:r>
      <w:r>
        <w:rPr>
          <w:rStyle w:val="FootnoteReference"/>
        </w:rPr>
        <w:footnoteReference w:id="26"/>
      </w:r>
      <w:r>
        <w:t xml:space="preserve"> For example, they were often buried face-down, their limbs were sometimes amputated and their bodies were weighed down with stones; contemporary writings suggest these practices arose out of fear that the bodies might run around at night.</w:t>
      </w:r>
      <w:r>
        <w:rPr>
          <w:rStyle w:val="FootnoteReference"/>
        </w:rPr>
        <w:footnoteReference w:id="27"/>
      </w:r>
      <w:r>
        <w:t xml:space="preserve"> These methods of burial share many similarities with revenant burials in the ancient world. One literary example of a medieval period revenant burial comes from Iceland. A heavily disliked Shepperd named Glam was brutally murdered and went on to terrorize his town in vengeance.</w:t>
      </w:r>
      <w:r>
        <w:rPr>
          <w:rStyle w:val="FootnoteReference"/>
        </w:rPr>
        <w:footnoteReference w:id="28"/>
      </w:r>
      <w:r>
        <w:t xml:space="preserve"> To address this situation the villagers proceeded to dig up his body, remove his head and then reburied the body with the head placed between his legs.</w:t>
      </w:r>
      <w:r>
        <w:rPr>
          <w:rStyle w:val="FootnoteReference"/>
        </w:rPr>
        <w:footnoteReference w:id="29"/>
      </w:r>
      <w:r>
        <w:t xml:space="preserve"> This appears to have been common in medieval revenant graves. It is </w:t>
      </w:r>
      <w:proofErr w:type="gramStart"/>
      <w:r>
        <w:t>suggests</w:t>
      </w:r>
      <w:proofErr w:type="gramEnd"/>
      <w:r>
        <w:t xml:space="preserve"> that they must have greatly feared the concept of the dead returning as it became acceptable to defile a body to make sure it wouldn’t happen.</w:t>
      </w:r>
      <w:r>
        <w:t xml:space="preserve"> Other examples of medieval revenants and revenant burials can be found within William of </w:t>
      </w:r>
      <w:proofErr w:type="spellStart"/>
      <w:r>
        <w:t>Newsbury’s</w:t>
      </w:r>
      <w:proofErr w:type="spellEnd"/>
      <w:r>
        <w:t xml:space="preserve"> </w:t>
      </w:r>
      <w:r>
        <w:rPr>
          <w:i/>
        </w:rPr>
        <w:t xml:space="preserve">Historia Rerum </w:t>
      </w:r>
      <w:proofErr w:type="spellStart"/>
      <w:r>
        <w:rPr>
          <w:i/>
        </w:rPr>
        <w:t>Anglicarum</w:t>
      </w:r>
      <w:proofErr w:type="spellEnd"/>
      <w:r>
        <w:t>.</w:t>
      </w:r>
      <w:r>
        <w:rPr>
          <w:rStyle w:val="FootnoteReference"/>
        </w:rPr>
        <w:footnoteReference w:id="30"/>
      </w:r>
    </w:p>
    <w:p w:rsidR="003F7795" w:rsidRDefault="003F7795" w:rsidP="003F7795">
      <w:r>
        <w:t>There are three main archaeological examples I have examined for this essay. The first of which comes from an iron age grave in Athens. The skeletal remains were found within what was considered to be an abnormal and unusual grave due to what could be attained about the treatment of the body.</w:t>
      </w:r>
      <w:r>
        <w:rPr>
          <w:rStyle w:val="FootnoteReference"/>
        </w:rPr>
        <w:footnoteReference w:id="31"/>
      </w:r>
      <w:r>
        <w:t xml:space="preserve"> Whilst there was no remaining evidence to suggest anything having been done that matches other examples of revenant graves, it does appear to fit the theme of having been treated differently due to the individual appearing to have suffered from an ailment rendering them unlike the general population; in this case it is thought to have been a form of neurological impairment.</w:t>
      </w:r>
      <w:r>
        <w:rPr>
          <w:rStyle w:val="FootnoteReference"/>
        </w:rPr>
        <w:footnoteReference w:id="32"/>
      </w:r>
      <w:r>
        <w:t xml:space="preserve"> The next two examples clearly are revenant burials due to the presence of large objects present atop both corpses clearly with the aim of keeping them in their graves. The first of these is the tomb of an adult (the gender of which is unknown).</w:t>
      </w:r>
      <w:r>
        <w:rPr>
          <w:rStyle w:val="FootnoteReference"/>
        </w:rPr>
        <w:footnoteReference w:id="33"/>
      </w:r>
      <w:r>
        <w:t xml:space="preserve"> </w:t>
      </w:r>
      <w:r>
        <w:lastRenderedPageBreak/>
        <w:t>However, analysis of the remains has shown that the individual had suffered serious levels of either malnutrition or illness.</w:t>
      </w:r>
      <w:r>
        <w:rPr>
          <w:rStyle w:val="FootnoteReference"/>
        </w:rPr>
        <w:footnoteReference w:id="34"/>
      </w:r>
      <w:r>
        <w:t xml:space="preserve"> Once again meeting the category of being different from what would have likely been the general population. In the case of this tomb, the head and feet had been completely covered in amphora fragments. </w:t>
      </w:r>
      <w:r>
        <w:rPr>
          <w:rStyle w:val="FootnoteReference"/>
        </w:rPr>
        <w:footnoteReference w:id="35"/>
      </w:r>
      <w:r>
        <w:t xml:space="preserve"> Weaver suggests that this is likely to have been to stop the individual from being able to see or rise from the grave.</w:t>
      </w:r>
      <w:r>
        <w:rPr>
          <w:rStyle w:val="FootnoteReference"/>
        </w:rPr>
        <w:footnoteReference w:id="36"/>
      </w:r>
      <w:r>
        <w:t xml:space="preserve"> The second tomb, part of the same study, held the skeletal remains of a child upon which five large stones had been placed.</w:t>
      </w:r>
      <w:r>
        <w:rPr>
          <w:rStyle w:val="FootnoteReference"/>
        </w:rPr>
        <w:footnoteReference w:id="37"/>
      </w:r>
      <w:r>
        <w:t xml:space="preserve"> According to Weaver, this is a highly uncommon placement.</w:t>
      </w:r>
      <w:r>
        <w:rPr>
          <w:rStyle w:val="FootnoteReference"/>
        </w:rPr>
        <w:footnoteReference w:id="38"/>
      </w:r>
      <w:r>
        <w:t xml:space="preserve"> This could suggest that there was a great fear not only of the dead rising from the grave but also of children hence the need for what could be considered an incredibly brutal revenant burial.</w:t>
      </w:r>
    </w:p>
    <w:p w:rsidR="00B30A29" w:rsidRDefault="003F7795" w:rsidP="00E778A0">
      <w:r>
        <w:t xml:space="preserve">In conclusion, it is </w:t>
      </w:r>
      <w:proofErr w:type="gramStart"/>
      <w:r>
        <w:t>correct</w:t>
      </w:r>
      <w:proofErr w:type="gramEnd"/>
      <w:r>
        <w:t xml:space="preserve"> to state that there was a great fear attached to the stigma of the dead returning and a great deal of this fear is reflected in the so called revenant burials. However, I would argue that it is more accurate to take the position that whilst the revenant burials reflected societal fears of the dead rising; these fears found their origins in </w:t>
      </w:r>
      <w:r w:rsidR="000D66AB">
        <w:t>cultural myths.</w:t>
      </w:r>
    </w:p>
    <w:p w:rsidR="00FD4D91" w:rsidRDefault="00FD4D91" w:rsidP="00E778A0"/>
    <w:p w:rsidR="00FD4D91" w:rsidRDefault="00FD4D91" w:rsidP="00E778A0"/>
    <w:p w:rsidR="00FD4D91" w:rsidRDefault="00FD4D91" w:rsidP="00E778A0"/>
    <w:p w:rsidR="00FD4D91" w:rsidRDefault="00FD4D91" w:rsidP="00E778A0"/>
    <w:p w:rsidR="00FD4D91" w:rsidRDefault="00FD4D91" w:rsidP="00E778A0"/>
    <w:p w:rsidR="00FD4D91" w:rsidRDefault="00FD4D91" w:rsidP="00E778A0"/>
    <w:p w:rsidR="00FD4D91" w:rsidRDefault="00FD4D91" w:rsidP="00E778A0"/>
    <w:p w:rsidR="00FD4D91" w:rsidRDefault="00FD4D91" w:rsidP="00E778A0"/>
    <w:p w:rsidR="00FD4D91" w:rsidRDefault="00FD4D91" w:rsidP="00E778A0"/>
    <w:p w:rsidR="00FD4D91" w:rsidRDefault="00FD4D91" w:rsidP="00E778A0"/>
    <w:p w:rsidR="00FD4D91" w:rsidRDefault="00FD4D91" w:rsidP="00E778A0"/>
    <w:p w:rsidR="00FD4D91" w:rsidRDefault="00FD4D91" w:rsidP="00E778A0"/>
    <w:p w:rsidR="00FD4D91" w:rsidRDefault="00FD4D91" w:rsidP="00E778A0"/>
    <w:p w:rsidR="00FD4D91" w:rsidRDefault="00FD4D91" w:rsidP="00E778A0"/>
    <w:p w:rsidR="00FD4D91" w:rsidRDefault="00FD4D91" w:rsidP="00E778A0"/>
    <w:p w:rsidR="00FD4D91" w:rsidRDefault="00FD4D91" w:rsidP="00E778A0"/>
    <w:p w:rsidR="00FD4D91" w:rsidRDefault="00FD4D91" w:rsidP="00E778A0"/>
    <w:p w:rsidR="00FD4D91" w:rsidRDefault="00FD4D91" w:rsidP="00E778A0"/>
    <w:p w:rsidR="00FD4D91" w:rsidRDefault="00FD4D91" w:rsidP="00FD4D91">
      <w:pPr>
        <w:pStyle w:val="Heading1"/>
        <w:jc w:val="center"/>
      </w:pPr>
      <w:r>
        <w:lastRenderedPageBreak/>
        <w:t xml:space="preserve">Bibliography: </w:t>
      </w:r>
    </w:p>
    <w:p w:rsidR="00FD4D91" w:rsidRDefault="00FD4D91" w:rsidP="00FD4D91">
      <w:pPr>
        <w:pStyle w:val="Heading2"/>
      </w:pPr>
      <w:r>
        <w:t xml:space="preserve">Ancient Scholars: </w:t>
      </w:r>
    </w:p>
    <w:p w:rsidR="00FD4D91" w:rsidRPr="00FD4D91" w:rsidRDefault="00FD4D91" w:rsidP="00FD4D91">
      <w:r>
        <w:t xml:space="preserve">Herodotus, </w:t>
      </w:r>
      <w:r>
        <w:rPr>
          <w:i/>
        </w:rPr>
        <w:t>The Histories</w:t>
      </w:r>
      <w:r>
        <w:t>. A. D. Godley (trans.). 1920. Cambridge: Harvard University Press</w:t>
      </w:r>
      <w:bookmarkStart w:id="0" w:name="_GoBack"/>
      <w:bookmarkEnd w:id="0"/>
    </w:p>
    <w:p w:rsidR="00FD4D91" w:rsidRDefault="00FD4D91" w:rsidP="00FD4D91">
      <w:pPr>
        <w:pStyle w:val="Heading2"/>
      </w:pPr>
      <w:r>
        <w:t xml:space="preserve">Modern Scholars: </w:t>
      </w:r>
    </w:p>
    <w:p w:rsidR="00FD4D91" w:rsidRDefault="00FD4D91" w:rsidP="00FD4D91">
      <w:proofErr w:type="spellStart"/>
      <w:r>
        <w:t>Alfayé</w:t>
      </w:r>
      <w:proofErr w:type="spellEnd"/>
      <w:r>
        <w:t xml:space="preserve"> Villa, S. 2009. ‘Nails for the Dead: A </w:t>
      </w:r>
      <w:proofErr w:type="spellStart"/>
      <w:r>
        <w:t>Polysemic</w:t>
      </w:r>
      <w:proofErr w:type="spellEnd"/>
      <w:r>
        <w:t xml:space="preserve"> Account of an Ancient Funerary Practice’ In R. Gordon and F. M. Simón (eds.), Magical Practices in the Latin West. Leiden: Brill. 427– 56.</w:t>
      </w:r>
    </w:p>
    <w:p w:rsidR="00FD4D91" w:rsidRDefault="00FD4D91" w:rsidP="00FD4D91">
      <w:proofErr w:type="spellStart"/>
      <w:r>
        <w:t>Balter</w:t>
      </w:r>
      <w:proofErr w:type="spellEnd"/>
      <w:r>
        <w:t>, M. 2005. ‘Deviant’ Burials Reveal Death on the Fringe in Ancient Societies. Science, 310 (5748), 613–613.</w:t>
      </w:r>
    </w:p>
    <w:p w:rsidR="00FD4D91" w:rsidRDefault="00FD4D91" w:rsidP="00FD4D91">
      <w:proofErr w:type="spellStart"/>
      <w:r>
        <w:t>Caciola</w:t>
      </w:r>
      <w:proofErr w:type="spellEnd"/>
      <w:r>
        <w:t xml:space="preserve">, N. 1996. Wraiths, </w:t>
      </w:r>
      <w:proofErr w:type="gramStart"/>
      <w:r>
        <w:t>Revenants</w:t>
      </w:r>
      <w:proofErr w:type="gramEnd"/>
      <w:r>
        <w:t xml:space="preserve"> and Ritual in Medieval Culture. Past &amp; Present, (152), 3–45.</w:t>
      </w:r>
    </w:p>
    <w:p w:rsidR="00FD4D91" w:rsidRDefault="00FD4D91" w:rsidP="00FD4D91">
      <w:r>
        <w:t>Little, L. M. and Papadopoulos, J. K. 1998. A Social Outcast in Early Iron Age Athens. Hesperia: The Journal of the American School of Classical Studies at Athens, 67 (4), 375–404.</w:t>
      </w:r>
    </w:p>
    <w:p w:rsidR="00FD4D91" w:rsidRDefault="00FD4D91" w:rsidP="00FD4D91">
      <w:r>
        <w:t xml:space="preserve">Hight, G. H. 1914. The Saga of </w:t>
      </w:r>
      <w:proofErr w:type="spellStart"/>
      <w:r>
        <w:t>Grettir</w:t>
      </w:r>
      <w:proofErr w:type="spellEnd"/>
      <w:r>
        <w:t xml:space="preserve"> the Strong. London: Penguin Books.</w:t>
      </w:r>
    </w:p>
    <w:p w:rsidR="00FD4D91" w:rsidRDefault="00FD4D91" w:rsidP="00FD4D91">
      <w:r>
        <w:t xml:space="preserve">Van </w:t>
      </w:r>
      <w:proofErr w:type="spellStart"/>
      <w:r>
        <w:t>Effelterre</w:t>
      </w:r>
      <w:proofErr w:type="spellEnd"/>
      <w:r>
        <w:t>, K. 2007. The Return of the Dead: Revenants in Flemish Traditional and Contemporary Legends. Folklore, 118 (1), 65–77.</w:t>
      </w:r>
    </w:p>
    <w:p w:rsidR="00FD4D91" w:rsidRDefault="00FD4D91" w:rsidP="00FD4D91">
      <w:r>
        <w:t xml:space="preserve">Weaver, C. L. S. 2015. The Bioarchaeology of Classical </w:t>
      </w:r>
      <w:proofErr w:type="spellStart"/>
      <w:r>
        <w:t>Kamarina</w:t>
      </w:r>
      <w:proofErr w:type="spellEnd"/>
      <w:r>
        <w:t>: Life and Death in Greek Sicily. Gainesville: University Press of Florida.</w:t>
      </w:r>
    </w:p>
    <w:p w:rsidR="00FD4D91" w:rsidRPr="00FD4D91" w:rsidRDefault="00FD4D91" w:rsidP="00FD4D91"/>
    <w:sectPr w:rsidR="00FD4D91" w:rsidRPr="00FD4D9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E6692" w:rsidRDefault="003E6692" w:rsidP="00E778A0">
      <w:pPr>
        <w:spacing w:after="0" w:line="240" w:lineRule="auto"/>
      </w:pPr>
      <w:r>
        <w:separator/>
      </w:r>
    </w:p>
  </w:endnote>
  <w:endnote w:type="continuationSeparator" w:id="0">
    <w:p w:rsidR="003E6692" w:rsidRDefault="003E6692" w:rsidP="00E778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E6692" w:rsidRDefault="003E6692" w:rsidP="00E778A0">
      <w:pPr>
        <w:spacing w:after="0" w:line="240" w:lineRule="auto"/>
      </w:pPr>
      <w:r>
        <w:separator/>
      </w:r>
    </w:p>
  </w:footnote>
  <w:footnote w:type="continuationSeparator" w:id="0">
    <w:p w:rsidR="003E6692" w:rsidRDefault="003E6692" w:rsidP="00E778A0">
      <w:pPr>
        <w:spacing w:after="0" w:line="240" w:lineRule="auto"/>
      </w:pPr>
      <w:r>
        <w:continuationSeparator/>
      </w:r>
    </w:p>
  </w:footnote>
  <w:footnote w:id="1">
    <w:p w:rsidR="00E778A0" w:rsidRDefault="00E778A0">
      <w:pPr>
        <w:pStyle w:val="FootnoteText"/>
      </w:pPr>
      <w:r>
        <w:rPr>
          <w:rStyle w:val="FootnoteReference"/>
        </w:rPr>
        <w:footnoteRef/>
      </w:r>
      <w:r>
        <w:t xml:space="preserve"> Weaver 2015: 213</w:t>
      </w:r>
    </w:p>
  </w:footnote>
  <w:footnote w:id="2">
    <w:p w:rsidR="00E778A0" w:rsidRDefault="00E778A0">
      <w:pPr>
        <w:pStyle w:val="FootnoteText"/>
      </w:pPr>
      <w:r>
        <w:rPr>
          <w:rStyle w:val="FootnoteReference"/>
        </w:rPr>
        <w:footnoteRef/>
      </w:r>
      <w:r>
        <w:t xml:space="preserve"> </w:t>
      </w:r>
      <w:proofErr w:type="spellStart"/>
      <w:r>
        <w:t>Caciola</w:t>
      </w:r>
      <w:proofErr w:type="spellEnd"/>
      <w:r>
        <w:t xml:space="preserve"> 1996: 15</w:t>
      </w:r>
    </w:p>
  </w:footnote>
  <w:footnote w:id="3">
    <w:p w:rsidR="00E778A0" w:rsidRDefault="00E778A0">
      <w:pPr>
        <w:pStyle w:val="FootnoteText"/>
      </w:pPr>
      <w:r>
        <w:rPr>
          <w:rStyle w:val="FootnoteReference"/>
        </w:rPr>
        <w:footnoteRef/>
      </w:r>
      <w:r>
        <w:t xml:space="preserve"> Weaver 2015: 213</w:t>
      </w:r>
    </w:p>
  </w:footnote>
  <w:footnote w:id="4">
    <w:p w:rsidR="00E778A0" w:rsidRDefault="00E778A0">
      <w:pPr>
        <w:pStyle w:val="FootnoteText"/>
      </w:pPr>
      <w:r>
        <w:rPr>
          <w:rStyle w:val="FootnoteReference"/>
        </w:rPr>
        <w:footnoteRef/>
      </w:r>
      <w:r>
        <w:t xml:space="preserve"> Van </w:t>
      </w:r>
      <w:proofErr w:type="spellStart"/>
      <w:r>
        <w:t>Effelterre</w:t>
      </w:r>
      <w:proofErr w:type="spellEnd"/>
      <w:r>
        <w:t xml:space="preserve"> 2007: 68</w:t>
      </w:r>
    </w:p>
  </w:footnote>
  <w:footnote w:id="5">
    <w:p w:rsidR="00E778A0" w:rsidRDefault="00E778A0">
      <w:pPr>
        <w:pStyle w:val="FootnoteText"/>
      </w:pPr>
      <w:r>
        <w:rPr>
          <w:rStyle w:val="FootnoteReference"/>
        </w:rPr>
        <w:footnoteRef/>
      </w:r>
      <w:r>
        <w:t xml:space="preserve"> Van </w:t>
      </w:r>
      <w:proofErr w:type="spellStart"/>
      <w:r>
        <w:t>Effelterre</w:t>
      </w:r>
      <w:proofErr w:type="spellEnd"/>
      <w:r>
        <w:t xml:space="preserve"> 2007: 67</w:t>
      </w:r>
    </w:p>
  </w:footnote>
  <w:footnote w:id="6">
    <w:p w:rsidR="0085659A" w:rsidRDefault="0085659A">
      <w:pPr>
        <w:pStyle w:val="FootnoteText"/>
      </w:pPr>
      <w:r>
        <w:rPr>
          <w:rStyle w:val="FootnoteReference"/>
        </w:rPr>
        <w:footnoteRef/>
      </w:r>
      <w:r>
        <w:t xml:space="preserve"> Weaver 2015: 199</w:t>
      </w:r>
    </w:p>
  </w:footnote>
  <w:footnote w:id="7">
    <w:p w:rsidR="0085659A" w:rsidRDefault="0085659A">
      <w:pPr>
        <w:pStyle w:val="FootnoteText"/>
      </w:pPr>
      <w:r>
        <w:rPr>
          <w:rStyle w:val="FootnoteReference"/>
        </w:rPr>
        <w:footnoteRef/>
      </w:r>
      <w:r>
        <w:t xml:space="preserve"> Weaver 2015: 201</w:t>
      </w:r>
    </w:p>
  </w:footnote>
  <w:footnote w:id="8">
    <w:p w:rsidR="0085659A" w:rsidRDefault="0085659A">
      <w:pPr>
        <w:pStyle w:val="FootnoteText"/>
      </w:pPr>
      <w:r>
        <w:rPr>
          <w:rStyle w:val="FootnoteReference"/>
        </w:rPr>
        <w:footnoteRef/>
      </w:r>
      <w:r>
        <w:t xml:space="preserve"> Weaver 2015: 214</w:t>
      </w:r>
    </w:p>
  </w:footnote>
  <w:footnote w:id="9">
    <w:p w:rsidR="002D5B40" w:rsidRDefault="002D5B40">
      <w:pPr>
        <w:pStyle w:val="FootnoteText"/>
      </w:pPr>
      <w:r>
        <w:rPr>
          <w:rStyle w:val="FootnoteReference"/>
        </w:rPr>
        <w:footnoteRef/>
      </w:r>
      <w:r>
        <w:t xml:space="preserve"> Weaver 2015: 200</w:t>
      </w:r>
    </w:p>
  </w:footnote>
  <w:footnote w:id="10">
    <w:p w:rsidR="002D5B40" w:rsidRDefault="002D5B40" w:rsidP="002D5B40">
      <w:pPr>
        <w:pStyle w:val="FootnoteText"/>
      </w:pPr>
      <w:r>
        <w:rPr>
          <w:rStyle w:val="FootnoteReference"/>
        </w:rPr>
        <w:footnoteRef/>
      </w:r>
      <w:r>
        <w:t xml:space="preserve"> Weaver 2015: 200</w:t>
      </w:r>
    </w:p>
  </w:footnote>
  <w:footnote w:id="11">
    <w:p w:rsidR="002D5B40" w:rsidRDefault="002D5B40" w:rsidP="002D5B40">
      <w:pPr>
        <w:pStyle w:val="FootnoteText"/>
      </w:pPr>
      <w:r>
        <w:rPr>
          <w:rStyle w:val="FootnoteReference"/>
        </w:rPr>
        <w:footnoteRef/>
      </w:r>
      <w:r>
        <w:t xml:space="preserve"> Weaver 2015: 206</w:t>
      </w:r>
    </w:p>
  </w:footnote>
  <w:footnote w:id="12">
    <w:p w:rsidR="002D5B40" w:rsidRDefault="002D5B40" w:rsidP="002D5B40">
      <w:pPr>
        <w:pStyle w:val="FootnoteText"/>
      </w:pPr>
      <w:r>
        <w:rPr>
          <w:rStyle w:val="FootnoteReference"/>
        </w:rPr>
        <w:footnoteRef/>
      </w:r>
      <w:r>
        <w:t xml:space="preserve"> </w:t>
      </w:r>
      <w:proofErr w:type="spellStart"/>
      <w:r>
        <w:t>Hdt</w:t>
      </w:r>
      <w:proofErr w:type="spellEnd"/>
      <w:r>
        <w:t>. 4.190</w:t>
      </w:r>
    </w:p>
  </w:footnote>
  <w:footnote w:id="13">
    <w:p w:rsidR="002D5B40" w:rsidRDefault="002D5B40" w:rsidP="002D5B40">
      <w:pPr>
        <w:pStyle w:val="FootnoteText"/>
      </w:pPr>
      <w:r>
        <w:rPr>
          <w:rStyle w:val="FootnoteReference"/>
        </w:rPr>
        <w:footnoteRef/>
      </w:r>
      <w:r>
        <w:t xml:space="preserve"> </w:t>
      </w:r>
      <w:proofErr w:type="spellStart"/>
      <w:r>
        <w:t>Hdt</w:t>
      </w:r>
      <w:proofErr w:type="spellEnd"/>
      <w:r>
        <w:t>. 4.26.2</w:t>
      </w:r>
    </w:p>
  </w:footnote>
  <w:footnote w:id="14">
    <w:p w:rsidR="00064389" w:rsidRDefault="00064389" w:rsidP="00064389">
      <w:pPr>
        <w:pStyle w:val="FootnoteText"/>
      </w:pPr>
      <w:r>
        <w:rPr>
          <w:rStyle w:val="FootnoteReference"/>
        </w:rPr>
        <w:footnoteRef/>
      </w:r>
      <w:r>
        <w:t xml:space="preserve"> </w:t>
      </w:r>
      <w:proofErr w:type="spellStart"/>
      <w:r>
        <w:t>Balter</w:t>
      </w:r>
      <w:proofErr w:type="spellEnd"/>
      <w:r>
        <w:t xml:space="preserve"> 2005:613 </w:t>
      </w:r>
    </w:p>
  </w:footnote>
  <w:footnote w:id="15">
    <w:p w:rsidR="00064389" w:rsidRDefault="00064389" w:rsidP="00064389">
      <w:pPr>
        <w:pStyle w:val="FootnoteText"/>
      </w:pPr>
      <w:r>
        <w:rPr>
          <w:rStyle w:val="FootnoteReference"/>
        </w:rPr>
        <w:footnoteRef/>
      </w:r>
      <w:r>
        <w:t xml:space="preserve"> </w:t>
      </w:r>
      <w:proofErr w:type="spellStart"/>
      <w:r>
        <w:t>Balter</w:t>
      </w:r>
      <w:proofErr w:type="spellEnd"/>
      <w:r>
        <w:t xml:space="preserve"> 2005: 613</w:t>
      </w:r>
    </w:p>
  </w:footnote>
  <w:footnote w:id="16">
    <w:p w:rsidR="00064389" w:rsidRDefault="00064389" w:rsidP="00064389">
      <w:pPr>
        <w:pStyle w:val="FootnoteText"/>
      </w:pPr>
      <w:r>
        <w:rPr>
          <w:rStyle w:val="FootnoteReference"/>
        </w:rPr>
        <w:footnoteRef/>
      </w:r>
      <w:r>
        <w:t xml:space="preserve"> </w:t>
      </w:r>
      <w:proofErr w:type="spellStart"/>
      <w:r>
        <w:t>Caciola</w:t>
      </w:r>
      <w:proofErr w:type="spellEnd"/>
      <w:r>
        <w:t xml:space="preserve"> 1996: 14</w:t>
      </w:r>
    </w:p>
  </w:footnote>
  <w:footnote w:id="17">
    <w:p w:rsidR="00064389" w:rsidRDefault="00064389" w:rsidP="00064389">
      <w:pPr>
        <w:pStyle w:val="FootnoteText"/>
      </w:pPr>
      <w:r>
        <w:rPr>
          <w:rStyle w:val="FootnoteReference"/>
        </w:rPr>
        <w:footnoteRef/>
      </w:r>
      <w:r>
        <w:t xml:space="preserve"> </w:t>
      </w:r>
      <w:proofErr w:type="spellStart"/>
      <w:r>
        <w:t>Caciola</w:t>
      </w:r>
      <w:proofErr w:type="spellEnd"/>
      <w:r>
        <w:t xml:space="preserve"> 1996: 14</w:t>
      </w:r>
    </w:p>
  </w:footnote>
  <w:footnote w:id="18">
    <w:p w:rsidR="00A529F7" w:rsidRDefault="00A529F7" w:rsidP="00A529F7">
      <w:pPr>
        <w:pStyle w:val="FootnoteText"/>
      </w:pPr>
      <w:r>
        <w:rPr>
          <w:rStyle w:val="FootnoteReference"/>
        </w:rPr>
        <w:footnoteRef/>
      </w:r>
      <w:r>
        <w:t xml:space="preserve"> Weaver 2015: 212-3</w:t>
      </w:r>
    </w:p>
  </w:footnote>
  <w:footnote w:id="19">
    <w:p w:rsidR="00A529F7" w:rsidRDefault="00A529F7" w:rsidP="00A529F7">
      <w:pPr>
        <w:pStyle w:val="FootnoteText"/>
      </w:pPr>
      <w:r>
        <w:rPr>
          <w:rStyle w:val="FootnoteReference"/>
        </w:rPr>
        <w:footnoteRef/>
      </w:r>
      <w:r>
        <w:t xml:space="preserve"> Weaver 2015: 212-3</w:t>
      </w:r>
    </w:p>
  </w:footnote>
  <w:footnote w:id="20">
    <w:p w:rsidR="00A529F7" w:rsidRDefault="00A529F7" w:rsidP="00A529F7">
      <w:pPr>
        <w:pStyle w:val="FootnoteText"/>
      </w:pPr>
      <w:r>
        <w:rPr>
          <w:rStyle w:val="FootnoteReference"/>
        </w:rPr>
        <w:footnoteRef/>
      </w:r>
      <w:r>
        <w:t xml:space="preserve"> Weaver 2015: 213</w:t>
      </w:r>
    </w:p>
  </w:footnote>
  <w:footnote w:id="21">
    <w:p w:rsidR="00A529F7" w:rsidRDefault="00A529F7" w:rsidP="00A529F7">
      <w:pPr>
        <w:pStyle w:val="FootnoteText"/>
      </w:pPr>
      <w:r>
        <w:rPr>
          <w:rStyle w:val="FootnoteReference"/>
        </w:rPr>
        <w:footnoteRef/>
      </w:r>
      <w:r>
        <w:t xml:space="preserve"> Weaver 2015: 213</w:t>
      </w:r>
    </w:p>
  </w:footnote>
  <w:footnote w:id="22">
    <w:p w:rsidR="00A529F7" w:rsidRDefault="00A529F7" w:rsidP="00A529F7">
      <w:pPr>
        <w:pStyle w:val="FootnoteText"/>
      </w:pPr>
      <w:r>
        <w:rPr>
          <w:rStyle w:val="FootnoteReference"/>
        </w:rPr>
        <w:footnoteRef/>
      </w:r>
      <w:r>
        <w:t xml:space="preserve"> Van </w:t>
      </w:r>
      <w:proofErr w:type="spellStart"/>
      <w:r>
        <w:t>Effelterre</w:t>
      </w:r>
      <w:proofErr w:type="spellEnd"/>
      <w:r>
        <w:t xml:space="preserve"> 2007: 71</w:t>
      </w:r>
    </w:p>
  </w:footnote>
  <w:footnote w:id="23">
    <w:p w:rsidR="00A529F7" w:rsidRDefault="00A529F7" w:rsidP="00A529F7">
      <w:pPr>
        <w:pStyle w:val="FootnoteText"/>
      </w:pPr>
      <w:r>
        <w:rPr>
          <w:rStyle w:val="FootnoteReference"/>
        </w:rPr>
        <w:footnoteRef/>
      </w:r>
      <w:r>
        <w:t xml:space="preserve"> Weaver 2015: 213</w:t>
      </w:r>
    </w:p>
  </w:footnote>
  <w:footnote w:id="24">
    <w:p w:rsidR="00A529F7" w:rsidRDefault="00A529F7" w:rsidP="00A529F7">
      <w:pPr>
        <w:pStyle w:val="FootnoteText"/>
      </w:pPr>
      <w:r>
        <w:rPr>
          <w:rStyle w:val="FootnoteReference"/>
        </w:rPr>
        <w:footnoteRef/>
      </w:r>
      <w:r>
        <w:t xml:space="preserve"> Weaver 2015: 213</w:t>
      </w:r>
    </w:p>
  </w:footnote>
  <w:footnote w:id="25">
    <w:p w:rsidR="00A529F7" w:rsidRDefault="00A529F7" w:rsidP="00A529F7">
      <w:pPr>
        <w:pStyle w:val="FootnoteText"/>
      </w:pPr>
      <w:r>
        <w:rPr>
          <w:rStyle w:val="FootnoteReference"/>
        </w:rPr>
        <w:footnoteRef/>
      </w:r>
      <w:r>
        <w:t xml:space="preserve"> </w:t>
      </w:r>
      <w:proofErr w:type="spellStart"/>
      <w:r>
        <w:t>Alfaye</w:t>
      </w:r>
      <w:proofErr w:type="spellEnd"/>
      <w:r>
        <w:t xml:space="preserve"> Villa 2009: 445-448</w:t>
      </w:r>
    </w:p>
  </w:footnote>
  <w:footnote w:id="26">
    <w:p w:rsidR="004C5F36" w:rsidRDefault="004C5F36" w:rsidP="004C5F36">
      <w:pPr>
        <w:pStyle w:val="FootnoteText"/>
      </w:pPr>
      <w:r>
        <w:rPr>
          <w:rStyle w:val="FootnoteReference"/>
        </w:rPr>
        <w:footnoteRef/>
      </w:r>
      <w:r>
        <w:t xml:space="preserve"> </w:t>
      </w:r>
      <w:proofErr w:type="spellStart"/>
      <w:r>
        <w:t>Balter</w:t>
      </w:r>
      <w:proofErr w:type="spellEnd"/>
      <w:r>
        <w:t xml:space="preserve"> 2005: 613</w:t>
      </w:r>
    </w:p>
  </w:footnote>
  <w:footnote w:id="27">
    <w:p w:rsidR="004C5F36" w:rsidRDefault="004C5F36" w:rsidP="004C5F36">
      <w:pPr>
        <w:pStyle w:val="FootnoteText"/>
      </w:pPr>
      <w:r>
        <w:rPr>
          <w:rStyle w:val="FootnoteReference"/>
        </w:rPr>
        <w:footnoteRef/>
      </w:r>
      <w:r>
        <w:t xml:space="preserve"> </w:t>
      </w:r>
      <w:proofErr w:type="spellStart"/>
      <w:r>
        <w:t>Balter</w:t>
      </w:r>
      <w:proofErr w:type="spellEnd"/>
      <w:r>
        <w:t xml:space="preserve"> 2005: 613</w:t>
      </w:r>
    </w:p>
  </w:footnote>
  <w:footnote w:id="28">
    <w:p w:rsidR="004C5F36" w:rsidRDefault="004C5F36" w:rsidP="004C5F36">
      <w:pPr>
        <w:pStyle w:val="FootnoteText"/>
      </w:pPr>
      <w:r>
        <w:rPr>
          <w:rStyle w:val="FootnoteReference"/>
        </w:rPr>
        <w:footnoteRef/>
      </w:r>
      <w:r>
        <w:t xml:space="preserve"> </w:t>
      </w:r>
      <w:proofErr w:type="spellStart"/>
      <w:r>
        <w:t>Cacoila</w:t>
      </w:r>
      <w:proofErr w:type="spellEnd"/>
      <w:r>
        <w:t xml:space="preserve"> 1996: 15; Hight 1914: 86-100</w:t>
      </w:r>
    </w:p>
  </w:footnote>
  <w:footnote w:id="29">
    <w:p w:rsidR="004C5F36" w:rsidRDefault="004C5F36" w:rsidP="004C5F36">
      <w:pPr>
        <w:pStyle w:val="FootnoteText"/>
      </w:pPr>
      <w:r>
        <w:rPr>
          <w:rStyle w:val="FootnoteReference"/>
        </w:rPr>
        <w:footnoteRef/>
      </w:r>
      <w:r>
        <w:t xml:space="preserve"> Hight 1914: 86-100</w:t>
      </w:r>
    </w:p>
  </w:footnote>
  <w:footnote w:id="30">
    <w:p w:rsidR="004C5F36" w:rsidRDefault="004C5F36">
      <w:pPr>
        <w:pStyle w:val="FootnoteText"/>
      </w:pPr>
      <w:r>
        <w:rPr>
          <w:rStyle w:val="FootnoteReference"/>
        </w:rPr>
        <w:footnoteRef/>
      </w:r>
      <w:r>
        <w:t xml:space="preserve"> </w:t>
      </w:r>
      <w:proofErr w:type="spellStart"/>
      <w:r>
        <w:t>Caciola</w:t>
      </w:r>
      <w:proofErr w:type="spellEnd"/>
      <w:r>
        <w:t xml:space="preserve"> 1996: 20</w:t>
      </w:r>
    </w:p>
  </w:footnote>
  <w:footnote w:id="31">
    <w:p w:rsidR="003F7795" w:rsidRDefault="003F7795" w:rsidP="003F7795">
      <w:pPr>
        <w:pStyle w:val="FootnoteText"/>
      </w:pPr>
      <w:r>
        <w:rPr>
          <w:rStyle w:val="FootnoteReference"/>
        </w:rPr>
        <w:footnoteRef/>
      </w:r>
      <w:r>
        <w:t xml:space="preserve"> Little and Papadopoulos 1998: 376</w:t>
      </w:r>
    </w:p>
  </w:footnote>
  <w:footnote w:id="32">
    <w:p w:rsidR="003F7795" w:rsidRDefault="003F7795" w:rsidP="003F7795">
      <w:pPr>
        <w:pStyle w:val="FootnoteText"/>
      </w:pPr>
      <w:r>
        <w:rPr>
          <w:rStyle w:val="FootnoteReference"/>
        </w:rPr>
        <w:footnoteRef/>
      </w:r>
      <w:r>
        <w:t xml:space="preserve"> Little and Papadopoulos 1988: 376</w:t>
      </w:r>
    </w:p>
  </w:footnote>
  <w:footnote w:id="33">
    <w:p w:rsidR="003F7795" w:rsidRDefault="003F7795" w:rsidP="003F7795">
      <w:pPr>
        <w:pStyle w:val="FootnoteText"/>
      </w:pPr>
      <w:r>
        <w:rPr>
          <w:rStyle w:val="FootnoteReference"/>
        </w:rPr>
        <w:footnoteRef/>
      </w:r>
      <w:r>
        <w:t xml:space="preserve"> Weaver 2015: 211</w:t>
      </w:r>
    </w:p>
  </w:footnote>
  <w:footnote w:id="34">
    <w:p w:rsidR="003F7795" w:rsidRDefault="003F7795" w:rsidP="003F7795">
      <w:pPr>
        <w:pStyle w:val="FootnoteText"/>
      </w:pPr>
      <w:r>
        <w:rPr>
          <w:rStyle w:val="FootnoteReference"/>
        </w:rPr>
        <w:footnoteRef/>
      </w:r>
      <w:r>
        <w:t xml:space="preserve"> Weaver 2015: 211</w:t>
      </w:r>
    </w:p>
  </w:footnote>
  <w:footnote w:id="35">
    <w:p w:rsidR="003F7795" w:rsidRDefault="003F7795" w:rsidP="003F7795">
      <w:pPr>
        <w:pStyle w:val="FootnoteText"/>
      </w:pPr>
      <w:r>
        <w:rPr>
          <w:rStyle w:val="FootnoteReference"/>
        </w:rPr>
        <w:footnoteRef/>
      </w:r>
      <w:r>
        <w:t xml:space="preserve"> Weaver 2015: 211</w:t>
      </w:r>
    </w:p>
  </w:footnote>
  <w:footnote w:id="36">
    <w:p w:rsidR="003F7795" w:rsidRDefault="003F7795" w:rsidP="003F7795">
      <w:pPr>
        <w:pStyle w:val="FootnoteText"/>
      </w:pPr>
      <w:r>
        <w:rPr>
          <w:rStyle w:val="FootnoteReference"/>
        </w:rPr>
        <w:footnoteRef/>
      </w:r>
      <w:r>
        <w:t xml:space="preserve"> Weaver 2015: 211</w:t>
      </w:r>
    </w:p>
  </w:footnote>
  <w:footnote w:id="37">
    <w:p w:rsidR="003F7795" w:rsidRDefault="003F7795" w:rsidP="003F7795">
      <w:pPr>
        <w:pStyle w:val="FootnoteText"/>
      </w:pPr>
      <w:r>
        <w:rPr>
          <w:rStyle w:val="FootnoteReference"/>
        </w:rPr>
        <w:footnoteRef/>
      </w:r>
      <w:r>
        <w:t xml:space="preserve"> Weaver 2015: 212</w:t>
      </w:r>
    </w:p>
  </w:footnote>
  <w:footnote w:id="38">
    <w:p w:rsidR="003F7795" w:rsidRDefault="003F7795" w:rsidP="003F7795">
      <w:pPr>
        <w:pStyle w:val="FootnoteText"/>
      </w:pPr>
      <w:r>
        <w:rPr>
          <w:rStyle w:val="FootnoteReference"/>
        </w:rPr>
        <w:footnoteRef/>
      </w:r>
      <w:r>
        <w:t xml:space="preserve"> Weaver 2015: 212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36E16DA"/>
    <w:multiLevelType w:val="hybridMultilevel"/>
    <w:tmpl w:val="C0DEAC80"/>
    <w:lvl w:ilvl="0" w:tplc="39A2612E">
      <w:numFmt w:val="bullet"/>
      <w:lvlText w:val="-"/>
      <w:lvlJc w:val="left"/>
      <w:pPr>
        <w:ind w:left="720" w:hanging="360"/>
      </w:pPr>
      <w:rPr>
        <w:rFonts w:ascii="Calibri" w:eastAsiaTheme="minorHAnsi" w:hAnsi="Calibri"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778A0"/>
    <w:rsid w:val="00017C48"/>
    <w:rsid w:val="00064389"/>
    <w:rsid w:val="000D66AB"/>
    <w:rsid w:val="002D5B40"/>
    <w:rsid w:val="003E6692"/>
    <w:rsid w:val="003F7795"/>
    <w:rsid w:val="004C5F36"/>
    <w:rsid w:val="007F769C"/>
    <w:rsid w:val="0085659A"/>
    <w:rsid w:val="00886635"/>
    <w:rsid w:val="008E567A"/>
    <w:rsid w:val="00A1775D"/>
    <w:rsid w:val="00A529F7"/>
    <w:rsid w:val="00B30A29"/>
    <w:rsid w:val="00E778A0"/>
    <w:rsid w:val="00FD4D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D292A4"/>
  <w15:chartTrackingRefBased/>
  <w15:docId w15:val="{79D3D5DE-88AE-4B66-AEAD-540315AB41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1"/>
        <w:szCs w:val="21"/>
        <w:lang w:val="en-GB" w:eastAsia="en-US" w:bidi="ar-SA"/>
      </w:rPr>
    </w:rPrDefault>
    <w:pPrDefault>
      <w:pPr>
        <w:spacing w:after="160" w:line="276" w:lineRule="auto"/>
      </w:pPr>
    </w:pPrDefault>
  </w:docDefaults>
  <w:latentStyles w:defLockedState="0" w:defUIPriority="99" w:defSemiHidden="0" w:defUnhideWhenUsed="0" w:defQFormat="0" w:count="374">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atentStyles>
  <w:style w:type="paragraph" w:default="1" w:styleId="Normal">
    <w:name w:val="Normal"/>
    <w:qFormat/>
    <w:rsid w:val="007F769C"/>
  </w:style>
  <w:style w:type="paragraph" w:styleId="Heading1">
    <w:name w:val="heading 1"/>
    <w:basedOn w:val="Normal"/>
    <w:next w:val="Normal"/>
    <w:link w:val="Heading1Char"/>
    <w:uiPriority w:val="9"/>
    <w:qFormat/>
    <w:rsid w:val="007F769C"/>
    <w:pPr>
      <w:keepNext/>
      <w:keepLines/>
      <w:pBdr>
        <w:bottom w:val="single" w:sz="4" w:space="2" w:color="ED7D31"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rsid w:val="007F769C"/>
    <w:pPr>
      <w:keepNext/>
      <w:keepLines/>
      <w:spacing w:before="120" w:after="0" w:line="240" w:lineRule="auto"/>
      <w:outlineLvl w:val="1"/>
    </w:pPr>
    <w:rPr>
      <w:rFonts w:asciiTheme="majorHAnsi" w:eastAsiaTheme="majorEastAsia" w:hAnsiTheme="majorHAnsi" w:cstheme="majorBidi"/>
      <w:color w:val="ED7D31" w:themeColor="accent2"/>
      <w:sz w:val="36"/>
      <w:szCs w:val="36"/>
    </w:rPr>
  </w:style>
  <w:style w:type="paragraph" w:styleId="Heading3">
    <w:name w:val="heading 3"/>
    <w:basedOn w:val="Normal"/>
    <w:next w:val="Normal"/>
    <w:link w:val="Heading3Char"/>
    <w:uiPriority w:val="9"/>
    <w:semiHidden/>
    <w:unhideWhenUsed/>
    <w:qFormat/>
    <w:rsid w:val="007F769C"/>
    <w:pPr>
      <w:keepNext/>
      <w:keepLines/>
      <w:spacing w:before="80" w:after="0" w:line="240" w:lineRule="auto"/>
      <w:outlineLvl w:val="2"/>
    </w:pPr>
    <w:rPr>
      <w:rFonts w:asciiTheme="majorHAnsi" w:eastAsiaTheme="majorEastAsia" w:hAnsiTheme="majorHAnsi" w:cstheme="majorBidi"/>
      <w:color w:val="C45911" w:themeColor="accent2" w:themeShade="BF"/>
      <w:sz w:val="32"/>
      <w:szCs w:val="32"/>
    </w:rPr>
  </w:style>
  <w:style w:type="paragraph" w:styleId="Heading4">
    <w:name w:val="heading 4"/>
    <w:basedOn w:val="Normal"/>
    <w:next w:val="Normal"/>
    <w:link w:val="Heading4Char"/>
    <w:uiPriority w:val="9"/>
    <w:semiHidden/>
    <w:unhideWhenUsed/>
    <w:qFormat/>
    <w:rsid w:val="007F769C"/>
    <w:pPr>
      <w:keepNext/>
      <w:keepLines/>
      <w:spacing w:before="80" w:after="0" w:line="240" w:lineRule="auto"/>
      <w:outlineLvl w:val="3"/>
    </w:pPr>
    <w:rPr>
      <w:rFonts w:asciiTheme="majorHAnsi" w:eastAsiaTheme="majorEastAsia" w:hAnsiTheme="majorHAnsi" w:cstheme="majorBidi"/>
      <w:i/>
      <w:iCs/>
      <w:color w:val="833C0B" w:themeColor="accent2" w:themeShade="80"/>
      <w:sz w:val="28"/>
      <w:szCs w:val="28"/>
    </w:rPr>
  </w:style>
  <w:style w:type="paragraph" w:styleId="Heading5">
    <w:name w:val="heading 5"/>
    <w:basedOn w:val="Normal"/>
    <w:next w:val="Normal"/>
    <w:link w:val="Heading5Char"/>
    <w:uiPriority w:val="9"/>
    <w:semiHidden/>
    <w:unhideWhenUsed/>
    <w:qFormat/>
    <w:rsid w:val="007F769C"/>
    <w:pPr>
      <w:keepNext/>
      <w:keepLines/>
      <w:spacing w:before="80" w:after="0" w:line="240" w:lineRule="auto"/>
      <w:outlineLvl w:val="4"/>
    </w:pPr>
    <w:rPr>
      <w:rFonts w:asciiTheme="majorHAnsi" w:eastAsiaTheme="majorEastAsia" w:hAnsiTheme="majorHAnsi" w:cstheme="majorBidi"/>
      <w:color w:val="C45911" w:themeColor="accent2" w:themeShade="BF"/>
      <w:sz w:val="24"/>
      <w:szCs w:val="24"/>
    </w:rPr>
  </w:style>
  <w:style w:type="paragraph" w:styleId="Heading6">
    <w:name w:val="heading 6"/>
    <w:basedOn w:val="Normal"/>
    <w:next w:val="Normal"/>
    <w:link w:val="Heading6Char"/>
    <w:uiPriority w:val="9"/>
    <w:semiHidden/>
    <w:unhideWhenUsed/>
    <w:qFormat/>
    <w:rsid w:val="007F769C"/>
    <w:pPr>
      <w:keepNext/>
      <w:keepLines/>
      <w:spacing w:before="80" w:after="0" w:line="240" w:lineRule="auto"/>
      <w:outlineLvl w:val="5"/>
    </w:pPr>
    <w:rPr>
      <w:rFonts w:asciiTheme="majorHAnsi" w:eastAsiaTheme="majorEastAsia" w:hAnsiTheme="majorHAnsi" w:cstheme="majorBidi"/>
      <w:i/>
      <w:iCs/>
      <w:color w:val="833C0B" w:themeColor="accent2" w:themeShade="80"/>
      <w:sz w:val="24"/>
      <w:szCs w:val="24"/>
    </w:rPr>
  </w:style>
  <w:style w:type="paragraph" w:styleId="Heading7">
    <w:name w:val="heading 7"/>
    <w:basedOn w:val="Normal"/>
    <w:next w:val="Normal"/>
    <w:link w:val="Heading7Char"/>
    <w:uiPriority w:val="9"/>
    <w:semiHidden/>
    <w:unhideWhenUsed/>
    <w:qFormat/>
    <w:rsid w:val="007F769C"/>
    <w:pPr>
      <w:keepNext/>
      <w:keepLines/>
      <w:spacing w:before="80" w:after="0" w:line="240" w:lineRule="auto"/>
      <w:outlineLvl w:val="6"/>
    </w:pPr>
    <w:rPr>
      <w:rFonts w:asciiTheme="majorHAnsi" w:eastAsiaTheme="majorEastAsia" w:hAnsiTheme="majorHAnsi" w:cstheme="majorBidi"/>
      <w:b/>
      <w:bCs/>
      <w:color w:val="833C0B" w:themeColor="accent2" w:themeShade="80"/>
      <w:sz w:val="22"/>
      <w:szCs w:val="22"/>
    </w:rPr>
  </w:style>
  <w:style w:type="paragraph" w:styleId="Heading8">
    <w:name w:val="heading 8"/>
    <w:basedOn w:val="Normal"/>
    <w:next w:val="Normal"/>
    <w:link w:val="Heading8Char"/>
    <w:uiPriority w:val="9"/>
    <w:semiHidden/>
    <w:unhideWhenUsed/>
    <w:qFormat/>
    <w:rsid w:val="007F769C"/>
    <w:pPr>
      <w:keepNext/>
      <w:keepLines/>
      <w:spacing w:before="80" w:after="0" w:line="240" w:lineRule="auto"/>
      <w:outlineLvl w:val="7"/>
    </w:pPr>
    <w:rPr>
      <w:rFonts w:asciiTheme="majorHAnsi" w:eastAsiaTheme="majorEastAsia" w:hAnsiTheme="majorHAnsi" w:cstheme="majorBidi"/>
      <w:color w:val="833C0B" w:themeColor="accent2" w:themeShade="80"/>
      <w:sz w:val="22"/>
      <w:szCs w:val="22"/>
    </w:rPr>
  </w:style>
  <w:style w:type="paragraph" w:styleId="Heading9">
    <w:name w:val="heading 9"/>
    <w:basedOn w:val="Normal"/>
    <w:next w:val="Normal"/>
    <w:link w:val="Heading9Char"/>
    <w:uiPriority w:val="9"/>
    <w:semiHidden/>
    <w:unhideWhenUsed/>
    <w:qFormat/>
    <w:rsid w:val="007F769C"/>
    <w:pPr>
      <w:keepNext/>
      <w:keepLines/>
      <w:spacing w:before="80" w:after="0" w:line="240" w:lineRule="auto"/>
      <w:outlineLvl w:val="8"/>
    </w:pPr>
    <w:rPr>
      <w:rFonts w:asciiTheme="majorHAnsi" w:eastAsiaTheme="majorEastAsia" w:hAnsiTheme="majorHAnsi" w:cstheme="majorBidi"/>
      <w:i/>
      <w:iCs/>
      <w:color w:val="833C0B"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769C"/>
    <w:rPr>
      <w:rFonts w:asciiTheme="majorHAnsi" w:eastAsiaTheme="majorEastAsia" w:hAnsiTheme="majorHAnsi" w:cstheme="majorBidi"/>
      <w:color w:val="262626" w:themeColor="text1" w:themeTint="D9"/>
      <w:sz w:val="40"/>
      <w:szCs w:val="40"/>
    </w:rPr>
  </w:style>
  <w:style w:type="character" w:customStyle="1" w:styleId="Heading2Char">
    <w:name w:val="Heading 2 Char"/>
    <w:basedOn w:val="DefaultParagraphFont"/>
    <w:link w:val="Heading2"/>
    <w:uiPriority w:val="9"/>
    <w:rsid w:val="007F769C"/>
    <w:rPr>
      <w:rFonts w:asciiTheme="majorHAnsi" w:eastAsiaTheme="majorEastAsia" w:hAnsiTheme="majorHAnsi" w:cstheme="majorBidi"/>
      <w:color w:val="ED7D31" w:themeColor="accent2"/>
      <w:sz w:val="36"/>
      <w:szCs w:val="36"/>
    </w:rPr>
  </w:style>
  <w:style w:type="character" w:customStyle="1" w:styleId="Heading3Char">
    <w:name w:val="Heading 3 Char"/>
    <w:basedOn w:val="DefaultParagraphFont"/>
    <w:link w:val="Heading3"/>
    <w:uiPriority w:val="9"/>
    <w:semiHidden/>
    <w:rsid w:val="007F769C"/>
    <w:rPr>
      <w:rFonts w:asciiTheme="majorHAnsi" w:eastAsiaTheme="majorEastAsia" w:hAnsiTheme="majorHAnsi" w:cstheme="majorBidi"/>
      <w:color w:val="C45911" w:themeColor="accent2" w:themeShade="BF"/>
      <w:sz w:val="32"/>
      <w:szCs w:val="32"/>
    </w:rPr>
  </w:style>
  <w:style w:type="character" w:customStyle="1" w:styleId="Heading4Char">
    <w:name w:val="Heading 4 Char"/>
    <w:basedOn w:val="DefaultParagraphFont"/>
    <w:link w:val="Heading4"/>
    <w:uiPriority w:val="9"/>
    <w:semiHidden/>
    <w:rsid w:val="007F769C"/>
    <w:rPr>
      <w:rFonts w:asciiTheme="majorHAnsi" w:eastAsiaTheme="majorEastAsia" w:hAnsiTheme="majorHAnsi" w:cstheme="majorBidi"/>
      <w:i/>
      <w:iCs/>
      <w:color w:val="833C0B" w:themeColor="accent2" w:themeShade="80"/>
      <w:sz w:val="28"/>
      <w:szCs w:val="28"/>
    </w:rPr>
  </w:style>
  <w:style w:type="character" w:customStyle="1" w:styleId="Heading5Char">
    <w:name w:val="Heading 5 Char"/>
    <w:basedOn w:val="DefaultParagraphFont"/>
    <w:link w:val="Heading5"/>
    <w:uiPriority w:val="9"/>
    <w:semiHidden/>
    <w:rsid w:val="007F769C"/>
    <w:rPr>
      <w:rFonts w:asciiTheme="majorHAnsi" w:eastAsiaTheme="majorEastAsia" w:hAnsiTheme="majorHAnsi" w:cstheme="majorBidi"/>
      <w:color w:val="C45911" w:themeColor="accent2" w:themeShade="BF"/>
      <w:sz w:val="24"/>
      <w:szCs w:val="24"/>
    </w:rPr>
  </w:style>
  <w:style w:type="character" w:customStyle="1" w:styleId="Heading6Char">
    <w:name w:val="Heading 6 Char"/>
    <w:basedOn w:val="DefaultParagraphFont"/>
    <w:link w:val="Heading6"/>
    <w:uiPriority w:val="9"/>
    <w:semiHidden/>
    <w:rsid w:val="007F769C"/>
    <w:rPr>
      <w:rFonts w:asciiTheme="majorHAnsi" w:eastAsiaTheme="majorEastAsia" w:hAnsiTheme="majorHAnsi" w:cstheme="majorBidi"/>
      <w:i/>
      <w:iCs/>
      <w:color w:val="833C0B" w:themeColor="accent2" w:themeShade="80"/>
      <w:sz w:val="24"/>
      <w:szCs w:val="24"/>
    </w:rPr>
  </w:style>
  <w:style w:type="character" w:customStyle="1" w:styleId="Heading7Char">
    <w:name w:val="Heading 7 Char"/>
    <w:basedOn w:val="DefaultParagraphFont"/>
    <w:link w:val="Heading7"/>
    <w:uiPriority w:val="9"/>
    <w:semiHidden/>
    <w:rsid w:val="007F769C"/>
    <w:rPr>
      <w:rFonts w:asciiTheme="majorHAnsi" w:eastAsiaTheme="majorEastAsia" w:hAnsiTheme="majorHAnsi" w:cstheme="majorBidi"/>
      <w:b/>
      <w:bCs/>
      <w:color w:val="833C0B" w:themeColor="accent2" w:themeShade="80"/>
      <w:sz w:val="22"/>
      <w:szCs w:val="22"/>
    </w:rPr>
  </w:style>
  <w:style w:type="character" w:customStyle="1" w:styleId="Heading8Char">
    <w:name w:val="Heading 8 Char"/>
    <w:basedOn w:val="DefaultParagraphFont"/>
    <w:link w:val="Heading8"/>
    <w:uiPriority w:val="9"/>
    <w:semiHidden/>
    <w:rsid w:val="007F769C"/>
    <w:rPr>
      <w:rFonts w:asciiTheme="majorHAnsi" w:eastAsiaTheme="majorEastAsia" w:hAnsiTheme="majorHAnsi" w:cstheme="majorBidi"/>
      <w:color w:val="833C0B" w:themeColor="accent2" w:themeShade="80"/>
      <w:sz w:val="22"/>
      <w:szCs w:val="22"/>
    </w:rPr>
  </w:style>
  <w:style w:type="character" w:customStyle="1" w:styleId="Heading9Char">
    <w:name w:val="Heading 9 Char"/>
    <w:basedOn w:val="DefaultParagraphFont"/>
    <w:link w:val="Heading9"/>
    <w:uiPriority w:val="9"/>
    <w:semiHidden/>
    <w:rsid w:val="007F769C"/>
    <w:rPr>
      <w:rFonts w:asciiTheme="majorHAnsi" w:eastAsiaTheme="majorEastAsia" w:hAnsiTheme="majorHAnsi" w:cstheme="majorBidi"/>
      <w:i/>
      <w:iCs/>
      <w:color w:val="833C0B" w:themeColor="accent2" w:themeShade="80"/>
      <w:sz w:val="22"/>
      <w:szCs w:val="22"/>
    </w:rPr>
  </w:style>
  <w:style w:type="paragraph" w:styleId="Caption">
    <w:name w:val="caption"/>
    <w:basedOn w:val="Normal"/>
    <w:next w:val="Normal"/>
    <w:uiPriority w:val="35"/>
    <w:semiHidden/>
    <w:unhideWhenUsed/>
    <w:qFormat/>
    <w:rsid w:val="007F769C"/>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7F769C"/>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7F769C"/>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7F769C"/>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7F769C"/>
    <w:rPr>
      <w:caps/>
      <w:color w:val="404040" w:themeColor="text1" w:themeTint="BF"/>
      <w:spacing w:val="20"/>
      <w:sz w:val="28"/>
      <w:szCs w:val="28"/>
    </w:rPr>
  </w:style>
  <w:style w:type="character" w:styleId="Strong">
    <w:name w:val="Strong"/>
    <w:basedOn w:val="DefaultParagraphFont"/>
    <w:uiPriority w:val="22"/>
    <w:qFormat/>
    <w:rsid w:val="007F769C"/>
    <w:rPr>
      <w:b/>
      <w:bCs/>
    </w:rPr>
  </w:style>
  <w:style w:type="character" w:styleId="Emphasis">
    <w:name w:val="Emphasis"/>
    <w:basedOn w:val="DefaultParagraphFont"/>
    <w:uiPriority w:val="20"/>
    <w:qFormat/>
    <w:rsid w:val="007F769C"/>
    <w:rPr>
      <w:i/>
      <w:iCs/>
      <w:color w:val="000000" w:themeColor="text1"/>
    </w:rPr>
  </w:style>
  <w:style w:type="paragraph" w:styleId="NoSpacing">
    <w:name w:val="No Spacing"/>
    <w:uiPriority w:val="1"/>
    <w:qFormat/>
    <w:rsid w:val="007F769C"/>
    <w:pPr>
      <w:spacing w:after="0" w:line="240" w:lineRule="auto"/>
    </w:pPr>
  </w:style>
  <w:style w:type="paragraph" w:styleId="Quote">
    <w:name w:val="Quote"/>
    <w:basedOn w:val="Normal"/>
    <w:next w:val="Normal"/>
    <w:link w:val="QuoteChar"/>
    <w:uiPriority w:val="29"/>
    <w:qFormat/>
    <w:rsid w:val="007F769C"/>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7F769C"/>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7F769C"/>
    <w:pPr>
      <w:pBdr>
        <w:top w:val="single" w:sz="24" w:space="4" w:color="ED7D31"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7F769C"/>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7F769C"/>
    <w:rPr>
      <w:i/>
      <w:iCs/>
      <w:color w:val="595959" w:themeColor="text1" w:themeTint="A6"/>
    </w:rPr>
  </w:style>
  <w:style w:type="character" w:styleId="IntenseEmphasis">
    <w:name w:val="Intense Emphasis"/>
    <w:basedOn w:val="DefaultParagraphFont"/>
    <w:uiPriority w:val="21"/>
    <w:qFormat/>
    <w:rsid w:val="007F769C"/>
    <w:rPr>
      <w:b/>
      <w:bCs/>
      <w:i/>
      <w:iCs/>
      <w:caps w:val="0"/>
      <w:smallCaps w:val="0"/>
      <w:strike w:val="0"/>
      <w:dstrike w:val="0"/>
      <w:color w:val="ED7D31" w:themeColor="accent2"/>
    </w:rPr>
  </w:style>
  <w:style w:type="character" w:styleId="SubtleReference">
    <w:name w:val="Subtle Reference"/>
    <w:basedOn w:val="DefaultParagraphFont"/>
    <w:uiPriority w:val="31"/>
    <w:qFormat/>
    <w:rsid w:val="007F769C"/>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7F769C"/>
    <w:rPr>
      <w:b/>
      <w:bCs/>
      <w:caps w:val="0"/>
      <w:smallCaps/>
      <w:color w:val="auto"/>
      <w:spacing w:val="0"/>
      <w:u w:val="single"/>
    </w:rPr>
  </w:style>
  <w:style w:type="character" w:styleId="BookTitle">
    <w:name w:val="Book Title"/>
    <w:basedOn w:val="DefaultParagraphFont"/>
    <w:uiPriority w:val="33"/>
    <w:qFormat/>
    <w:rsid w:val="007F769C"/>
    <w:rPr>
      <w:b/>
      <w:bCs/>
      <w:caps w:val="0"/>
      <w:smallCaps/>
      <w:spacing w:val="0"/>
    </w:rPr>
  </w:style>
  <w:style w:type="paragraph" w:styleId="TOCHeading">
    <w:name w:val="TOC Heading"/>
    <w:basedOn w:val="Heading1"/>
    <w:next w:val="Normal"/>
    <w:uiPriority w:val="39"/>
    <w:semiHidden/>
    <w:unhideWhenUsed/>
    <w:qFormat/>
    <w:rsid w:val="007F769C"/>
    <w:pPr>
      <w:outlineLvl w:val="9"/>
    </w:pPr>
  </w:style>
  <w:style w:type="paragraph" w:styleId="Header">
    <w:name w:val="header"/>
    <w:basedOn w:val="Normal"/>
    <w:link w:val="HeaderChar"/>
    <w:uiPriority w:val="99"/>
    <w:unhideWhenUsed/>
    <w:rsid w:val="00E778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78A0"/>
  </w:style>
  <w:style w:type="paragraph" w:styleId="Footer">
    <w:name w:val="footer"/>
    <w:basedOn w:val="Normal"/>
    <w:link w:val="FooterChar"/>
    <w:uiPriority w:val="99"/>
    <w:unhideWhenUsed/>
    <w:rsid w:val="00E778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78A0"/>
  </w:style>
  <w:style w:type="paragraph" w:styleId="FootnoteText">
    <w:name w:val="footnote text"/>
    <w:basedOn w:val="Normal"/>
    <w:link w:val="FootnoteTextChar"/>
    <w:uiPriority w:val="99"/>
    <w:semiHidden/>
    <w:unhideWhenUsed/>
    <w:rsid w:val="00E778A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778A0"/>
    <w:rPr>
      <w:sz w:val="20"/>
      <w:szCs w:val="20"/>
    </w:rPr>
  </w:style>
  <w:style w:type="character" w:styleId="FootnoteReference">
    <w:name w:val="footnote reference"/>
    <w:basedOn w:val="DefaultParagraphFont"/>
    <w:uiPriority w:val="99"/>
    <w:semiHidden/>
    <w:unhideWhenUsed/>
    <w:rsid w:val="00E778A0"/>
    <w:rPr>
      <w:vertAlign w:val="superscript"/>
    </w:rPr>
  </w:style>
  <w:style w:type="paragraph" w:styleId="ListParagraph">
    <w:name w:val="List Paragraph"/>
    <w:basedOn w:val="Normal"/>
    <w:uiPriority w:val="34"/>
    <w:qFormat/>
    <w:rsid w:val="0085659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TotalTime>
  <Pages>5</Pages>
  <Words>1840</Words>
  <Characters>10489</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Tomas Sharpe (1500326)</dc:creator>
  <cp:keywords/>
  <dc:description/>
  <cp:lastModifiedBy>Tomas Sharpe (1500326)</cp:lastModifiedBy>
  <cp:revision>6</cp:revision>
  <dcterms:created xsi:type="dcterms:W3CDTF">2018-01-19T12:41:00Z</dcterms:created>
  <dcterms:modified xsi:type="dcterms:W3CDTF">2018-01-19T15:04:00Z</dcterms:modified>
</cp:coreProperties>
</file>