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ink/ink1.xml" ContentType="application/inkml+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16533" w14:textId="77777777" w:rsidR="007D05D7" w:rsidRDefault="007D05D7">
      <w:pPr>
        <w:pStyle w:val="Title"/>
      </w:pPr>
    </w:p>
    <w:p w14:paraId="3C33B1DB" w14:textId="26C5DCB9" w:rsidR="007F6EBF" w:rsidRDefault="007E3DEF">
      <w:pPr>
        <w:pStyle w:val="Title"/>
      </w:pPr>
      <w:r>
        <w:rPr>
          <w:noProof/>
        </w:rPr>
        <w:drawing>
          <wp:inline distT="0" distB="0" distL="0" distR="0" wp14:anchorId="1D74FF2F" wp14:editId="50B6250C">
            <wp:extent cx="5081158" cy="2375441"/>
            <wp:effectExtent l="0" t="0" r="5715" b="6350"/>
            <wp:docPr id="296098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098884" name="Picture 296098884"/>
                    <pic:cNvPicPr/>
                  </pic:nvPicPr>
                  <pic:blipFill>
                    <a:blip r:embed="rId8">
                      <a:extLst>
                        <a:ext uri="{28A0092B-C50C-407E-A947-70E740481C1C}">
                          <a14:useLocalDpi xmlns:a14="http://schemas.microsoft.com/office/drawing/2010/main" val="0"/>
                        </a:ext>
                      </a:extLst>
                    </a:blip>
                    <a:stretch>
                      <a:fillRect/>
                    </a:stretch>
                  </pic:blipFill>
                  <pic:spPr>
                    <a:xfrm>
                      <a:off x="0" y="0"/>
                      <a:ext cx="5081158" cy="2375441"/>
                    </a:xfrm>
                    <a:prstGeom prst="rect">
                      <a:avLst/>
                    </a:prstGeom>
                  </pic:spPr>
                </pic:pic>
              </a:graphicData>
            </a:graphic>
          </wp:inline>
        </w:drawing>
      </w:r>
    </w:p>
    <w:p w14:paraId="3DEDBC3B" w14:textId="77777777" w:rsidR="00433D45" w:rsidRDefault="00433D45" w:rsidP="00433D45">
      <w:pPr>
        <w:pStyle w:val="BodyText"/>
      </w:pPr>
    </w:p>
    <w:p w14:paraId="13021763" w14:textId="77777777" w:rsidR="00A96261" w:rsidRDefault="00800EAF" w:rsidP="00A96261">
      <w:pPr>
        <w:pStyle w:val="BodyText"/>
        <w:jc w:val="center"/>
        <w:rPr>
          <w:b/>
          <w:bCs/>
          <w:sz w:val="32"/>
          <w:szCs w:val="32"/>
        </w:rPr>
      </w:pPr>
      <w:r w:rsidRPr="006333EC">
        <w:rPr>
          <w:b/>
          <w:bCs/>
          <w:sz w:val="32"/>
          <w:szCs w:val="32"/>
        </w:rPr>
        <w:t xml:space="preserve">Module: </w:t>
      </w:r>
      <w:r w:rsidR="00C273E2" w:rsidRPr="006333EC">
        <w:rPr>
          <w:b/>
          <w:bCs/>
          <w:sz w:val="32"/>
          <w:szCs w:val="32"/>
        </w:rPr>
        <w:t>International Business Concepts (LCMB7034_BIRM)</w:t>
      </w:r>
    </w:p>
    <w:p w14:paraId="418D1768" w14:textId="5A9392EC" w:rsidR="00641F7C" w:rsidRPr="006333EC" w:rsidRDefault="00EB1414" w:rsidP="00A96261">
      <w:pPr>
        <w:pStyle w:val="BodyText"/>
        <w:jc w:val="center"/>
        <w:rPr>
          <w:b/>
          <w:bCs/>
          <w:sz w:val="32"/>
          <w:szCs w:val="32"/>
        </w:rPr>
      </w:pPr>
      <w:r w:rsidRPr="006333EC">
        <w:rPr>
          <w:b/>
          <w:bCs/>
          <w:sz w:val="32"/>
          <w:szCs w:val="32"/>
        </w:rPr>
        <w:t>Title</w:t>
      </w:r>
      <w:r w:rsidR="00800EAF" w:rsidRPr="006333EC">
        <w:rPr>
          <w:b/>
          <w:bCs/>
          <w:sz w:val="32"/>
          <w:szCs w:val="32"/>
        </w:rPr>
        <w:t>:</w:t>
      </w:r>
      <w:r w:rsidR="00641F7C" w:rsidRPr="006333EC">
        <w:rPr>
          <w:b/>
          <w:bCs/>
          <w:sz w:val="32"/>
          <w:szCs w:val="32"/>
        </w:rPr>
        <w:t xml:space="preserve"> McDonald’s Corporation and Sri Lanka: A Market Re-Entry Case Study</w:t>
      </w:r>
    </w:p>
    <w:p w14:paraId="352C7169" w14:textId="279AE70B" w:rsidR="00800EAF" w:rsidRPr="006333EC" w:rsidRDefault="00800EAF" w:rsidP="00A96261">
      <w:pPr>
        <w:pStyle w:val="BodyText"/>
        <w:jc w:val="center"/>
        <w:rPr>
          <w:b/>
          <w:bCs/>
          <w:sz w:val="32"/>
          <w:szCs w:val="32"/>
        </w:rPr>
      </w:pPr>
      <w:r w:rsidRPr="006333EC">
        <w:rPr>
          <w:b/>
          <w:bCs/>
          <w:sz w:val="32"/>
          <w:szCs w:val="32"/>
        </w:rPr>
        <w:t>Student Name:</w:t>
      </w:r>
      <w:r w:rsidR="00641F7C" w:rsidRPr="006333EC">
        <w:rPr>
          <w:b/>
          <w:bCs/>
          <w:sz w:val="32"/>
          <w:szCs w:val="32"/>
        </w:rPr>
        <w:t xml:space="preserve"> Concy Jeya Prem Kumar </w:t>
      </w:r>
      <w:proofErr w:type="spellStart"/>
      <w:r w:rsidR="00641F7C" w:rsidRPr="006333EC">
        <w:rPr>
          <w:b/>
          <w:bCs/>
          <w:sz w:val="32"/>
          <w:szCs w:val="32"/>
        </w:rPr>
        <w:t>Rasanyagam</w:t>
      </w:r>
      <w:proofErr w:type="spellEnd"/>
    </w:p>
    <w:p w14:paraId="3F207807" w14:textId="498F3C3F" w:rsidR="00800EAF" w:rsidRPr="006333EC" w:rsidRDefault="00CD45AD" w:rsidP="00A96261">
      <w:pPr>
        <w:pStyle w:val="BodyText"/>
        <w:jc w:val="center"/>
        <w:rPr>
          <w:b/>
          <w:bCs/>
          <w:sz w:val="32"/>
          <w:szCs w:val="32"/>
        </w:rPr>
      </w:pPr>
      <w:r w:rsidRPr="006333EC">
        <w:rPr>
          <w:b/>
          <w:bCs/>
          <w:sz w:val="32"/>
          <w:szCs w:val="32"/>
        </w:rPr>
        <w:t>Student Number:</w:t>
      </w:r>
      <w:r w:rsidR="00641F7C" w:rsidRPr="006333EC">
        <w:rPr>
          <w:b/>
          <w:bCs/>
          <w:sz w:val="32"/>
          <w:szCs w:val="32"/>
        </w:rPr>
        <w:t xml:space="preserve"> 2226962</w:t>
      </w:r>
    </w:p>
    <w:p w14:paraId="176A47F3" w14:textId="0BB9EF01" w:rsidR="00CD45AD" w:rsidRDefault="00CD45AD" w:rsidP="00A96261">
      <w:pPr>
        <w:pStyle w:val="BodyText"/>
        <w:jc w:val="center"/>
        <w:rPr>
          <w:b/>
          <w:bCs/>
          <w:sz w:val="32"/>
          <w:szCs w:val="32"/>
        </w:rPr>
      </w:pPr>
      <w:r w:rsidRPr="006333EC">
        <w:rPr>
          <w:b/>
          <w:bCs/>
          <w:sz w:val="32"/>
          <w:szCs w:val="32"/>
        </w:rPr>
        <w:t xml:space="preserve">Lecturer Name: </w:t>
      </w:r>
      <w:r w:rsidR="00767234" w:rsidRPr="006333EC">
        <w:rPr>
          <w:b/>
          <w:bCs/>
          <w:sz w:val="32"/>
          <w:szCs w:val="32"/>
        </w:rPr>
        <w:t xml:space="preserve">Professor </w:t>
      </w:r>
      <w:proofErr w:type="spellStart"/>
      <w:r w:rsidR="00767234" w:rsidRPr="006333EC">
        <w:rPr>
          <w:b/>
          <w:bCs/>
          <w:sz w:val="32"/>
          <w:szCs w:val="32"/>
        </w:rPr>
        <w:t>Mansoob</w:t>
      </w:r>
      <w:proofErr w:type="spellEnd"/>
      <w:r w:rsidR="00767234" w:rsidRPr="006333EC">
        <w:rPr>
          <w:b/>
          <w:bCs/>
          <w:sz w:val="32"/>
          <w:szCs w:val="32"/>
        </w:rPr>
        <w:t xml:space="preserve"> Murshed</w:t>
      </w:r>
    </w:p>
    <w:p w14:paraId="498D502A" w14:textId="234C0907" w:rsidR="00C5695D" w:rsidRPr="006333EC" w:rsidRDefault="00C5695D" w:rsidP="00A96261">
      <w:pPr>
        <w:pStyle w:val="BodyText"/>
        <w:jc w:val="center"/>
        <w:rPr>
          <w:b/>
          <w:bCs/>
          <w:sz w:val="32"/>
          <w:szCs w:val="32"/>
        </w:rPr>
      </w:pPr>
      <w:r>
        <w:rPr>
          <w:b/>
          <w:bCs/>
          <w:sz w:val="32"/>
          <w:szCs w:val="32"/>
        </w:rPr>
        <w:t>Word Coun</w:t>
      </w:r>
      <w:r w:rsidR="00AE2C6A">
        <w:rPr>
          <w:b/>
          <w:bCs/>
          <w:sz w:val="32"/>
          <w:szCs w:val="32"/>
        </w:rPr>
        <w:t>t</w:t>
      </w:r>
      <w:r>
        <w:rPr>
          <w:b/>
          <w:bCs/>
          <w:sz w:val="32"/>
          <w:szCs w:val="32"/>
        </w:rPr>
        <w:t xml:space="preserve"> </w:t>
      </w:r>
      <w:r w:rsidR="00AE2C6A">
        <w:rPr>
          <w:b/>
          <w:bCs/>
          <w:sz w:val="32"/>
          <w:szCs w:val="32"/>
        </w:rPr>
        <w:t>5767</w:t>
      </w:r>
    </w:p>
    <w:p w14:paraId="3D3E277E" w14:textId="77777777" w:rsidR="00433D45" w:rsidRPr="00433D45" w:rsidRDefault="00433D45" w:rsidP="00A96261">
      <w:pPr>
        <w:pStyle w:val="BodyText"/>
        <w:jc w:val="center"/>
      </w:pPr>
    </w:p>
    <w:p w14:paraId="08604DDE" w14:textId="5C7DA0B8" w:rsidR="00CB2E36" w:rsidRDefault="00CB2E36">
      <w:pPr>
        <w:pStyle w:val="Date"/>
      </w:pPr>
    </w:p>
    <w:p w14:paraId="1E0F99C4" w14:textId="77777777" w:rsidR="00767234" w:rsidRDefault="00767234" w:rsidP="00767234">
      <w:pPr>
        <w:pStyle w:val="BodyText"/>
      </w:pPr>
    </w:p>
    <w:p w14:paraId="7FC233B0" w14:textId="77777777" w:rsidR="00767234" w:rsidRDefault="00767234" w:rsidP="00767234">
      <w:pPr>
        <w:pStyle w:val="BodyText"/>
      </w:pPr>
    </w:p>
    <w:p w14:paraId="0A48BE48" w14:textId="77777777" w:rsidR="00767234" w:rsidRDefault="00767234" w:rsidP="00767234">
      <w:pPr>
        <w:pStyle w:val="BodyText"/>
      </w:pPr>
    </w:p>
    <w:p w14:paraId="777C5C95" w14:textId="77777777" w:rsidR="00767234" w:rsidRDefault="00767234" w:rsidP="00767234">
      <w:pPr>
        <w:pStyle w:val="BodyText"/>
      </w:pPr>
    </w:p>
    <w:p w14:paraId="7908B948" w14:textId="77777777" w:rsidR="00767234" w:rsidRDefault="00767234" w:rsidP="00767234">
      <w:pPr>
        <w:pStyle w:val="BodyText"/>
      </w:pPr>
    </w:p>
    <w:p w14:paraId="52771B7D" w14:textId="77777777" w:rsidR="00EB1414" w:rsidRDefault="00EB1414" w:rsidP="00767234">
      <w:pPr>
        <w:pStyle w:val="BodyText"/>
      </w:pPr>
    </w:p>
    <w:p w14:paraId="799F4460" w14:textId="77777777" w:rsidR="00767234" w:rsidRPr="00767234" w:rsidRDefault="00767234" w:rsidP="00767234">
      <w:pPr>
        <w:pStyle w:val="BodyText"/>
      </w:pPr>
      <w:bookmarkStart w:id="0" w:name="OLE_LINK2"/>
    </w:p>
    <w:bookmarkStart w:id="1" w:name="case-study-snapshot" w:displacedByCustomXml="next"/>
    <w:bookmarkStart w:id="2" w:name="_Toc234787521" w:displacedByCustomXml="next"/>
    <w:sdt>
      <w:sdtPr>
        <w:rPr>
          <w:rFonts w:asciiTheme="minorHAnsi" w:eastAsiaTheme="minorHAnsi" w:hAnsiTheme="minorHAnsi" w:cstheme="minorBidi"/>
          <w:color w:val="auto"/>
          <w:sz w:val="24"/>
          <w:szCs w:val="24"/>
        </w:rPr>
        <w:id w:val="-1480068848"/>
        <w:docPartObj>
          <w:docPartGallery w:val="Table of Contents"/>
          <w:docPartUnique/>
        </w:docPartObj>
      </w:sdtPr>
      <w:sdtEndPr>
        <w:rPr>
          <w:b/>
          <w:bCs/>
          <w:noProof/>
        </w:rPr>
      </w:sdtEndPr>
      <w:sdtContent>
        <w:p w14:paraId="0CB46E28" w14:textId="3869F4E2" w:rsidR="006C44D9" w:rsidRDefault="006C44D9">
          <w:pPr>
            <w:pStyle w:val="TOCHeading"/>
          </w:pPr>
          <w:r>
            <w:t>Table of Contents</w:t>
          </w:r>
        </w:p>
        <w:p w14:paraId="45512939" w14:textId="1F5E47BB" w:rsidR="00D41388" w:rsidRDefault="006C44D9">
          <w:pPr>
            <w:pStyle w:val="TOC2"/>
            <w:tabs>
              <w:tab w:val="right" w:leader="dot" w:pos="9350"/>
            </w:tabs>
            <w:rPr>
              <w:rFonts w:eastAsiaTheme="minorEastAsia" w:cs="Arial Unicode MS"/>
              <w:i w:val="0"/>
              <w:iCs w:val="0"/>
              <w:noProof/>
              <w:kern w:val="2"/>
              <w:sz w:val="24"/>
              <w:lang w:val="en-GB" w:eastAsia="en-GB" w:bidi="si-LK"/>
              <w14:ligatures w14:val="standardContextual"/>
            </w:rPr>
          </w:pPr>
          <w:r>
            <w:fldChar w:fldCharType="begin"/>
          </w:r>
          <w:r>
            <w:instrText xml:space="preserve"> TOC \o "1-3" \h \z \u </w:instrText>
          </w:r>
          <w:r>
            <w:fldChar w:fldCharType="separate"/>
          </w:r>
          <w:hyperlink w:anchor="_Toc236052388" w:history="1">
            <w:r w:rsidR="00D41388" w:rsidRPr="00AE5BE7">
              <w:rPr>
                <w:rStyle w:val="Hyperlink"/>
                <w:rFonts w:ascii="Arial" w:hAnsi="Arial" w:cs="Arial"/>
                <w:noProof/>
              </w:rPr>
              <w:t>Case Study Snapshot</w:t>
            </w:r>
            <w:r w:rsidR="00D41388">
              <w:rPr>
                <w:noProof/>
                <w:webHidden/>
              </w:rPr>
              <w:tab/>
            </w:r>
            <w:r w:rsidR="00D41388">
              <w:rPr>
                <w:noProof/>
                <w:webHidden/>
              </w:rPr>
              <w:fldChar w:fldCharType="begin"/>
            </w:r>
            <w:r w:rsidR="00D41388">
              <w:rPr>
                <w:noProof/>
                <w:webHidden/>
              </w:rPr>
              <w:instrText xml:space="preserve"> PAGEREF _Toc236052388 \h </w:instrText>
            </w:r>
            <w:r w:rsidR="00D41388">
              <w:rPr>
                <w:noProof/>
                <w:webHidden/>
              </w:rPr>
            </w:r>
            <w:r w:rsidR="00D41388">
              <w:rPr>
                <w:noProof/>
                <w:webHidden/>
              </w:rPr>
              <w:fldChar w:fldCharType="separate"/>
            </w:r>
            <w:r w:rsidR="00D41388">
              <w:rPr>
                <w:noProof/>
                <w:webHidden/>
              </w:rPr>
              <w:t>3</w:t>
            </w:r>
            <w:r w:rsidR="00D41388">
              <w:rPr>
                <w:noProof/>
                <w:webHidden/>
              </w:rPr>
              <w:fldChar w:fldCharType="end"/>
            </w:r>
          </w:hyperlink>
        </w:p>
        <w:p w14:paraId="55A755C2" w14:textId="39109ED8" w:rsidR="00D41388" w:rsidRDefault="00D41388">
          <w:pPr>
            <w:pStyle w:val="TOC1"/>
            <w:tabs>
              <w:tab w:val="right" w:leader="dot" w:pos="9350"/>
            </w:tabs>
            <w:rPr>
              <w:rFonts w:eastAsiaTheme="minorEastAsia" w:cs="Arial Unicode MS"/>
              <w:b w:val="0"/>
              <w:bCs w:val="0"/>
              <w:i w:val="0"/>
              <w:iCs w:val="0"/>
              <w:noProof/>
              <w:kern w:val="2"/>
              <w:szCs w:val="24"/>
              <w:lang w:val="en-GB" w:eastAsia="en-GB" w:bidi="si-LK"/>
              <w14:ligatures w14:val="standardContextual"/>
            </w:rPr>
          </w:pPr>
          <w:hyperlink w:anchor="_Toc236052389" w:history="1">
            <w:r w:rsidRPr="00AE5BE7">
              <w:rPr>
                <w:rStyle w:val="Hyperlink"/>
                <w:rFonts w:ascii="Arial" w:hAnsi="Arial" w:cs="Arial"/>
                <w:noProof/>
              </w:rPr>
              <w:t>Section1:</w:t>
            </w:r>
            <w:r>
              <w:rPr>
                <w:noProof/>
                <w:webHidden/>
              </w:rPr>
              <w:tab/>
            </w:r>
            <w:r>
              <w:rPr>
                <w:noProof/>
                <w:webHidden/>
              </w:rPr>
              <w:fldChar w:fldCharType="begin"/>
            </w:r>
            <w:r>
              <w:rPr>
                <w:noProof/>
                <w:webHidden/>
              </w:rPr>
              <w:instrText xml:space="preserve"> PAGEREF _Toc236052389 \h </w:instrText>
            </w:r>
            <w:r>
              <w:rPr>
                <w:noProof/>
                <w:webHidden/>
              </w:rPr>
            </w:r>
            <w:r>
              <w:rPr>
                <w:noProof/>
                <w:webHidden/>
              </w:rPr>
              <w:fldChar w:fldCharType="separate"/>
            </w:r>
            <w:r>
              <w:rPr>
                <w:noProof/>
                <w:webHidden/>
              </w:rPr>
              <w:t>4</w:t>
            </w:r>
            <w:r>
              <w:rPr>
                <w:noProof/>
                <w:webHidden/>
              </w:rPr>
              <w:fldChar w:fldCharType="end"/>
            </w:r>
          </w:hyperlink>
        </w:p>
        <w:p w14:paraId="0F91DC74" w14:textId="22C4EE30" w:rsidR="00D41388" w:rsidRDefault="00D41388">
          <w:pPr>
            <w:pStyle w:val="TOC1"/>
            <w:tabs>
              <w:tab w:val="right" w:leader="dot" w:pos="9350"/>
            </w:tabs>
            <w:rPr>
              <w:rFonts w:eastAsiaTheme="minorEastAsia" w:cs="Arial Unicode MS"/>
              <w:b w:val="0"/>
              <w:bCs w:val="0"/>
              <w:i w:val="0"/>
              <w:iCs w:val="0"/>
              <w:noProof/>
              <w:kern w:val="2"/>
              <w:szCs w:val="24"/>
              <w:lang w:val="en-GB" w:eastAsia="en-GB" w:bidi="si-LK"/>
              <w14:ligatures w14:val="standardContextual"/>
            </w:rPr>
          </w:pPr>
          <w:hyperlink w:anchor="_Toc236052390" w:history="1">
            <w:r w:rsidRPr="00AE5BE7">
              <w:rPr>
                <w:rStyle w:val="Hyperlink"/>
                <w:rFonts w:ascii="Arial" w:hAnsi="Arial" w:cs="Arial"/>
                <w:noProof/>
              </w:rPr>
              <w:t>McDonald’s Corporation — International Market Entry into Sri Lanka</w:t>
            </w:r>
            <w:r>
              <w:rPr>
                <w:noProof/>
                <w:webHidden/>
              </w:rPr>
              <w:tab/>
            </w:r>
            <w:r>
              <w:rPr>
                <w:noProof/>
                <w:webHidden/>
              </w:rPr>
              <w:fldChar w:fldCharType="begin"/>
            </w:r>
            <w:r>
              <w:rPr>
                <w:noProof/>
                <w:webHidden/>
              </w:rPr>
              <w:instrText xml:space="preserve"> PAGEREF _Toc236052390 \h </w:instrText>
            </w:r>
            <w:r>
              <w:rPr>
                <w:noProof/>
                <w:webHidden/>
              </w:rPr>
            </w:r>
            <w:r>
              <w:rPr>
                <w:noProof/>
                <w:webHidden/>
              </w:rPr>
              <w:fldChar w:fldCharType="separate"/>
            </w:r>
            <w:r>
              <w:rPr>
                <w:noProof/>
                <w:webHidden/>
              </w:rPr>
              <w:t>4</w:t>
            </w:r>
            <w:r>
              <w:rPr>
                <w:noProof/>
                <w:webHidden/>
              </w:rPr>
              <w:fldChar w:fldCharType="end"/>
            </w:r>
          </w:hyperlink>
        </w:p>
        <w:p w14:paraId="69C313F9" w14:textId="29F7F944" w:rsidR="00D41388" w:rsidRDefault="00D41388">
          <w:pPr>
            <w:pStyle w:val="TOC2"/>
            <w:tabs>
              <w:tab w:val="right" w:leader="dot" w:pos="9350"/>
            </w:tabs>
            <w:rPr>
              <w:rStyle w:val="Hyperlink"/>
              <w:noProof/>
            </w:rPr>
          </w:pPr>
          <w:hyperlink w:anchor="_Toc236052391" w:history="1">
            <w:r w:rsidRPr="00AE5BE7">
              <w:rPr>
                <w:rStyle w:val="Hyperlink"/>
                <w:rFonts w:ascii="Arial" w:hAnsi="Arial" w:cs="Arial"/>
                <w:noProof/>
              </w:rPr>
              <w:t>1. Organisational Classification and Global Strategy</w:t>
            </w:r>
            <w:r>
              <w:rPr>
                <w:noProof/>
                <w:webHidden/>
              </w:rPr>
              <w:tab/>
            </w:r>
            <w:r>
              <w:rPr>
                <w:noProof/>
                <w:webHidden/>
              </w:rPr>
              <w:fldChar w:fldCharType="begin"/>
            </w:r>
            <w:r>
              <w:rPr>
                <w:noProof/>
                <w:webHidden/>
              </w:rPr>
              <w:instrText xml:space="preserve"> PAGEREF _Toc236052391 \h </w:instrText>
            </w:r>
            <w:r>
              <w:rPr>
                <w:noProof/>
                <w:webHidden/>
              </w:rPr>
            </w:r>
            <w:r>
              <w:rPr>
                <w:noProof/>
                <w:webHidden/>
              </w:rPr>
              <w:fldChar w:fldCharType="separate"/>
            </w:r>
            <w:r>
              <w:rPr>
                <w:noProof/>
                <w:webHidden/>
              </w:rPr>
              <w:t>4</w:t>
            </w:r>
            <w:r>
              <w:rPr>
                <w:noProof/>
                <w:webHidden/>
              </w:rPr>
              <w:fldChar w:fldCharType="end"/>
            </w:r>
          </w:hyperlink>
        </w:p>
        <w:p w14:paraId="77464A38" w14:textId="7D06CEAD" w:rsidR="00893176" w:rsidRPr="00893176" w:rsidRDefault="00893176" w:rsidP="00893176">
          <w:r>
            <w:t xml:space="preserve">   a) Political factors..................................................................................................................................................7</w:t>
          </w:r>
        </w:p>
        <w:p w14:paraId="7BE21C62" w14:textId="27003D29" w:rsidR="00D41388" w:rsidRDefault="00D41388">
          <w:pPr>
            <w:pStyle w:val="TOC3"/>
            <w:tabs>
              <w:tab w:val="right" w:leader="dot" w:pos="9350"/>
            </w:tabs>
            <w:rPr>
              <w:rFonts w:eastAsiaTheme="minorEastAsia" w:cs="Arial Unicode MS"/>
              <w:noProof/>
              <w:kern w:val="2"/>
              <w:sz w:val="24"/>
              <w:lang w:val="en-GB" w:eastAsia="en-GB" w:bidi="si-LK"/>
              <w14:ligatures w14:val="standardContextual"/>
            </w:rPr>
          </w:pPr>
          <w:hyperlink w:anchor="_Toc236052392" w:history="1">
            <w:r w:rsidRPr="00AE5BE7">
              <w:rPr>
                <w:rStyle w:val="Hyperlink"/>
                <w:rFonts w:ascii="Arial" w:eastAsia="Times New Roman" w:hAnsi="Arial" w:cs="Arial"/>
                <w:noProof/>
                <w:lang w:val="en-GB" w:eastAsia="en-GB"/>
              </w:rPr>
              <w:t>b)</w:t>
            </w:r>
            <w:r w:rsidRPr="00AE5BE7">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_Toc236052392 \h </w:instrText>
            </w:r>
            <w:r>
              <w:rPr>
                <w:noProof/>
                <w:webHidden/>
              </w:rPr>
            </w:r>
            <w:r>
              <w:rPr>
                <w:noProof/>
                <w:webHidden/>
              </w:rPr>
              <w:fldChar w:fldCharType="separate"/>
            </w:r>
            <w:r>
              <w:rPr>
                <w:noProof/>
                <w:webHidden/>
              </w:rPr>
              <w:t>7</w:t>
            </w:r>
            <w:r>
              <w:rPr>
                <w:noProof/>
                <w:webHidden/>
              </w:rPr>
              <w:fldChar w:fldCharType="end"/>
            </w:r>
          </w:hyperlink>
        </w:p>
        <w:p w14:paraId="2C67CF24" w14:textId="0D395FCE" w:rsidR="00D41388" w:rsidRDefault="00D41388">
          <w:pPr>
            <w:pStyle w:val="TOC3"/>
            <w:tabs>
              <w:tab w:val="right" w:leader="dot" w:pos="9350"/>
            </w:tabs>
            <w:rPr>
              <w:rFonts w:eastAsiaTheme="minorEastAsia" w:cs="Arial Unicode MS"/>
              <w:noProof/>
              <w:kern w:val="2"/>
              <w:sz w:val="24"/>
              <w:lang w:val="en-GB" w:eastAsia="en-GB" w:bidi="si-LK"/>
              <w14:ligatures w14:val="standardContextual"/>
            </w:rPr>
          </w:pPr>
          <w:hyperlink w:anchor="_Toc236052393" w:history="1">
            <w:r w:rsidRPr="00AE5BE7">
              <w:rPr>
                <w:rStyle w:val="Hyperlink"/>
                <w:rFonts w:ascii="Arial" w:hAnsi="Arial" w:cs="Arial"/>
                <w:noProof/>
              </w:rPr>
              <w:t>c) Legal Factors</w:t>
            </w:r>
            <w:r>
              <w:rPr>
                <w:noProof/>
                <w:webHidden/>
              </w:rPr>
              <w:tab/>
            </w:r>
            <w:r>
              <w:rPr>
                <w:noProof/>
                <w:webHidden/>
              </w:rPr>
              <w:fldChar w:fldCharType="begin"/>
            </w:r>
            <w:r>
              <w:rPr>
                <w:noProof/>
                <w:webHidden/>
              </w:rPr>
              <w:instrText xml:space="preserve"> PAGEREF _Toc236052393 \h </w:instrText>
            </w:r>
            <w:r>
              <w:rPr>
                <w:noProof/>
                <w:webHidden/>
              </w:rPr>
            </w:r>
            <w:r>
              <w:rPr>
                <w:noProof/>
                <w:webHidden/>
              </w:rPr>
              <w:fldChar w:fldCharType="separate"/>
            </w:r>
            <w:r>
              <w:rPr>
                <w:noProof/>
                <w:webHidden/>
              </w:rPr>
              <w:t>9</w:t>
            </w:r>
            <w:r>
              <w:rPr>
                <w:noProof/>
                <w:webHidden/>
              </w:rPr>
              <w:fldChar w:fldCharType="end"/>
            </w:r>
          </w:hyperlink>
        </w:p>
        <w:p w14:paraId="2582755E" w14:textId="12DB0C4D" w:rsidR="00D41388" w:rsidRDefault="00D41388">
          <w:pPr>
            <w:pStyle w:val="TOC3"/>
            <w:tabs>
              <w:tab w:val="right" w:leader="dot" w:pos="9350"/>
            </w:tabs>
            <w:rPr>
              <w:rFonts w:eastAsiaTheme="minorEastAsia" w:cs="Arial Unicode MS"/>
              <w:noProof/>
              <w:kern w:val="2"/>
              <w:sz w:val="24"/>
              <w:lang w:val="en-GB" w:eastAsia="en-GB" w:bidi="si-LK"/>
              <w14:ligatures w14:val="standardContextual"/>
            </w:rPr>
          </w:pPr>
          <w:hyperlink w:anchor="_Toc236052394" w:history="1">
            <w:r w:rsidRPr="00AE5BE7">
              <w:rPr>
                <w:rStyle w:val="Hyperlink"/>
                <w:rFonts w:ascii="Arial" w:hAnsi="Arial" w:cs="Arial"/>
                <w:noProof/>
              </w:rPr>
              <w:t>d)Cultural Factors: A Hofstede Analysis</w:t>
            </w:r>
            <w:r>
              <w:rPr>
                <w:noProof/>
                <w:webHidden/>
              </w:rPr>
              <w:tab/>
            </w:r>
            <w:r>
              <w:rPr>
                <w:noProof/>
                <w:webHidden/>
              </w:rPr>
              <w:fldChar w:fldCharType="begin"/>
            </w:r>
            <w:r>
              <w:rPr>
                <w:noProof/>
                <w:webHidden/>
              </w:rPr>
              <w:instrText xml:space="preserve"> PAGEREF _Toc236052394 \h </w:instrText>
            </w:r>
            <w:r>
              <w:rPr>
                <w:noProof/>
                <w:webHidden/>
              </w:rPr>
            </w:r>
            <w:r>
              <w:rPr>
                <w:noProof/>
                <w:webHidden/>
              </w:rPr>
              <w:fldChar w:fldCharType="separate"/>
            </w:r>
            <w:r>
              <w:rPr>
                <w:noProof/>
                <w:webHidden/>
              </w:rPr>
              <w:t>11</w:t>
            </w:r>
            <w:r>
              <w:rPr>
                <w:noProof/>
                <w:webHidden/>
              </w:rPr>
              <w:fldChar w:fldCharType="end"/>
            </w:r>
          </w:hyperlink>
        </w:p>
        <w:p w14:paraId="18DD5019" w14:textId="0902FDB9" w:rsidR="00D41388" w:rsidRDefault="00D41388">
          <w:pPr>
            <w:pStyle w:val="TOC3"/>
            <w:tabs>
              <w:tab w:val="right" w:leader="dot" w:pos="9350"/>
            </w:tabs>
            <w:rPr>
              <w:rFonts w:eastAsiaTheme="minorEastAsia" w:cs="Arial Unicode MS"/>
              <w:noProof/>
              <w:kern w:val="2"/>
              <w:sz w:val="24"/>
              <w:lang w:val="en-GB" w:eastAsia="en-GB" w:bidi="si-LK"/>
              <w14:ligatures w14:val="standardContextual"/>
            </w:rPr>
          </w:pPr>
          <w:hyperlink w:anchor="_Toc236052395" w:history="1">
            <w:r w:rsidRPr="00AE5BE7">
              <w:rPr>
                <w:rStyle w:val="Hyperlink"/>
                <w:rFonts w:ascii="Arial" w:hAnsi="Arial" w:cs="Arial"/>
                <w:noProof/>
              </w:rPr>
              <w:t>3. Market Entry Synthesis: The Eclectic Paradigm (OLI Framework)</w:t>
            </w:r>
            <w:r>
              <w:rPr>
                <w:noProof/>
                <w:webHidden/>
              </w:rPr>
              <w:tab/>
            </w:r>
            <w:r>
              <w:rPr>
                <w:noProof/>
                <w:webHidden/>
              </w:rPr>
              <w:fldChar w:fldCharType="begin"/>
            </w:r>
            <w:r>
              <w:rPr>
                <w:noProof/>
                <w:webHidden/>
              </w:rPr>
              <w:instrText xml:space="preserve"> PAGEREF _Toc236052395 \h </w:instrText>
            </w:r>
            <w:r>
              <w:rPr>
                <w:noProof/>
                <w:webHidden/>
              </w:rPr>
            </w:r>
            <w:r>
              <w:rPr>
                <w:noProof/>
                <w:webHidden/>
              </w:rPr>
              <w:fldChar w:fldCharType="separate"/>
            </w:r>
            <w:r>
              <w:rPr>
                <w:noProof/>
                <w:webHidden/>
              </w:rPr>
              <w:t>13</w:t>
            </w:r>
            <w:r>
              <w:rPr>
                <w:noProof/>
                <w:webHidden/>
              </w:rPr>
              <w:fldChar w:fldCharType="end"/>
            </w:r>
          </w:hyperlink>
        </w:p>
        <w:p w14:paraId="7D56845A" w14:textId="06C30C70" w:rsidR="00D41388" w:rsidRDefault="00D41388">
          <w:pPr>
            <w:pStyle w:val="TOC2"/>
            <w:tabs>
              <w:tab w:val="right" w:leader="dot" w:pos="9350"/>
            </w:tabs>
            <w:rPr>
              <w:rFonts w:eastAsiaTheme="minorEastAsia" w:cs="Arial Unicode MS"/>
              <w:i w:val="0"/>
              <w:iCs w:val="0"/>
              <w:noProof/>
              <w:kern w:val="2"/>
              <w:sz w:val="24"/>
              <w:lang w:val="en-GB" w:eastAsia="en-GB" w:bidi="si-LK"/>
              <w14:ligatures w14:val="standardContextual"/>
            </w:rPr>
          </w:pPr>
          <w:hyperlink w:anchor="_Toc236052396" w:history="1">
            <w:r w:rsidRPr="00AE5BE7">
              <w:rPr>
                <w:rStyle w:val="Hyperlink"/>
                <w:rFonts w:ascii="Arial" w:hAnsi="Arial" w:cs="Arial"/>
                <w:noProof/>
              </w:rPr>
              <w:t>4. Entry Mode Strategy and Strategic Synthesis</w:t>
            </w:r>
            <w:r>
              <w:rPr>
                <w:noProof/>
                <w:webHidden/>
              </w:rPr>
              <w:tab/>
            </w:r>
            <w:r>
              <w:rPr>
                <w:noProof/>
                <w:webHidden/>
              </w:rPr>
              <w:fldChar w:fldCharType="begin"/>
            </w:r>
            <w:r>
              <w:rPr>
                <w:noProof/>
                <w:webHidden/>
              </w:rPr>
              <w:instrText xml:space="preserve"> PAGEREF _Toc236052396 \h </w:instrText>
            </w:r>
            <w:r>
              <w:rPr>
                <w:noProof/>
                <w:webHidden/>
              </w:rPr>
            </w:r>
            <w:r>
              <w:rPr>
                <w:noProof/>
                <w:webHidden/>
              </w:rPr>
              <w:fldChar w:fldCharType="separate"/>
            </w:r>
            <w:r>
              <w:rPr>
                <w:noProof/>
                <w:webHidden/>
              </w:rPr>
              <w:t>15</w:t>
            </w:r>
            <w:r>
              <w:rPr>
                <w:noProof/>
                <w:webHidden/>
              </w:rPr>
              <w:fldChar w:fldCharType="end"/>
            </w:r>
          </w:hyperlink>
        </w:p>
        <w:p w14:paraId="7B207684" w14:textId="15ADB1E7" w:rsidR="00D41388" w:rsidRDefault="00D41388">
          <w:pPr>
            <w:pStyle w:val="TOC3"/>
            <w:tabs>
              <w:tab w:val="right" w:leader="dot" w:pos="9350"/>
            </w:tabs>
            <w:rPr>
              <w:rFonts w:eastAsiaTheme="minorEastAsia" w:cs="Arial Unicode MS"/>
              <w:noProof/>
              <w:kern w:val="2"/>
              <w:sz w:val="24"/>
              <w:lang w:val="en-GB" w:eastAsia="en-GB" w:bidi="si-LK"/>
              <w14:ligatures w14:val="standardContextual"/>
            </w:rPr>
          </w:pPr>
          <w:hyperlink w:anchor="_Toc236052397" w:history="1">
            <w:r w:rsidRPr="00AE5BE7">
              <w:rPr>
                <w:rStyle w:val="Hyperlink"/>
                <w:rFonts w:ascii="Arial" w:hAnsi="Arial" w:cs="Arial"/>
                <w:noProof/>
              </w:rPr>
              <w:t>Historical Pattern Recognition</w:t>
            </w:r>
            <w:r>
              <w:rPr>
                <w:noProof/>
                <w:webHidden/>
              </w:rPr>
              <w:tab/>
            </w:r>
            <w:r>
              <w:rPr>
                <w:noProof/>
                <w:webHidden/>
              </w:rPr>
              <w:fldChar w:fldCharType="begin"/>
            </w:r>
            <w:r>
              <w:rPr>
                <w:noProof/>
                <w:webHidden/>
              </w:rPr>
              <w:instrText xml:space="preserve"> PAGEREF _Toc236052397 \h </w:instrText>
            </w:r>
            <w:r>
              <w:rPr>
                <w:noProof/>
                <w:webHidden/>
              </w:rPr>
            </w:r>
            <w:r>
              <w:rPr>
                <w:noProof/>
                <w:webHidden/>
              </w:rPr>
              <w:fldChar w:fldCharType="separate"/>
            </w:r>
            <w:r>
              <w:rPr>
                <w:noProof/>
                <w:webHidden/>
              </w:rPr>
              <w:t>15</w:t>
            </w:r>
            <w:r>
              <w:rPr>
                <w:noProof/>
                <w:webHidden/>
              </w:rPr>
              <w:fldChar w:fldCharType="end"/>
            </w:r>
          </w:hyperlink>
        </w:p>
        <w:p w14:paraId="7DE20555" w14:textId="32B460D9" w:rsidR="00D41388" w:rsidRDefault="00D41388">
          <w:pPr>
            <w:pStyle w:val="TOC3"/>
            <w:tabs>
              <w:tab w:val="right" w:leader="dot" w:pos="9350"/>
            </w:tabs>
            <w:rPr>
              <w:rFonts w:eastAsiaTheme="minorEastAsia" w:cs="Arial Unicode MS"/>
              <w:noProof/>
              <w:kern w:val="2"/>
              <w:sz w:val="24"/>
              <w:lang w:val="en-GB" w:eastAsia="en-GB" w:bidi="si-LK"/>
              <w14:ligatures w14:val="standardContextual"/>
            </w:rPr>
          </w:pPr>
          <w:hyperlink w:anchor="_Toc236052399" w:history="1">
            <w:r w:rsidRPr="00AE5BE7">
              <w:rPr>
                <w:rStyle w:val="Hyperlink"/>
                <w:rFonts w:ascii="Arial" w:hAnsi="Arial" w:cs="Arial"/>
                <w:noProof/>
              </w:rPr>
              <w:t>5.Strategic Fit and Justification</w:t>
            </w:r>
            <w:r>
              <w:rPr>
                <w:noProof/>
                <w:webHidden/>
              </w:rPr>
              <w:tab/>
            </w:r>
            <w:r>
              <w:rPr>
                <w:noProof/>
                <w:webHidden/>
              </w:rPr>
              <w:fldChar w:fldCharType="begin"/>
            </w:r>
            <w:r>
              <w:rPr>
                <w:noProof/>
                <w:webHidden/>
              </w:rPr>
              <w:instrText xml:space="preserve"> PAGEREF _Toc236052399 \h </w:instrText>
            </w:r>
            <w:r>
              <w:rPr>
                <w:noProof/>
                <w:webHidden/>
              </w:rPr>
            </w:r>
            <w:r>
              <w:rPr>
                <w:noProof/>
                <w:webHidden/>
              </w:rPr>
              <w:fldChar w:fldCharType="separate"/>
            </w:r>
            <w:r>
              <w:rPr>
                <w:noProof/>
                <w:webHidden/>
              </w:rPr>
              <w:t>17</w:t>
            </w:r>
            <w:r>
              <w:rPr>
                <w:noProof/>
                <w:webHidden/>
              </w:rPr>
              <w:fldChar w:fldCharType="end"/>
            </w:r>
          </w:hyperlink>
        </w:p>
        <w:p w14:paraId="62F37F2B" w14:textId="4CBF9013" w:rsidR="00D41388" w:rsidRDefault="00D41388">
          <w:pPr>
            <w:pStyle w:val="TOC3"/>
            <w:tabs>
              <w:tab w:val="right" w:leader="dot" w:pos="9350"/>
            </w:tabs>
            <w:rPr>
              <w:rFonts w:eastAsiaTheme="minorEastAsia" w:cs="Arial Unicode MS"/>
              <w:noProof/>
              <w:kern w:val="2"/>
              <w:sz w:val="24"/>
              <w:lang w:val="en-GB" w:eastAsia="en-GB" w:bidi="si-LK"/>
              <w14:ligatures w14:val="standardContextual"/>
            </w:rPr>
          </w:pPr>
          <w:hyperlink w:anchor="_Toc236052400" w:history="1">
            <w:r w:rsidRPr="00AE5BE7">
              <w:rPr>
                <w:rStyle w:val="Hyperlink"/>
                <w:rFonts w:ascii="Arial" w:hAnsi="Arial" w:cs="Arial"/>
                <w:noProof/>
              </w:rPr>
              <w:t>6. Conclusion and Recommendations</w:t>
            </w:r>
            <w:r>
              <w:rPr>
                <w:noProof/>
                <w:webHidden/>
              </w:rPr>
              <w:tab/>
            </w:r>
            <w:r>
              <w:rPr>
                <w:noProof/>
                <w:webHidden/>
              </w:rPr>
              <w:fldChar w:fldCharType="begin"/>
            </w:r>
            <w:r>
              <w:rPr>
                <w:noProof/>
                <w:webHidden/>
              </w:rPr>
              <w:instrText xml:space="preserve"> PAGEREF _Toc236052400 \h </w:instrText>
            </w:r>
            <w:r>
              <w:rPr>
                <w:noProof/>
                <w:webHidden/>
              </w:rPr>
            </w:r>
            <w:r>
              <w:rPr>
                <w:noProof/>
                <w:webHidden/>
              </w:rPr>
              <w:fldChar w:fldCharType="separate"/>
            </w:r>
            <w:r>
              <w:rPr>
                <w:noProof/>
                <w:webHidden/>
              </w:rPr>
              <w:t>18</w:t>
            </w:r>
            <w:r>
              <w:rPr>
                <w:noProof/>
                <w:webHidden/>
              </w:rPr>
              <w:fldChar w:fldCharType="end"/>
            </w:r>
          </w:hyperlink>
        </w:p>
        <w:p w14:paraId="3262870A" w14:textId="669BE6B1" w:rsidR="00D41388" w:rsidRDefault="00D41388">
          <w:pPr>
            <w:pStyle w:val="TOC1"/>
            <w:tabs>
              <w:tab w:val="right" w:leader="dot" w:pos="9350"/>
            </w:tabs>
            <w:rPr>
              <w:rFonts w:eastAsiaTheme="minorEastAsia" w:cs="Arial Unicode MS"/>
              <w:b w:val="0"/>
              <w:bCs w:val="0"/>
              <w:i w:val="0"/>
              <w:iCs w:val="0"/>
              <w:noProof/>
              <w:kern w:val="2"/>
              <w:szCs w:val="24"/>
              <w:lang w:val="en-GB" w:eastAsia="en-GB" w:bidi="si-LK"/>
              <w14:ligatures w14:val="standardContextual"/>
            </w:rPr>
          </w:pPr>
          <w:hyperlink w:anchor="_Toc236052401" w:history="1">
            <w:r w:rsidRPr="00AE5BE7">
              <w:rPr>
                <w:rStyle w:val="Hyperlink"/>
                <w:rFonts w:ascii="Arial" w:hAnsi="Arial" w:cs="Arial"/>
                <w:noProof/>
              </w:rPr>
              <w:t>Section 2: Reflective</w:t>
            </w:r>
            <w:r>
              <w:rPr>
                <w:noProof/>
                <w:webHidden/>
              </w:rPr>
              <w:tab/>
            </w:r>
            <w:r>
              <w:rPr>
                <w:noProof/>
                <w:webHidden/>
              </w:rPr>
              <w:fldChar w:fldCharType="begin"/>
            </w:r>
            <w:r>
              <w:rPr>
                <w:noProof/>
                <w:webHidden/>
              </w:rPr>
              <w:instrText xml:space="preserve"> PAGEREF _Toc236052401 \h </w:instrText>
            </w:r>
            <w:r>
              <w:rPr>
                <w:noProof/>
                <w:webHidden/>
              </w:rPr>
            </w:r>
            <w:r>
              <w:rPr>
                <w:noProof/>
                <w:webHidden/>
              </w:rPr>
              <w:fldChar w:fldCharType="separate"/>
            </w:r>
            <w:r>
              <w:rPr>
                <w:noProof/>
                <w:webHidden/>
              </w:rPr>
              <w:t>21</w:t>
            </w:r>
            <w:r>
              <w:rPr>
                <w:noProof/>
                <w:webHidden/>
              </w:rPr>
              <w:fldChar w:fldCharType="end"/>
            </w:r>
          </w:hyperlink>
        </w:p>
        <w:p w14:paraId="08E34C20" w14:textId="1437685B" w:rsidR="00D41388" w:rsidRDefault="00D41388">
          <w:pPr>
            <w:pStyle w:val="TOC1"/>
            <w:tabs>
              <w:tab w:val="right" w:leader="dot" w:pos="9350"/>
            </w:tabs>
            <w:rPr>
              <w:rFonts w:eastAsiaTheme="minorEastAsia" w:cs="Arial Unicode MS"/>
              <w:b w:val="0"/>
              <w:bCs w:val="0"/>
              <w:i w:val="0"/>
              <w:iCs w:val="0"/>
              <w:noProof/>
              <w:kern w:val="2"/>
              <w:szCs w:val="24"/>
              <w:lang w:val="en-GB" w:eastAsia="en-GB" w:bidi="si-LK"/>
              <w14:ligatures w14:val="standardContextual"/>
            </w:rPr>
          </w:pPr>
          <w:hyperlink w:anchor="_Toc236052402" w:history="1">
            <w:r w:rsidRPr="00AE5BE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_Toc236052402 \h </w:instrText>
            </w:r>
            <w:r>
              <w:rPr>
                <w:noProof/>
                <w:webHidden/>
              </w:rPr>
            </w:r>
            <w:r>
              <w:rPr>
                <w:noProof/>
                <w:webHidden/>
              </w:rPr>
              <w:fldChar w:fldCharType="separate"/>
            </w:r>
            <w:r>
              <w:rPr>
                <w:noProof/>
                <w:webHidden/>
              </w:rPr>
              <w:t>24</w:t>
            </w:r>
            <w:r>
              <w:rPr>
                <w:noProof/>
                <w:webHidden/>
              </w:rPr>
              <w:fldChar w:fldCharType="end"/>
            </w:r>
          </w:hyperlink>
        </w:p>
        <w:p w14:paraId="00F2A29E" w14:textId="12EC11AA" w:rsidR="006C44D9" w:rsidRDefault="006C44D9">
          <w:r>
            <w:rPr>
              <w:b/>
              <w:bCs/>
              <w:noProof/>
            </w:rPr>
            <w:fldChar w:fldCharType="end"/>
          </w:r>
        </w:p>
      </w:sdtContent>
    </w:sdt>
    <w:p w14:paraId="5F00634E" w14:textId="77777777" w:rsidR="006333EC" w:rsidRDefault="006333EC" w:rsidP="003E78B1">
      <w:pPr>
        <w:pStyle w:val="Heading2"/>
        <w:spacing w:line="360" w:lineRule="auto"/>
        <w:rPr>
          <w:rFonts w:ascii="Arial" w:hAnsi="Arial" w:cs="Arial"/>
          <w:sz w:val="22"/>
          <w:szCs w:val="22"/>
        </w:rPr>
      </w:pPr>
    </w:p>
    <w:p w14:paraId="5D65D7F2" w14:textId="77777777" w:rsidR="006333EC" w:rsidRDefault="006333EC" w:rsidP="003E78B1">
      <w:pPr>
        <w:pStyle w:val="Heading2"/>
        <w:spacing w:line="360" w:lineRule="auto"/>
        <w:rPr>
          <w:rFonts w:ascii="Arial" w:hAnsi="Arial" w:cs="Arial"/>
          <w:sz w:val="22"/>
          <w:szCs w:val="22"/>
        </w:rPr>
      </w:pPr>
    </w:p>
    <w:p w14:paraId="7B5143B3" w14:textId="77777777" w:rsidR="00EB1414" w:rsidRDefault="00EB1414" w:rsidP="00EB1414">
      <w:pPr>
        <w:pStyle w:val="BodyText"/>
      </w:pPr>
    </w:p>
    <w:p w14:paraId="7C771EBB" w14:textId="77777777" w:rsidR="006953C2" w:rsidRDefault="006953C2" w:rsidP="00EB1414">
      <w:pPr>
        <w:pStyle w:val="BodyText"/>
      </w:pPr>
    </w:p>
    <w:p w14:paraId="305831B8" w14:textId="77777777" w:rsidR="007D05D7" w:rsidRDefault="007D05D7" w:rsidP="00EB1414">
      <w:pPr>
        <w:pStyle w:val="BodyText"/>
      </w:pPr>
    </w:p>
    <w:p w14:paraId="7BE3230B" w14:textId="77777777" w:rsidR="007D05D7" w:rsidRDefault="007D05D7" w:rsidP="00EB1414">
      <w:pPr>
        <w:pStyle w:val="BodyText"/>
      </w:pPr>
    </w:p>
    <w:p w14:paraId="19BEB1A1" w14:textId="77777777" w:rsidR="007D05D7" w:rsidRDefault="007D05D7" w:rsidP="00EB1414">
      <w:pPr>
        <w:pStyle w:val="BodyText"/>
      </w:pPr>
    </w:p>
    <w:p w14:paraId="3ADB0A40" w14:textId="77777777" w:rsidR="007D05D7" w:rsidRDefault="007D05D7" w:rsidP="00EB1414">
      <w:pPr>
        <w:pStyle w:val="BodyText"/>
      </w:pPr>
    </w:p>
    <w:p w14:paraId="1360CA69" w14:textId="77777777" w:rsidR="007D05D7" w:rsidRDefault="007D05D7" w:rsidP="00EB1414">
      <w:pPr>
        <w:pStyle w:val="BodyText"/>
      </w:pPr>
    </w:p>
    <w:p w14:paraId="095F453A" w14:textId="77777777" w:rsidR="007D05D7" w:rsidRDefault="007D05D7" w:rsidP="00EB1414">
      <w:pPr>
        <w:pStyle w:val="BodyText"/>
      </w:pPr>
    </w:p>
    <w:p w14:paraId="0E371747" w14:textId="77777777" w:rsidR="007D05D7" w:rsidRPr="00EB1414" w:rsidRDefault="007D05D7" w:rsidP="00EB1414">
      <w:pPr>
        <w:pStyle w:val="BodyText"/>
      </w:pPr>
    </w:p>
    <w:p w14:paraId="4FF56514" w14:textId="79A12A72" w:rsidR="00CB2E36" w:rsidRPr="00906983" w:rsidRDefault="006165BC" w:rsidP="003E78B1">
      <w:pPr>
        <w:pStyle w:val="Heading2"/>
        <w:spacing w:line="360" w:lineRule="auto"/>
        <w:rPr>
          <w:rFonts w:ascii="Arial" w:hAnsi="Arial" w:cs="Arial"/>
        </w:rPr>
      </w:pPr>
      <w:bookmarkStart w:id="3" w:name="OLE_LINK1"/>
      <w:bookmarkStart w:id="4" w:name="_Toc236052388"/>
      <w:r w:rsidRPr="00906983">
        <w:rPr>
          <w:rFonts w:ascii="Arial" w:hAnsi="Arial" w:cs="Arial"/>
        </w:rPr>
        <w:t>Case Study Snapshot</w:t>
      </w:r>
      <w:bookmarkEnd w:id="2"/>
      <w:bookmarkEnd w:id="1"/>
      <w:bookmarkEnd w:id="4"/>
    </w:p>
    <w:tbl>
      <w:tblPr>
        <w:tblStyle w:val="Table"/>
        <w:tblW w:w="5000" w:type="pct"/>
        <w:tblLook w:val="07E0" w:firstRow="1" w:lastRow="1" w:firstColumn="1" w:lastColumn="1" w:noHBand="1" w:noVBand="1"/>
      </w:tblPr>
      <w:tblGrid>
        <w:gridCol w:w="1992"/>
        <w:gridCol w:w="7368"/>
      </w:tblGrid>
      <w:tr w:rsidR="00CB2E36" w:rsidRPr="003E78B1" w14:paraId="7FDF0135" w14:textId="77777777">
        <w:tc>
          <w:tcPr>
            <w:tcW w:w="0" w:type="auto"/>
            <w:tcBorders>
              <w:bottom w:val="single" w:sz="0" w:space="0" w:color="auto"/>
            </w:tcBorders>
            <w:vAlign w:val="bottom"/>
          </w:tcPr>
          <w:p w14:paraId="143381CA"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sz w:val="22"/>
                <w:szCs w:val="22"/>
              </w:rPr>
              <w:t>Item</w:t>
            </w:r>
          </w:p>
        </w:tc>
        <w:tc>
          <w:tcPr>
            <w:tcW w:w="0" w:type="auto"/>
            <w:tcBorders>
              <w:bottom w:val="single" w:sz="0" w:space="0" w:color="auto"/>
            </w:tcBorders>
            <w:vAlign w:val="bottom"/>
          </w:tcPr>
          <w:p w14:paraId="1706EDD7"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sz w:val="22"/>
                <w:szCs w:val="22"/>
              </w:rPr>
              <w:t>Detail</w:t>
            </w:r>
          </w:p>
        </w:tc>
      </w:tr>
      <w:tr w:rsidR="00CB2E36" w:rsidRPr="003E78B1" w14:paraId="3F848142" w14:textId="77777777">
        <w:tc>
          <w:tcPr>
            <w:tcW w:w="0" w:type="auto"/>
          </w:tcPr>
          <w:p w14:paraId="293E3F9F"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b/>
                <w:sz w:val="22"/>
                <w:szCs w:val="22"/>
              </w:rPr>
              <w:t>Firm</w:t>
            </w:r>
          </w:p>
        </w:tc>
        <w:tc>
          <w:tcPr>
            <w:tcW w:w="0" w:type="auto"/>
          </w:tcPr>
          <w:p w14:paraId="541B89DB"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sz w:val="22"/>
                <w:szCs w:val="22"/>
              </w:rPr>
              <w:t>McDonald’s Corporation (NYSE: MCD), founded 1955, headquartered Illinois, USA</w:t>
            </w:r>
          </w:p>
        </w:tc>
      </w:tr>
      <w:tr w:rsidR="00CB2E36" w:rsidRPr="003E78B1" w14:paraId="5DB79B37" w14:textId="77777777">
        <w:tc>
          <w:tcPr>
            <w:tcW w:w="0" w:type="auto"/>
          </w:tcPr>
          <w:p w14:paraId="595F8DA1"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b/>
                <w:sz w:val="22"/>
                <w:szCs w:val="22"/>
              </w:rPr>
              <w:t>Industry</w:t>
            </w:r>
          </w:p>
        </w:tc>
        <w:tc>
          <w:tcPr>
            <w:tcW w:w="0" w:type="auto"/>
          </w:tcPr>
          <w:p w14:paraId="41C92C5C"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sz w:val="22"/>
                <w:szCs w:val="22"/>
              </w:rPr>
              <w:t>Quick-service restaurants (QSR)</w:t>
            </w:r>
          </w:p>
        </w:tc>
      </w:tr>
      <w:tr w:rsidR="00CB2E36" w:rsidRPr="003E78B1" w14:paraId="554FC4F5" w14:textId="77777777">
        <w:tc>
          <w:tcPr>
            <w:tcW w:w="0" w:type="auto"/>
          </w:tcPr>
          <w:p w14:paraId="67CA65FE"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b/>
                <w:sz w:val="22"/>
                <w:szCs w:val="22"/>
              </w:rPr>
              <w:t>Global scale (2025)</w:t>
            </w:r>
          </w:p>
        </w:tc>
        <w:tc>
          <w:tcPr>
            <w:tcW w:w="0" w:type="auto"/>
          </w:tcPr>
          <w:p w14:paraId="5AB7B962"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sz w:val="22"/>
                <w:szCs w:val="22"/>
              </w:rPr>
              <w:t>45,356 restaurants, 100+ countries, ~95% franchised</w:t>
            </w:r>
          </w:p>
        </w:tc>
      </w:tr>
      <w:tr w:rsidR="00CB2E36" w:rsidRPr="003E78B1" w14:paraId="2F967D73" w14:textId="77777777">
        <w:tc>
          <w:tcPr>
            <w:tcW w:w="0" w:type="auto"/>
          </w:tcPr>
          <w:p w14:paraId="7043DB78"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b/>
                <w:sz w:val="22"/>
                <w:szCs w:val="22"/>
              </w:rPr>
              <w:t>Target host market</w:t>
            </w:r>
          </w:p>
        </w:tc>
        <w:tc>
          <w:tcPr>
            <w:tcW w:w="0" w:type="auto"/>
          </w:tcPr>
          <w:p w14:paraId="76477D15"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sz w:val="22"/>
                <w:szCs w:val="22"/>
              </w:rPr>
              <w:t>Sri Lanka (population ≈ 22 million)</w:t>
            </w:r>
          </w:p>
        </w:tc>
      </w:tr>
      <w:tr w:rsidR="00CB2E36" w:rsidRPr="003E78B1" w14:paraId="0A61289D" w14:textId="77777777">
        <w:tc>
          <w:tcPr>
            <w:tcW w:w="0" w:type="auto"/>
          </w:tcPr>
          <w:p w14:paraId="3B577121"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b/>
                <w:sz w:val="22"/>
                <w:szCs w:val="22"/>
              </w:rPr>
              <w:t>Prior presence</w:t>
            </w:r>
          </w:p>
        </w:tc>
        <w:tc>
          <w:tcPr>
            <w:tcW w:w="0" w:type="auto"/>
          </w:tcPr>
          <w:p w14:paraId="249BDC5A"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sz w:val="22"/>
                <w:szCs w:val="22"/>
              </w:rPr>
              <w:t>~20 years of operation (12 Colombo-area outlets) under a single master franchisee</w:t>
            </w:r>
          </w:p>
        </w:tc>
      </w:tr>
      <w:tr w:rsidR="00CB2E36" w:rsidRPr="003E78B1" w14:paraId="53D52A1E" w14:textId="77777777">
        <w:tc>
          <w:tcPr>
            <w:tcW w:w="0" w:type="auto"/>
          </w:tcPr>
          <w:p w14:paraId="4C5FC030"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b/>
                <w:sz w:val="22"/>
                <w:szCs w:val="22"/>
              </w:rPr>
              <w:t>Exit event</w:t>
            </w:r>
          </w:p>
        </w:tc>
        <w:tc>
          <w:tcPr>
            <w:tcW w:w="0" w:type="auto"/>
          </w:tcPr>
          <w:p w14:paraId="105CD146"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sz w:val="22"/>
                <w:szCs w:val="22"/>
              </w:rPr>
              <w:t>Commercial High Court injunction, March 2024, over hygiene/quality breaches; franchise formally terminated October 2024</w:t>
            </w:r>
          </w:p>
        </w:tc>
      </w:tr>
      <w:tr w:rsidR="00CB2E36" w:rsidRPr="003E78B1" w14:paraId="1883222F" w14:textId="77777777">
        <w:tc>
          <w:tcPr>
            <w:tcW w:w="0" w:type="auto"/>
          </w:tcPr>
          <w:p w14:paraId="33BDA9E0"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b/>
                <w:sz w:val="22"/>
                <w:szCs w:val="22"/>
              </w:rPr>
              <w:t>Status as of June 2026</w:t>
            </w:r>
          </w:p>
        </w:tc>
        <w:tc>
          <w:tcPr>
            <w:tcW w:w="0" w:type="auto"/>
          </w:tcPr>
          <w:p w14:paraId="0E2ABC36"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sz w:val="22"/>
                <w:szCs w:val="22"/>
              </w:rPr>
              <w:t>No significant operational presence; no new franchise partner announced</w:t>
            </w:r>
          </w:p>
        </w:tc>
      </w:tr>
      <w:tr w:rsidR="00CB2E36" w:rsidRPr="003E78B1" w14:paraId="4BADCD27" w14:textId="77777777">
        <w:tc>
          <w:tcPr>
            <w:tcW w:w="0" w:type="auto"/>
          </w:tcPr>
          <w:p w14:paraId="79C3323F"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b/>
                <w:sz w:val="22"/>
                <w:szCs w:val="22"/>
              </w:rPr>
              <w:t>Core strategic question</w:t>
            </w:r>
          </w:p>
        </w:tc>
        <w:tc>
          <w:tcPr>
            <w:tcW w:w="0" w:type="auto"/>
          </w:tcPr>
          <w:p w14:paraId="506B9E89" w14:textId="77777777" w:rsidR="00CB2E36" w:rsidRPr="003E78B1" w:rsidRDefault="006165BC" w:rsidP="003E78B1">
            <w:pPr>
              <w:pStyle w:val="Compact"/>
              <w:spacing w:line="360" w:lineRule="auto"/>
              <w:rPr>
                <w:rFonts w:ascii="Arial" w:hAnsi="Arial" w:cs="Arial"/>
                <w:sz w:val="22"/>
                <w:szCs w:val="22"/>
              </w:rPr>
            </w:pPr>
            <w:r w:rsidRPr="003E78B1">
              <w:rPr>
                <w:rFonts w:ascii="Arial" w:hAnsi="Arial" w:cs="Arial"/>
                <w:sz w:val="22"/>
                <w:szCs w:val="22"/>
              </w:rPr>
              <w:t>Should McDonald’s re-enter Sri Lanka, and if so, through what entry mode?</w:t>
            </w:r>
          </w:p>
        </w:tc>
      </w:tr>
    </w:tbl>
    <w:p w14:paraId="65A433C6" w14:textId="77777777" w:rsidR="00CB2E36" w:rsidRDefault="006165BC" w:rsidP="003E78B1">
      <w:pPr>
        <w:pStyle w:val="BodyText"/>
        <w:spacing w:line="360" w:lineRule="auto"/>
        <w:rPr>
          <w:rFonts w:ascii="Arial" w:hAnsi="Arial" w:cs="Arial"/>
          <w:sz w:val="22"/>
          <w:szCs w:val="22"/>
        </w:rPr>
      </w:pPr>
      <w:r w:rsidRPr="003E78B1">
        <w:rPr>
          <w:rFonts w:ascii="Arial" w:hAnsi="Arial" w:cs="Arial"/>
          <w:sz w:val="22"/>
          <w:szCs w:val="22"/>
        </w:rPr>
        <w:t>This case study applies Bartlett and Ghoshal’s (1989) strategy typology, Hofstede’s (1980, 2001) cultural dimensions, Dunning’s (1988) eclectic (OLI) paradigm, and comparative entry-mode analysis to evaluate whether, and how, McDonald’s should re-enter Sri Lanka following its 2024 exit.</w:t>
      </w:r>
    </w:p>
    <w:p w14:paraId="5D761F95" w14:textId="77777777" w:rsidR="00242BA6" w:rsidRDefault="00242BA6" w:rsidP="003E78B1">
      <w:pPr>
        <w:pStyle w:val="BodyText"/>
        <w:spacing w:line="360" w:lineRule="auto"/>
        <w:rPr>
          <w:rFonts w:ascii="Arial" w:hAnsi="Arial" w:cs="Arial"/>
          <w:sz w:val="22"/>
          <w:szCs w:val="22"/>
        </w:rPr>
      </w:pPr>
    </w:p>
    <w:p w14:paraId="66BBD21A" w14:textId="77777777" w:rsidR="00242BA6" w:rsidRDefault="00242BA6" w:rsidP="003E78B1">
      <w:pPr>
        <w:pStyle w:val="BodyText"/>
        <w:spacing w:line="360" w:lineRule="auto"/>
        <w:rPr>
          <w:rFonts w:ascii="Arial" w:hAnsi="Arial" w:cs="Arial"/>
          <w:sz w:val="22"/>
          <w:szCs w:val="22"/>
        </w:rPr>
      </w:pPr>
    </w:p>
    <w:p w14:paraId="19EB336D" w14:textId="77777777" w:rsidR="00242BA6" w:rsidRDefault="00242BA6" w:rsidP="003E78B1">
      <w:pPr>
        <w:pStyle w:val="BodyText"/>
        <w:spacing w:line="360" w:lineRule="auto"/>
        <w:rPr>
          <w:rFonts w:ascii="Arial" w:hAnsi="Arial" w:cs="Arial"/>
          <w:sz w:val="22"/>
          <w:szCs w:val="22"/>
        </w:rPr>
      </w:pPr>
    </w:p>
    <w:p w14:paraId="314C6570" w14:textId="77777777" w:rsidR="00A518F8" w:rsidRDefault="00A518F8" w:rsidP="003E78B1">
      <w:pPr>
        <w:pStyle w:val="BodyText"/>
        <w:spacing w:line="360" w:lineRule="auto"/>
        <w:rPr>
          <w:rFonts w:ascii="Arial" w:hAnsi="Arial" w:cs="Arial"/>
          <w:sz w:val="22"/>
          <w:szCs w:val="22"/>
        </w:rPr>
      </w:pPr>
    </w:p>
    <w:p w14:paraId="4D7B5C57" w14:textId="77777777" w:rsidR="00A518F8" w:rsidRDefault="00A518F8" w:rsidP="003E78B1">
      <w:pPr>
        <w:pStyle w:val="BodyText"/>
        <w:spacing w:line="360" w:lineRule="auto"/>
        <w:rPr>
          <w:rFonts w:ascii="Arial" w:hAnsi="Arial" w:cs="Arial"/>
          <w:sz w:val="22"/>
          <w:szCs w:val="22"/>
        </w:rPr>
      </w:pPr>
    </w:p>
    <w:p w14:paraId="58AB1253" w14:textId="77777777" w:rsidR="00A518F8" w:rsidRDefault="00A518F8" w:rsidP="003E78B1">
      <w:pPr>
        <w:pStyle w:val="BodyText"/>
        <w:spacing w:line="360" w:lineRule="auto"/>
        <w:rPr>
          <w:rFonts w:ascii="Arial" w:hAnsi="Arial" w:cs="Arial"/>
          <w:sz w:val="22"/>
          <w:szCs w:val="22"/>
        </w:rPr>
      </w:pPr>
    </w:p>
    <w:p w14:paraId="5B589674" w14:textId="77777777" w:rsidR="00242BA6" w:rsidRPr="003E78B1" w:rsidRDefault="00242BA6" w:rsidP="003E78B1">
      <w:pPr>
        <w:pStyle w:val="BodyText"/>
        <w:spacing w:line="360" w:lineRule="auto"/>
        <w:rPr>
          <w:rFonts w:ascii="Arial" w:hAnsi="Arial" w:cs="Arial"/>
          <w:sz w:val="22"/>
          <w:szCs w:val="22"/>
        </w:rPr>
      </w:pPr>
    </w:p>
    <w:p w14:paraId="036C4D92" w14:textId="254A385E" w:rsidR="00A518F8" w:rsidRDefault="00B40C3B" w:rsidP="003E78B1">
      <w:pPr>
        <w:pStyle w:val="Heading1"/>
        <w:spacing w:line="360" w:lineRule="auto"/>
        <w:rPr>
          <w:rFonts w:ascii="Arial" w:hAnsi="Arial" w:cs="Arial"/>
          <w:sz w:val="28"/>
          <w:szCs w:val="28"/>
        </w:rPr>
      </w:pPr>
      <w:bookmarkStart w:id="5" w:name="X654735725775e097db381b956ef97edf66ff718"/>
      <w:bookmarkStart w:id="6" w:name="_Toc234787522"/>
      <w:bookmarkStart w:id="7" w:name="_Toc236052389"/>
      <w:r>
        <w:rPr>
          <w:rFonts w:ascii="Arial" w:hAnsi="Arial" w:cs="Arial"/>
          <w:sz w:val="28"/>
          <w:szCs w:val="28"/>
        </w:rPr>
        <w:t>Section</w:t>
      </w:r>
      <w:r w:rsidR="006165BC" w:rsidRPr="00A518F8">
        <w:rPr>
          <w:rFonts w:ascii="Arial" w:hAnsi="Arial" w:cs="Arial"/>
          <w:sz w:val="28"/>
          <w:szCs w:val="28"/>
        </w:rPr>
        <w:t>1:</w:t>
      </w:r>
      <w:bookmarkEnd w:id="7"/>
    </w:p>
    <w:p w14:paraId="67630E44" w14:textId="248452E1" w:rsidR="00CB2E36" w:rsidRPr="00A518F8" w:rsidRDefault="006165BC" w:rsidP="003E78B1">
      <w:pPr>
        <w:pStyle w:val="Heading1"/>
        <w:spacing w:line="360" w:lineRule="auto"/>
        <w:rPr>
          <w:rFonts w:ascii="Arial" w:hAnsi="Arial" w:cs="Arial"/>
          <w:sz w:val="28"/>
          <w:szCs w:val="28"/>
        </w:rPr>
      </w:pPr>
      <w:r w:rsidRPr="00A518F8">
        <w:rPr>
          <w:rFonts w:ascii="Arial" w:hAnsi="Arial" w:cs="Arial"/>
          <w:sz w:val="28"/>
          <w:szCs w:val="28"/>
        </w:rPr>
        <w:t xml:space="preserve"> </w:t>
      </w:r>
      <w:bookmarkStart w:id="8" w:name="_Toc236052390"/>
      <w:r w:rsidRPr="00A518F8">
        <w:rPr>
          <w:rFonts w:ascii="Arial" w:hAnsi="Arial" w:cs="Arial"/>
          <w:sz w:val="28"/>
          <w:szCs w:val="28"/>
        </w:rPr>
        <w:t>McDonald’s Corporation — International Market Entry into Sri Lanka</w:t>
      </w:r>
      <w:bookmarkEnd w:id="5"/>
      <w:bookmarkEnd w:id="6"/>
      <w:bookmarkEnd w:id="8"/>
    </w:p>
    <w:p w14:paraId="01D521B8" w14:textId="77777777" w:rsidR="00242BA6" w:rsidRPr="00242BA6" w:rsidRDefault="00242BA6" w:rsidP="00242BA6">
      <w:pPr>
        <w:pStyle w:val="BodyText"/>
      </w:pPr>
    </w:p>
    <w:p w14:paraId="1FF960F8" w14:textId="1F3FB282" w:rsidR="006B2A51" w:rsidRDefault="009A22E8" w:rsidP="006B2A51">
      <w:pPr>
        <w:pStyle w:val="BodyText"/>
      </w:pPr>
      <w:r>
        <w:rPr>
          <w:noProof/>
        </w:rPr>
        <w:t xml:space="preserve"> </w:t>
      </w:r>
      <w:r w:rsidR="00242BA6">
        <w:rPr>
          <w:noProof/>
        </w:rPr>
        <mc:AlternateContent>
          <mc:Choice Requires="wpg">
            <w:drawing>
              <wp:inline distT="0" distB="0" distL="0" distR="0" wp14:anchorId="7A8C2398" wp14:editId="1B1CD888">
                <wp:extent cx="2095500" cy="2314598"/>
                <wp:effectExtent l="0" t="0" r="0" b="0"/>
                <wp:docPr id="2106836408" name="Group 5"/>
                <wp:cNvGraphicFramePr/>
                <a:graphic xmlns:a="http://schemas.openxmlformats.org/drawingml/2006/main">
                  <a:graphicData uri="http://schemas.microsoft.com/office/word/2010/wordprocessingGroup">
                    <wpg:wgp>
                      <wpg:cNvGrpSpPr/>
                      <wpg:grpSpPr>
                        <a:xfrm>
                          <a:off x="0" y="0"/>
                          <a:ext cx="2095500" cy="2314598"/>
                          <a:chOff x="0" y="0"/>
                          <a:chExt cx="2095500" cy="2314598"/>
                        </a:xfrm>
                      </wpg:grpSpPr>
                      <pic:pic xmlns:pic="http://schemas.openxmlformats.org/drawingml/2006/picture">
                        <pic:nvPicPr>
                          <pic:cNvPr id="1599135781" name="Picture 3" descr="McDonald's - Wikipedija, prosta enciklopedija"/>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095500" cy="1828800"/>
                          </a:xfrm>
                          <a:prstGeom prst="rect">
                            <a:avLst/>
                          </a:prstGeom>
                        </pic:spPr>
                      </pic:pic>
                      <wps:wsp>
                        <wps:cNvPr id="1718554861" name="Text Box 4"/>
                        <wps:cNvSpPr txBox="1"/>
                        <wps:spPr>
                          <a:xfrm>
                            <a:off x="0" y="1828188"/>
                            <a:ext cx="2095500" cy="486410"/>
                          </a:xfrm>
                          <a:prstGeom prst="rect">
                            <a:avLst/>
                          </a:prstGeom>
                          <a:solidFill>
                            <a:prstClr val="white"/>
                          </a:solidFill>
                          <a:ln>
                            <a:noFill/>
                          </a:ln>
                        </wps:spPr>
                        <wps:txbx>
                          <w:txbxContent>
                            <w:p w14:paraId="2BB49FA9" w14:textId="3752DE5E" w:rsidR="00242BA6" w:rsidRPr="00242BA6" w:rsidRDefault="00242BA6" w:rsidP="00242BA6">
                              <w:pPr>
                                <w:rPr>
                                  <w:sz w:val="18"/>
                                  <w:szCs w:val="18"/>
                                </w:rPr>
                              </w:pPr>
                              <w:r>
                                <w:fldChar w:fldCharType="begin"/>
                              </w:r>
                              <w:r>
                                <w:instrText>HYPERLINK "https://sl.wikipedia.org/wiki/McDonald's"</w:instrText>
                              </w:r>
                              <w:r>
                                <w:fldChar w:fldCharType="separate"/>
                              </w:r>
                              <w:r w:rsidRPr="00242BA6">
                                <w:rPr>
                                  <w:rStyle w:val="Hyperlink"/>
                                  <w:sz w:val="18"/>
                                  <w:szCs w:val="18"/>
                                </w:rPr>
                                <w:t>This Photo</w:t>
                              </w:r>
                              <w:r>
                                <w:fldChar w:fldCharType="end"/>
                              </w:r>
                              <w:r w:rsidRPr="00242BA6">
                                <w:rPr>
                                  <w:sz w:val="18"/>
                                  <w:szCs w:val="18"/>
                                </w:rPr>
                                <w:t xml:space="preserve"> by Unknown Author is licensed under </w:t>
                              </w:r>
                              <w:hyperlink r:id="rId11" w:history="1">
                                <w:r w:rsidRPr="00242BA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A8C2398" id="Group 5" o:spid="_x0000_s1026" style="width:165pt;height:182.25pt;mso-position-horizontal-relative:char;mso-position-vertical-relative:line" coordsize="20955,2314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McDonald's - Wikipedija, prosta enciklopedija" style="position:absolute;width:20955;height:1828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">
                  <v:imagedata r:id="rId12" o:title="McDonald's - Wikipedija, prosta enciklopedija"/>
                </v:shape>
                <v:shapetype id="_x0000_t202" coordsize="21600,21600" o:spt="202" path="m,l,21600r21600,l21600,xe">
                  <v:stroke joinstyle="miter"/>
                  <v:path gradientshapeok="t" o:connecttype="rect"/>
                </v:shapetype>
                <v:shape id="Text Box 4" o:spid="_x0000_s1028" type="#_x0000_t202" style="position:absolute;top:18281;width:20955;height:48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" stroked="f">
                  <v:textbox style="mso-fit-shape-to-text:t">
                    <w:txbxContent>
                      <w:p w14:paraId="2BB49FA9" w14:textId="3752DE5E" w:rsidR="00242BA6" w:rsidRPr="00242BA6" w:rsidRDefault="00242BA6" w:rsidP="00242BA6">
                        <w:pPr>
                          <w:rPr>
                            <w:sz w:val="18"/>
                            <w:szCs w:val="18"/>
                          </w:rPr>
                        </w:pPr>
                        <w:r>
                          <w:fldChar w:fldCharType="begin"/>
                        </w:r>
                        <w:r>
                          <w:instrText>HYPERLINK "https://sl.wikipedia.org/wiki/McDonald's"</w:instrText>
                        </w:r>
                        <w:r>
                          <w:fldChar w:fldCharType="separate"/>
                        </w:r>
                        <w:r w:rsidRPr="00242BA6">
                          <w:rPr>
                            <w:rStyle w:val="Hyperlink"/>
                            <w:sz w:val="18"/>
                            <w:szCs w:val="18"/>
                          </w:rPr>
                          <w:t>This Photo</w:t>
                        </w:r>
                        <w:r>
                          <w:fldChar w:fldCharType="end"/>
                        </w:r>
                        <w:r w:rsidRPr="00242BA6">
                          <w:rPr>
                            <w:sz w:val="18"/>
                            <w:szCs w:val="18"/>
                          </w:rPr>
                          <w:t xml:space="preserve"> by Unknown Author is licensed under </w:t>
                        </w:r>
                        <w:hyperlink r:id="rId13" w:history="1">
                          <w:r w:rsidRPr="00242BA6">
                            <w:rPr>
                              <w:rStyle w:val="Hyperlink"/>
                              <w:sz w:val="18"/>
                              <w:szCs w:val="18"/>
                            </w:rPr>
                            <w:t>CC BY-SA</w:t>
                          </w:r>
                        </w:hyperlink>
                      </w:p>
                    </w:txbxContent>
                  </v:textbox>
                </v:shape>
                <w10:anchorlock/>
              </v:group>
            </w:pict>
          </mc:Fallback>
        </mc:AlternateContent>
      </w:r>
    </w:p>
    <w:p w14:paraId="3CFC8E60" w14:textId="39E20905" w:rsidR="0031011D" w:rsidRPr="006F7156" w:rsidRDefault="0031011D" w:rsidP="006B2A51">
      <w:pPr>
        <w:pStyle w:val="BodyText"/>
        <w:rPr>
          <w:rFonts w:ascii="Arial" w:hAnsi="Arial" w:cs="Arial"/>
          <w:sz w:val="22"/>
          <w:szCs w:val="22"/>
        </w:rPr>
      </w:pPr>
      <w:r w:rsidRPr="006F7156">
        <w:rPr>
          <w:rStyle w:val="Strong"/>
          <w:rFonts w:ascii="Arial" w:hAnsi="Arial" w:cs="Arial"/>
          <w:sz w:val="22"/>
          <w:szCs w:val="22"/>
        </w:rPr>
        <w:t>Figure 1.</w:t>
      </w:r>
      <w:r w:rsidRPr="006F7156">
        <w:rPr>
          <w:rFonts w:ascii="Arial" w:hAnsi="Arial" w:cs="Arial"/>
          <w:sz w:val="22"/>
          <w:szCs w:val="22"/>
        </w:rPr>
        <w:t xml:space="preserve"> McDonald's corporate logo.</w:t>
      </w:r>
      <w:r w:rsidRPr="006F7156">
        <w:rPr>
          <w:rFonts w:ascii="Arial" w:hAnsi="Arial" w:cs="Arial"/>
          <w:sz w:val="22"/>
          <w:szCs w:val="22"/>
        </w:rPr>
        <w:br/>
      </w:r>
      <w:r w:rsidRPr="006F7156">
        <w:rPr>
          <w:rStyle w:val="Emphasis"/>
          <w:rFonts w:ascii="Arial" w:hAnsi="Arial" w:cs="Arial"/>
          <w:sz w:val="22"/>
          <w:szCs w:val="22"/>
        </w:rPr>
        <w:t>Source:</w:t>
      </w:r>
      <w:r w:rsidRPr="006F7156">
        <w:rPr>
          <w:rFonts w:ascii="Arial" w:hAnsi="Arial" w:cs="Arial"/>
          <w:sz w:val="22"/>
          <w:szCs w:val="22"/>
        </w:rPr>
        <w:t xml:space="preserve"> McDonald's Corporation (2026).</w:t>
      </w:r>
    </w:p>
    <w:p w14:paraId="5E2730A6" w14:textId="77777777" w:rsidR="00CB2E36" w:rsidRPr="00A518F8" w:rsidRDefault="006165BC" w:rsidP="003E78B1">
      <w:pPr>
        <w:pStyle w:val="Heading2"/>
        <w:spacing w:line="360" w:lineRule="auto"/>
        <w:rPr>
          <w:rFonts w:ascii="Arial" w:hAnsi="Arial" w:cs="Arial"/>
        </w:rPr>
      </w:pPr>
      <w:bookmarkStart w:id="9" w:name="Xed1723b0f8d514dacd7b699be4116cdd4fe6608"/>
      <w:bookmarkStart w:id="10" w:name="_Toc234787523"/>
      <w:bookmarkStart w:id="11" w:name="_Toc236052391"/>
      <w:r w:rsidRPr="00A518F8">
        <w:rPr>
          <w:rFonts w:ascii="Arial" w:hAnsi="Arial" w:cs="Arial"/>
        </w:rPr>
        <w:t xml:space="preserve">1. </w:t>
      </w:r>
      <w:proofErr w:type="spellStart"/>
      <w:r w:rsidRPr="00A518F8">
        <w:rPr>
          <w:rFonts w:ascii="Arial" w:hAnsi="Arial" w:cs="Arial"/>
        </w:rPr>
        <w:t>Organisational</w:t>
      </w:r>
      <w:proofErr w:type="spellEnd"/>
      <w:r w:rsidRPr="00A518F8">
        <w:rPr>
          <w:rFonts w:ascii="Arial" w:hAnsi="Arial" w:cs="Arial"/>
        </w:rPr>
        <w:t xml:space="preserve"> Classification and Global Strategy</w:t>
      </w:r>
      <w:bookmarkEnd w:id="9"/>
      <w:bookmarkEnd w:id="10"/>
      <w:bookmarkEnd w:id="11"/>
    </w:p>
    <w:p w14:paraId="416BA781" w14:textId="7A7498FF" w:rsidR="00CB2E36" w:rsidRPr="003E78B1" w:rsidRDefault="006826E7" w:rsidP="00A518F8">
      <w:pPr>
        <w:pStyle w:val="FirstParagraph"/>
        <w:spacing w:line="360" w:lineRule="auto"/>
        <w:rPr>
          <w:rFonts w:ascii="Arial" w:hAnsi="Arial" w:cs="Arial"/>
          <w:sz w:val="22"/>
          <w:szCs w:val="22"/>
        </w:rPr>
      </w:pPr>
      <w:r>
        <w:rPr>
          <w:rFonts w:ascii="Arial" w:hAnsi="Arial" w:cs="Arial"/>
          <w:sz w:val="22"/>
          <w:szCs w:val="22"/>
        </w:rPr>
        <w:t xml:space="preserve">McDonald’s Corporation, founded in 1955 and based in Illinois, operated 45,356 restaurants in over 100 countries by the end of 2025, establishing itself as a leader in the quick-service restaurant industry. Using Bartlett and Ghoshal’s integration–responsiveness framework, McDonald’s is identified as a transnational </w:t>
      </w:r>
      <w:proofErr w:type="spellStart"/>
      <w:r>
        <w:rPr>
          <w:rFonts w:ascii="Arial" w:hAnsi="Arial" w:cs="Arial"/>
          <w:sz w:val="22"/>
          <w:szCs w:val="22"/>
        </w:rPr>
        <w:t>organisation</w:t>
      </w:r>
      <w:proofErr w:type="spellEnd"/>
      <w:r>
        <w:rPr>
          <w:rFonts w:ascii="Arial" w:hAnsi="Arial" w:cs="Arial"/>
          <w:sz w:val="22"/>
          <w:szCs w:val="22"/>
        </w:rPr>
        <w:t xml:space="preserve"> </w:t>
      </w:r>
      <w:r w:rsidR="00DB3E9F">
        <w:rPr>
          <w:rFonts w:ascii="Arial" w:hAnsi="Arial" w:cs="Arial"/>
          <w:sz w:val="22"/>
          <w:szCs w:val="22"/>
        </w:rPr>
        <w:t>that balances</w:t>
      </w:r>
      <w:r>
        <w:rPr>
          <w:rFonts w:ascii="Arial" w:hAnsi="Arial" w:cs="Arial"/>
          <w:sz w:val="22"/>
          <w:szCs w:val="22"/>
        </w:rPr>
        <w:t xml:space="preserve"> global integration and local responsiveness. This includes </w:t>
      </w:r>
      <w:proofErr w:type="spellStart"/>
      <w:r>
        <w:rPr>
          <w:rFonts w:ascii="Arial" w:hAnsi="Arial" w:cs="Arial"/>
          <w:sz w:val="22"/>
          <w:szCs w:val="22"/>
        </w:rPr>
        <w:t>standardised</w:t>
      </w:r>
      <w:proofErr w:type="spellEnd"/>
      <w:r>
        <w:rPr>
          <w:rFonts w:ascii="Arial" w:hAnsi="Arial" w:cs="Arial"/>
          <w:sz w:val="22"/>
          <w:szCs w:val="22"/>
        </w:rPr>
        <w:t xml:space="preserve"> systems </w:t>
      </w:r>
      <w:r w:rsidR="00906983">
        <w:rPr>
          <w:rFonts w:ascii="Arial" w:hAnsi="Arial" w:cs="Arial"/>
          <w:sz w:val="22"/>
          <w:szCs w:val="22"/>
        </w:rPr>
        <w:t>such as</w:t>
      </w:r>
      <w:r>
        <w:rPr>
          <w:rFonts w:ascii="Arial" w:hAnsi="Arial" w:cs="Arial"/>
          <w:sz w:val="22"/>
          <w:szCs w:val="22"/>
        </w:rPr>
        <w:t xml:space="preserve"> the “</w:t>
      </w:r>
      <w:proofErr w:type="spellStart"/>
      <w:r>
        <w:rPr>
          <w:rFonts w:ascii="Arial" w:hAnsi="Arial" w:cs="Arial"/>
          <w:sz w:val="22"/>
          <w:szCs w:val="22"/>
        </w:rPr>
        <w:t>Speedee</w:t>
      </w:r>
      <w:proofErr w:type="spellEnd"/>
      <w:r>
        <w:rPr>
          <w:rFonts w:ascii="Arial" w:hAnsi="Arial" w:cs="Arial"/>
          <w:sz w:val="22"/>
          <w:szCs w:val="22"/>
        </w:rPr>
        <w:t xml:space="preserve">” service, </w:t>
      </w:r>
      <w:proofErr w:type="spellStart"/>
      <w:r>
        <w:rPr>
          <w:rFonts w:ascii="Arial" w:hAnsi="Arial" w:cs="Arial"/>
          <w:sz w:val="22"/>
          <w:szCs w:val="22"/>
        </w:rPr>
        <w:t>centralised</w:t>
      </w:r>
      <w:proofErr w:type="spellEnd"/>
      <w:r>
        <w:rPr>
          <w:rFonts w:ascii="Arial" w:hAnsi="Arial" w:cs="Arial"/>
          <w:sz w:val="22"/>
          <w:szCs w:val="22"/>
        </w:rPr>
        <w:t xml:space="preserve"> supply chains, consistent branding, and training through Hamburger University, which enhance cost efficiency and cultural adaptation.</w:t>
      </w:r>
    </w:p>
    <w:p w14:paraId="5A05D1E9" w14:textId="77777777" w:rsidR="00CB2E36" w:rsidRPr="003E78B1" w:rsidRDefault="006165BC" w:rsidP="003E78B1">
      <w:pPr>
        <w:pStyle w:val="BodyText"/>
        <w:spacing w:line="360" w:lineRule="auto"/>
        <w:rPr>
          <w:rFonts w:ascii="Arial" w:hAnsi="Arial" w:cs="Arial"/>
          <w:sz w:val="22"/>
          <w:szCs w:val="22"/>
        </w:rPr>
      </w:pPr>
      <w:r w:rsidRPr="003E78B1">
        <w:rPr>
          <w:rFonts w:ascii="Arial" w:hAnsi="Arial" w:cs="Arial"/>
          <w:sz w:val="22"/>
          <w:szCs w:val="22"/>
        </w:rPr>
        <w:t xml:space="preserve">Simultaneously, McDonald’s exhibits high local responsiveness. Menu architecture is substantially </w:t>
      </w:r>
      <w:proofErr w:type="spellStart"/>
      <w:r w:rsidRPr="003E78B1">
        <w:rPr>
          <w:rFonts w:ascii="Arial" w:hAnsi="Arial" w:cs="Arial"/>
          <w:sz w:val="22"/>
          <w:szCs w:val="22"/>
        </w:rPr>
        <w:t>localised</w:t>
      </w:r>
      <w:proofErr w:type="spellEnd"/>
      <w:r w:rsidRPr="003E78B1">
        <w:rPr>
          <w:rFonts w:ascii="Arial" w:hAnsi="Arial" w:cs="Arial"/>
          <w:sz w:val="22"/>
          <w:szCs w:val="22"/>
        </w:rPr>
        <w:t xml:space="preserve">: the beef-free </w:t>
      </w:r>
      <w:proofErr w:type="spellStart"/>
      <w:r w:rsidRPr="003E78B1">
        <w:rPr>
          <w:rFonts w:ascii="Arial" w:hAnsi="Arial" w:cs="Arial"/>
          <w:sz w:val="22"/>
          <w:szCs w:val="22"/>
        </w:rPr>
        <w:t>McAloo</w:t>
      </w:r>
      <w:proofErr w:type="spellEnd"/>
      <w:r w:rsidRPr="003E78B1">
        <w:rPr>
          <w:rFonts w:ascii="Arial" w:hAnsi="Arial" w:cs="Arial"/>
          <w:sz w:val="22"/>
          <w:szCs w:val="22"/>
        </w:rPr>
        <w:t xml:space="preserve"> Tikki and Chicken Maharaja Mac in India, the Teriyaki Burger in Japan, the </w:t>
      </w:r>
      <w:proofErr w:type="spellStart"/>
      <w:r w:rsidRPr="003E78B1">
        <w:rPr>
          <w:rFonts w:ascii="Arial" w:hAnsi="Arial" w:cs="Arial"/>
          <w:sz w:val="22"/>
          <w:szCs w:val="22"/>
        </w:rPr>
        <w:t>McArabia</w:t>
      </w:r>
      <w:proofErr w:type="spellEnd"/>
      <w:r w:rsidRPr="003E78B1">
        <w:rPr>
          <w:rFonts w:ascii="Arial" w:hAnsi="Arial" w:cs="Arial"/>
          <w:sz w:val="22"/>
          <w:szCs w:val="22"/>
        </w:rPr>
        <w:t xml:space="preserve"> in the Middle East, and region-specific limited-time offers are all evidence that the firm treats national subsidiaries as sources of product innovation rather than passive recipients of a single global menu. Pricing is likewise </w:t>
      </w:r>
      <w:proofErr w:type="spellStart"/>
      <w:r w:rsidRPr="003E78B1">
        <w:rPr>
          <w:rFonts w:ascii="Arial" w:hAnsi="Arial" w:cs="Arial"/>
          <w:sz w:val="22"/>
          <w:szCs w:val="22"/>
        </w:rPr>
        <w:t>localised</w:t>
      </w:r>
      <w:proofErr w:type="spellEnd"/>
      <w:r w:rsidRPr="003E78B1">
        <w:rPr>
          <w:rFonts w:ascii="Arial" w:hAnsi="Arial" w:cs="Arial"/>
          <w:sz w:val="22"/>
          <w:szCs w:val="22"/>
        </w:rPr>
        <w:t xml:space="preserve"> to reflect </w:t>
      </w:r>
      <w:r w:rsidRPr="003E78B1">
        <w:rPr>
          <w:rFonts w:ascii="Arial" w:hAnsi="Arial" w:cs="Arial"/>
          <w:sz w:val="22"/>
          <w:szCs w:val="22"/>
        </w:rPr>
        <w:lastRenderedPageBreak/>
        <w:t xml:space="preserve">purchasing power (a phenomenon </w:t>
      </w:r>
      <w:proofErr w:type="spellStart"/>
      <w:r w:rsidRPr="003E78B1">
        <w:rPr>
          <w:rFonts w:ascii="Arial" w:hAnsi="Arial" w:cs="Arial"/>
          <w:sz w:val="22"/>
          <w:szCs w:val="22"/>
        </w:rPr>
        <w:t>popularised</w:t>
      </w:r>
      <w:proofErr w:type="spellEnd"/>
      <w:r w:rsidRPr="003E78B1">
        <w:rPr>
          <w:rFonts w:ascii="Arial" w:hAnsi="Arial" w:cs="Arial"/>
          <w:sz w:val="22"/>
          <w:szCs w:val="22"/>
        </w:rPr>
        <w:t xml:space="preserve"> by </w:t>
      </w:r>
      <w:r w:rsidRPr="003E78B1">
        <w:rPr>
          <w:rFonts w:ascii="Arial" w:hAnsi="Arial" w:cs="Arial"/>
          <w:i/>
          <w:sz w:val="22"/>
          <w:szCs w:val="22"/>
        </w:rPr>
        <w:t>The Economist</w:t>
      </w:r>
      <w:r w:rsidRPr="003E78B1">
        <w:rPr>
          <w:rFonts w:ascii="Arial" w:hAnsi="Arial" w:cs="Arial"/>
          <w:sz w:val="22"/>
          <w:szCs w:val="22"/>
        </w:rPr>
        <w:t xml:space="preserve">’s Big Mac Index), and sourcing is substantially </w:t>
      </w:r>
      <w:proofErr w:type="spellStart"/>
      <w:r w:rsidRPr="003E78B1">
        <w:rPr>
          <w:rFonts w:ascii="Arial" w:hAnsi="Arial" w:cs="Arial"/>
          <w:sz w:val="22"/>
          <w:szCs w:val="22"/>
        </w:rPr>
        <w:t>localised</w:t>
      </w:r>
      <w:proofErr w:type="spellEnd"/>
      <w:r w:rsidRPr="003E78B1">
        <w:rPr>
          <w:rFonts w:ascii="Arial" w:hAnsi="Arial" w:cs="Arial"/>
          <w:sz w:val="22"/>
          <w:szCs w:val="22"/>
        </w:rPr>
        <w:t xml:space="preserve"> to manage tariffs, currency exposure, and religious dietary norms.</w:t>
      </w:r>
    </w:p>
    <w:p w14:paraId="2C52AD84" w14:textId="1E0E9C0F" w:rsidR="00CB2E36" w:rsidRPr="003E78B1" w:rsidRDefault="00E918E2" w:rsidP="003E78B1">
      <w:pPr>
        <w:pStyle w:val="BodyText"/>
        <w:spacing w:line="360" w:lineRule="auto"/>
        <w:rPr>
          <w:rFonts w:ascii="Arial" w:hAnsi="Arial" w:cs="Arial"/>
          <w:sz w:val="22"/>
          <w:szCs w:val="22"/>
        </w:rPr>
      </w:pPr>
      <w:r>
        <w:rPr>
          <w:rFonts w:ascii="Arial" w:hAnsi="Arial" w:cs="Arial"/>
          <w:sz w:val="22"/>
          <w:szCs w:val="22"/>
        </w:rPr>
        <w:t>A critical appraisal suggests that McDonald’s operates more as a “</w:t>
      </w:r>
      <w:r w:rsidR="00E461E0">
        <w:rPr>
          <w:rFonts w:ascii="Arial" w:hAnsi="Arial" w:cs="Arial"/>
          <w:sz w:val="22"/>
          <w:szCs w:val="22"/>
        </w:rPr>
        <w:t>global</w:t>
      </w:r>
      <w:r>
        <w:rPr>
          <w:rFonts w:ascii="Arial" w:hAnsi="Arial" w:cs="Arial"/>
          <w:sz w:val="22"/>
          <w:szCs w:val="22"/>
        </w:rPr>
        <w:t xml:space="preserve">” hybrid than a true transnational firm. According to Bartlett and Ghoshal's transnational model, innovation should flow reciprocally between headquarters and subsidiaries. However, McDonald’s primarily follows a </w:t>
      </w:r>
      <w:proofErr w:type="spellStart"/>
      <w:r>
        <w:rPr>
          <w:rFonts w:ascii="Arial" w:hAnsi="Arial" w:cs="Arial"/>
          <w:sz w:val="22"/>
          <w:szCs w:val="22"/>
        </w:rPr>
        <w:t>centre</w:t>
      </w:r>
      <w:proofErr w:type="spellEnd"/>
      <w:r>
        <w:rPr>
          <w:rFonts w:ascii="Arial" w:hAnsi="Arial" w:cs="Arial"/>
          <w:sz w:val="22"/>
          <w:szCs w:val="22"/>
        </w:rPr>
        <w:t xml:space="preserve">-out approach, where corporate headquarters and key markets like the U.S. and China dictate operating standards and core menu items, which are then adapted by peripheral markets rather than developed by them. This is significant for markets re-entering the system, like Sri Lanka, as they will need to adapt </w:t>
      </w:r>
      <w:proofErr w:type="spellStart"/>
      <w:r>
        <w:rPr>
          <w:rFonts w:ascii="Arial" w:hAnsi="Arial" w:cs="Arial"/>
          <w:sz w:val="22"/>
          <w:szCs w:val="22"/>
        </w:rPr>
        <w:t>centralised</w:t>
      </w:r>
      <w:proofErr w:type="spellEnd"/>
      <w:r>
        <w:rPr>
          <w:rFonts w:ascii="Arial" w:hAnsi="Arial" w:cs="Arial"/>
          <w:sz w:val="22"/>
          <w:szCs w:val="22"/>
        </w:rPr>
        <w:t xml:space="preserve"> standards rather than negotiate them, impacting the entry-mode discussion.</w:t>
      </w:r>
    </w:p>
    <w:p w14:paraId="0CBB8E7B" w14:textId="4346329A" w:rsidR="00DE7FF7" w:rsidRDefault="00DE7FF7" w:rsidP="003E78B1">
      <w:pPr>
        <w:pStyle w:val="CaptionedFigure"/>
        <w:spacing w:line="360" w:lineRule="auto"/>
        <w:rPr>
          <w:rFonts w:ascii="Arial" w:hAnsi="Arial" w:cs="Arial"/>
          <w:sz w:val="22"/>
          <w:szCs w:val="22"/>
        </w:rPr>
      </w:pPr>
    </w:p>
    <w:p w14:paraId="7CF1554A" w14:textId="21BA2D2B" w:rsidR="00DE7FF7" w:rsidRPr="003E78B1" w:rsidRDefault="00576666" w:rsidP="003E78B1">
      <w:pPr>
        <w:pStyle w:val="CaptionedFigure"/>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1FD43B38" wp14:editId="0410F7CD">
                <wp:simplePos x="0" y="0"/>
                <wp:positionH relativeFrom="column">
                  <wp:posOffset>206647</wp:posOffset>
                </wp:positionH>
                <wp:positionV relativeFrom="paragraph">
                  <wp:posOffset>953770</wp:posOffset>
                </wp:positionV>
                <wp:extent cx="1104900" cy="429986"/>
                <wp:effectExtent l="0" t="0" r="12700" b="14605"/>
                <wp:wrapNone/>
                <wp:docPr id="1744661564" name="Text Box 3"/>
                <wp:cNvGraphicFramePr/>
                <a:graphic xmlns:a="http://schemas.openxmlformats.org/drawingml/2006/main">
                  <a:graphicData uri="http://schemas.microsoft.com/office/word/2010/wordprocessingShape">
                    <wps:wsp>
                      <wps:cNvSpPr txBox="1"/>
                      <wps:spPr>
                        <a:xfrm>
                          <a:off x="0" y="0"/>
                          <a:ext cx="1104900" cy="429986"/>
                        </a:xfrm>
                        <a:prstGeom prst="rect">
                          <a:avLst/>
                        </a:prstGeom>
                        <a:solidFill>
                          <a:schemeClr val="lt1"/>
                        </a:solidFill>
                        <a:ln w="6350">
                          <a:solidFill>
                            <a:prstClr val="black"/>
                          </a:solidFill>
                        </a:ln>
                      </wps:spPr>
                      <wps:txbx>
                        <w:txbxContent>
                          <w:p w14:paraId="42EE2D0F" w14:textId="1506ED5C" w:rsidR="00D967E1" w:rsidRPr="00576666" w:rsidRDefault="00D967E1" w:rsidP="00576666">
                            <w:pPr>
                              <w:shd w:val="clear" w:color="auto" w:fill="C0504D" w:themeFill="accent2"/>
                              <w:rPr>
                                <w:sz w:val="20"/>
                                <w:szCs w:val="20"/>
                                <w:lang w:val="en-GB"/>
                              </w:rPr>
                            </w:pPr>
                            <w:proofErr w:type="spellStart"/>
                            <w:r w:rsidRPr="00576666">
                              <w:rPr>
                                <w:sz w:val="20"/>
                                <w:szCs w:val="20"/>
                                <w:lang w:val="en-GB"/>
                              </w:rPr>
                              <w:t>Uniliver</w:t>
                            </w:r>
                            <w:proofErr w:type="spellEnd"/>
                            <w:r w:rsidRPr="00576666">
                              <w:rPr>
                                <w:sz w:val="20"/>
                                <w:szCs w:val="20"/>
                                <w:lang w:val="en-GB"/>
                              </w:rPr>
                              <w:t xml:space="preserve"> Illustrative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D43B38" id="Text Box 3" o:spid="_x0000_s1029" type="#_x0000_t202" style="position:absolute;margin-left:16.25pt;margin-top:75.1pt;width:87pt;height:33.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" fillcolor="white [3201]" strokeweight=".5pt">
                <v:textbox>
                  <w:txbxContent>
                    <w:p w14:paraId="42EE2D0F" w14:textId="1506ED5C" w:rsidR="00D967E1" w:rsidRPr="00576666" w:rsidRDefault="00D967E1" w:rsidP="00576666">
                      <w:pPr>
                        <w:shd w:val="clear" w:color="auto" w:fill="C0504D" w:themeFill="accent2"/>
                        <w:rPr>
                          <w:sz w:val="20"/>
                          <w:szCs w:val="20"/>
                          <w:lang w:val="en-GB"/>
                        </w:rPr>
                      </w:pPr>
                      <w:proofErr w:type="spellStart"/>
                      <w:r w:rsidRPr="00576666">
                        <w:rPr>
                          <w:sz w:val="20"/>
                          <w:szCs w:val="20"/>
                          <w:lang w:val="en-GB"/>
                        </w:rPr>
                        <w:t>Uniliver</w:t>
                      </w:r>
                      <w:proofErr w:type="spellEnd"/>
                      <w:r w:rsidRPr="00576666">
                        <w:rPr>
                          <w:sz w:val="20"/>
                          <w:szCs w:val="20"/>
                          <w:lang w:val="en-GB"/>
                        </w:rPr>
                        <w:t xml:space="preserve"> Illustrative</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9264" behindDoc="0" locked="0" layoutInCell="1" allowOverlap="1" wp14:anchorId="18174668" wp14:editId="3A9C4F99">
                <wp:simplePos x="0" y="0"/>
                <wp:positionH relativeFrom="column">
                  <wp:posOffset>3669030</wp:posOffset>
                </wp:positionH>
                <wp:positionV relativeFrom="paragraph">
                  <wp:posOffset>884918</wp:posOffset>
                </wp:positionV>
                <wp:extent cx="985652" cy="267195"/>
                <wp:effectExtent l="0" t="0" r="24130" b="19050"/>
                <wp:wrapNone/>
                <wp:docPr id="1831342007" name="Text Box 2"/>
                <wp:cNvGraphicFramePr/>
                <a:graphic xmlns:a="http://schemas.openxmlformats.org/drawingml/2006/main">
                  <a:graphicData uri="http://schemas.microsoft.com/office/word/2010/wordprocessingShape">
                    <wps:wsp>
                      <wps:cNvSpPr txBox="1"/>
                      <wps:spPr>
                        <a:xfrm>
                          <a:off x="0" y="0"/>
                          <a:ext cx="985652" cy="267195"/>
                        </a:xfrm>
                        <a:prstGeom prst="rect">
                          <a:avLst/>
                        </a:prstGeom>
                        <a:solidFill>
                          <a:schemeClr val="lt1"/>
                        </a:solidFill>
                        <a:ln w="6350">
                          <a:solidFill>
                            <a:prstClr val="black"/>
                          </a:solidFill>
                        </a:ln>
                      </wps:spPr>
                      <wps:txbx>
                        <w:txbxContent>
                          <w:p w14:paraId="7AB9CA0D" w14:textId="3E9EED43" w:rsidR="004F4E4B" w:rsidRPr="004F4E4B" w:rsidRDefault="004F4E4B" w:rsidP="00576666">
                            <w:pPr>
                              <w:shd w:val="clear" w:color="auto" w:fill="F79646" w:themeFill="accent6"/>
                              <w:rPr>
                                <w:lang w:val="en-GB"/>
                              </w:rPr>
                            </w:pPr>
                            <w:r>
                              <w:rPr>
                                <w:lang w:val="en-GB"/>
                              </w:rPr>
                              <w:t>M</w:t>
                            </w:r>
                            <w:r w:rsidR="00E04D2B">
                              <w:rPr>
                                <w:lang w:val="en-GB"/>
                              </w:rPr>
                              <w:t>c</w:t>
                            </w:r>
                            <w:r w:rsidR="00F35A66">
                              <w:rPr>
                                <w:lang w:val="en-GB"/>
                              </w:rPr>
                              <w:t>D</w:t>
                            </w:r>
                            <w:r w:rsidR="0017272A">
                              <w:rPr>
                                <w:lang w:val="en-GB"/>
                              </w:rPr>
                              <w:t>onalds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174668" id="Text Box 2" o:spid="_x0000_s1030" type="#_x0000_t202" style="position:absolute;margin-left:288.9pt;margin-top:69.7pt;width:77.6pt;height:2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" fillcolor="white [3201]" strokeweight=".5pt">
                <v:textbox>
                  <w:txbxContent>
                    <w:p w14:paraId="7AB9CA0D" w14:textId="3E9EED43" w:rsidR="004F4E4B" w:rsidRPr="004F4E4B" w:rsidRDefault="004F4E4B" w:rsidP="00576666">
                      <w:pPr>
                        <w:shd w:val="clear" w:color="auto" w:fill="F79646" w:themeFill="accent6"/>
                        <w:rPr>
                          <w:lang w:val="en-GB"/>
                        </w:rPr>
                      </w:pPr>
                      <w:r>
                        <w:rPr>
                          <w:lang w:val="en-GB"/>
                        </w:rPr>
                        <w:t>M</w:t>
                      </w:r>
                      <w:r w:rsidR="00E04D2B">
                        <w:rPr>
                          <w:lang w:val="en-GB"/>
                        </w:rPr>
                        <w:t>c</w:t>
                      </w:r>
                      <w:r w:rsidR="00F35A66">
                        <w:rPr>
                          <w:lang w:val="en-GB"/>
                        </w:rPr>
                        <w:t>D</w:t>
                      </w:r>
                      <w:r w:rsidR="0017272A">
                        <w:rPr>
                          <w:lang w:val="en-GB"/>
                        </w:rPr>
                        <w:t>onalds</w:t>
                      </w:r>
                    </w:p>
                  </w:txbxContent>
                </v:textbox>
              </v:shape>
            </w:pict>
          </mc:Fallback>
        </mc:AlternateContent>
      </w:r>
      <w:r w:rsidR="003B1A28">
        <w:rPr>
          <w:rFonts w:ascii="Arial" w:hAnsi="Arial" w:cs="Arial"/>
          <w:noProof/>
          <w:sz w:val="22"/>
          <w:szCs w:val="22"/>
        </w:rPr>
        <mc:AlternateContent>
          <mc:Choice Requires="wps">
            <w:drawing>
              <wp:anchor distT="0" distB="0" distL="114300" distR="114300" simplePos="0" relativeHeight="251661312" behindDoc="0" locked="0" layoutInCell="1" allowOverlap="1" wp14:anchorId="41970475" wp14:editId="5D8CBCD3">
                <wp:simplePos x="0" y="0"/>
                <wp:positionH relativeFrom="column">
                  <wp:posOffset>4273685</wp:posOffset>
                </wp:positionH>
                <wp:positionV relativeFrom="paragraph">
                  <wp:posOffset>1903473</wp:posOffset>
                </wp:positionV>
                <wp:extent cx="1024647" cy="214009"/>
                <wp:effectExtent l="0" t="0" r="17145" b="14605"/>
                <wp:wrapNone/>
                <wp:docPr id="207123720" name="Text Box 6"/>
                <wp:cNvGraphicFramePr/>
                <a:graphic xmlns:a="http://schemas.openxmlformats.org/drawingml/2006/main">
                  <a:graphicData uri="http://schemas.microsoft.com/office/word/2010/wordprocessingShape">
                    <wps:wsp>
                      <wps:cNvSpPr txBox="1"/>
                      <wps:spPr>
                        <a:xfrm>
                          <a:off x="0" y="0"/>
                          <a:ext cx="1024647" cy="214009"/>
                        </a:xfrm>
                        <a:prstGeom prst="rect">
                          <a:avLst/>
                        </a:prstGeom>
                        <a:solidFill>
                          <a:schemeClr val="lt1"/>
                        </a:solidFill>
                        <a:ln w="6350">
                          <a:solidFill>
                            <a:prstClr val="black"/>
                          </a:solidFill>
                        </a:ln>
                      </wps:spPr>
                      <wps:txbx>
                        <w:txbxContent>
                          <w:p w14:paraId="6BAF06B9" w14:textId="18AFC8BB" w:rsidR="003B1A28" w:rsidRPr="003B1A28" w:rsidRDefault="003B1A28">
                            <w:pPr>
                              <w:rPr>
                                <w:rFonts w:ascii="Arial" w:hAnsi="Arial" w:cs="Arial"/>
                                <w:sz w:val="20"/>
                                <w:szCs w:val="20"/>
                              </w:rPr>
                            </w:pPr>
                            <w:r w:rsidRPr="003B1A28">
                              <w:rPr>
                                <w:rFonts w:ascii="Arial" w:hAnsi="Arial" w:cs="Arial"/>
                                <w:sz w:val="20"/>
                                <w:szCs w:val="20"/>
                              </w:rPr>
                              <w:t>Coca Cola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970475" id="Text Box 6" o:spid="_x0000_s1031" type="#_x0000_t202" style="position:absolute;margin-left:336.5pt;margin-top:149.9pt;width:80.7pt;height:16.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" fillcolor="white [3201]" strokeweight=".5pt">
                <v:textbox>
                  <w:txbxContent>
                    <w:p w14:paraId="6BAF06B9" w14:textId="18AFC8BB" w:rsidR="003B1A28" w:rsidRPr="003B1A28" w:rsidRDefault="003B1A28">
                      <w:pPr>
                        <w:rPr>
                          <w:rFonts w:ascii="Arial" w:hAnsi="Arial" w:cs="Arial"/>
                          <w:sz w:val="20"/>
                          <w:szCs w:val="20"/>
                        </w:rPr>
                      </w:pPr>
                      <w:r w:rsidRPr="003B1A28">
                        <w:rPr>
                          <w:rFonts w:ascii="Arial" w:hAnsi="Arial" w:cs="Arial"/>
                          <w:sz w:val="20"/>
                          <w:szCs w:val="20"/>
                        </w:rPr>
                        <w:t>Coca Cola</w:t>
                      </w:r>
                    </w:p>
                  </w:txbxContent>
                </v:textbox>
              </v:shape>
            </w:pict>
          </mc:Fallback>
        </mc:AlternateContent>
      </w:r>
      <w:r w:rsidR="00DE7FF7">
        <w:rPr>
          <w:rFonts w:ascii="Arial" w:hAnsi="Arial" w:cs="Arial"/>
          <w:noProof/>
          <w:sz w:val="22"/>
          <w:szCs w:val="22"/>
        </w:rPr>
        <w:drawing>
          <wp:inline distT="0" distB="0" distL="0" distR="0" wp14:anchorId="2E5F47DB" wp14:editId="2035DAED">
            <wp:extent cx="5315857" cy="2946400"/>
            <wp:effectExtent l="12700" t="50800" r="18415" b="50800"/>
            <wp:docPr id="135870025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45D66E8" w14:textId="77777777" w:rsidR="00034DD2" w:rsidRDefault="006165BC" w:rsidP="00034DD2">
      <w:pPr>
        <w:pStyle w:val="ImageCaption"/>
        <w:spacing w:line="360" w:lineRule="auto"/>
        <w:rPr>
          <w:rFonts w:ascii="Arial" w:hAnsi="Arial" w:cs="Arial"/>
          <w:sz w:val="22"/>
          <w:szCs w:val="22"/>
        </w:rPr>
      </w:pPr>
      <w:r w:rsidRPr="00034DD2">
        <w:rPr>
          <w:rFonts w:ascii="Arial" w:hAnsi="Arial" w:cs="Arial"/>
          <w:sz w:val="22"/>
          <w:szCs w:val="22"/>
        </w:rPr>
        <w:t>Figure 2: Bartlett and Ghoshal integration-responsiveness matrix</w:t>
      </w:r>
    </w:p>
    <w:p w14:paraId="5C915EDB" w14:textId="5E0441CE" w:rsidR="00281CF0" w:rsidRDefault="00281CF0" w:rsidP="00034DD2">
      <w:pPr>
        <w:pStyle w:val="ImageCaption"/>
        <w:spacing w:line="360" w:lineRule="auto"/>
        <w:rPr>
          <w:rStyle w:val="Emphasis"/>
          <w:rFonts w:ascii="Arial" w:hAnsi="Arial" w:cs="Arial"/>
          <w:sz w:val="22"/>
          <w:szCs w:val="22"/>
        </w:rPr>
      </w:pPr>
      <w:r w:rsidRPr="00034DD2">
        <w:rPr>
          <w:rStyle w:val="Strong"/>
          <w:rFonts w:ascii="Arial" w:hAnsi="Arial" w:cs="Arial"/>
          <w:sz w:val="22"/>
          <w:szCs w:val="22"/>
        </w:rPr>
        <w:t>Source:</w:t>
      </w:r>
      <w:r w:rsidRPr="00034DD2">
        <w:rPr>
          <w:rFonts w:ascii="Arial" w:hAnsi="Arial" w:cs="Arial"/>
          <w:sz w:val="22"/>
          <w:szCs w:val="22"/>
        </w:rPr>
        <w:t xml:space="preserve"> </w:t>
      </w:r>
      <w:r w:rsidRPr="00034DD2">
        <w:rPr>
          <w:rStyle w:val="Emphasis"/>
          <w:rFonts w:ascii="Arial" w:hAnsi="Arial" w:cs="Arial"/>
          <w:sz w:val="22"/>
          <w:szCs w:val="22"/>
        </w:rPr>
        <w:t>Adapted from Bartlett and Ghoshal (1989).</w:t>
      </w:r>
    </w:p>
    <w:p w14:paraId="2E824CB0" w14:textId="77777777" w:rsidR="006C7400" w:rsidRDefault="006C7400" w:rsidP="00034DD2">
      <w:pPr>
        <w:pStyle w:val="ImageCaption"/>
        <w:spacing w:line="360" w:lineRule="auto"/>
        <w:rPr>
          <w:rStyle w:val="Emphasis"/>
          <w:rFonts w:ascii="Arial" w:hAnsi="Arial" w:cs="Arial"/>
          <w:sz w:val="22"/>
          <w:szCs w:val="22"/>
        </w:rPr>
      </w:pPr>
    </w:p>
    <w:p w14:paraId="30B259DC" w14:textId="77777777" w:rsidR="006C7400" w:rsidRDefault="006C7400" w:rsidP="00034DD2">
      <w:pPr>
        <w:pStyle w:val="ImageCaption"/>
        <w:spacing w:line="360" w:lineRule="auto"/>
        <w:rPr>
          <w:rStyle w:val="Emphasis"/>
          <w:rFonts w:ascii="Arial" w:hAnsi="Arial" w:cs="Arial"/>
          <w:sz w:val="22"/>
          <w:szCs w:val="22"/>
        </w:rPr>
      </w:pPr>
    </w:p>
    <w:p w14:paraId="1621BD8F" w14:textId="77777777" w:rsidR="006C7400" w:rsidRDefault="006C7400" w:rsidP="00034DD2">
      <w:pPr>
        <w:pStyle w:val="ImageCaption"/>
        <w:spacing w:line="360" w:lineRule="auto"/>
        <w:rPr>
          <w:rStyle w:val="Emphasis"/>
          <w:rFonts w:ascii="Arial" w:hAnsi="Arial" w:cs="Arial"/>
          <w:sz w:val="22"/>
          <w:szCs w:val="22"/>
        </w:rPr>
      </w:pPr>
    </w:p>
    <w:p w14:paraId="0C02709D" w14:textId="77777777" w:rsidR="006C7400" w:rsidRDefault="006C7400" w:rsidP="00034DD2">
      <w:pPr>
        <w:pStyle w:val="ImageCaption"/>
        <w:spacing w:line="360" w:lineRule="auto"/>
        <w:rPr>
          <w:rStyle w:val="Emphasis"/>
          <w:rFonts w:ascii="Arial" w:hAnsi="Arial" w:cs="Arial"/>
          <w:sz w:val="22"/>
          <w:szCs w:val="22"/>
        </w:rPr>
      </w:pPr>
    </w:p>
    <w:p w14:paraId="239368D9" w14:textId="6CC9701B" w:rsidR="006C7400" w:rsidRPr="006C7400" w:rsidRDefault="006C7400" w:rsidP="00034DD2">
      <w:pPr>
        <w:pStyle w:val="ImageCaption"/>
        <w:spacing w:line="360" w:lineRule="auto"/>
        <w:rPr>
          <w:rFonts w:ascii="Arial" w:hAnsi="Arial" w:cs="Arial"/>
          <w:b/>
          <w:bCs/>
          <w:sz w:val="22"/>
          <w:szCs w:val="22"/>
        </w:rPr>
      </w:pPr>
      <w:r w:rsidRPr="006C7400">
        <w:rPr>
          <w:rFonts w:ascii="Arial" w:hAnsi="Arial" w:cs="Arial"/>
          <w:b/>
          <w:bCs/>
        </w:rPr>
        <w:t xml:space="preserve">McDonald's six largest markets by restaurant count </w:t>
      </w:r>
    </w:p>
    <w:p w14:paraId="44D932C4" w14:textId="036BF48B" w:rsidR="0017626F" w:rsidRDefault="008A599E" w:rsidP="003E78B1">
      <w:pPr>
        <w:pStyle w:val="BodyText"/>
        <w:spacing w:line="360" w:lineRule="auto"/>
        <w:rPr>
          <w:rFonts w:ascii="Arial" w:hAnsi="Arial" w:cs="Arial"/>
          <w:sz w:val="22"/>
          <w:szCs w:val="22"/>
        </w:rPr>
      </w:pPr>
      <w:r w:rsidRPr="008A599E">
        <w:rPr>
          <w:rFonts w:ascii="Arial" w:hAnsi="Arial" w:cs="Arial"/>
          <w:i/>
          <w:sz w:val="22"/>
          <w:szCs w:val="22"/>
        </w:rPr>
        <w:drawing>
          <wp:inline distT="0" distB="0" distL="0" distR="0" wp14:anchorId="3E840F43" wp14:editId="4A109D3E">
            <wp:extent cx="4318635" cy="2714445"/>
            <wp:effectExtent l="0" t="0" r="0" b="0"/>
            <wp:docPr id="13010481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6C47BF" w:rsidRPr="006C47BF">
        <w:rPr>
          <w:noProof/>
        </w:rPr>
        <w:t xml:space="preserve"> </w:t>
      </w:r>
    </w:p>
    <w:p w14:paraId="6972C69B" w14:textId="77777777" w:rsidR="0017626F" w:rsidRDefault="0017626F" w:rsidP="003E78B1">
      <w:pPr>
        <w:pStyle w:val="BodyText"/>
        <w:spacing w:line="360" w:lineRule="auto"/>
        <w:rPr>
          <w:rFonts w:ascii="Arial" w:hAnsi="Arial" w:cs="Arial"/>
          <w:sz w:val="22"/>
          <w:szCs w:val="22"/>
        </w:rPr>
      </w:pPr>
    </w:p>
    <w:p w14:paraId="14BEAE7A" w14:textId="257E396F" w:rsidR="0017626F" w:rsidRDefault="00D4361F" w:rsidP="003E78B1">
      <w:pPr>
        <w:pStyle w:val="BodyText"/>
        <w:spacing w:line="360" w:lineRule="auto"/>
      </w:pPr>
      <w:r>
        <w:rPr>
          <w:rFonts w:ascii="Arial" w:hAnsi="Arial" w:cs="Arial"/>
          <w:sz w:val="22"/>
          <w:szCs w:val="22"/>
        </w:rPr>
        <w:t>Figure</w:t>
      </w:r>
      <w:r w:rsidR="00693CB0">
        <w:rPr>
          <w:rFonts w:ascii="Arial" w:hAnsi="Arial" w:cs="Arial"/>
          <w:sz w:val="22"/>
          <w:szCs w:val="22"/>
        </w:rPr>
        <w:t xml:space="preserve"> 3</w:t>
      </w:r>
      <w:r w:rsidR="00CB3F91">
        <w:rPr>
          <w:rFonts w:ascii="Arial" w:hAnsi="Arial" w:cs="Arial"/>
          <w:sz w:val="22"/>
          <w:szCs w:val="22"/>
        </w:rPr>
        <w:t xml:space="preserve">: </w:t>
      </w:r>
      <w:r w:rsidR="00CB3F91">
        <w:t>McDonald's six largest markets by restaurant count (2025)</w:t>
      </w:r>
    </w:p>
    <w:p w14:paraId="79ED9281" w14:textId="54989305" w:rsidR="00861D9C" w:rsidRDefault="00861D9C" w:rsidP="003E78B1">
      <w:pPr>
        <w:pStyle w:val="BodyText"/>
        <w:spacing w:line="360" w:lineRule="auto"/>
      </w:pPr>
      <w:r>
        <w:t xml:space="preserve">Source: McDonald’s Corporation (2026) </w:t>
      </w:r>
      <w:r>
        <w:rPr>
          <w:rStyle w:val="Emphasis"/>
        </w:rPr>
        <w:t>Restaurants by Market, year-end 2025</w:t>
      </w:r>
      <w:r>
        <w:t>.</w:t>
      </w:r>
    </w:p>
    <w:p w14:paraId="781D407F" w14:textId="77777777" w:rsidR="00C62F7A" w:rsidRDefault="00C62F7A" w:rsidP="003E78B1">
      <w:pPr>
        <w:pStyle w:val="BodyText"/>
        <w:spacing w:line="360" w:lineRule="auto"/>
      </w:pPr>
    </w:p>
    <w:p w14:paraId="6AECD10D" w14:textId="155EC40E" w:rsidR="00C62F7A" w:rsidRPr="00A71933" w:rsidRDefault="00A71933" w:rsidP="00C62F7A">
      <w:pPr>
        <w:pStyle w:val="pdq2pgselectionanchorcontainer"/>
        <w:rPr>
          <w:rFonts w:ascii="Arial" w:hAnsi="Arial" w:cs="Arial"/>
          <w:color w:val="548DD4" w:themeColor="text2" w:themeTint="99"/>
          <w:sz w:val="28"/>
          <w:szCs w:val="28"/>
        </w:rPr>
      </w:pPr>
      <w:r>
        <w:rPr>
          <w:rStyle w:val="Strong"/>
          <w:rFonts w:ascii="Arial" w:hAnsi="Arial" w:cs="Arial"/>
          <w:color w:val="548DD4" w:themeColor="text2" w:themeTint="99"/>
          <w:sz w:val="28"/>
          <w:szCs w:val="28"/>
        </w:rPr>
        <w:t>2.</w:t>
      </w:r>
      <w:r w:rsidR="00C62F7A" w:rsidRPr="00A71933">
        <w:rPr>
          <w:rStyle w:val="Strong"/>
          <w:rFonts w:ascii="Arial" w:hAnsi="Arial" w:cs="Arial"/>
          <w:color w:val="548DD4" w:themeColor="text2" w:themeTint="99"/>
          <w:sz w:val="28"/>
          <w:szCs w:val="28"/>
        </w:rPr>
        <w:t>Case Study Background and Market Selection</w:t>
      </w:r>
    </w:p>
    <w:tbl>
      <w:tblPr>
        <w:tblW w:w="9360" w:type="dxa"/>
        <w:tblLook w:val="04A0" w:firstRow="1" w:lastRow="0" w:firstColumn="1" w:lastColumn="0" w:noHBand="0" w:noVBand="1"/>
      </w:tblPr>
      <w:tblGrid>
        <w:gridCol w:w="5331"/>
        <w:gridCol w:w="669"/>
        <w:gridCol w:w="672"/>
        <w:gridCol w:w="672"/>
        <w:gridCol w:w="672"/>
        <w:gridCol w:w="672"/>
        <w:gridCol w:w="672"/>
      </w:tblGrid>
      <w:tr w:rsidR="00DF08FA" w:rsidRPr="0005683C" w14:paraId="38A14E12" w14:textId="77777777" w:rsidTr="00807D7E">
        <w:trPr>
          <w:trHeight w:val="320"/>
        </w:trPr>
        <w:tc>
          <w:tcPr>
            <w:tcW w:w="5331" w:type="dxa"/>
            <w:tcBorders>
              <w:top w:val="nil"/>
              <w:left w:val="nil"/>
              <w:bottom w:val="nil"/>
              <w:right w:val="nil"/>
            </w:tcBorders>
            <w:noWrap/>
            <w:vAlign w:val="bottom"/>
            <w:hideMark/>
          </w:tcPr>
          <w:p w14:paraId="6A1BF30E" w14:textId="77777777" w:rsidR="0005683C" w:rsidRPr="0005683C" w:rsidRDefault="0005683C" w:rsidP="00A71933">
            <w:pPr>
              <w:rPr>
                <w:rFonts w:ascii="Times New Roman" w:eastAsia="Times New Roman" w:hAnsi="Times New Roman" w:cs="Times New Roman"/>
                <w:sz w:val="20"/>
                <w:szCs w:val="20"/>
                <w:lang w:val="en-GB" w:eastAsia="en-GB" w:bidi="si-LK"/>
              </w:rPr>
            </w:pPr>
          </w:p>
        </w:tc>
        <w:tc>
          <w:tcPr>
            <w:tcW w:w="669" w:type="dxa"/>
            <w:tcBorders>
              <w:top w:val="nil"/>
              <w:left w:val="nil"/>
              <w:bottom w:val="nil"/>
              <w:right w:val="nil"/>
            </w:tcBorders>
            <w:noWrap/>
            <w:vAlign w:val="bottom"/>
            <w:hideMark/>
          </w:tcPr>
          <w:p w14:paraId="4D4857BF" w14:textId="77777777" w:rsidR="0005683C" w:rsidRPr="0005683C" w:rsidRDefault="0005683C" w:rsidP="0005683C">
            <w:pPr>
              <w:spacing w:after="0"/>
              <w:rPr>
                <w:rFonts w:ascii="Times New Roman" w:eastAsia="Times New Roman" w:hAnsi="Times New Roman" w:cs="Times New Roman"/>
                <w:sz w:val="20"/>
                <w:szCs w:val="20"/>
                <w:lang w:val="en-GB" w:eastAsia="en-GB" w:bidi="si-LK"/>
              </w:rPr>
            </w:pPr>
          </w:p>
        </w:tc>
        <w:tc>
          <w:tcPr>
            <w:tcW w:w="672" w:type="dxa"/>
            <w:tcBorders>
              <w:top w:val="nil"/>
              <w:left w:val="nil"/>
              <w:bottom w:val="nil"/>
              <w:right w:val="nil"/>
            </w:tcBorders>
            <w:noWrap/>
            <w:vAlign w:val="bottom"/>
            <w:hideMark/>
          </w:tcPr>
          <w:p w14:paraId="6B5B174C" w14:textId="77777777" w:rsidR="0005683C" w:rsidRPr="0005683C" w:rsidRDefault="0005683C" w:rsidP="0005683C">
            <w:pPr>
              <w:spacing w:after="0"/>
              <w:rPr>
                <w:rFonts w:ascii="Times New Roman" w:eastAsia="Times New Roman" w:hAnsi="Times New Roman" w:cs="Times New Roman"/>
                <w:sz w:val="20"/>
                <w:szCs w:val="20"/>
                <w:lang w:val="en-GB" w:eastAsia="en-GB" w:bidi="si-LK"/>
              </w:rPr>
            </w:pPr>
          </w:p>
        </w:tc>
        <w:tc>
          <w:tcPr>
            <w:tcW w:w="672" w:type="dxa"/>
            <w:tcBorders>
              <w:top w:val="nil"/>
              <w:left w:val="nil"/>
              <w:bottom w:val="nil"/>
              <w:right w:val="nil"/>
            </w:tcBorders>
            <w:noWrap/>
            <w:vAlign w:val="bottom"/>
            <w:hideMark/>
          </w:tcPr>
          <w:p w14:paraId="2099A171" w14:textId="77777777" w:rsidR="0005683C" w:rsidRPr="0005683C" w:rsidRDefault="0005683C" w:rsidP="0005683C">
            <w:pPr>
              <w:spacing w:after="0"/>
              <w:rPr>
                <w:rFonts w:ascii="Times New Roman" w:eastAsia="Times New Roman" w:hAnsi="Times New Roman" w:cs="Times New Roman"/>
                <w:sz w:val="20"/>
                <w:szCs w:val="20"/>
                <w:lang w:val="en-GB" w:eastAsia="en-GB" w:bidi="si-LK"/>
              </w:rPr>
            </w:pPr>
          </w:p>
        </w:tc>
        <w:tc>
          <w:tcPr>
            <w:tcW w:w="672" w:type="dxa"/>
            <w:tcBorders>
              <w:top w:val="nil"/>
              <w:left w:val="nil"/>
              <w:bottom w:val="nil"/>
              <w:right w:val="nil"/>
            </w:tcBorders>
            <w:noWrap/>
            <w:vAlign w:val="bottom"/>
            <w:hideMark/>
          </w:tcPr>
          <w:p w14:paraId="40D33601" w14:textId="77777777" w:rsidR="0005683C" w:rsidRPr="0005683C" w:rsidRDefault="0005683C" w:rsidP="0005683C">
            <w:pPr>
              <w:spacing w:after="0"/>
              <w:rPr>
                <w:rFonts w:ascii="Times New Roman" w:eastAsia="Times New Roman" w:hAnsi="Times New Roman" w:cs="Times New Roman"/>
                <w:sz w:val="20"/>
                <w:szCs w:val="20"/>
                <w:lang w:val="en-GB" w:eastAsia="en-GB" w:bidi="si-LK"/>
              </w:rPr>
            </w:pPr>
          </w:p>
        </w:tc>
        <w:tc>
          <w:tcPr>
            <w:tcW w:w="672" w:type="dxa"/>
            <w:tcBorders>
              <w:top w:val="nil"/>
              <w:left w:val="nil"/>
              <w:bottom w:val="nil"/>
              <w:right w:val="nil"/>
            </w:tcBorders>
            <w:noWrap/>
            <w:vAlign w:val="bottom"/>
            <w:hideMark/>
          </w:tcPr>
          <w:p w14:paraId="01CBA8EC" w14:textId="77777777" w:rsidR="0005683C" w:rsidRPr="0005683C" w:rsidRDefault="0005683C" w:rsidP="0005683C">
            <w:pPr>
              <w:spacing w:after="0"/>
              <w:rPr>
                <w:rFonts w:ascii="Times New Roman" w:eastAsia="Times New Roman" w:hAnsi="Times New Roman" w:cs="Times New Roman"/>
                <w:sz w:val="20"/>
                <w:szCs w:val="20"/>
                <w:lang w:val="en-GB" w:eastAsia="en-GB" w:bidi="si-LK"/>
              </w:rPr>
            </w:pPr>
          </w:p>
        </w:tc>
        <w:tc>
          <w:tcPr>
            <w:tcW w:w="672" w:type="dxa"/>
            <w:tcBorders>
              <w:top w:val="nil"/>
              <w:left w:val="nil"/>
              <w:bottom w:val="nil"/>
              <w:right w:val="nil"/>
            </w:tcBorders>
            <w:noWrap/>
            <w:vAlign w:val="bottom"/>
            <w:hideMark/>
          </w:tcPr>
          <w:p w14:paraId="7D1C1011" w14:textId="77777777" w:rsidR="0005683C" w:rsidRPr="0005683C" w:rsidRDefault="0005683C" w:rsidP="0005683C">
            <w:pPr>
              <w:spacing w:after="0"/>
              <w:rPr>
                <w:rFonts w:ascii="Times New Roman" w:eastAsia="Times New Roman" w:hAnsi="Times New Roman" w:cs="Times New Roman"/>
                <w:sz w:val="20"/>
                <w:szCs w:val="20"/>
                <w:lang w:val="en-GB" w:eastAsia="en-GB" w:bidi="si-LK"/>
              </w:rPr>
            </w:pPr>
          </w:p>
        </w:tc>
      </w:tr>
    </w:tbl>
    <w:p w14:paraId="54038932" w14:textId="0ACFB7E1" w:rsidR="00563CDE" w:rsidRPr="00A52579" w:rsidRDefault="003E78B1" w:rsidP="00A52579">
      <w:pPr>
        <w:pStyle w:val="NormalWeb"/>
        <w:spacing w:before="0" w:beforeAutospacing="0" w:after="0" w:afterAutospacing="0" w:line="360" w:lineRule="auto"/>
        <w:rPr>
          <w:rFonts w:ascii="Arial" w:hAnsi="Arial" w:cs="Arial"/>
          <w:color w:val="0E101A"/>
          <w:sz w:val="22"/>
          <w:szCs w:val="22"/>
        </w:rPr>
      </w:pPr>
      <w:r w:rsidRPr="003E78B1">
        <w:rPr>
          <w:rFonts w:ascii="Arial" w:hAnsi="Arial" w:cs="Arial"/>
          <w:color w:val="0E101A"/>
          <w:sz w:val="22"/>
          <w:szCs w:val="22"/>
        </w:rPr>
        <w:t xml:space="preserve">McDonald’s operated in Sri Lanka for approximately two decades through a single master franchisee, International Restaurant Systems (Private) Limited—majority-owned (98.73%) by the managing director of the Abans conglomerate—before McDonald’s Corporation obtained a Commercial High Court injunction in March 2024 that resulted in the closure of all twelve Sri Lankan outlets over alleged breaches of hygiene and food-quality standards (Ada Derana, 2024; Al Arabiya English, 2024; </w:t>
      </w:r>
      <w:proofErr w:type="spellStart"/>
      <w:r w:rsidRPr="003E78B1">
        <w:rPr>
          <w:rFonts w:ascii="Arial" w:hAnsi="Arial" w:cs="Arial"/>
          <w:color w:val="0E101A"/>
          <w:sz w:val="22"/>
          <w:szCs w:val="22"/>
        </w:rPr>
        <w:t>EconomyNext</w:t>
      </w:r>
      <w:proofErr w:type="spellEnd"/>
      <w:r w:rsidRPr="003E78B1">
        <w:rPr>
          <w:rFonts w:ascii="Arial" w:hAnsi="Arial" w:cs="Arial"/>
          <w:color w:val="0E101A"/>
          <w:sz w:val="22"/>
          <w:szCs w:val="22"/>
        </w:rPr>
        <w:t xml:space="preserve">, 2024). The franchise relationship was formally and mutually terminated in October 2024, and, as of June 2026, McDonald’s has announced no new Sri Lankan franchise partner (Sunday Times, 2024; Newswire, 2024). Sri Lanka, therefore, meets the assignment’s requirement for a market with no significant current operational presence. </w:t>
      </w:r>
      <w:r w:rsidR="00A52579" w:rsidRPr="00A52579">
        <w:rPr>
          <w:rFonts w:ascii="Arial" w:hAnsi="Arial" w:cs="Arial"/>
        </w:rPr>
        <w:t xml:space="preserve">At the same time, its recent operating history provides a rich, evidence-based </w:t>
      </w:r>
      <w:r w:rsidR="00A52579" w:rsidRPr="00A52579">
        <w:rPr>
          <w:rFonts w:ascii="Arial" w:hAnsi="Arial" w:cs="Arial"/>
        </w:rPr>
        <w:lastRenderedPageBreak/>
        <w:t>foundation for evaluating market attractiveness and the viability of potential entry modes. The analysis below focuses on the political, economic, legal, and cultural factors that most impact a foreign-owned, franchise-dependent quick-service restaurant (QSR) chain.</w:t>
      </w:r>
    </w:p>
    <w:p w14:paraId="51D54758" w14:textId="1B9A6D75" w:rsidR="00563CDE" w:rsidRPr="001D171A" w:rsidRDefault="00DB4196" w:rsidP="00563CDE">
      <w:pPr>
        <w:pStyle w:val="NormalWeb"/>
        <w:spacing w:before="0" w:beforeAutospacing="0" w:after="0" w:afterAutospacing="0" w:line="360" w:lineRule="auto"/>
        <w:rPr>
          <w:rFonts w:ascii="Arial" w:hAnsi="Arial" w:cs="Arial"/>
          <w:b/>
          <w:bCs/>
          <w:color w:val="548DD4" w:themeColor="text2" w:themeTint="99"/>
          <w:sz w:val="28"/>
          <w:szCs w:val="28"/>
        </w:rPr>
      </w:pPr>
      <w:r>
        <w:rPr>
          <w:rFonts w:ascii="Arial" w:hAnsi="Arial" w:cs="Arial"/>
          <w:b/>
          <w:bCs/>
          <w:color w:val="548DD4" w:themeColor="text2" w:themeTint="99"/>
          <w:sz w:val="28"/>
          <w:szCs w:val="28"/>
        </w:rPr>
        <w:t>a)</w:t>
      </w:r>
      <w:r w:rsidR="003E78B1" w:rsidRPr="001D171A">
        <w:rPr>
          <w:rFonts w:ascii="Arial" w:hAnsi="Arial" w:cs="Arial"/>
          <w:b/>
          <w:bCs/>
          <w:color w:val="548DD4" w:themeColor="text2" w:themeTint="99"/>
          <w:sz w:val="28"/>
          <w:szCs w:val="28"/>
        </w:rPr>
        <w:t>Political Factors</w:t>
      </w:r>
      <w:bookmarkStart w:id="12" w:name="economic-factors"/>
    </w:p>
    <w:p w14:paraId="3988D946" w14:textId="5A75F2C7" w:rsidR="00AC59D3" w:rsidRPr="00AC59D3" w:rsidRDefault="003E78B1" w:rsidP="00AC59D3">
      <w:pPr>
        <w:pStyle w:val="NormalWeb"/>
        <w:spacing w:before="0" w:beforeAutospacing="0" w:after="0" w:afterAutospacing="0" w:line="360" w:lineRule="auto"/>
        <w:rPr>
          <w:rFonts w:ascii="Arial" w:hAnsi="Arial" w:cs="Arial"/>
          <w:color w:val="0E101A"/>
          <w:sz w:val="22"/>
          <w:szCs w:val="22"/>
        </w:rPr>
      </w:pPr>
      <w:r w:rsidRPr="003E78B1">
        <w:rPr>
          <w:rFonts w:ascii="Arial" w:hAnsi="Arial" w:cs="Arial"/>
          <w:color w:val="0E101A"/>
          <w:sz w:val="22"/>
          <w:szCs w:val="22"/>
        </w:rPr>
        <w:t xml:space="preserve">Sri Lanka's political environment has become progressively more stable following the severe economic and governance crisis of 2022. The election of a new government and the implementation of reforms under the International Monetary Fund (IMF) programme have strengthened macroeconomic policy credibility and improved investor confidence. Nevertheless, uncertainty remains due to evolving taxation policies, regulatory reforms, and the pace of institutional </w:t>
      </w:r>
      <w:r w:rsidR="00563CDE" w:rsidRPr="003E78B1">
        <w:rPr>
          <w:rFonts w:ascii="Arial" w:hAnsi="Arial" w:cs="Arial"/>
          <w:color w:val="0E101A"/>
          <w:sz w:val="22"/>
          <w:szCs w:val="22"/>
        </w:rPr>
        <w:t>implementation. Of</w:t>
      </w:r>
      <w:r w:rsidRPr="003E78B1">
        <w:rPr>
          <w:rFonts w:ascii="Arial" w:hAnsi="Arial" w:cs="Arial"/>
          <w:color w:val="0E101A"/>
          <w:sz w:val="22"/>
          <w:szCs w:val="22"/>
        </w:rPr>
        <w:t xml:space="preserve"> particular relevance to McDonald's is the demonstrated capacity of Sri Lanka's judiciary to intervene swiftly in commercial disputes. In March 2024, the Commercial High Court of Colombo granted an injunction, resulting in the closure of all 12 McDonald's restaurants following allegations of </w:t>
      </w:r>
      <w:r w:rsidR="00563CDE">
        <w:rPr>
          <w:rFonts w:ascii="Arial" w:hAnsi="Arial" w:cs="Arial"/>
          <w:color w:val="0E101A"/>
          <w:sz w:val="22"/>
          <w:szCs w:val="22"/>
        </w:rPr>
        <w:t xml:space="preserve">breaches of </w:t>
      </w:r>
      <w:r w:rsidRPr="003E78B1">
        <w:rPr>
          <w:rFonts w:ascii="Arial" w:hAnsi="Arial" w:cs="Arial"/>
          <w:color w:val="0E101A"/>
          <w:sz w:val="22"/>
          <w:szCs w:val="22"/>
        </w:rPr>
        <w:t xml:space="preserve">hygiene and food </w:t>
      </w:r>
      <w:r w:rsidR="00563CDE">
        <w:rPr>
          <w:rFonts w:ascii="Arial" w:hAnsi="Arial" w:cs="Arial"/>
          <w:color w:val="0E101A"/>
          <w:sz w:val="22"/>
          <w:szCs w:val="22"/>
        </w:rPr>
        <w:t>quality</w:t>
      </w:r>
      <w:r w:rsidRPr="003E78B1">
        <w:rPr>
          <w:rFonts w:ascii="Arial" w:hAnsi="Arial" w:cs="Arial"/>
          <w:color w:val="0E101A"/>
          <w:sz w:val="22"/>
          <w:szCs w:val="22"/>
        </w:rPr>
        <w:t xml:space="preserve"> (Al Arabiya English, 2024). This development presents both opportunities and risks. On the one hand, it demonstrates that Sri Lanka has an active, functioning commercial legal system capable of enforcing contractual and regulatory obligations. On the other hand, it highlights the potential for franchise disputes to rapidly escalate into significant operational and reputational disruption, particularly when quality assurance mechanisms fail.</w:t>
      </w:r>
      <w:r w:rsidR="00DA4FC5">
        <w:rPr>
          <w:rFonts w:ascii="Arial" w:hAnsi="Arial" w:cs="Arial"/>
          <w:color w:val="0E101A"/>
          <w:sz w:val="22"/>
          <w:szCs w:val="22"/>
        </w:rPr>
        <w:t xml:space="preserve"> </w:t>
      </w:r>
      <w:r w:rsidRPr="003E78B1">
        <w:rPr>
          <w:rFonts w:ascii="Arial" w:hAnsi="Arial" w:cs="Arial"/>
          <w:color w:val="0E101A"/>
          <w:sz w:val="22"/>
          <w:szCs w:val="22"/>
        </w:rPr>
        <w:t xml:space="preserve">External economic and environmental shocks also influence political risk. Ongoing geopolitical tensions in the Middle East have increased oil import costs and put pressure on Sri Lanka's foreign-exchange reserves due to its dependence on imported energy and remittance inflows. In addition, Cyclone </w:t>
      </w:r>
      <w:proofErr w:type="spellStart"/>
      <w:r w:rsidRPr="003E78B1">
        <w:rPr>
          <w:rFonts w:ascii="Arial" w:hAnsi="Arial" w:cs="Arial"/>
          <w:color w:val="0E101A"/>
          <w:sz w:val="22"/>
          <w:szCs w:val="22"/>
        </w:rPr>
        <w:t>Ditwah</w:t>
      </w:r>
      <w:proofErr w:type="spellEnd"/>
      <w:r w:rsidRPr="003E78B1">
        <w:rPr>
          <w:rFonts w:ascii="Arial" w:hAnsi="Arial" w:cs="Arial"/>
          <w:color w:val="0E101A"/>
          <w:sz w:val="22"/>
          <w:szCs w:val="22"/>
        </w:rPr>
        <w:t xml:space="preserve"> in late 2025 caused widespread flooding, affecting approximately 20% of the country and resulting in an estimated US$4.1 billion in economic damage (</w:t>
      </w:r>
      <w:proofErr w:type="spellStart"/>
      <w:r w:rsidRPr="003E78B1">
        <w:rPr>
          <w:rFonts w:ascii="Arial" w:hAnsi="Arial" w:cs="Arial"/>
          <w:color w:val="0E101A"/>
          <w:sz w:val="22"/>
          <w:szCs w:val="22"/>
        </w:rPr>
        <w:t>Groundviews</w:t>
      </w:r>
      <w:proofErr w:type="spellEnd"/>
      <w:r w:rsidRPr="003E78B1">
        <w:rPr>
          <w:rFonts w:ascii="Arial" w:hAnsi="Arial" w:cs="Arial"/>
          <w:color w:val="0E101A"/>
          <w:sz w:val="22"/>
          <w:szCs w:val="22"/>
        </w:rPr>
        <w:t>, 2026). Such events may temporarily divert government resources away from investment promotion and infrastructure development.</w:t>
      </w:r>
      <w:r w:rsidR="00DA4FC5">
        <w:rPr>
          <w:rFonts w:ascii="Arial" w:hAnsi="Arial" w:cs="Arial"/>
          <w:color w:val="0E101A"/>
          <w:sz w:val="22"/>
          <w:szCs w:val="22"/>
        </w:rPr>
        <w:t xml:space="preserve"> </w:t>
      </w:r>
      <w:r w:rsidRPr="003E78B1">
        <w:rPr>
          <w:rFonts w:ascii="Arial" w:hAnsi="Arial" w:cs="Arial"/>
          <w:color w:val="0E101A"/>
          <w:sz w:val="22"/>
          <w:szCs w:val="22"/>
        </w:rPr>
        <w:t>Overall, Sri Lanka presents a moderately attractive political environment for foreign investment. Political stability has improved considerably since the 2022 crisis; however, McDonald's should adopt a governance structure that enables close monitoring of franchise operations, rigorous quality assurance, and rapid intervention should operational standards deteriorate.</w:t>
      </w:r>
    </w:p>
    <w:p w14:paraId="291BE3F9" w14:textId="0050DF08" w:rsidR="00CB2E36" w:rsidRPr="00457002" w:rsidRDefault="00E87B8B" w:rsidP="003E78B1">
      <w:pPr>
        <w:pStyle w:val="Heading3"/>
        <w:spacing w:line="360" w:lineRule="auto"/>
        <w:rPr>
          <w:rFonts w:ascii="Arial" w:hAnsi="Arial" w:cs="Arial"/>
          <w:sz w:val="28"/>
          <w:szCs w:val="28"/>
        </w:rPr>
      </w:pPr>
      <w:bookmarkStart w:id="13" w:name="_Toc236052392"/>
      <w:r w:rsidRPr="00E87B8B">
        <w:rPr>
          <w:rFonts w:ascii="Arial" w:eastAsia="Times New Roman" w:hAnsi="Arial" w:cs="Arial"/>
          <w:color w:val="548DD4" w:themeColor="text2" w:themeTint="99"/>
          <w:sz w:val="22"/>
          <w:szCs w:val="22"/>
          <w:lang w:val="en-GB" w:eastAsia="en-GB" w:bidi="si-LK"/>
        </w:rPr>
        <w:t>b)</w:t>
      </w:r>
      <w:r w:rsidR="006165BC" w:rsidRPr="00457002">
        <w:rPr>
          <w:rFonts w:ascii="Arial" w:hAnsi="Arial" w:cs="Arial"/>
          <w:sz w:val="28"/>
          <w:szCs w:val="28"/>
        </w:rPr>
        <w:t>Economic Factors</w:t>
      </w:r>
      <w:bookmarkEnd w:id="12"/>
      <w:bookmarkEnd w:id="13"/>
    </w:p>
    <w:tbl>
      <w:tblPr>
        <w:tblW w:w="9360" w:type="dxa"/>
        <w:tblCellMar>
          <w:left w:w="0" w:type="dxa"/>
          <w:right w:w="0" w:type="dxa"/>
        </w:tblCellMar>
        <w:tblLook w:val="04A0" w:firstRow="1" w:lastRow="0" w:firstColumn="1" w:lastColumn="0" w:noHBand="0" w:noVBand="1"/>
      </w:tblPr>
      <w:tblGrid>
        <w:gridCol w:w="1040"/>
        <w:gridCol w:w="1040"/>
        <w:gridCol w:w="1040"/>
        <w:gridCol w:w="1040"/>
        <w:gridCol w:w="1040"/>
        <w:gridCol w:w="1040"/>
        <w:gridCol w:w="1040"/>
        <w:gridCol w:w="1040"/>
        <w:gridCol w:w="1040"/>
      </w:tblGrid>
      <w:tr w:rsidR="00217CFD" w14:paraId="5792DAF0" w14:textId="77777777">
        <w:trPr>
          <w:trHeight w:val="320"/>
        </w:trPr>
        <w:tc>
          <w:tcPr>
            <w:tcW w:w="1040" w:type="dxa"/>
            <w:tcBorders>
              <w:top w:val="nil"/>
              <w:left w:val="nil"/>
              <w:bottom w:val="nil"/>
              <w:right w:val="nil"/>
            </w:tcBorders>
            <w:noWrap/>
            <w:vAlign w:val="bottom"/>
            <w:hideMark/>
          </w:tcPr>
          <w:p w14:paraId="594A519A" w14:textId="0445D242" w:rsidR="00217CFD" w:rsidRDefault="00217CFD">
            <w:pPr>
              <w:rPr>
                <w:rFonts w:ascii="Calibri" w:hAnsi="Calibri" w:cs="Calibri"/>
                <w:color w:val="000000"/>
                <w:sz w:val="22"/>
                <w:szCs w:val="22"/>
              </w:rPr>
            </w:pPr>
          </w:p>
          <w:tbl>
            <w:tblPr>
              <w:tblW w:w="0" w:type="auto"/>
              <w:tblCellSpacing w:w="0" w:type="dxa"/>
              <w:tblCellMar>
                <w:left w:w="0" w:type="dxa"/>
                <w:right w:w="0" w:type="dxa"/>
              </w:tblCellMar>
              <w:tblLook w:val="04A0" w:firstRow="1" w:lastRow="0" w:firstColumn="1" w:lastColumn="0" w:noHBand="0" w:noVBand="1"/>
            </w:tblPr>
            <w:tblGrid>
              <w:gridCol w:w="1040"/>
            </w:tblGrid>
            <w:tr w:rsidR="00217CFD" w14:paraId="35D453F3" w14:textId="77777777">
              <w:trPr>
                <w:trHeight w:val="320"/>
                <w:tblCellSpacing w:w="0" w:type="dxa"/>
              </w:trPr>
              <w:tc>
                <w:tcPr>
                  <w:tcW w:w="1040" w:type="dxa"/>
                  <w:tcBorders>
                    <w:top w:val="nil"/>
                    <w:left w:val="nil"/>
                    <w:bottom w:val="nil"/>
                    <w:right w:val="nil"/>
                  </w:tcBorders>
                  <w:noWrap/>
                  <w:vAlign w:val="bottom"/>
                  <w:hideMark/>
                </w:tcPr>
                <w:p w14:paraId="13296354" w14:textId="77777777" w:rsidR="00217CFD" w:rsidRDefault="00217CFD">
                  <w:pPr>
                    <w:rPr>
                      <w:rFonts w:ascii="Calibri" w:hAnsi="Calibri" w:cs="Calibri"/>
                      <w:color w:val="000000"/>
                      <w:sz w:val="22"/>
                      <w:szCs w:val="22"/>
                    </w:rPr>
                  </w:pPr>
                </w:p>
              </w:tc>
            </w:tr>
          </w:tbl>
          <w:p w14:paraId="2DA5613A" w14:textId="78540B1C" w:rsidR="00217CFD" w:rsidRDefault="00217CFD">
            <w:pPr>
              <w:rPr>
                <w:rFonts w:ascii="Calibri" w:hAnsi="Calibri" w:cs="Calibri"/>
                <w:color w:val="000000"/>
                <w:sz w:val="22"/>
                <w:szCs w:val="22"/>
              </w:rPr>
            </w:pPr>
          </w:p>
        </w:tc>
        <w:tc>
          <w:tcPr>
            <w:tcW w:w="1040" w:type="dxa"/>
            <w:tcBorders>
              <w:top w:val="nil"/>
              <w:left w:val="nil"/>
              <w:bottom w:val="nil"/>
              <w:right w:val="nil"/>
            </w:tcBorders>
            <w:noWrap/>
            <w:vAlign w:val="bottom"/>
            <w:hideMark/>
          </w:tcPr>
          <w:p w14:paraId="3C8FC0A4" w14:textId="72BBB85D" w:rsidR="00217CFD" w:rsidRDefault="00217CFD">
            <w:pPr>
              <w:rPr>
                <w:sz w:val="20"/>
                <w:szCs w:val="20"/>
              </w:rPr>
            </w:pPr>
          </w:p>
        </w:tc>
        <w:tc>
          <w:tcPr>
            <w:tcW w:w="1040" w:type="dxa"/>
            <w:tcBorders>
              <w:top w:val="nil"/>
              <w:left w:val="nil"/>
              <w:bottom w:val="nil"/>
              <w:right w:val="nil"/>
            </w:tcBorders>
            <w:noWrap/>
            <w:vAlign w:val="bottom"/>
            <w:hideMark/>
          </w:tcPr>
          <w:p w14:paraId="71DE33DC" w14:textId="77777777" w:rsidR="00217CFD" w:rsidRDefault="00217CFD">
            <w:pPr>
              <w:rPr>
                <w:sz w:val="20"/>
                <w:szCs w:val="20"/>
              </w:rPr>
            </w:pPr>
          </w:p>
        </w:tc>
        <w:tc>
          <w:tcPr>
            <w:tcW w:w="1040" w:type="dxa"/>
            <w:tcBorders>
              <w:top w:val="nil"/>
              <w:left w:val="nil"/>
              <w:bottom w:val="nil"/>
              <w:right w:val="nil"/>
            </w:tcBorders>
            <w:noWrap/>
            <w:vAlign w:val="bottom"/>
            <w:hideMark/>
          </w:tcPr>
          <w:p w14:paraId="7478686B" w14:textId="77777777" w:rsidR="00217CFD" w:rsidRDefault="00217CFD">
            <w:pPr>
              <w:rPr>
                <w:sz w:val="20"/>
                <w:szCs w:val="20"/>
              </w:rPr>
            </w:pPr>
          </w:p>
        </w:tc>
        <w:tc>
          <w:tcPr>
            <w:tcW w:w="1040" w:type="dxa"/>
            <w:tcBorders>
              <w:top w:val="nil"/>
              <w:left w:val="nil"/>
              <w:bottom w:val="nil"/>
              <w:right w:val="nil"/>
            </w:tcBorders>
            <w:noWrap/>
            <w:vAlign w:val="bottom"/>
            <w:hideMark/>
          </w:tcPr>
          <w:p w14:paraId="4A4AC77B" w14:textId="737E247F" w:rsidR="00217CFD" w:rsidRDefault="00AC59D3">
            <w:pPr>
              <w:rPr>
                <w:sz w:val="20"/>
                <w:szCs w:val="20"/>
              </w:rPr>
            </w:pPr>
            <w:r>
              <w:rPr>
                <w:rFonts w:ascii="Calibri" w:hAnsi="Calibri" w:cs="Calibri"/>
                <w:noProof/>
                <w:color w:val="000000"/>
                <w:sz w:val="22"/>
                <w:szCs w:val="22"/>
              </w:rPr>
              <w:drawing>
                <wp:anchor distT="0" distB="0" distL="114300" distR="114300" simplePos="0" relativeHeight="251685888" behindDoc="0" locked="0" layoutInCell="1" allowOverlap="1" wp14:anchorId="3E22D4CB" wp14:editId="610FC8C8">
                  <wp:simplePos x="0" y="0"/>
                  <wp:positionH relativeFrom="column">
                    <wp:posOffset>-1828800</wp:posOffset>
                  </wp:positionH>
                  <wp:positionV relativeFrom="paragraph">
                    <wp:posOffset>-12065</wp:posOffset>
                  </wp:positionV>
                  <wp:extent cx="3298190" cy="2187575"/>
                  <wp:effectExtent l="0" t="0" r="16510" b="9525"/>
                  <wp:wrapNone/>
                  <wp:docPr id="2" name="Chart 24">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tc>
        <w:tc>
          <w:tcPr>
            <w:tcW w:w="1040" w:type="dxa"/>
            <w:tcBorders>
              <w:top w:val="nil"/>
              <w:left w:val="nil"/>
              <w:bottom w:val="nil"/>
              <w:right w:val="nil"/>
            </w:tcBorders>
            <w:noWrap/>
            <w:vAlign w:val="bottom"/>
            <w:hideMark/>
          </w:tcPr>
          <w:p w14:paraId="31D3A834" w14:textId="77777777" w:rsidR="00217CFD" w:rsidRDefault="00217CFD">
            <w:pPr>
              <w:rPr>
                <w:sz w:val="20"/>
                <w:szCs w:val="20"/>
              </w:rPr>
            </w:pPr>
          </w:p>
        </w:tc>
        <w:tc>
          <w:tcPr>
            <w:tcW w:w="1040" w:type="dxa"/>
            <w:tcBorders>
              <w:top w:val="nil"/>
              <w:left w:val="nil"/>
              <w:bottom w:val="nil"/>
              <w:right w:val="nil"/>
            </w:tcBorders>
            <w:noWrap/>
            <w:vAlign w:val="bottom"/>
            <w:hideMark/>
          </w:tcPr>
          <w:p w14:paraId="1FE8A9A9" w14:textId="77777777" w:rsidR="00217CFD" w:rsidRDefault="00217CFD">
            <w:pPr>
              <w:rPr>
                <w:sz w:val="20"/>
                <w:szCs w:val="20"/>
              </w:rPr>
            </w:pPr>
          </w:p>
        </w:tc>
        <w:tc>
          <w:tcPr>
            <w:tcW w:w="1040" w:type="dxa"/>
            <w:tcBorders>
              <w:top w:val="nil"/>
              <w:left w:val="nil"/>
              <w:bottom w:val="nil"/>
              <w:right w:val="nil"/>
            </w:tcBorders>
            <w:noWrap/>
            <w:vAlign w:val="bottom"/>
            <w:hideMark/>
          </w:tcPr>
          <w:p w14:paraId="3BC178E9" w14:textId="77777777" w:rsidR="00217CFD" w:rsidRDefault="00217CFD">
            <w:pPr>
              <w:rPr>
                <w:sz w:val="20"/>
                <w:szCs w:val="20"/>
              </w:rPr>
            </w:pPr>
          </w:p>
        </w:tc>
        <w:tc>
          <w:tcPr>
            <w:tcW w:w="1040" w:type="dxa"/>
            <w:tcBorders>
              <w:top w:val="nil"/>
              <w:left w:val="nil"/>
              <w:bottom w:val="nil"/>
              <w:right w:val="nil"/>
            </w:tcBorders>
            <w:noWrap/>
            <w:vAlign w:val="bottom"/>
            <w:hideMark/>
          </w:tcPr>
          <w:p w14:paraId="0848452F" w14:textId="77777777" w:rsidR="00217CFD" w:rsidRDefault="00217CFD">
            <w:pPr>
              <w:rPr>
                <w:sz w:val="20"/>
                <w:szCs w:val="20"/>
              </w:rPr>
            </w:pPr>
          </w:p>
        </w:tc>
      </w:tr>
      <w:tr w:rsidR="00217CFD" w14:paraId="70121B99" w14:textId="77777777">
        <w:trPr>
          <w:trHeight w:val="300"/>
        </w:trPr>
        <w:tc>
          <w:tcPr>
            <w:tcW w:w="0" w:type="auto"/>
            <w:tcBorders>
              <w:top w:val="nil"/>
              <w:left w:val="nil"/>
              <w:bottom w:val="nil"/>
              <w:right w:val="nil"/>
            </w:tcBorders>
            <w:noWrap/>
            <w:vAlign w:val="bottom"/>
            <w:hideMark/>
          </w:tcPr>
          <w:p w14:paraId="37E6123D" w14:textId="27F2FB1E" w:rsidR="00217CFD" w:rsidRDefault="00217CFD">
            <w:pPr>
              <w:rPr>
                <w:sz w:val="20"/>
                <w:szCs w:val="20"/>
              </w:rPr>
            </w:pPr>
          </w:p>
        </w:tc>
        <w:tc>
          <w:tcPr>
            <w:tcW w:w="0" w:type="auto"/>
            <w:tcBorders>
              <w:top w:val="nil"/>
              <w:left w:val="nil"/>
              <w:bottom w:val="nil"/>
              <w:right w:val="nil"/>
            </w:tcBorders>
            <w:noWrap/>
            <w:vAlign w:val="bottom"/>
            <w:hideMark/>
          </w:tcPr>
          <w:p w14:paraId="10567AF7" w14:textId="74540E2A" w:rsidR="00217CFD" w:rsidRDefault="00217CFD">
            <w:pPr>
              <w:rPr>
                <w:sz w:val="20"/>
                <w:szCs w:val="20"/>
              </w:rPr>
            </w:pPr>
          </w:p>
        </w:tc>
        <w:tc>
          <w:tcPr>
            <w:tcW w:w="0" w:type="auto"/>
            <w:tcBorders>
              <w:top w:val="nil"/>
              <w:left w:val="nil"/>
              <w:bottom w:val="nil"/>
              <w:right w:val="nil"/>
            </w:tcBorders>
            <w:noWrap/>
            <w:vAlign w:val="bottom"/>
            <w:hideMark/>
          </w:tcPr>
          <w:p w14:paraId="60B8102C" w14:textId="77777777" w:rsidR="00217CFD" w:rsidRDefault="00217CFD">
            <w:pPr>
              <w:rPr>
                <w:sz w:val="20"/>
                <w:szCs w:val="20"/>
              </w:rPr>
            </w:pPr>
          </w:p>
        </w:tc>
        <w:tc>
          <w:tcPr>
            <w:tcW w:w="0" w:type="auto"/>
            <w:tcBorders>
              <w:top w:val="nil"/>
              <w:left w:val="nil"/>
              <w:bottom w:val="nil"/>
              <w:right w:val="nil"/>
            </w:tcBorders>
            <w:noWrap/>
            <w:vAlign w:val="bottom"/>
            <w:hideMark/>
          </w:tcPr>
          <w:p w14:paraId="10515BE7" w14:textId="77777777" w:rsidR="00217CFD" w:rsidRDefault="00217CFD">
            <w:pPr>
              <w:rPr>
                <w:sz w:val="20"/>
                <w:szCs w:val="20"/>
              </w:rPr>
            </w:pPr>
          </w:p>
        </w:tc>
        <w:tc>
          <w:tcPr>
            <w:tcW w:w="0" w:type="auto"/>
            <w:tcBorders>
              <w:top w:val="nil"/>
              <w:left w:val="nil"/>
              <w:bottom w:val="nil"/>
              <w:right w:val="nil"/>
            </w:tcBorders>
            <w:noWrap/>
            <w:vAlign w:val="bottom"/>
            <w:hideMark/>
          </w:tcPr>
          <w:p w14:paraId="1C3F6052" w14:textId="0EF18122" w:rsidR="00217CFD" w:rsidRDefault="00217CFD">
            <w:pPr>
              <w:rPr>
                <w:sz w:val="20"/>
                <w:szCs w:val="20"/>
              </w:rPr>
            </w:pPr>
          </w:p>
        </w:tc>
        <w:tc>
          <w:tcPr>
            <w:tcW w:w="0" w:type="auto"/>
            <w:tcBorders>
              <w:top w:val="nil"/>
              <w:left w:val="nil"/>
              <w:bottom w:val="nil"/>
              <w:right w:val="nil"/>
            </w:tcBorders>
            <w:noWrap/>
            <w:vAlign w:val="bottom"/>
            <w:hideMark/>
          </w:tcPr>
          <w:p w14:paraId="465EF47E" w14:textId="77777777" w:rsidR="00217CFD" w:rsidRDefault="00217CFD">
            <w:pPr>
              <w:rPr>
                <w:sz w:val="20"/>
                <w:szCs w:val="20"/>
              </w:rPr>
            </w:pPr>
          </w:p>
        </w:tc>
        <w:tc>
          <w:tcPr>
            <w:tcW w:w="0" w:type="auto"/>
            <w:tcBorders>
              <w:top w:val="nil"/>
              <w:left w:val="nil"/>
              <w:bottom w:val="nil"/>
              <w:right w:val="nil"/>
            </w:tcBorders>
            <w:noWrap/>
            <w:vAlign w:val="bottom"/>
            <w:hideMark/>
          </w:tcPr>
          <w:p w14:paraId="43D66349" w14:textId="77777777" w:rsidR="00217CFD" w:rsidRDefault="00217CFD">
            <w:pPr>
              <w:rPr>
                <w:sz w:val="20"/>
                <w:szCs w:val="20"/>
              </w:rPr>
            </w:pPr>
          </w:p>
        </w:tc>
        <w:tc>
          <w:tcPr>
            <w:tcW w:w="0" w:type="auto"/>
            <w:tcBorders>
              <w:top w:val="nil"/>
              <w:left w:val="nil"/>
              <w:bottom w:val="nil"/>
              <w:right w:val="nil"/>
            </w:tcBorders>
            <w:noWrap/>
            <w:vAlign w:val="bottom"/>
            <w:hideMark/>
          </w:tcPr>
          <w:p w14:paraId="12ABB560" w14:textId="77777777" w:rsidR="00217CFD" w:rsidRDefault="00217CFD">
            <w:pPr>
              <w:rPr>
                <w:sz w:val="20"/>
                <w:szCs w:val="20"/>
              </w:rPr>
            </w:pPr>
          </w:p>
        </w:tc>
        <w:tc>
          <w:tcPr>
            <w:tcW w:w="0" w:type="auto"/>
            <w:tcBorders>
              <w:top w:val="nil"/>
              <w:left w:val="nil"/>
              <w:bottom w:val="nil"/>
              <w:right w:val="nil"/>
            </w:tcBorders>
            <w:noWrap/>
            <w:vAlign w:val="bottom"/>
            <w:hideMark/>
          </w:tcPr>
          <w:p w14:paraId="6059CCC9" w14:textId="77777777" w:rsidR="00217CFD" w:rsidRDefault="00217CFD">
            <w:pPr>
              <w:rPr>
                <w:sz w:val="20"/>
                <w:szCs w:val="20"/>
              </w:rPr>
            </w:pPr>
          </w:p>
        </w:tc>
      </w:tr>
      <w:tr w:rsidR="00217CFD" w14:paraId="74B0D0EE" w14:textId="77777777">
        <w:trPr>
          <w:trHeight w:val="300"/>
        </w:trPr>
        <w:tc>
          <w:tcPr>
            <w:tcW w:w="0" w:type="auto"/>
            <w:tcBorders>
              <w:top w:val="nil"/>
              <w:left w:val="nil"/>
              <w:bottom w:val="nil"/>
              <w:right w:val="nil"/>
            </w:tcBorders>
            <w:noWrap/>
            <w:vAlign w:val="bottom"/>
            <w:hideMark/>
          </w:tcPr>
          <w:p w14:paraId="01B9C1F5" w14:textId="77777777" w:rsidR="00217CFD" w:rsidRDefault="00217CFD">
            <w:pPr>
              <w:rPr>
                <w:sz w:val="20"/>
                <w:szCs w:val="20"/>
              </w:rPr>
            </w:pPr>
          </w:p>
        </w:tc>
        <w:tc>
          <w:tcPr>
            <w:tcW w:w="0" w:type="auto"/>
            <w:tcBorders>
              <w:top w:val="nil"/>
              <w:left w:val="nil"/>
              <w:bottom w:val="nil"/>
              <w:right w:val="nil"/>
            </w:tcBorders>
            <w:noWrap/>
            <w:vAlign w:val="bottom"/>
            <w:hideMark/>
          </w:tcPr>
          <w:p w14:paraId="4E5293C4" w14:textId="77777777" w:rsidR="00217CFD" w:rsidRDefault="00217CFD">
            <w:pPr>
              <w:rPr>
                <w:sz w:val="20"/>
                <w:szCs w:val="20"/>
              </w:rPr>
            </w:pPr>
          </w:p>
        </w:tc>
        <w:tc>
          <w:tcPr>
            <w:tcW w:w="0" w:type="auto"/>
            <w:tcBorders>
              <w:top w:val="nil"/>
              <w:left w:val="nil"/>
              <w:bottom w:val="nil"/>
              <w:right w:val="nil"/>
            </w:tcBorders>
            <w:noWrap/>
            <w:vAlign w:val="bottom"/>
            <w:hideMark/>
          </w:tcPr>
          <w:p w14:paraId="50FBB626" w14:textId="77777777" w:rsidR="00217CFD" w:rsidRDefault="00217CFD">
            <w:pPr>
              <w:rPr>
                <w:sz w:val="20"/>
                <w:szCs w:val="20"/>
              </w:rPr>
            </w:pPr>
          </w:p>
        </w:tc>
        <w:tc>
          <w:tcPr>
            <w:tcW w:w="0" w:type="auto"/>
            <w:tcBorders>
              <w:top w:val="nil"/>
              <w:left w:val="nil"/>
              <w:bottom w:val="nil"/>
              <w:right w:val="nil"/>
            </w:tcBorders>
            <w:noWrap/>
            <w:vAlign w:val="bottom"/>
            <w:hideMark/>
          </w:tcPr>
          <w:p w14:paraId="6387A885" w14:textId="77777777" w:rsidR="00217CFD" w:rsidRDefault="00217CFD">
            <w:pPr>
              <w:rPr>
                <w:sz w:val="20"/>
                <w:szCs w:val="20"/>
              </w:rPr>
            </w:pPr>
          </w:p>
        </w:tc>
        <w:tc>
          <w:tcPr>
            <w:tcW w:w="0" w:type="auto"/>
            <w:tcBorders>
              <w:top w:val="nil"/>
              <w:left w:val="nil"/>
              <w:bottom w:val="nil"/>
              <w:right w:val="nil"/>
            </w:tcBorders>
            <w:noWrap/>
            <w:vAlign w:val="bottom"/>
            <w:hideMark/>
          </w:tcPr>
          <w:p w14:paraId="6658D28D" w14:textId="77777777" w:rsidR="00217CFD" w:rsidRDefault="00217CFD">
            <w:pPr>
              <w:rPr>
                <w:sz w:val="20"/>
                <w:szCs w:val="20"/>
              </w:rPr>
            </w:pPr>
          </w:p>
        </w:tc>
        <w:tc>
          <w:tcPr>
            <w:tcW w:w="0" w:type="auto"/>
            <w:tcBorders>
              <w:top w:val="nil"/>
              <w:left w:val="nil"/>
              <w:bottom w:val="nil"/>
              <w:right w:val="nil"/>
            </w:tcBorders>
            <w:noWrap/>
            <w:vAlign w:val="bottom"/>
            <w:hideMark/>
          </w:tcPr>
          <w:p w14:paraId="78925C10" w14:textId="77777777" w:rsidR="00217CFD" w:rsidRDefault="00217CFD">
            <w:pPr>
              <w:rPr>
                <w:sz w:val="20"/>
                <w:szCs w:val="20"/>
              </w:rPr>
            </w:pPr>
          </w:p>
        </w:tc>
        <w:tc>
          <w:tcPr>
            <w:tcW w:w="0" w:type="auto"/>
            <w:tcBorders>
              <w:top w:val="nil"/>
              <w:left w:val="nil"/>
              <w:bottom w:val="nil"/>
              <w:right w:val="nil"/>
            </w:tcBorders>
            <w:noWrap/>
            <w:vAlign w:val="bottom"/>
            <w:hideMark/>
          </w:tcPr>
          <w:p w14:paraId="21E2C0C9" w14:textId="77777777" w:rsidR="00217CFD" w:rsidRDefault="00217CFD">
            <w:pPr>
              <w:rPr>
                <w:sz w:val="20"/>
                <w:szCs w:val="20"/>
              </w:rPr>
            </w:pPr>
          </w:p>
        </w:tc>
        <w:tc>
          <w:tcPr>
            <w:tcW w:w="0" w:type="auto"/>
            <w:tcBorders>
              <w:top w:val="nil"/>
              <w:left w:val="nil"/>
              <w:bottom w:val="nil"/>
              <w:right w:val="nil"/>
            </w:tcBorders>
            <w:noWrap/>
            <w:vAlign w:val="bottom"/>
            <w:hideMark/>
          </w:tcPr>
          <w:p w14:paraId="130A92F3" w14:textId="77777777" w:rsidR="00217CFD" w:rsidRDefault="00217CFD">
            <w:pPr>
              <w:rPr>
                <w:sz w:val="20"/>
                <w:szCs w:val="20"/>
              </w:rPr>
            </w:pPr>
          </w:p>
        </w:tc>
        <w:tc>
          <w:tcPr>
            <w:tcW w:w="0" w:type="auto"/>
            <w:tcBorders>
              <w:top w:val="nil"/>
              <w:left w:val="nil"/>
              <w:bottom w:val="nil"/>
              <w:right w:val="nil"/>
            </w:tcBorders>
            <w:noWrap/>
            <w:vAlign w:val="bottom"/>
            <w:hideMark/>
          </w:tcPr>
          <w:p w14:paraId="17B42309" w14:textId="77777777" w:rsidR="00217CFD" w:rsidRDefault="00217CFD">
            <w:pPr>
              <w:rPr>
                <w:sz w:val="20"/>
                <w:szCs w:val="20"/>
              </w:rPr>
            </w:pPr>
          </w:p>
        </w:tc>
      </w:tr>
      <w:tr w:rsidR="00217CFD" w14:paraId="38A71242" w14:textId="77777777">
        <w:trPr>
          <w:trHeight w:val="300"/>
        </w:trPr>
        <w:tc>
          <w:tcPr>
            <w:tcW w:w="0" w:type="auto"/>
            <w:tcBorders>
              <w:top w:val="nil"/>
              <w:left w:val="nil"/>
              <w:bottom w:val="nil"/>
              <w:right w:val="nil"/>
            </w:tcBorders>
            <w:noWrap/>
            <w:vAlign w:val="bottom"/>
            <w:hideMark/>
          </w:tcPr>
          <w:p w14:paraId="3E4C314C" w14:textId="77777777" w:rsidR="00217CFD" w:rsidRDefault="00217CFD">
            <w:pPr>
              <w:rPr>
                <w:sz w:val="20"/>
                <w:szCs w:val="20"/>
              </w:rPr>
            </w:pPr>
          </w:p>
        </w:tc>
        <w:tc>
          <w:tcPr>
            <w:tcW w:w="0" w:type="auto"/>
            <w:tcBorders>
              <w:top w:val="nil"/>
              <w:left w:val="nil"/>
              <w:bottom w:val="nil"/>
              <w:right w:val="nil"/>
            </w:tcBorders>
            <w:noWrap/>
            <w:vAlign w:val="bottom"/>
            <w:hideMark/>
          </w:tcPr>
          <w:p w14:paraId="0C0C0D99" w14:textId="77777777" w:rsidR="00217CFD" w:rsidRDefault="00217CFD">
            <w:pPr>
              <w:rPr>
                <w:sz w:val="20"/>
                <w:szCs w:val="20"/>
              </w:rPr>
            </w:pPr>
          </w:p>
        </w:tc>
        <w:tc>
          <w:tcPr>
            <w:tcW w:w="0" w:type="auto"/>
            <w:tcBorders>
              <w:top w:val="nil"/>
              <w:left w:val="nil"/>
              <w:bottom w:val="nil"/>
              <w:right w:val="nil"/>
            </w:tcBorders>
            <w:noWrap/>
            <w:vAlign w:val="bottom"/>
            <w:hideMark/>
          </w:tcPr>
          <w:p w14:paraId="45726A04" w14:textId="77777777" w:rsidR="00217CFD" w:rsidRDefault="00217CFD">
            <w:pPr>
              <w:rPr>
                <w:sz w:val="20"/>
                <w:szCs w:val="20"/>
              </w:rPr>
            </w:pPr>
          </w:p>
        </w:tc>
        <w:tc>
          <w:tcPr>
            <w:tcW w:w="0" w:type="auto"/>
            <w:tcBorders>
              <w:top w:val="nil"/>
              <w:left w:val="nil"/>
              <w:bottom w:val="nil"/>
              <w:right w:val="nil"/>
            </w:tcBorders>
            <w:noWrap/>
            <w:vAlign w:val="bottom"/>
            <w:hideMark/>
          </w:tcPr>
          <w:p w14:paraId="515A0793" w14:textId="77777777" w:rsidR="00217CFD" w:rsidRDefault="00217CFD">
            <w:pPr>
              <w:rPr>
                <w:sz w:val="20"/>
                <w:szCs w:val="20"/>
              </w:rPr>
            </w:pPr>
          </w:p>
        </w:tc>
        <w:tc>
          <w:tcPr>
            <w:tcW w:w="0" w:type="auto"/>
            <w:tcBorders>
              <w:top w:val="nil"/>
              <w:left w:val="nil"/>
              <w:bottom w:val="nil"/>
              <w:right w:val="nil"/>
            </w:tcBorders>
            <w:noWrap/>
            <w:vAlign w:val="bottom"/>
            <w:hideMark/>
          </w:tcPr>
          <w:p w14:paraId="05E1705E" w14:textId="77777777" w:rsidR="00217CFD" w:rsidRDefault="00217CFD">
            <w:pPr>
              <w:rPr>
                <w:sz w:val="20"/>
                <w:szCs w:val="20"/>
              </w:rPr>
            </w:pPr>
          </w:p>
        </w:tc>
        <w:tc>
          <w:tcPr>
            <w:tcW w:w="0" w:type="auto"/>
            <w:tcBorders>
              <w:top w:val="nil"/>
              <w:left w:val="nil"/>
              <w:bottom w:val="nil"/>
              <w:right w:val="nil"/>
            </w:tcBorders>
            <w:noWrap/>
            <w:vAlign w:val="bottom"/>
            <w:hideMark/>
          </w:tcPr>
          <w:p w14:paraId="34A07115" w14:textId="77777777" w:rsidR="00217CFD" w:rsidRDefault="00217CFD">
            <w:pPr>
              <w:rPr>
                <w:sz w:val="20"/>
                <w:szCs w:val="20"/>
              </w:rPr>
            </w:pPr>
          </w:p>
        </w:tc>
        <w:tc>
          <w:tcPr>
            <w:tcW w:w="0" w:type="auto"/>
            <w:tcBorders>
              <w:top w:val="nil"/>
              <w:left w:val="nil"/>
              <w:bottom w:val="nil"/>
              <w:right w:val="nil"/>
            </w:tcBorders>
            <w:noWrap/>
            <w:vAlign w:val="bottom"/>
            <w:hideMark/>
          </w:tcPr>
          <w:p w14:paraId="0A1F0F8B" w14:textId="77777777" w:rsidR="00217CFD" w:rsidRDefault="00217CFD">
            <w:pPr>
              <w:rPr>
                <w:sz w:val="20"/>
                <w:szCs w:val="20"/>
              </w:rPr>
            </w:pPr>
          </w:p>
        </w:tc>
        <w:tc>
          <w:tcPr>
            <w:tcW w:w="0" w:type="auto"/>
            <w:tcBorders>
              <w:top w:val="nil"/>
              <w:left w:val="nil"/>
              <w:bottom w:val="nil"/>
              <w:right w:val="nil"/>
            </w:tcBorders>
            <w:noWrap/>
            <w:vAlign w:val="bottom"/>
            <w:hideMark/>
          </w:tcPr>
          <w:p w14:paraId="64A403F6" w14:textId="77777777" w:rsidR="00217CFD" w:rsidRDefault="00217CFD">
            <w:pPr>
              <w:rPr>
                <w:sz w:val="20"/>
                <w:szCs w:val="20"/>
              </w:rPr>
            </w:pPr>
          </w:p>
        </w:tc>
        <w:tc>
          <w:tcPr>
            <w:tcW w:w="0" w:type="auto"/>
            <w:tcBorders>
              <w:top w:val="nil"/>
              <w:left w:val="nil"/>
              <w:bottom w:val="nil"/>
              <w:right w:val="nil"/>
            </w:tcBorders>
            <w:noWrap/>
            <w:vAlign w:val="bottom"/>
            <w:hideMark/>
          </w:tcPr>
          <w:p w14:paraId="0338E49D" w14:textId="77777777" w:rsidR="00217CFD" w:rsidRDefault="00217CFD">
            <w:pPr>
              <w:rPr>
                <w:sz w:val="20"/>
                <w:szCs w:val="20"/>
              </w:rPr>
            </w:pPr>
          </w:p>
        </w:tc>
      </w:tr>
      <w:tr w:rsidR="00217CFD" w14:paraId="54C6652D" w14:textId="77777777">
        <w:trPr>
          <w:trHeight w:val="300"/>
        </w:trPr>
        <w:tc>
          <w:tcPr>
            <w:tcW w:w="0" w:type="auto"/>
            <w:tcBorders>
              <w:top w:val="nil"/>
              <w:left w:val="nil"/>
              <w:bottom w:val="nil"/>
              <w:right w:val="nil"/>
            </w:tcBorders>
            <w:noWrap/>
            <w:vAlign w:val="bottom"/>
            <w:hideMark/>
          </w:tcPr>
          <w:p w14:paraId="7C7442CB" w14:textId="77777777" w:rsidR="00217CFD" w:rsidRDefault="00217CFD">
            <w:pPr>
              <w:rPr>
                <w:sz w:val="20"/>
                <w:szCs w:val="20"/>
              </w:rPr>
            </w:pPr>
          </w:p>
        </w:tc>
        <w:tc>
          <w:tcPr>
            <w:tcW w:w="0" w:type="auto"/>
            <w:tcBorders>
              <w:top w:val="nil"/>
              <w:left w:val="nil"/>
              <w:bottom w:val="nil"/>
              <w:right w:val="nil"/>
            </w:tcBorders>
            <w:noWrap/>
            <w:vAlign w:val="bottom"/>
            <w:hideMark/>
          </w:tcPr>
          <w:p w14:paraId="13336E45" w14:textId="77777777" w:rsidR="00217CFD" w:rsidRDefault="00217CFD">
            <w:pPr>
              <w:rPr>
                <w:sz w:val="20"/>
                <w:szCs w:val="20"/>
              </w:rPr>
            </w:pPr>
          </w:p>
        </w:tc>
        <w:tc>
          <w:tcPr>
            <w:tcW w:w="0" w:type="auto"/>
            <w:tcBorders>
              <w:top w:val="nil"/>
              <w:left w:val="nil"/>
              <w:bottom w:val="nil"/>
              <w:right w:val="nil"/>
            </w:tcBorders>
            <w:noWrap/>
            <w:vAlign w:val="bottom"/>
            <w:hideMark/>
          </w:tcPr>
          <w:p w14:paraId="3719FE98" w14:textId="77777777" w:rsidR="00217CFD" w:rsidRDefault="00217CFD">
            <w:pPr>
              <w:rPr>
                <w:sz w:val="20"/>
                <w:szCs w:val="20"/>
              </w:rPr>
            </w:pPr>
          </w:p>
        </w:tc>
        <w:tc>
          <w:tcPr>
            <w:tcW w:w="0" w:type="auto"/>
            <w:tcBorders>
              <w:top w:val="nil"/>
              <w:left w:val="nil"/>
              <w:bottom w:val="nil"/>
              <w:right w:val="nil"/>
            </w:tcBorders>
            <w:noWrap/>
            <w:vAlign w:val="bottom"/>
            <w:hideMark/>
          </w:tcPr>
          <w:p w14:paraId="7B48E987" w14:textId="77777777" w:rsidR="00217CFD" w:rsidRDefault="00217CFD">
            <w:pPr>
              <w:rPr>
                <w:sz w:val="20"/>
                <w:szCs w:val="20"/>
              </w:rPr>
            </w:pPr>
          </w:p>
        </w:tc>
        <w:tc>
          <w:tcPr>
            <w:tcW w:w="0" w:type="auto"/>
            <w:tcBorders>
              <w:top w:val="nil"/>
              <w:left w:val="nil"/>
              <w:bottom w:val="nil"/>
              <w:right w:val="nil"/>
            </w:tcBorders>
            <w:noWrap/>
            <w:vAlign w:val="bottom"/>
            <w:hideMark/>
          </w:tcPr>
          <w:p w14:paraId="3733D7DB" w14:textId="77777777" w:rsidR="00217CFD" w:rsidRDefault="00217CFD">
            <w:pPr>
              <w:rPr>
                <w:sz w:val="20"/>
                <w:szCs w:val="20"/>
              </w:rPr>
            </w:pPr>
          </w:p>
        </w:tc>
        <w:tc>
          <w:tcPr>
            <w:tcW w:w="0" w:type="auto"/>
            <w:tcBorders>
              <w:top w:val="nil"/>
              <w:left w:val="nil"/>
              <w:bottom w:val="nil"/>
              <w:right w:val="nil"/>
            </w:tcBorders>
            <w:noWrap/>
            <w:vAlign w:val="bottom"/>
            <w:hideMark/>
          </w:tcPr>
          <w:p w14:paraId="5AECB11E" w14:textId="77777777" w:rsidR="00217CFD" w:rsidRDefault="00217CFD">
            <w:pPr>
              <w:rPr>
                <w:sz w:val="20"/>
                <w:szCs w:val="20"/>
              </w:rPr>
            </w:pPr>
          </w:p>
        </w:tc>
        <w:tc>
          <w:tcPr>
            <w:tcW w:w="0" w:type="auto"/>
            <w:tcBorders>
              <w:top w:val="nil"/>
              <w:left w:val="nil"/>
              <w:bottom w:val="nil"/>
              <w:right w:val="nil"/>
            </w:tcBorders>
            <w:noWrap/>
            <w:vAlign w:val="bottom"/>
            <w:hideMark/>
          </w:tcPr>
          <w:p w14:paraId="4553AD74" w14:textId="77777777" w:rsidR="00217CFD" w:rsidRDefault="00217CFD">
            <w:pPr>
              <w:rPr>
                <w:sz w:val="20"/>
                <w:szCs w:val="20"/>
              </w:rPr>
            </w:pPr>
          </w:p>
        </w:tc>
        <w:tc>
          <w:tcPr>
            <w:tcW w:w="0" w:type="auto"/>
            <w:tcBorders>
              <w:top w:val="nil"/>
              <w:left w:val="nil"/>
              <w:bottom w:val="nil"/>
              <w:right w:val="nil"/>
            </w:tcBorders>
            <w:noWrap/>
            <w:vAlign w:val="bottom"/>
            <w:hideMark/>
          </w:tcPr>
          <w:p w14:paraId="36322803" w14:textId="77777777" w:rsidR="00217CFD" w:rsidRDefault="00217CFD">
            <w:pPr>
              <w:rPr>
                <w:sz w:val="20"/>
                <w:szCs w:val="20"/>
              </w:rPr>
            </w:pPr>
          </w:p>
        </w:tc>
        <w:tc>
          <w:tcPr>
            <w:tcW w:w="0" w:type="auto"/>
            <w:tcBorders>
              <w:top w:val="nil"/>
              <w:left w:val="nil"/>
              <w:bottom w:val="nil"/>
              <w:right w:val="nil"/>
            </w:tcBorders>
            <w:noWrap/>
            <w:vAlign w:val="bottom"/>
            <w:hideMark/>
          </w:tcPr>
          <w:p w14:paraId="3D35D202" w14:textId="77777777" w:rsidR="00217CFD" w:rsidRDefault="00217CFD">
            <w:pPr>
              <w:rPr>
                <w:sz w:val="20"/>
                <w:szCs w:val="20"/>
              </w:rPr>
            </w:pPr>
          </w:p>
        </w:tc>
      </w:tr>
      <w:tr w:rsidR="00217CFD" w14:paraId="357F203F" w14:textId="77777777">
        <w:trPr>
          <w:trHeight w:val="300"/>
        </w:trPr>
        <w:tc>
          <w:tcPr>
            <w:tcW w:w="0" w:type="auto"/>
            <w:tcBorders>
              <w:top w:val="nil"/>
              <w:left w:val="nil"/>
              <w:bottom w:val="nil"/>
              <w:right w:val="nil"/>
            </w:tcBorders>
            <w:noWrap/>
            <w:vAlign w:val="bottom"/>
            <w:hideMark/>
          </w:tcPr>
          <w:p w14:paraId="5A245001" w14:textId="77777777" w:rsidR="00217CFD" w:rsidRDefault="00217CFD">
            <w:pPr>
              <w:rPr>
                <w:sz w:val="20"/>
                <w:szCs w:val="20"/>
              </w:rPr>
            </w:pPr>
          </w:p>
        </w:tc>
        <w:tc>
          <w:tcPr>
            <w:tcW w:w="0" w:type="auto"/>
            <w:tcBorders>
              <w:top w:val="nil"/>
              <w:left w:val="nil"/>
              <w:bottom w:val="nil"/>
              <w:right w:val="nil"/>
            </w:tcBorders>
            <w:noWrap/>
            <w:vAlign w:val="bottom"/>
            <w:hideMark/>
          </w:tcPr>
          <w:p w14:paraId="3E1E1C57" w14:textId="77777777" w:rsidR="00217CFD" w:rsidRDefault="00217CFD">
            <w:pPr>
              <w:rPr>
                <w:sz w:val="20"/>
                <w:szCs w:val="20"/>
              </w:rPr>
            </w:pPr>
          </w:p>
        </w:tc>
        <w:tc>
          <w:tcPr>
            <w:tcW w:w="0" w:type="auto"/>
            <w:tcBorders>
              <w:top w:val="nil"/>
              <w:left w:val="nil"/>
              <w:bottom w:val="nil"/>
              <w:right w:val="nil"/>
            </w:tcBorders>
            <w:noWrap/>
            <w:vAlign w:val="bottom"/>
            <w:hideMark/>
          </w:tcPr>
          <w:p w14:paraId="2432179D" w14:textId="77777777" w:rsidR="00217CFD" w:rsidRDefault="00217CFD">
            <w:pPr>
              <w:rPr>
                <w:sz w:val="20"/>
                <w:szCs w:val="20"/>
              </w:rPr>
            </w:pPr>
          </w:p>
        </w:tc>
        <w:tc>
          <w:tcPr>
            <w:tcW w:w="0" w:type="auto"/>
            <w:tcBorders>
              <w:top w:val="nil"/>
              <w:left w:val="nil"/>
              <w:bottom w:val="nil"/>
              <w:right w:val="nil"/>
            </w:tcBorders>
            <w:noWrap/>
            <w:vAlign w:val="bottom"/>
            <w:hideMark/>
          </w:tcPr>
          <w:p w14:paraId="30C0ABFE" w14:textId="77777777" w:rsidR="00217CFD" w:rsidRDefault="00217CFD">
            <w:pPr>
              <w:rPr>
                <w:sz w:val="20"/>
                <w:szCs w:val="20"/>
              </w:rPr>
            </w:pPr>
          </w:p>
        </w:tc>
        <w:tc>
          <w:tcPr>
            <w:tcW w:w="0" w:type="auto"/>
            <w:tcBorders>
              <w:top w:val="nil"/>
              <w:left w:val="nil"/>
              <w:bottom w:val="nil"/>
              <w:right w:val="nil"/>
            </w:tcBorders>
            <w:noWrap/>
            <w:vAlign w:val="bottom"/>
            <w:hideMark/>
          </w:tcPr>
          <w:p w14:paraId="6A92ED76" w14:textId="77777777" w:rsidR="00217CFD" w:rsidRDefault="00217CFD">
            <w:pPr>
              <w:rPr>
                <w:sz w:val="20"/>
                <w:szCs w:val="20"/>
              </w:rPr>
            </w:pPr>
          </w:p>
        </w:tc>
        <w:tc>
          <w:tcPr>
            <w:tcW w:w="0" w:type="auto"/>
            <w:tcBorders>
              <w:top w:val="nil"/>
              <w:left w:val="nil"/>
              <w:bottom w:val="nil"/>
              <w:right w:val="nil"/>
            </w:tcBorders>
            <w:noWrap/>
            <w:vAlign w:val="bottom"/>
            <w:hideMark/>
          </w:tcPr>
          <w:p w14:paraId="21ACBEEE" w14:textId="77777777" w:rsidR="00217CFD" w:rsidRDefault="00217CFD">
            <w:pPr>
              <w:rPr>
                <w:sz w:val="20"/>
                <w:szCs w:val="20"/>
              </w:rPr>
            </w:pPr>
          </w:p>
        </w:tc>
        <w:tc>
          <w:tcPr>
            <w:tcW w:w="0" w:type="auto"/>
            <w:tcBorders>
              <w:top w:val="nil"/>
              <w:left w:val="nil"/>
              <w:bottom w:val="nil"/>
              <w:right w:val="nil"/>
            </w:tcBorders>
            <w:noWrap/>
            <w:vAlign w:val="bottom"/>
            <w:hideMark/>
          </w:tcPr>
          <w:p w14:paraId="7B257BFC" w14:textId="77777777" w:rsidR="00217CFD" w:rsidRDefault="00217CFD">
            <w:pPr>
              <w:rPr>
                <w:sz w:val="20"/>
                <w:szCs w:val="20"/>
              </w:rPr>
            </w:pPr>
          </w:p>
        </w:tc>
        <w:tc>
          <w:tcPr>
            <w:tcW w:w="0" w:type="auto"/>
            <w:tcBorders>
              <w:top w:val="nil"/>
              <w:left w:val="nil"/>
              <w:bottom w:val="nil"/>
              <w:right w:val="nil"/>
            </w:tcBorders>
            <w:noWrap/>
            <w:vAlign w:val="bottom"/>
            <w:hideMark/>
          </w:tcPr>
          <w:p w14:paraId="68127658" w14:textId="77777777" w:rsidR="00217CFD" w:rsidRDefault="00217CFD">
            <w:pPr>
              <w:rPr>
                <w:sz w:val="20"/>
                <w:szCs w:val="20"/>
              </w:rPr>
            </w:pPr>
          </w:p>
        </w:tc>
        <w:tc>
          <w:tcPr>
            <w:tcW w:w="0" w:type="auto"/>
            <w:tcBorders>
              <w:top w:val="nil"/>
              <w:left w:val="nil"/>
              <w:bottom w:val="nil"/>
              <w:right w:val="nil"/>
            </w:tcBorders>
            <w:noWrap/>
            <w:vAlign w:val="bottom"/>
            <w:hideMark/>
          </w:tcPr>
          <w:p w14:paraId="2752FB4A" w14:textId="77777777" w:rsidR="00217CFD" w:rsidRDefault="00217CFD">
            <w:pPr>
              <w:rPr>
                <w:sz w:val="20"/>
                <w:szCs w:val="20"/>
              </w:rPr>
            </w:pPr>
          </w:p>
        </w:tc>
      </w:tr>
      <w:tr w:rsidR="00217CFD" w14:paraId="1B3817EA" w14:textId="77777777">
        <w:trPr>
          <w:trHeight w:val="300"/>
        </w:trPr>
        <w:tc>
          <w:tcPr>
            <w:tcW w:w="0" w:type="auto"/>
            <w:tcBorders>
              <w:top w:val="nil"/>
              <w:left w:val="nil"/>
              <w:bottom w:val="nil"/>
              <w:right w:val="nil"/>
            </w:tcBorders>
            <w:noWrap/>
            <w:vAlign w:val="bottom"/>
            <w:hideMark/>
          </w:tcPr>
          <w:p w14:paraId="6904ECF9" w14:textId="77777777" w:rsidR="00217CFD" w:rsidRDefault="00217CFD">
            <w:pPr>
              <w:rPr>
                <w:sz w:val="20"/>
                <w:szCs w:val="20"/>
              </w:rPr>
            </w:pPr>
          </w:p>
        </w:tc>
        <w:tc>
          <w:tcPr>
            <w:tcW w:w="0" w:type="auto"/>
            <w:tcBorders>
              <w:top w:val="nil"/>
              <w:left w:val="nil"/>
              <w:bottom w:val="nil"/>
              <w:right w:val="nil"/>
            </w:tcBorders>
            <w:noWrap/>
            <w:vAlign w:val="bottom"/>
            <w:hideMark/>
          </w:tcPr>
          <w:p w14:paraId="7D03EF5C" w14:textId="77777777" w:rsidR="00217CFD" w:rsidRDefault="00217CFD">
            <w:pPr>
              <w:rPr>
                <w:sz w:val="20"/>
                <w:szCs w:val="20"/>
              </w:rPr>
            </w:pPr>
          </w:p>
        </w:tc>
        <w:tc>
          <w:tcPr>
            <w:tcW w:w="0" w:type="auto"/>
            <w:tcBorders>
              <w:top w:val="nil"/>
              <w:left w:val="nil"/>
              <w:bottom w:val="nil"/>
              <w:right w:val="nil"/>
            </w:tcBorders>
            <w:noWrap/>
            <w:vAlign w:val="bottom"/>
            <w:hideMark/>
          </w:tcPr>
          <w:p w14:paraId="1B0293A3" w14:textId="77777777" w:rsidR="00217CFD" w:rsidRDefault="00217CFD">
            <w:pPr>
              <w:rPr>
                <w:sz w:val="20"/>
                <w:szCs w:val="20"/>
              </w:rPr>
            </w:pPr>
          </w:p>
        </w:tc>
        <w:tc>
          <w:tcPr>
            <w:tcW w:w="0" w:type="auto"/>
            <w:tcBorders>
              <w:top w:val="nil"/>
              <w:left w:val="nil"/>
              <w:bottom w:val="nil"/>
              <w:right w:val="nil"/>
            </w:tcBorders>
            <w:noWrap/>
            <w:vAlign w:val="bottom"/>
            <w:hideMark/>
          </w:tcPr>
          <w:p w14:paraId="4CE68764" w14:textId="77777777" w:rsidR="00217CFD" w:rsidRDefault="00217CFD">
            <w:pPr>
              <w:rPr>
                <w:sz w:val="20"/>
                <w:szCs w:val="20"/>
              </w:rPr>
            </w:pPr>
          </w:p>
        </w:tc>
        <w:tc>
          <w:tcPr>
            <w:tcW w:w="0" w:type="auto"/>
            <w:tcBorders>
              <w:top w:val="nil"/>
              <w:left w:val="nil"/>
              <w:bottom w:val="nil"/>
              <w:right w:val="nil"/>
            </w:tcBorders>
            <w:noWrap/>
            <w:vAlign w:val="bottom"/>
            <w:hideMark/>
          </w:tcPr>
          <w:p w14:paraId="42E4E37D" w14:textId="77777777" w:rsidR="00217CFD" w:rsidRDefault="00217CFD">
            <w:pPr>
              <w:rPr>
                <w:sz w:val="20"/>
                <w:szCs w:val="20"/>
              </w:rPr>
            </w:pPr>
          </w:p>
        </w:tc>
        <w:tc>
          <w:tcPr>
            <w:tcW w:w="0" w:type="auto"/>
            <w:tcBorders>
              <w:top w:val="nil"/>
              <w:left w:val="nil"/>
              <w:bottom w:val="nil"/>
              <w:right w:val="nil"/>
            </w:tcBorders>
            <w:noWrap/>
            <w:vAlign w:val="bottom"/>
            <w:hideMark/>
          </w:tcPr>
          <w:p w14:paraId="61F81C48" w14:textId="77777777" w:rsidR="00217CFD" w:rsidRDefault="00217CFD">
            <w:pPr>
              <w:rPr>
                <w:sz w:val="20"/>
                <w:szCs w:val="20"/>
              </w:rPr>
            </w:pPr>
          </w:p>
        </w:tc>
        <w:tc>
          <w:tcPr>
            <w:tcW w:w="0" w:type="auto"/>
            <w:tcBorders>
              <w:top w:val="nil"/>
              <w:left w:val="nil"/>
              <w:bottom w:val="nil"/>
              <w:right w:val="nil"/>
            </w:tcBorders>
            <w:noWrap/>
            <w:vAlign w:val="bottom"/>
            <w:hideMark/>
          </w:tcPr>
          <w:p w14:paraId="0661E940" w14:textId="77777777" w:rsidR="00217CFD" w:rsidRDefault="00217CFD">
            <w:pPr>
              <w:rPr>
                <w:sz w:val="20"/>
                <w:szCs w:val="20"/>
              </w:rPr>
            </w:pPr>
          </w:p>
        </w:tc>
        <w:tc>
          <w:tcPr>
            <w:tcW w:w="0" w:type="auto"/>
            <w:tcBorders>
              <w:top w:val="nil"/>
              <w:left w:val="nil"/>
              <w:bottom w:val="nil"/>
              <w:right w:val="nil"/>
            </w:tcBorders>
            <w:noWrap/>
            <w:vAlign w:val="bottom"/>
            <w:hideMark/>
          </w:tcPr>
          <w:p w14:paraId="753DEFB9" w14:textId="77777777" w:rsidR="00217CFD" w:rsidRDefault="00217CFD">
            <w:pPr>
              <w:rPr>
                <w:sz w:val="20"/>
                <w:szCs w:val="20"/>
              </w:rPr>
            </w:pPr>
          </w:p>
        </w:tc>
        <w:tc>
          <w:tcPr>
            <w:tcW w:w="0" w:type="auto"/>
            <w:tcBorders>
              <w:top w:val="nil"/>
              <w:left w:val="nil"/>
              <w:bottom w:val="nil"/>
              <w:right w:val="nil"/>
            </w:tcBorders>
            <w:noWrap/>
            <w:vAlign w:val="bottom"/>
            <w:hideMark/>
          </w:tcPr>
          <w:p w14:paraId="6422843E" w14:textId="77777777" w:rsidR="00217CFD" w:rsidRDefault="00217CFD">
            <w:pPr>
              <w:rPr>
                <w:sz w:val="20"/>
                <w:szCs w:val="20"/>
              </w:rPr>
            </w:pPr>
          </w:p>
        </w:tc>
      </w:tr>
      <w:tr w:rsidR="00217CFD" w14:paraId="4CC979F2" w14:textId="77777777">
        <w:trPr>
          <w:trHeight w:val="900"/>
        </w:trPr>
        <w:tc>
          <w:tcPr>
            <w:tcW w:w="0" w:type="auto"/>
            <w:tcBorders>
              <w:top w:val="nil"/>
              <w:left w:val="nil"/>
              <w:bottom w:val="nil"/>
              <w:right w:val="nil"/>
            </w:tcBorders>
            <w:noWrap/>
            <w:vAlign w:val="bottom"/>
            <w:hideMark/>
          </w:tcPr>
          <w:p w14:paraId="51FA3A3B" w14:textId="77777777" w:rsidR="00217CFD" w:rsidRDefault="00217CFD">
            <w:pPr>
              <w:rPr>
                <w:sz w:val="20"/>
                <w:szCs w:val="20"/>
              </w:rPr>
            </w:pPr>
          </w:p>
        </w:tc>
        <w:tc>
          <w:tcPr>
            <w:tcW w:w="0" w:type="auto"/>
            <w:tcBorders>
              <w:top w:val="nil"/>
              <w:left w:val="nil"/>
              <w:bottom w:val="nil"/>
              <w:right w:val="nil"/>
            </w:tcBorders>
            <w:noWrap/>
            <w:vAlign w:val="bottom"/>
            <w:hideMark/>
          </w:tcPr>
          <w:p w14:paraId="0798DB8E" w14:textId="77777777" w:rsidR="00217CFD" w:rsidRDefault="00217CFD">
            <w:pPr>
              <w:rPr>
                <w:sz w:val="20"/>
                <w:szCs w:val="20"/>
              </w:rPr>
            </w:pPr>
          </w:p>
        </w:tc>
        <w:tc>
          <w:tcPr>
            <w:tcW w:w="0" w:type="auto"/>
            <w:tcBorders>
              <w:top w:val="nil"/>
              <w:left w:val="nil"/>
              <w:bottom w:val="nil"/>
              <w:right w:val="nil"/>
            </w:tcBorders>
            <w:noWrap/>
            <w:vAlign w:val="bottom"/>
            <w:hideMark/>
          </w:tcPr>
          <w:p w14:paraId="0E2B7C34" w14:textId="77777777" w:rsidR="00217CFD" w:rsidRDefault="00217CFD">
            <w:pPr>
              <w:rPr>
                <w:sz w:val="20"/>
                <w:szCs w:val="20"/>
              </w:rPr>
            </w:pPr>
          </w:p>
        </w:tc>
        <w:tc>
          <w:tcPr>
            <w:tcW w:w="0" w:type="auto"/>
            <w:tcBorders>
              <w:top w:val="nil"/>
              <w:left w:val="nil"/>
              <w:bottom w:val="nil"/>
              <w:right w:val="nil"/>
            </w:tcBorders>
            <w:noWrap/>
            <w:vAlign w:val="bottom"/>
            <w:hideMark/>
          </w:tcPr>
          <w:p w14:paraId="35489169" w14:textId="77777777" w:rsidR="00217CFD" w:rsidRDefault="00217CFD">
            <w:pPr>
              <w:rPr>
                <w:sz w:val="20"/>
                <w:szCs w:val="20"/>
              </w:rPr>
            </w:pPr>
          </w:p>
        </w:tc>
        <w:tc>
          <w:tcPr>
            <w:tcW w:w="0" w:type="auto"/>
            <w:tcBorders>
              <w:top w:val="nil"/>
              <w:left w:val="nil"/>
              <w:bottom w:val="nil"/>
              <w:right w:val="nil"/>
            </w:tcBorders>
            <w:noWrap/>
            <w:vAlign w:val="bottom"/>
            <w:hideMark/>
          </w:tcPr>
          <w:p w14:paraId="3BFF3DAA" w14:textId="77777777" w:rsidR="00217CFD" w:rsidRDefault="00217CFD">
            <w:pPr>
              <w:rPr>
                <w:sz w:val="20"/>
                <w:szCs w:val="20"/>
              </w:rPr>
            </w:pPr>
          </w:p>
        </w:tc>
        <w:tc>
          <w:tcPr>
            <w:tcW w:w="0" w:type="auto"/>
            <w:tcBorders>
              <w:top w:val="nil"/>
              <w:left w:val="nil"/>
              <w:bottom w:val="nil"/>
              <w:right w:val="nil"/>
            </w:tcBorders>
            <w:noWrap/>
            <w:vAlign w:val="bottom"/>
            <w:hideMark/>
          </w:tcPr>
          <w:p w14:paraId="49ED7867" w14:textId="77777777" w:rsidR="00217CFD" w:rsidRDefault="00217CFD">
            <w:pPr>
              <w:rPr>
                <w:sz w:val="20"/>
                <w:szCs w:val="20"/>
              </w:rPr>
            </w:pPr>
          </w:p>
        </w:tc>
        <w:tc>
          <w:tcPr>
            <w:tcW w:w="0" w:type="auto"/>
            <w:tcBorders>
              <w:top w:val="nil"/>
              <w:left w:val="nil"/>
              <w:bottom w:val="nil"/>
              <w:right w:val="nil"/>
            </w:tcBorders>
            <w:noWrap/>
            <w:vAlign w:val="bottom"/>
            <w:hideMark/>
          </w:tcPr>
          <w:p w14:paraId="3630D27F" w14:textId="77777777" w:rsidR="00217CFD" w:rsidRDefault="00217CFD">
            <w:pPr>
              <w:rPr>
                <w:sz w:val="20"/>
                <w:szCs w:val="20"/>
              </w:rPr>
            </w:pPr>
          </w:p>
        </w:tc>
        <w:tc>
          <w:tcPr>
            <w:tcW w:w="0" w:type="auto"/>
            <w:tcBorders>
              <w:top w:val="nil"/>
              <w:left w:val="nil"/>
              <w:bottom w:val="nil"/>
              <w:right w:val="nil"/>
            </w:tcBorders>
            <w:noWrap/>
            <w:vAlign w:val="bottom"/>
            <w:hideMark/>
          </w:tcPr>
          <w:p w14:paraId="0A082C21" w14:textId="77777777" w:rsidR="00217CFD" w:rsidRDefault="00217CFD">
            <w:pPr>
              <w:rPr>
                <w:sz w:val="20"/>
                <w:szCs w:val="20"/>
              </w:rPr>
            </w:pPr>
          </w:p>
        </w:tc>
        <w:tc>
          <w:tcPr>
            <w:tcW w:w="0" w:type="auto"/>
            <w:tcBorders>
              <w:top w:val="nil"/>
              <w:left w:val="nil"/>
              <w:bottom w:val="nil"/>
              <w:right w:val="nil"/>
            </w:tcBorders>
            <w:noWrap/>
            <w:vAlign w:val="bottom"/>
            <w:hideMark/>
          </w:tcPr>
          <w:p w14:paraId="7691A73B" w14:textId="0C035483" w:rsidR="00217CFD" w:rsidRDefault="00217CFD">
            <w:pPr>
              <w:rPr>
                <w:sz w:val="20"/>
                <w:szCs w:val="20"/>
              </w:rPr>
            </w:pPr>
          </w:p>
        </w:tc>
      </w:tr>
      <w:tr w:rsidR="00217CFD" w14:paraId="18AA1075" w14:textId="77777777">
        <w:trPr>
          <w:trHeight w:val="300"/>
        </w:trPr>
        <w:tc>
          <w:tcPr>
            <w:tcW w:w="0" w:type="auto"/>
            <w:tcBorders>
              <w:top w:val="nil"/>
              <w:left w:val="nil"/>
              <w:bottom w:val="nil"/>
              <w:right w:val="nil"/>
            </w:tcBorders>
            <w:noWrap/>
            <w:vAlign w:val="bottom"/>
            <w:hideMark/>
          </w:tcPr>
          <w:p w14:paraId="685807F6" w14:textId="77777777" w:rsidR="00217CFD" w:rsidRDefault="00217CFD">
            <w:pPr>
              <w:rPr>
                <w:sz w:val="20"/>
                <w:szCs w:val="20"/>
              </w:rPr>
            </w:pPr>
          </w:p>
        </w:tc>
        <w:tc>
          <w:tcPr>
            <w:tcW w:w="0" w:type="auto"/>
            <w:tcBorders>
              <w:top w:val="nil"/>
              <w:left w:val="nil"/>
              <w:bottom w:val="nil"/>
              <w:right w:val="nil"/>
            </w:tcBorders>
            <w:noWrap/>
            <w:vAlign w:val="bottom"/>
            <w:hideMark/>
          </w:tcPr>
          <w:p w14:paraId="14365A69" w14:textId="77777777" w:rsidR="00217CFD" w:rsidRDefault="00217CFD">
            <w:pPr>
              <w:rPr>
                <w:sz w:val="20"/>
                <w:szCs w:val="20"/>
              </w:rPr>
            </w:pPr>
          </w:p>
        </w:tc>
        <w:tc>
          <w:tcPr>
            <w:tcW w:w="0" w:type="auto"/>
            <w:tcBorders>
              <w:top w:val="nil"/>
              <w:left w:val="nil"/>
              <w:bottom w:val="nil"/>
              <w:right w:val="nil"/>
            </w:tcBorders>
            <w:noWrap/>
            <w:vAlign w:val="bottom"/>
            <w:hideMark/>
          </w:tcPr>
          <w:p w14:paraId="04373328" w14:textId="77777777" w:rsidR="00217CFD" w:rsidRDefault="00217CFD">
            <w:pPr>
              <w:rPr>
                <w:sz w:val="20"/>
                <w:szCs w:val="20"/>
              </w:rPr>
            </w:pPr>
          </w:p>
        </w:tc>
        <w:tc>
          <w:tcPr>
            <w:tcW w:w="0" w:type="auto"/>
            <w:tcBorders>
              <w:top w:val="nil"/>
              <w:left w:val="nil"/>
              <w:bottom w:val="nil"/>
              <w:right w:val="nil"/>
            </w:tcBorders>
            <w:noWrap/>
            <w:vAlign w:val="bottom"/>
            <w:hideMark/>
          </w:tcPr>
          <w:p w14:paraId="54B2442C" w14:textId="77777777" w:rsidR="00217CFD" w:rsidRDefault="00217CFD">
            <w:pPr>
              <w:rPr>
                <w:sz w:val="20"/>
                <w:szCs w:val="20"/>
              </w:rPr>
            </w:pPr>
          </w:p>
        </w:tc>
        <w:tc>
          <w:tcPr>
            <w:tcW w:w="0" w:type="auto"/>
            <w:tcBorders>
              <w:top w:val="nil"/>
              <w:left w:val="nil"/>
              <w:bottom w:val="nil"/>
              <w:right w:val="nil"/>
            </w:tcBorders>
            <w:noWrap/>
            <w:vAlign w:val="bottom"/>
            <w:hideMark/>
          </w:tcPr>
          <w:p w14:paraId="55EE2021" w14:textId="77777777" w:rsidR="00217CFD" w:rsidRDefault="00217CFD">
            <w:pPr>
              <w:rPr>
                <w:sz w:val="20"/>
                <w:szCs w:val="20"/>
              </w:rPr>
            </w:pPr>
          </w:p>
        </w:tc>
        <w:tc>
          <w:tcPr>
            <w:tcW w:w="0" w:type="auto"/>
            <w:tcBorders>
              <w:top w:val="nil"/>
              <w:left w:val="nil"/>
              <w:bottom w:val="nil"/>
              <w:right w:val="nil"/>
            </w:tcBorders>
            <w:noWrap/>
            <w:vAlign w:val="bottom"/>
            <w:hideMark/>
          </w:tcPr>
          <w:p w14:paraId="2B536B28" w14:textId="75323930" w:rsidR="00217CFD" w:rsidRDefault="00AC59D3">
            <w:pPr>
              <w:rPr>
                <w:sz w:val="20"/>
                <w:szCs w:val="20"/>
              </w:rPr>
            </w:pPr>
            <w:r w:rsidRPr="00A53BD1">
              <w:rPr>
                <w:rFonts w:ascii="Calibri" w:eastAsia="Times New Roman" w:hAnsi="Calibri" w:cs="Calibri"/>
                <w:noProof/>
                <w:color w:val="000000"/>
                <w:sz w:val="22"/>
                <w:szCs w:val="22"/>
                <w:lang w:val="en-GB" w:eastAsia="en-GB" w:bidi="si-LK"/>
              </w:rPr>
              <w:drawing>
                <wp:anchor distT="0" distB="0" distL="114300" distR="114300" simplePos="0" relativeHeight="251687936" behindDoc="0" locked="0" layoutInCell="1" allowOverlap="1" wp14:anchorId="77351F35" wp14:editId="457CED99">
                  <wp:simplePos x="0" y="0"/>
                  <wp:positionH relativeFrom="column">
                    <wp:posOffset>-2460625</wp:posOffset>
                  </wp:positionH>
                  <wp:positionV relativeFrom="paragraph">
                    <wp:posOffset>-175895</wp:posOffset>
                  </wp:positionV>
                  <wp:extent cx="3347085" cy="2393950"/>
                  <wp:effectExtent l="0" t="0" r="18415" b="6350"/>
                  <wp:wrapNone/>
                  <wp:docPr id="3" name="Chart 25">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p>
        </w:tc>
        <w:tc>
          <w:tcPr>
            <w:tcW w:w="0" w:type="auto"/>
            <w:tcBorders>
              <w:top w:val="nil"/>
              <w:left w:val="nil"/>
              <w:bottom w:val="nil"/>
              <w:right w:val="nil"/>
            </w:tcBorders>
            <w:noWrap/>
            <w:vAlign w:val="bottom"/>
            <w:hideMark/>
          </w:tcPr>
          <w:p w14:paraId="3A4296DA" w14:textId="77777777" w:rsidR="00217CFD" w:rsidRDefault="00217CFD">
            <w:pPr>
              <w:rPr>
                <w:sz w:val="20"/>
                <w:szCs w:val="20"/>
              </w:rPr>
            </w:pPr>
          </w:p>
        </w:tc>
        <w:tc>
          <w:tcPr>
            <w:tcW w:w="0" w:type="auto"/>
            <w:tcBorders>
              <w:top w:val="nil"/>
              <w:left w:val="nil"/>
              <w:bottom w:val="nil"/>
              <w:right w:val="nil"/>
            </w:tcBorders>
            <w:noWrap/>
            <w:vAlign w:val="bottom"/>
            <w:hideMark/>
          </w:tcPr>
          <w:p w14:paraId="27A20150" w14:textId="77777777" w:rsidR="00217CFD" w:rsidRDefault="00217CFD">
            <w:pPr>
              <w:rPr>
                <w:sz w:val="20"/>
                <w:szCs w:val="20"/>
              </w:rPr>
            </w:pPr>
          </w:p>
        </w:tc>
        <w:tc>
          <w:tcPr>
            <w:tcW w:w="0" w:type="auto"/>
            <w:tcBorders>
              <w:top w:val="nil"/>
              <w:left w:val="nil"/>
              <w:bottom w:val="nil"/>
              <w:right w:val="nil"/>
            </w:tcBorders>
            <w:noWrap/>
            <w:vAlign w:val="bottom"/>
            <w:hideMark/>
          </w:tcPr>
          <w:p w14:paraId="0D1924EB" w14:textId="5BF20742" w:rsidR="00217CFD" w:rsidRDefault="00217CFD">
            <w:pPr>
              <w:rPr>
                <w:sz w:val="20"/>
                <w:szCs w:val="20"/>
              </w:rPr>
            </w:pPr>
          </w:p>
        </w:tc>
      </w:tr>
      <w:tr w:rsidR="00217CFD" w14:paraId="46B1F995" w14:textId="77777777">
        <w:trPr>
          <w:trHeight w:val="300"/>
        </w:trPr>
        <w:tc>
          <w:tcPr>
            <w:tcW w:w="0" w:type="auto"/>
            <w:tcBorders>
              <w:top w:val="nil"/>
              <w:left w:val="nil"/>
              <w:bottom w:val="nil"/>
              <w:right w:val="nil"/>
            </w:tcBorders>
            <w:noWrap/>
            <w:vAlign w:val="bottom"/>
            <w:hideMark/>
          </w:tcPr>
          <w:p w14:paraId="4F461E1D" w14:textId="77777777" w:rsidR="00217CFD" w:rsidRDefault="00217CFD">
            <w:pPr>
              <w:rPr>
                <w:sz w:val="20"/>
                <w:szCs w:val="20"/>
              </w:rPr>
            </w:pPr>
          </w:p>
        </w:tc>
        <w:tc>
          <w:tcPr>
            <w:tcW w:w="0" w:type="auto"/>
            <w:tcBorders>
              <w:top w:val="nil"/>
              <w:left w:val="nil"/>
              <w:bottom w:val="nil"/>
              <w:right w:val="nil"/>
            </w:tcBorders>
            <w:noWrap/>
            <w:vAlign w:val="bottom"/>
            <w:hideMark/>
          </w:tcPr>
          <w:p w14:paraId="4FFE0E8F" w14:textId="77777777" w:rsidR="00217CFD" w:rsidRDefault="00217CFD">
            <w:pPr>
              <w:rPr>
                <w:sz w:val="20"/>
                <w:szCs w:val="20"/>
              </w:rPr>
            </w:pPr>
          </w:p>
        </w:tc>
        <w:tc>
          <w:tcPr>
            <w:tcW w:w="0" w:type="auto"/>
            <w:tcBorders>
              <w:top w:val="nil"/>
              <w:left w:val="nil"/>
              <w:bottom w:val="nil"/>
              <w:right w:val="nil"/>
            </w:tcBorders>
            <w:noWrap/>
            <w:vAlign w:val="bottom"/>
            <w:hideMark/>
          </w:tcPr>
          <w:p w14:paraId="60815D7D" w14:textId="77777777" w:rsidR="00217CFD" w:rsidRDefault="00217CFD">
            <w:pPr>
              <w:rPr>
                <w:sz w:val="20"/>
                <w:szCs w:val="20"/>
              </w:rPr>
            </w:pPr>
          </w:p>
        </w:tc>
        <w:tc>
          <w:tcPr>
            <w:tcW w:w="0" w:type="auto"/>
            <w:tcBorders>
              <w:top w:val="nil"/>
              <w:left w:val="nil"/>
              <w:bottom w:val="nil"/>
              <w:right w:val="nil"/>
            </w:tcBorders>
            <w:noWrap/>
            <w:vAlign w:val="bottom"/>
            <w:hideMark/>
          </w:tcPr>
          <w:p w14:paraId="5DEC6092" w14:textId="77777777" w:rsidR="00217CFD" w:rsidRDefault="00217CFD">
            <w:pPr>
              <w:rPr>
                <w:sz w:val="20"/>
                <w:szCs w:val="20"/>
              </w:rPr>
            </w:pPr>
          </w:p>
        </w:tc>
        <w:tc>
          <w:tcPr>
            <w:tcW w:w="0" w:type="auto"/>
            <w:tcBorders>
              <w:top w:val="nil"/>
              <w:left w:val="nil"/>
              <w:bottom w:val="nil"/>
              <w:right w:val="nil"/>
            </w:tcBorders>
            <w:noWrap/>
            <w:vAlign w:val="bottom"/>
            <w:hideMark/>
          </w:tcPr>
          <w:p w14:paraId="5041AAE9" w14:textId="77777777" w:rsidR="00217CFD" w:rsidRDefault="00217CFD">
            <w:pPr>
              <w:rPr>
                <w:sz w:val="20"/>
                <w:szCs w:val="20"/>
              </w:rPr>
            </w:pPr>
          </w:p>
        </w:tc>
        <w:tc>
          <w:tcPr>
            <w:tcW w:w="0" w:type="auto"/>
            <w:tcBorders>
              <w:top w:val="nil"/>
              <w:left w:val="nil"/>
              <w:bottom w:val="nil"/>
              <w:right w:val="nil"/>
            </w:tcBorders>
            <w:noWrap/>
            <w:vAlign w:val="bottom"/>
            <w:hideMark/>
          </w:tcPr>
          <w:p w14:paraId="02469FBD" w14:textId="484C9964" w:rsidR="00217CFD" w:rsidRDefault="00217CFD">
            <w:pPr>
              <w:rPr>
                <w:sz w:val="20"/>
                <w:szCs w:val="20"/>
              </w:rPr>
            </w:pPr>
          </w:p>
        </w:tc>
        <w:tc>
          <w:tcPr>
            <w:tcW w:w="0" w:type="auto"/>
            <w:tcBorders>
              <w:top w:val="nil"/>
              <w:left w:val="nil"/>
              <w:bottom w:val="nil"/>
              <w:right w:val="nil"/>
            </w:tcBorders>
            <w:noWrap/>
            <w:vAlign w:val="bottom"/>
            <w:hideMark/>
          </w:tcPr>
          <w:p w14:paraId="6A6AC922" w14:textId="6F4CE1C5" w:rsidR="00217CFD" w:rsidRDefault="00217CFD">
            <w:pPr>
              <w:rPr>
                <w:sz w:val="20"/>
                <w:szCs w:val="20"/>
              </w:rPr>
            </w:pPr>
          </w:p>
        </w:tc>
        <w:tc>
          <w:tcPr>
            <w:tcW w:w="0" w:type="auto"/>
            <w:tcBorders>
              <w:top w:val="nil"/>
              <w:left w:val="nil"/>
              <w:bottom w:val="nil"/>
              <w:right w:val="nil"/>
            </w:tcBorders>
            <w:noWrap/>
            <w:vAlign w:val="bottom"/>
            <w:hideMark/>
          </w:tcPr>
          <w:p w14:paraId="1DB31564" w14:textId="77777777" w:rsidR="00217CFD" w:rsidRDefault="00217CFD">
            <w:pPr>
              <w:rPr>
                <w:sz w:val="20"/>
                <w:szCs w:val="20"/>
              </w:rPr>
            </w:pPr>
          </w:p>
        </w:tc>
        <w:tc>
          <w:tcPr>
            <w:tcW w:w="0" w:type="auto"/>
            <w:tcBorders>
              <w:top w:val="nil"/>
              <w:left w:val="nil"/>
              <w:bottom w:val="nil"/>
              <w:right w:val="nil"/>
            </w:tcBorders>
            <w:noWrap/>
            <w:vAlign w:val="bottom"/>
            <w:hideMark/>
          </w:tcPr>
          <w:p w14:paraId="7A48675B" w14:textId="77777777" w:rsidR="00217CFD" w:rsidRDefault="00217CFD">
            <w:pPr>
              <w:rPr>
                <w:sz w:val="20"/>
                <w:szCs w:val="20"/>
              </w:rPr>
            </w:pPr>
          </w:p>
        </w:tc>
      </w:tr>
      <w:tr w:rsidR="00217CFD" w14:paraId="1C7C941A" w14:textId="77777777">
        <w:trPr>
          <w:trHeight w:val="300"/>
        </w:trPr>
        <w:tc>
          <w:tcPr>
            <w:tcW w:w="0" w:type="auto"/>
            <w:tcBorders>
              <w:top w:val="nil"/>
              <w:left w:val="nil"/>
              <w:bottom w:val="nil"/>
              <w:right w:val="nil"/>
            </w:tcBorders>
            <w:noWrap/>
            <w:vAlign w:val="bottom"/>
            <w:hideMark/>
          </w:tcPr>
          <w:p w14:paraId="34C095C8" w14:textId="77777777" w:rsidR="00217CFD" w:rsidRDefault="00217CFD">
            <w:pPr>
              <w:rPr>
                <w:sz w:val="20"/>
                <w:szCs w:val="20"/>
              </w:rPr>
            </w:pPr>
          </w:p>
        </w:tc>
        <w:tc>
          <w:tcPr>
            <w:tcW w:w="0" w:type="auto"/>
            <w:tcBorders>
              <w:top w:val="nil"/>
              <w:left w:val="nil"/>
              <w:bottom w:val="nil"/>
              <w:right w:val="nil"/>
            </w:tcBorders>
            <w:noWrap/>
            <w:vAlign w:val="bottom"/>
            <w:hideMark/>
          </w:tcPr>
          <w:p w14:paraId="5B3EEC87" w14:textId="77777777" w:rsidR="00217CFD" w:rsidRDefault="00217CFD">
            <w:pPr>
              <w:rPr>
                <w:sz w:val="20"/>
                <w:szCs w:val="20"/>
              </w:rPr>
            </w:pPr>
          </w:p>
        </w:tc>
        <w:tc>
          <w:tcPr>
            <w:tcW w:w="0" w:type="auto"/>
            <w:tcBorders>
              <w:top w:val="nil"/>
              <w:left w:val="nil"/>
              <w:bottom w:val="nil"/>
              <w:right w:val="nil"/>
            </w:tcBorders>
            <w:noWrap/>
            <w:vAlign w:val="bottom"/>
            <w:hideMark/>
          </w:tcPr>
          <w:p w14:paraId="1804CCD7" w14:textId="77777777" w:rsidR="00217CFD" w:rsidRDefault="00217CFD">
            <w:pPr>
              <w:rPr>
                <w:sz w:val="20"/>
                <w:szCs w:val="20"/>
              </w:rPr>
            </w:pPr>
          </w:p>
        </w:tc>
        <w:tc>
          <w:tcPr>
            <w:tcW w:w="0" w:type="auto"/>
            <w:tcBorders>
              <w:top w:val="nil"/>
              <w:left w:val="nil"/>
              <w:bottom w:val="nil"/>
              <w:right w:val="nil"/>
            </w:tcBorders>
            <w:noWrap/>
            <w:vAlign w:val="bottom"/>
            <w:hideMark/>
          </w:tcPr>
          <w:p w14:paraId="0B3306C3" w14:textId="77777777" w:rsidR="00217CFD" w:rsidRDefault="00217CFD">
            <w:pPr>
              <w:rPr>
                <w:sz w:val="20"/>
                <w:szCs w:val="20"/>
              </w:rPr>
            </w:pPr>
          </w:p>
        </w:tc>
        <w:tc>
          <w:tcPr>
            <w:tcW w:w="0" w:type="auto"/>
            <w:tcBorders>
              <w:top w:val="nil"/>
              <w:left w:val="nil"/>
              <w:bottom w:val="nil"/>
              <w:right w:val="nil"/>
            </w:tcBorders>
            <w:noWrap/>
            <w:vAlign w:val="bottom"/>
            <w:hideMark/>
          </w:tcPr>
          <w:p w14:paraId="3F971239" w14:textId="77777777" w:rsidR="00217CFD" w:rsidRDefault="00217CFD">
            <w:pPr>
              <w:rPr>
                <w:sz w:val="20"/>
                <w:szCs w:val="20"/>
              </w:rPr>
            </w:pPr>
          </w:p>
        </w:tc>
        <w:tc>
          <w:tcPr>
            <w:tcW w:w="0" w:type="auto"/>
            <w:tcBorders>
              <w:top w:val="nil"/>
              <w:left w:val="nil"/>
              <w:bottom w:val="nil"/>
              <w:right w:val="nil"/>
            </w:tcBorders>
            <w:noWrap/>
            <w:vAlign w:val="bottom"/>
            <w:hideMark/>
          </w:tcPr>
          <w:p w14:paraId="21A2F511" w14:textId="127F6E70" w:rsidR="00217CFD" w:rsidRDefault="00217CFD">
            <w:pPr>
              <w:rPr>
                <w:sz w:val="20"/>
                <w:szCs w:val="20"/>
              </w:rPr>
            </w:pPr>
          </w:p>
        </w:tc>
        <w:tc>
          <w:tcPr>
            <w:tcW w:w="0" w:type="auto"/>
            <w:tcBorders>
              <w:top w:val="nil"/>
              <w:left w:val="nil"/>
              <w:bottom w:val="nil"/>
              <w:right w:val="nil"/>
            </w:tcBorders>
            <w:noWrap/>
            <w:vAlign w:val="bottom"/>
            <w:hideMark/>
          </w:tcPr>
          <w:p w14:paraId="03A05749" w14:textId="77777777" w:rsidR="00217CFD" w:rsidRDefault="00217CFD">
            <w:pPr>
              <w:rPr>
                <w:sz w:val="20"/>
                <w:szCs w:val="20"/>
              </w:rPr>
            </w:pPr>
          </w:p>
        </w:tc>
        <w:tc>
          <w:tcPr>
            <w:tcW w:w="0" w:type="auto"/>
            <w:tcBorders>
              <w:top w:val="nil"/>
              <w:left w:val="nil"/>
              <w:bottom w:val="nil"/>
              <w:right w:val="nil"/>
            </w:tcBorders>
            <w:noWrap/>
            <w:vAlign w:val="bottom"/>
            <w:hideMark/>
          </w:tcPr>
          <w:p w14:paraId="39413149" w14:textId="5F2CE863" w:rsidR="00217CFD" w:rsidRDefault="00217CFD">
            <w:pPr>
              <w:rPr>
                <w:sz w:val="20"/>
                <w:szCs w:val="20"/>
              </w:rPr>
            </w:pPr>
          </w:p>
        </w:tc>
        <w:tc>
          <w:tcPr>
            <w:tcW w:w="0" w:type="auto"/>
            <w:tcBorders>
              <w:top w:val="nil"/>
              <w:left w:val="nil"/>
              <w:bottom w:val="nil"/>
              <w:right w:val="nil"/>
            </w:tcBorders>
            <w:noWrap/>
            <w:vAlign w:val="bottom"/>
            <w:hideMark/>
          </w:tcPr>
          <w:p w14:paraId="150C85FA" w14:textId="6458C8AF" w:rsidR="00217CFD" w:rsidRDefault="00217CFD">
            <w:pPr>
              <w:rPr>
                <w:sz w:val="20"/>
                <w:szCs w:val="20"/>
              </w:rPr>
            </w:pPr>
          </w:p>
        </w:tc>
      </w:tr>
      <w:tr w:rsidR="009F600C" w14:paraId="6902ABE4" w14:textId="77777777">
        <w:trPr>
          <w:trHeight w:val="300"/>
        </w:trPr>
        <w:tc>
          <w:tcPr>
            <w:tcW w:w="0" w:type="auto"/>
            <w:tcBorders>
              <w:top w:val="nil"/>
              <w:left w:val="nil"/>
              <w:bottom w:val="nil"/>
              <w:right w:val="nil"/>
            </w:tcBorders>
            <w:noWrap/>
            <w:vAlign w:val="bottom"/>
            <w:hideMark/>
          </w:tcPr>
          <w:p w14:paraId="724A5979" w14:textId="77777777" w:rsidR="00217CFD" w:rsidRDefault="00217CFD">
            <w:pPr>
              <w:rPr>
                <w:sz w:val="20"/>
                <w:szCs w:val="20"/>
              </w:rPr>
            </w:pPr>
          </w:p>
        </w:tc>
        <w:tc>
          <w:tcPr>
            <w:tcW w:w="0" w:type="auto"/>
            <w:tcBorders>
              <w:top w:val="nil"/>
              <w:left w:val="nil"/>
              <w:bottom w:val="nil"/>
              <w:right w:val="nil"/>
            </w:tcBorders>
            <w:noWrap/>
            <w:vAlign w:val="bottom"/>
            <w:hideMark/>
          </w:tcPr>
          <w:p w14:paraId="2957615B" w14:textId="77777777" w:rsidR="00217CFD" w:rsidRDefault="00217CFD">
            <w:pPr>
              <w:rPr>
                <w:sz w:val="20"/>
                <w:szCs w:val="20"/>
              </w:rPr>
            </w:pPr>
          </w:p>
        </w:tc>
        <w:tc>
          <w:tcPr>
            <w:tcW w:w="0" w:type="auto"/>
            <w:tcBorders>
              <w:top w:val="nil"/>
              <w:left w:val="nil"/>
              <w:bottom w:val="nil"/>
              <w:right w:val="nil"/>
            </w:tcBorders>
            <w:noWrap/>
            <w:vAlign w:val="bottom"/>
            <w:hideMark/>
          </w:tcPr>
          <w:p w14:paraId="183EB734" w14:textId="77777777" w:rsidR="00217CFD" w:rsidRDefault="00217CFD">
            <w:pPr>
              <w:rPr>
                <w:sz w:val="20"/>
                <w:szCs w:val="20"/>
              </w:rPr>
            </w:pPr>
          </w:p>
        </w:tc>
        <w:tc>
          <w:tcPr>
            <w:tcW w:w="0" w:type="auto"/>
            <w:tcBorders>
              <w:top w:val="nil"/>
              <w:left w:val="nil"/>
              <w:bottom w:val="nil"/>
              <w:right w:val="nil"/>
            </w:tcBorders>
            <w:noWrap/>
            <w:vAlign w:val="bottom"/>
            <w:hideMark/>
          </w:tcPr>
          <w:p w14:paraId="390702E2" w14:textId="77777777" w:rsidR="00217CFD" w:rsidRDefault="00217CFD">
            <w:pPr>
              <w:rPr>
                <w:sz w:val="20"/>
                <w:szCs w:val="20"/>
              </w:rPr>
            </w:pPr>
          </w:p>
        </w:tc>
        <w:tc>
          <w:tcPr>
            <w:tcW w:w="0" w:type="auto"/>
            <w:tcBorders>
              <w:top w:val="nil"/>
              <w:left w:val="nil"/>
              <w:bottom w:val="nil"/>
              <w:right w:val="nil"/>
            </w:tcBorders>
            <w:noWrap/>
            <w:vAlign w:val="bottom"/>
            <w:hideMark/>
          </w:tcPr>
          <w:p w14:paraId="5D066C65" w14:textId="77777777" w:rsidR="00217CFD" w:rsidRDefault="00217CFD">
            <w:pPr>
              <w:rPr>
                <w:sz w:val="20"/>
                <w:szCs w:val="20"/>
              </w:rPr>
            </w:pPr>
          </w:p>
        </w:tc>
        <w:tc>
          <w:tcPr>
            <w:tcW w:w="0" w:type="auto"/>
            <w:tcBorders>
              <w:top w:val="nil"/>
              <w:left w:val="nil"/>
              <w:bottom w:val="nil"/>
              <w:right w:val="nil"/>
            </w:tcBorders>
            <w:noWrap/>
            <w:vAlign w:val="bottom"/>
            <w:hideMark/>
          </w:tcPr>
          <w:p w14:paraId="5A7945CB" w14:textId="3EFF2527" w:rsidR="00217CFD" w:rsidRDefault="00217CFD">
            <w:pPr>
              <w:rPr>
                <w:sz w:val="20"/>
                <w:szCs w:val="20"/>
              </w:rPr>
            </w:pPr>
          </w:p>
        </w:tc>
        <w:tc>
          <w:tcPr>
            <w:tcW w:w="0" w:type="auto"/>
            <w:tcBorders>
              <w:top w:val="nil"/>
              <w:left w:val="nil"/>
              <w:bottom w:val="nil"/>
              <w:right w:val="nil"/>
            </w:tcBorders>
            <w:noWrap/>
            <w:vAlign w:val="bottom"/>
            <w:hideMark/>
          </w:tcPr>
          <w:p w14:paraId="7977542F" w14:textId="448D20DB" w:rsidR="00217CFD" w:rsidRDefault="00217CFD">
            <w:pPr>
              <w:rPr>
                <w:sz w:val="20"/>
                <w:szCs w:val="20"/>
              </w:rPr>
            </w:pPr>
          </w:p>
        </w:tc>
        <w:tc>
          <w:tcPr>
            <w:tcW w:w="0" w:type="auto"/>
            <w:tcBorders>
              <w:top w:val="nil"/>
              <w:left w:val="nil"/>
              <w:bottom w:val="nil"/>
              <w:right w:val="nil"/>
            </w:tcBorders>
            <w:noWrap/>
            <w:vAlign w:val="bottom"/>
            <w:hideMark/>
          </w:tcPr>
          <w:p w14:paraId="71E58E4D" w14:textId="19C82A91" w:rsidR="00217CFD" w:rsidRDefault="00217CFD">
            <w:pPr>
              <w:rPr>
                <w:sz w:val="20"/>
                <w:szCs w:val="20"/>
              </w:rPr>
            </w:pPr>
          </w:p>
        </w:tc>
        <w:tc>
          <w:tcPr>
            <w:tcW w:w="0" w:type="auto"/>
            <w:tcBorders>
              <w:top w:val="nil"/>
              <w:left w:val="nil"/>
              <w:bottom w:val="nil"/>
              <w:right w:val="nil"/>
            </w:tcBorders>
            <w:noWrap/>
            <w:vAlign w:val="bottom"/>
            <w:hideMark/>
          </w:tcPr>
          <w:p w14:paraId="0E910A26" w14:textId="77777777" w:rsidR="00217CFD" w:rsidRDefault="00217CFD">
            <w:pPr>
              <w:rPr>
                <w:sz w:val="20"/>
                <w:szCs w:val="20"/>
              </w:rPr>
            </w:pPr>
          </w:p>
        </w:tc>
      </w:tr>
      <w:tr w:rsidR="00217CFD" w14:paraId="1BE05675" w14:textId="77777777">
        <w:trPr>
          <w:trHeight w:val="300"/>
        </w:trPr>
        <w:tc>
          <w:tcPr>
            <w:tcW w:w="0" w:type="auto"/>
            <w:tcBorders>
              <w:top w:val="nil"/>
              <w:left w:val="nil"/>
              <w:bottom w:val="nil"/>
              <w:right w:val="nil"/>
            </w:tcBorders>
            <w:noWrap/>
            <w:vAlign w:val="bottom"/>
            <w:hideMark/>
          </w:tcPr>
          <w:p w14:paraId="28404D39" w14:textId="77777777" w:rsidR="00217CFD" w:rsidRDefault="00217CFD">
            <w:pPr>
              <w:rPr>
                <w:sz w:val="20"/>
                <w:szCs w:val="20"/>
              </w:rPr>
            </w:pPr>
          </w:p>
        </w:tc>
        <w:tc>
          <w:tcPr>
            <w:tcW w:w="0" w:type="auto"/>
            <w:tcBorders>
              <w:top w:val="nil"/>
              <w:left w:val="nil"/>
              <w:bottom w:val="nil"/>
              <w:right w:val="nil"/>
            </w:tcBorders>
            <w:noWrap/>
            <w:vAlign w:val="bottom"/>
            <w:hideMark/>
          </w:tcPr>
          <w:p w14:paraId="45DF52C2" w14:textId="77777777" w:rsidR="00217CFD" w:rsidRDefault="00217CFD">
            <w:pPr>
              <w:rPr>
                <w:sz w:val="20"/>
                <w:szCs w:val="20"/>
              </w:rPr>
            </w:pPr>
          </w:p>
        </w:tc>
        <w:tc>
          <w:tcPr>
            <w:tcW w:w="0" w:type="auto"/>
            <w:tcBorders>
              <w:top w:val="nil"/>
              <w:left w:val="nil"/>
              <w:bottom w:val="nil"/>
              <w:right w:val="nil"/>
            </w:tcBorders>
            <w:noWrap/>
            <w:vAlign w:val="bottom"/>
            <w:hideMark/>
          </w:tcPr>
          <w:p w14:paraId="2376A828" w14:textId="77777777" w:rsidR="00217CFD" w:rsidRDefault="00217CFD">
            <w:pPr>
              <w:rPr>
                <w:sz w:val="20"/>
                <w:szCs w:val="20"/>
              </w:rPr>
            </w:pPr>
          </w:p>
        </w:tc>
        <w:tc>
          <w:tcPr>
            <w:tcW w:w="0" w:type="auto"/>
            <w:tcBorders>
              <w:top w:val="nil"/>
              <w:left w:val="nil"/>
              <w:bottom w:val="nil"/>
              <w:right w:val="nil"/>
            </w:tcBorders>
            <w:noWrap/>
            <w:vAlign w:val="bottom"/>
            <w:hideMark/>
          </w:tcPr>
          <w:p w14:paraId="1A1DCB8B" w14:textId="77777777" w:rsidR="00217CFD" w:rsidRDefault="00217CFD">
            <w:pPr>
              <w:rPr>
                <w:sz w:val="20"/>
                <w:szCs w:val="20"/>
              </w:rPr>
            </w:pPr>
          </w:p>
        </w:tc>
        <w:tc>
          <w:tcPr>
            <w:tcW w:w="0" w:type="auto"/>
            <w:tcBorders>
              <w:top w:val="nil"/>
              <w:left w:val="nil"/>
              <w:bottom w:val="nil"/>
              <w:right w:val="nil"/>
            </w:tcBorders>
            <w:noWrap/>
            <w:vAlign w:val="bottom"/>
            <w:hideMark/>
          </w:tcPr>
          <w:p w14:paraId="04165224" w14:textId="77777777" w:rsidR="00217CFD" w:rsidRDefault="00217CFD">
            <w:pPr>
              <w:rPr>
                <w:sz w:val="20"/>
                <w:szCs w:val="20"/>
              </w:rPr>
            </w:pPr>
          </w:p>
        </w:tc>
        <w:tc>
          <w:tcPr>
            <w:tcW w:w="0" w:type="auto"/>
            <w:tcBorders>
              <w:top w:val="nil"/>
              <w:left w:val="nil"/>
              <w:bottom w:val="nil"/>
              <w:right w:val="nil"/>
            </w:tcBorders>
            <w:noWrap/>
            <w:vAlign w:val="bottom"/>
            <w:hideMark/>
          </w:tcPr>
          <w:p w14:paraId="6759DCDB" w14:textId="7F81E5F3" w:rsidR="00217CFD" w:rsidRDefault="00217CFD">
            <w:pPr>
              <w:rPr>
                <w:sz w:val="20"/>
                <w:szCs w:val="20"/>
              </w:rPr>
            </w:pPr>
          </w:p>
        </w:tc>
        <w:tc>
          <w:tcPr>
            <w:tcW w:w="0" w:type="auto"/>
            <w:tcBorders>
              <w:top w:val="nil"/>
              <w:left w:val="nil"/>
              <w:bottom w:val="nil"/>
              <w:right w:val="nil"/>
            </w:tcBorders>
            <w:noWrap/>
            <w:vAlign w:val="bottom"/>
            <w:hideMark/>
          </w:tcPr>
          <w:p w14:paraId="7D7ABD15" w14:textId="2984BC19" w:rsidR="00217CFD" w:rsidRDefault="00217CFD">
            <w:pPr>
              <w:rPr>
                <w:sz w:val="20"/>
                <w:szCs w:val="20"/>
              </w:rPr>
            </w:pPr>
          </w:p>
        </w:tc>
        <w:tc>
          <w:tcPr>
            <w:tcW w:w="0" w:type="auto"/>
            <w:tcBorders>
              <w:top w:val="nil"/>
              <w:left w:val="nil"/>
              <w:bottom w:val="nil"/>
              <w:right w:val="nil"/>
            </w:tcBorders>
            <w:noWrap/>
            <w:vAlign w:val="bottom"/>
            <w:hideMark/>
          </w:tcPr>
          <w:p w14:paraId="68B4D4AC" w14:textId="77777777" w:rsidR="00217CFD" w:rsidRDefault="00217CFD">
            <w:pPr>
              <w:rPr>
                <w:sz w:val="20"/>
                <w:szCs w:val="20"/>
              </w:rPr>
            </w:pPr>
          </w:p>
        </w:tc>
        <w:tc>
          <w:tcPr>
            <w:tcW w:w="0" w:type="auto"/>
            <w:tcBorders>
              <w:top w:val="nil"/>
              <w:left w:val="nil"/>
              <w:bottom w:val="nil"/>
              <w:right w:val="nil"/>
            </w:tcBorders>
            <w:noWrap/>
            <w:vAlign w:val="bottom"/>
            <w:hideMark/>
          </w:tcPr>
          <w:p w14:paraId="7C4FC909" w14:textId="77777777" w:rsidR="00217CFD" w:rsidRDefault="00217CFD">
            <w:pPr>
              <w:rPr>
                <w:sz w:val="20"/>
                <w:szCs w:val="20"/>
              </w:rPr>
            </w:pPr>
          </w:p>
        </w:tc>
      </w:tr>
      <w:tr w:rsidR="00217CFD" w14:paraId="79B8B1CE" w14:textId="77777777">
        <w:trPr>
          <w:trHeight w:val="300"/>
        </w:trPr>
        <w:tc>
          <w:tcPr>
            <w:tcW w:w="0" w:type="auto"/>
            <w:tcBorders>
              <w:top w:val="nil"/>
              <w:left w:val="nil"/>
              <w:bottom w:val="nil"/>
              <w:right w:val="nil"/>
            </w:tcBorders>
            <w:noWrap/>
            <w:vAlign w:val="bottom"/>
            <w:hideMark/>
          </w:tcPr>
          <w:p w14:paraId="08618778" w14:textId="77777777" w:rsidR="00217CFD" w:rsidRDefault="00217CFD">
            <w:pPr>
              <w:rPr>
                <w:sz w:val="20"/>
                <w:szCs w:val="20"/>
              </w:rPr>
            </w:pPr>
          </w:p>
        </w:tc>
        <w:tc>
          <w:tcPr>
            <w:tcW w:w="0" w:type="auto"/>
            <w:tcBorders>
              <w:top w:val="nil"/>
              <w:left w:val="nil"/>
              <w:bottom w:val="nil"/>
              <w:right w:val="nil"/>
            </w:tcBorders>
            <w:noWrap/>
            <w:vAlign w:val="bottom"/>
            <w:hideMark/>
          </w:tcPr>
          <w:p w14:paraId="2096CC94" w14:textId="77777777" w:rsidR="00217CFD" w:rsidRDefault="00217CFD">
            <w:pPr>
              <w:rPr>
                <w:sz w:val="20"/>
                <w:szCs w:val="20"/>
              </w:rPr>
            </w:pPr>
          </w:p>
        </w:tc>
        <w:tc>
          <w:tcPr>
            <w:tcW w:w="0" w:type="auto"/>
            <w:tcBorders>
              <w:top w:val="nil"/>
              <w:left w:val="nil"/>
              <w:bottom w:val="nil"/>
              <w:right w:val="nil"/>
            </w:tcBorders>
            <w:noWrap/>
            <w:vAlign w:val="bottom"/>
            <w:hideMark/>
          </w:tcPr>
          <w:p w14:paraId="54331644" w14:textId="77777777" w:rsidR="00217CFD" w:rsidRDefault="00217CFD">
            <w:pPr>
              <w:rPr>
                <w:sz w:val="20"/>
                <w:szCs w:val="20"/>
              </w:rPr>
            </w:pPr>
          </w:p>
        </w:tc>
        <w:tc>
          <w:tcPr>
            <w:tcW w:w="0" w:type="auto"/>
            <w:tcBorders>
              <w:top w:val="nil"/>
              <w:left w:val="nil"/>
              <w:bottom w:val="nil"/>
              <w:right w:val="nil"/>
            </w:tcBorders>
            <w:noWrap/>
            <w:vAlign w:val="bottom"/>
            <w:hideMark/>
          </w:tcPr>
          <w:p w14:paraId="46EA1A00" w14:textId="77777777" w:rsidR="00217CFD" w:rsidRDefault="00217CFD">
            <w:pPr>
              <w:rPr>
                <w:sz w:val="20"/>
                <w:szCs w:val="20"/>
              </w:rPr>
            </w:pPr>
          </w:p>
        </w:tc>
        <w:tc>
          <w:tcPr>
            <w:tcW w:w="0" w:type="auto"/>
            <w:tcBorders>
              <w:top w:val="nil"/>
              <w:left w:val="nil"/>
              <w:bottom w:val="nil"/>
              <w:right w:val="nil"/>
            </w:tcBorders>
            <w:noWrap/>
            <w:vAlign w:val="bottom"/>
            <w:hideMark/>
          </w:tcPr>
          <w:p w14:paraId="1DF4500A" w14:textId="77777777" w:rsidR="00217CFD" w:rsidRDefault="00217CFD">
            <w:pPr>
              <w:rPr>
                <w:sz w:val="20"/>
                <w:szCs w:val="20"/>
              </w:rPr>
            </w:pPr>
          </w:p>
        </w:tc>
        <w:tc>
          <w:tcPr>
            <w:tcW w:w="0" w:type="auto"/>
            <w:tcBorders>
              <w:top w:val="nil"/>
              <w:left w:val="nil"/>
              <w:bottom w:val="nil"/>
              <w:right w:val="nil"/>
            </w:tcBorders>
            <w:noWrap/>
            <w:vAlign w:val="bottom"/>
            <w:hideMark/>
          </w:tcPr>
          <w:p w14:paraId="40AF4189" w14:textId="2C6C8A7A" w:rsidR="00217CFD" w:rsidRDefault="00217CFD">
            <w:pPr>
              <w:rPr>
                <w:sz w:val="20"/>
                <w:szCs w:val="20"/>
              </w:rPr>
            </w:pPr>
          </w:p>
        </w:tc>
        <w:tc>
          <w:tcPr>
            <w:tcW w:w="0" w:type="auto"/>
            <w:tcBorders>
              <w:top w:val="nil"/>
              <w:left w:val="nil"/>
              <w:bottom w:val="nil"/>
              <w:right w:val="nil"/>
            </w:tcBorders>
            <w:noWrap/>
            <w:vAlign w:val="bottom"/>
            <w:hideMark/>
          </w:tcPr>
          <w:p w14:paraId="1E71FD90" w14:textId="0F42761B" w:rsidR="00217CFD" w:rsidRDefault="00217CFD">
            <w:pPr>
              <w:rPr>
                <w:sz w:val="20"/>
                <w:szCs w:val="20"/>
              </w:rPr>
            </w:pPr>
          </w:p>
        </w:tc>
        <w:tc>
          <w:tcPr>
            <w:tcW w:w="0" w:type="auto"/>
            <w:tcBorders>
              <w:top w:val="nil"/>
              <w:left w:val="nil"/>
              <w:bottom w:val="nil"/>
              <w:right w:val="nil"/>
            </w:tcBorders>
            <w:noWrap/>
            <w:vAlign w:val="bottom"/>
            <w:hideMark/>
          </w:tcPr>
          <w:p w14:paraId="16193A28" w14:textId="77777777" w:rsidR="00217CFD" w:rsidRDefault="00217CFD">
            <w:pPr>
              <w:rPr>
                <w:sz w:val="20"/>
                <w:szCs w:val="20"/>
              </w:rPr>
            </w:pPr>
          </w:p>
        </w:tc>
        <w:tc>
          <w:tcPr>
            <w:tcW w:w="0" w:type="auto"/>
            <w:tcBorders>
              <w:top w:val="nil"/>
              <w:left w:val="nil"/>
              <w:bottom w:val="nil"/>
              <w:right w:val="nil"/>
            </w:tcBorders>
            <w:noWrap/>
            <w:vAlign w:val="bottom"/>
            <w:hideMark/>
          </w:tcPr>
          <w:p w14:paraId="60D8D6E3" w14:textId="77777777" w:rsidR="00217CFD" w:rsidRDefault="00217CFD">
            <w:pPr>
              <w:rPr>
                <w:sz w:val="20"/>
                <w:szCs w:val="20"/>
              </w:rPr>
            </w:pPr>
          </w:p>
        </w:tc>
      </w:tr>
      <w:tr w:rsidR="00217CFD" w14:paraId="20F71F64" w14:textId="77777777">
        <w:trPr>
          <w:trHeight w:val="300"/>
        </w:trPr>
        <w:tc>
          <w:tcPr>
            <w:tcW w:w="0" w:type="auto"/>
            <w:tcBorders>
              <w:top w:val="nil"/>
              <w:left w:val="nil"/>
              <w:bottom w:val="nil"/>
              <w:right w:val="nil"/>
            </w:tcBorders>
            <w:noWrap/>
            <w:vAlign w:val="bottom"/>
            <w:hideMark/>
          </w:tcPr>
          <w:p w14:paraId="3D8A28E4" w14:textId="77777777" w:rsidR="00217CFD" w:rsidRDefault="00217CFD">
            <w:pPr>
              <w:rPr>
                <w:sz w:val="20"/>
                <w:szCs w:val="20"/>
              </w:rPr>
            </w:pPr>
          </w:p>
        </w:tc>
        <w:tc>
          <w:tcPr>
            <w:tcW w:w="0" w:type="auto"/>
            <w:tcBorders>
              <w:top w:val="nil"/>
              <w:left w:val="nil"/>
              <w:bottom w:val="nil"/>
              <w:right w:val="nil"/>
            </w:tcBorders>
            <w:noWrap/>
            <w:vAlign w:val="bottom"/>
            <w:hideMark/>
          </w:tcPr>
          <w:p w14:paraId="784F92CF" w14:textId="77777777" w:rsidR="00217CFD" w:rsidRDefault="00217CFD">
            <w:pPr>
              <w:rPr>
                <w:sz w:val="20"/>
                <w:szCs w:val="20"/>
              </w:rPr>
            </w:pPr>
          </w:p>
        </w:tc>
        <w:tc>
          <w:tcPr>
            <w:tcW w:w="0" w:type="auto"/>
            <w:tcBorders>
              <w:top w:val="nil"/>
              <w:left w:val="nil"/>
              <w:bottom w:val="nil"/>
              <w:right w:val="nil"/>
            </w:tcBorders>
            <w:noWrap/>
            <w:vAlign w:val="bottom"/>
            <w:hideMark/>
          </w:tcPr>
          <w:p w14:paraId="1FC00331" w14:textId="77777777" w:rsidR="00217CFD" w:rsidRDefault="00217CFD">
            <w:pPr>
              <w:rPr>
                <w:sz w:val="20"/>
                <w:szCs w:val="20"/>
              </w:rPr>
            </w:pPr>
          </w:p>
        </w:tc>
        <w:tc>
          <w:tcPr>
            <w:tcW w:w="0" w:type="auto"/>
            <w:tcBorders>
              <w:top w:val="nil"/>
              <w:left w:val="nil"/>
              <w:bottom w:val="nil"/>
              <w:right w:val="nil"/>
            </w:tcBorders>
            <w:noWrap/>
            <w:vAlign w:val="bottom"/>
            <w:hideMark/>
          </w:tcPr>
          <w:p w14:paraId="2447292C" w14:textId="77777777" w:rsidR="00217CFD" w:rsidRDefault="00217CFD">
            <w:pPr>
              <w:rPr>
                <w:sz w:val="20"/>
                <w:szCs w:val="20"/>
              </w:rPr>
            </w:pPr>
          </w:p>
        </w:tc>
        <w:tc>
          <w:tcPr>
            <w:tcW w:w="0" w:type="auto"/>
            <w:tcBorders>
              <w:top w:val="nil"/>
              <w:left w:val="nil"/>
              <w:bottom w:val="nil"/>
              <w:right w:val="nil"/>
            </w:tcBorders>
            <w:noWrap/>
            <w:vAlign w:val="bottom"/>
            <w:hideMark/>
          </w:tcPr>
          <w:p w14:paraId="59034391" w14:textId="26C79630" w:rsidR="00217CFD" w:rsidRDefault="00217CFD">
            <w:pPr>
              <w:rPr>
                <w:sz w:val="20"/>
                <w:szCs w:val="20"/>
              </w:rPr>
            </w:pPr>
          </w:p>
        </w:tc>
        <w:tc>
          <w:tcPr>
            <w:tcW w:w="0" w:type="auto"/>
            <w:tcBorders>
              <w:top w:val="nil"/>
              <w:left w:val="nil"/>
              <w:bottom w:val="nil"/>
              <w:right w:val="nil"/>
            </w:tcBorders>
            <w:noWrap/>
            <w:vAlign w:val="bottom"/>
            <w:hideMark/>
          </w:tcPr>
          <w:p w14:paraId="6D43EF8F" w14:textId="375DE017" w:rsidR="00217CFD" w:rsidRDefault="00217CFD">
            <w:pPr>
              <w:rPr>
                <w:sz w:val="20"/>
                <w:szCs w:val="20"/>
              </w:rPr>
            </w:pPr>
          </w:p>
        </w:tc>
        <w:tc>
          <w:tcPr>
            <w:tcW w:w="0" w:type="auto"/>
            <w:tcBorders>
              <w:top w:val="nil"/>
              <w:left w:val="nil"/>
              <w:bottom w:val="nil"/>
              <w:right w:val="nil"/>
            </w:tcBorders>
            <w:noWrap/>
            <w:vAlign w:val="bottom"/>
            <w:hideMark/>
          </w:tcPr>
          <w:p w14:paraId="624A31A4" w14:textId="242B0102" w:rsidR="00217CFD" w:rsidRDefault="00217CFD">
            <w:pPr>
              <w:rPr>
                <w:sz w:val="20"/>
                <w:szCs w:val="20"/>
              </w:rPr>
            </w:pPr>
          </w:p>
        </w:tc>
        <w:tc>
          <w:tcPr>
            <w:tcW w:w="0" w:type="auto"/>
            <w:tcBorders>
              <w:top w:val="nil"/>
              <w:left w:val="nil"/>
              <w:bottom w:val="nil"/>
              <w:right w:val="nil"/>
            </w:tcBorders>
            <w:noWrap/>
            <w:vAlign w:val="bottom"/>
            <w:hideMark/>
          </w:tcPr>
          <w:p w14:paraId="535F419C" w14:textId="77777777" w:rsidR="00217CFD" w:rsidRDefault="00217CFD">
            <w:pPr>
              <w:rPr>
                <w:sz w:val="20"/>
                <w:szCs w:val="20"/>
              </w:rPr>
            </w:pPr>
          </w:p>
        </w:tc>
        <w:tc>
          <w:tcPr>
            <w:tcW w:w="0" w:type="auto"/>
            <w:tcBorders>
              <w:top w:val="nil"/>
              <w:left w:val="nil"/>
              <w:bottom w:val="nil"/>
              <w:right w:val="nil"/>
            </w:tcBorders>
            <w:noWrap/>
            <w:vAlign w:val="bottom"/>
            <w:hideMark/>
          </w:tcPr>
          <w:p w14:paraId="0864E022" w14:textId="77777777" w:rsidR="00217CFD" w:rsidRDefault="00217CFD">
            <w:pPr>
              <w:rPr>
                <w:sz w:val="20"/>
                <w:szCs w:val="20"/>
              </w:rPr>
            </w:pPr>
          </w:p>
        </w:tc>
      </w:tr>
      <w:tr w:rsidR="00217CFD" w14:paraId="23F45899" w14:textId="77777777">
        <w:trPr>
          <w:trHeight w:val="300"/>
        </w:trPr>
        <w:tc>
          <w:tcPr>
            <w:tcW w:w="0" w:type="auto"/>
            <w:tcBorders>
              <w:top w:val="nil"/>
              <w:left w:val="nil"/>
              <w:bottom w:val="nil"/>
              <w:right w:val="nil"/>
            </w:tcBorders>
            <w:noWrap/>
            <w:vAlign w:val="bottom"/>
            <w:hideMark/>
          </w:tcPr>
          <w:p w14:paraId="437C0B28" w14:textId="77777777" w:rsidR="00217CFD" w:rsidRDefault="00217CFD">
            <w:pPr>
              <w:rPr>
                <w:sz w:val="20"/>
                <w:szCs w:val="20"/>
              </w:rPr>
            </w:pPr>
          </w:p>
        </w:tc>
        <w:tc>
          <w:tcPr>
            <w:tcW w:w="0" w:type="auto"/>
            <w:tcBorders>
              <w:top w:val="nil"/>
              <w:left w:val="nil"/>
              <w:bottom w:val="nil"/>
              <w:right w:val="nil"/>
            </w:tcBorders>
            <w:noWrap/>
            <w:vAlign w:val="bottom"/>
            <w:hideMark/>
          </w:tcPr>
          <w:p w14:paraId="08C4D07B" w14:textId="77777777" w:rsidR="00217CFD" w:rsidRDefault="00217CFD">
            <w:pPr>
              <w:rPr>
                <w:sz w:val="20"/>
                <w:szCs w:val="20"/>
              </w:rPr>
            </w:pPr>
          </w:p>
        </w:tc>
        <w:tc>
          <w:tcPr>
            <w:tcW w:w="0" w:type="auto"/>
            <w:tcBorders>
              <w:top w:val="nil"/>
              <w:left w:val="nil"/>
              <w:bottom w:val="nil"/>
              <w:right w:val="nil"/>
            </w:tcBorders>
            <w:noWrap/>
            <w:vAlign w:val="bottom"/>
            <w:hideMark/>
          </w:tcPr>
          <w:p w14:paraId="017EB516" w14:textId="77777777" w:rsidR="00217CFD" w:rsidRDefault="00217CFD">
            <w:pPr>
              <w:rPr>
                <w:sz w:val="20"/>
                <w:szCs w:val="20"/>
              </w:rPr>
            </w:pPr>
          </w:p>
        </w:tc>
        <w:tc>
          <w:tcPr>
            <w:tcW w:w="0" w:type="auto"/>
            <w:tcBorders>
              <w:top w:val="nil"/>
              <w:left w:val="nil"/>
              <w:bottom w:val="nil"/>
              <w:right w:val="nil"/>
            </w:tcBorders>
            <w:noWrap/>
            <w:vAlign w:val="bottom"/>
            <w:hideMark/>
          </w:tcPr>
          <w:p w14:paraId="74F5BB85" w14:textId="77777777" w:rsidR="00217CFD" w:rsidRDefault="00217CFD">
            <w:pPr>
              <w:rPr>
                <w:sz w:val="20"/>
                <w:szCs w:val="20"/>
              </w:rPr>
            </w:pPr>
          </w:p>
        </w:tc>
        <w:tc>
          <w:tcPr>
            <w:tcW w:w="0" w:type="auto"/>
            <w:tcBorders>
              <w:top w:val="nil"/>
              <w:left w:val="nil"/>
              <w:bottom w:val="nil"/>
              <w:right w:val="nil"/>
            </w:tcBorders>
            <w:noWrap/>
            <w:vAlign w:val="bottom"/>
            <w:hideMark/>
          </w:tcPr>
          <w:p w14:paraId="1227D5CE" w14:textId="7E75C27C" w:rsidR="00217CFD" w:rsidRDefault="00217CFD">
            <w:pPr>
              <w:rPr>
                <w:sz w:val="20"/>
                <w:szCs w:val="20"/>
              </w:rPr>
            </w:pPr>
          </w:p>
        </w:tc>
        <w:tc>
          <w:tcPr>
            <w:tcW w:w="0" w:type="auto"/>
            <w:tcBorders>
              <w:top w:val="nil"/>
              <w:left w:val="nil"/>
              <w:bottom w:val="nil"/>
              <w:right w:val="nil"/>
            </w:tcBorders>
            <w:noWrap/>
            <w:vAlign w:val="bottom"/>
            <w:hideMark/>
          </w:tcPr>
          <w:p w14:paraId="1D4201DA" w14:textId="77777777" w:rsidR="00217CFD" w:rsidRDefault="00217CFD">
            <w:pPr>
              <w:rPr>
                <w:sz w:val="20"/>
                <w:szCs w:val="20"/>
              </w:rPr>
            </w:pPr>
          </w:p>
        </w:tc>
        <w:tc>
          <w:tcPr>
            <w:tcW w:w="0" w:type="auto"/>
            <w:tcBorders>
              <w:top w:val="nil"/>
              <w:left w:val="nil"/>
              <w:bottom w:val="nil"/>
              <w:right w:val="nil"/>
            </w:tcBorders>
            <w:noWrap/>
            <w:vAlign w:val="bottom"/>
            <w:hideMark/>
          </w:tcPr>
          <w:p w14:paraId="084DBCA6" w14:textId="45F755B3" w:rsidR="00217CFD" w:rsidRDefault="00217CFD">
            <w:pPr>
              <w:rPr>
                <w:sz w:val="20"/>
                <w:szCs w:val="20"/>
              </w:rPr>
            </w:pPr>
          </w:p>
        </w:tc>
        <w:tc>
          <w:tcPr>
            <w:tcW w:w="0" w:type="auto"/>
            <w:tcBorders>
              <w:top w:val="nil"/>
              <w:left w:val="nil"/>
              <w:bottom w:val="nil"/>
              <w:right w:val="nil"/>
            </w:tcBorders>
            <w:noWrap/>
            <w:vAlign w:val="bottom"/>
            <w:hideMark/>
          </w:tcPr>
          <w:p w14:paraId="294AE57A" w14:textId="77777777" w:rsidR="00217CFD" w:rsidRDefault="00217CFD">
            <w:pPr>
              <w:rPr>
                <w:sz w:val="20"/>
                <w:szCs w:val="20"/>
              </w:rPr>
            </w:pPr>
          </w:p>
        </w:tc>
        <w:tc>
          <w:tcPr>
            <w:tcW w:w="0" w:type="auto"/>
            <w:tcBorders>
              <w:top w:val="nil"/>
              <w:left w:val="nil"/>
              <w:bottom w:val="nil"/>
              <w:right w:val="nil"/>
            </w:tcBorders>
            <w:noWrap/>
            <w:vAlign w:val="bottom"/>
            <w:hideMark/>
          </w:tcPr>
          <w:p w14:paraId="39524380" w14:textId="77777777" w:rsidR="00217CFD" w:rsidRDefault="00217CFD">
            <w:pPr>
              <w:rPr>
                <w:sz w:val="20"/>
                <w:szCs w:val="20"/>
              </w:rPr>
            </w:pPr>
          </w:p>
        </w:tc>
      </w:tr>
      <w:tr w:rsidR="00217CFD" w14:paraId="62085CE4" w14:textId="77777777">
        <w:trPr>
          <w:trHeight w:val="300"/>
        </w:trPr>
        <w:tc>
          <w:tcPr>
            <w:tcW w:w="0" w:type="auto"/>
            <w:tcBorders>
              <w:top w:val="nil"/>
              <w:left w:val="nil"/>
              <w:bottom w:val="nil"/>
              <w:right w:val="nil"/>
            </w:tcBorders>
            <w:noWrap/>
            <w:vAlign w:val="bottom"/>
            <w:hideMark/>
          </w:tcPr>
          <w:p w14:paraId="6FF7A9EA" w14:textId="77777777" w:rsidR="00217CFD" w:rsidRDefault="00217CFD">
            <w:pPr>
              <w:rPr>
                <w:sz w:val="20"/>
                <w:szCs w:val="20"/>
              </w:rPr>
            </w:pPr>
          </w:p>
        </w:tc>
        <w:tc>
          <w:tcPr>
            <w:tcW w:w="0" w:type="auto"/>
            <w:tcBorders>
              <w:top w:val="nil"/>
              <w:left w:val="nil"/>
              <w:bottom w:val="nil"/>
              <w:right w:val="nil"/>
            </w:tcBorders>
            <w:noWrap/>
            <w:vAlign w:val="bottom"/>
            <w:hideMark/>
          </w:tcPr>
          <w:p w14:paraId="0B3E6907" w14:textId="77777777" w:rsidR="00217CFD" w:rsidRDefault="00217CFD">
            <w:pPr>
              <w:rPr>
                <w:sz w:val="20"/>
                <w:szCs w:val="20"/>
              </w:rPr>
            </w:pPr>
          </w:p>
        </w:tc>
        <w:tc>
          <w:tcPr>
            <w:tcW w:w="0" w:type="auto"/>
            <w:tcBorders>
              <w:top w:val="nil"/>
              <w:left w:val="nil"/>
              <w:bottom w:val="nil"/>
              <w:right w:val="nil"/>
            </w:tcBorders>
            <w:noWrap/>
            <w:vAlign w:val="bottom"/>
            <w:hideMark/>
          </w:tcPr>
          <w:p w14:paraId="744FDE1F" w14:textId="77777777" w:rsidR="00217CFD" w:rsidRDefault="00217CFD">
            <w:pPr>
              <w:rPr>
                <w:sz w:val="20"/>
                <w:szCs w:val="20"/>
              </w:rPr>
            </w:pPr>
          </w:p>
        </w:tc>
        <w:tc>
          <w:tcPr>
            <w:tcW w:w="0" w:type="auto"/>
            <w:tcBorders>
              <w:top w:val="nil"/>
              <w:left w:val="nil"/>
              <w:bottom w:val="nil"/>
              <w:right w:val="nil"/>
            </w:tcBorders>
            <w:noWrap/>
            <w:vAlign w:val="bottom"/>
            <w:hideMark/>
          </w:tcPr>
          <w:p w14:paraId="37094E63" w14:textId="77777777" w:rsidR="00217CFD" w:rsidRDefault="00217CFD">
            <w:pPr>
              <w:rPr>
                <w:sz w:val="20"/>
                <w:szCs w:val="20"/>
              </w:rPr>
            </w:pPr>
          </w:p>
        </w:tc>
        <w:tc>
          <w:tcPr>
            <w:tcW w:w="0" w:type="auto"/>
            <w:tcBorders>
              <w:top w:val="nil"/>
              <w:left w:val="nil"/>
              <w:bottom w:val="nil"/>
              <w:right w:val="nil"/>
            </w:tcBorders>
            <w:noWrap/>
            <w:vAlign w:val="bottom"/>
            <w:hideMark/>
          </w:tcPr>
          <w:p w14:paraId="7B1100DB" w14:textId="16AFBD61" w:rsidR="00217CFD" w:rsidRDefault="00217CFD">
            <w:pPr>
              <w:rPr>
                <w:sz w:val="20"/>
                <w:szCs w:val="20"/>
              </w:rPr>
            </w:pPr>
          </w:p>
        </w:tc>
        <w:tc>
          <w:tcPr>
            <w:tcW w:w="0" w:type="auto"/>
            <w:tcBorders>
              <w:top w:val="nil"/>
              <w:left w:val="nil"/>
              <w:bottom w:val="nil"/>
              <w:right w:val="nil"/>
            </w:tcBorders>
            <w:noWrap/>
            <w:vAlign w:val="bottom"/>
            <w:hideMark/>
          </w:tcPr>
          <w:p w14:paraId="565ACA0B" w14:textId="77777777" w:rsidR="00217CFD" w:rsidRDefault="00217CFD">
            <w:pPr>
              <w:rPr>
                <w:sz w:val="20"/>
                <w:szCs w:val="20"/>
              </w:rPr>
            </w:pPr>
          </w:p>
        </w:tc>
        <w:tc>
          <w:tcPr>
            <w:tcW w:w="0" w:type="auto"/>
            <w:tcBorders>
              <w:top w:val="nil"/>
              <w:left w:val="nil"/>
              <w:bottom w:val="nil"/>
              <w:right w:val="nil"/>
            </w:tcBorders>
            <w:noWrap/>
            <w:vAlign w:val="bottom"/>
            <w:hideMark/>
          </w:tcPr>
          <w:p w14:paraId="7405E4D4" w14:textId="77777777" w:rsidR="00217CFD" w:rsidRDefault="00217CFD">
            <w:pPr>
              <w:rPr>
                <w:sz w:val="20"/>
                <w:szCs w:val="20"/>
              </w:rPr>
            </w:pPr>
          </w:p>
        </w:tc>
        <w:tc>
          <w:tcPr>
            <w:tcW w:w="0" w:type="auto"/>
            <w:tcBorders>
              <w:top w:val="nil"/>
              <w:left w:val="nil"/>
              <w:bottom w:val="nil"/>
              <w:right w:val="nil"/>
            </w:tcBorders>
            <w:noWrap/>
            <w:vAlign w:val="bottom"/>
            <w:hideMark/>
          </w:tcPr>
          <w:p w14:paraId="21289B3E" w14:textId="77777777" w:rsidR="00217CFD" w:rsidRDefault="00217CFD">
            <w:pPr>
              <w:rPr>
                <w:sz w:val="20"/>
                <w:szCs w:val="20"/>
              </w:rPr>
            </w:pPr>
          </w:p>
        </w:tc>
        <w:tc>
          <w:tcPr>
            <w:tcW w:w="0" w:type="auto"/>
            <w:tcBorders>
              <w:top w:val="nil"/>
              <w:left w:val="nil"/>
              <w:bottom w:val="nil"/>
              <w:right w:val="nil"/>
            </w:tcBorders>
            <w:noWrap/>
            <w:vAlign w:val="bottom"/>
            <w:hideMark/>
          </w:tcPr>
          <w:p w14:paraId="2DD86786" w14:textId="77777777" w:rsidR="00217CFD" w:rsidRDefault="00217CFD">
            <w:pPr>
              <w:rPr>
                <w:sz w:val="20"/>
                <w:szCs w:val="20"/>
              </w:rPr>
            </w:pPr>
          </w:p>
        </w:tc>
      </w:tr>
      <w:tr w:rsidR="00217CFD" w14:paraId="1D07E6AB" w14:textId="77777777">
        <w:trPr>
          <w:trHeight w:val="300"/>
        </w:trPr>
        <w:tc>
          <w:tcPr>
            <w:tcW w:w="0" w:type="auto"/>
            <w:tcBorders>
              <w:top w:val="nil"/>
              <w:left w:val="nil"/>
              <w:bottom w:val="nil"/>
              <w:right w:val="nil"/>
            </w:tcBorders>
            <w:noWrap/>
            <w:vAlign w:val="bottom"/>
            <w:hideMark/>
          </w:tcPr>
          <w:p w14:paraId="75E06F2A" w14:textId="77777777" w:rsidR="00217CFD" w:rsidRDefault="00217CFD">
            <w:pPr>
              <w:rPr>
                <w:sz w:val="20"/>
                <w:szCs w:val="20"/>
              </w:rPr>
            </w:pPr>
          </w:p>
        </w:tc>
        <w:tc>
          <w:tcPr>
            <w:tcW w:w="0" w:type="auto"/>
            <w:tcBorders>
              <w:top w:val="nil"/>
              <w:left w:val="nil"/>
              <w:bottom w:val="nil"/>
              <w:right w:val="nil"/>
            </w:tcBorders>
            <w:noWrap/>
            <w:vAlign w:val="bottom"/>
            <w:hideMark/>
          </w:tcPr>
          <w:p w14:paraId="3E15A461" w14:textId="77777777" w:rsidR="00217CFD" w:rsidRDefault="00217CFD">
            <w:pPr>
              <w:rPr>
                <w:sz w:val="20"/>
                <w:szCs w:val="20"/>
              </w:rPr>
            </w:pPr>
          </w:p>
        </w:tc>
        <w:tc>
          <w:tcPr>
            <w:tcW w:w="0" w:type="auto"/>
            <w:tcBorders>
              <w:top w:val="nil"/>
              <w:left w:val="nil"/>
              <w:bottom w:val="nil"/>
              <w:right w:val="nil"/>
            </w:tcBorders>
            <w:noWrap/>
            <w:vAlign w:val="bottom"/>
            <w:hideMark/>
          </w:tcPr>
          <w:p w14:paraId="5F4FFC52" w14:textId="77777777" w:rsidR="00217CFD" w:rsidRDefault="00217CFD">
            <w:pPr>
              <w:rPr>
                <w:sz w:val="20"/>
                <w:szCs w:val="20"/>
              </w:rPr>
            </w:pPr>
          </w:p>
        </w:tc>
        <w:tc>
          <w:tcPr>
            <w:tcW w:w="0" w:type="auto"/>
            <w:tcBorders>
              <w:top w:val="nil"/>
              <w:left w:val="nil"/>
              <w:bottom w:val="nil"/>
              <w:right w:val="nil"/>
            </w:tcBorders>
            <w:noWrap/>
            <w:vAlign w:val="bottom"/>
            <w:hideMark/>
          </w:tcPr>
          <w:p w14:paraId="1A8FC2E3" w14:textId="77777777" w:rsidR="00217CFD" w:rsidRDefault="00217CFD">
            <w:pPr>
              <w:rPr>
                <w:sz w:val="20"/>
                <w:szCs w:val="20"/>
              </w:rPr>
            </w:pPr>
          </w:p>
        </w:tc>
        <w:tc>
          <w:tcPr>
            <w:tcW w:w="0" w:type="auto"/>
            <w:tcBorders>
              <w:top w:val="nil"/>
              <w:left w:val="nil"/>
              <w:bottom w:val="nil"/>
              <w:right w:val="nil"/>
            </w:tcBorders>
            <w:noWrap/>
            <w:vAlign w:val="bottom"/>
            <w:hideMark/>
          </w:tcPr>
          <w:p w14:paraId="183443ED" w14:textId="14F7BD1F" w:rsidR="00217CFD" w:rsidRDefault="00217CFD">
            <w:pPr>
              <w:rPr>
                <w:sz w:val="20"/>
                <w:szCs w:val="20"/>
              </w:rPr>
            </w:pPr>
          </w:p>
        </w:tc>
        <w:tc>
          <w:tcPr>
            <w:tcW w:w="0" w:type="auto"/>
            <w:tcBorders>
              <w:top w:val="nil"/>
              <w:left w:val="nil"/>
              <w:bottom w:val="nil"/>
              <w:right w:val="nil"/>
            </w:tcBorders>
            <w:noWrap/>
            <w:vAlign w:val="bottom"/>
            <w:hideMark/>
          </w:tcPr>
          <w:p w14:paraId="281E9D30" w14:textId="77777777" w:rsidR="00217CFD" w:rsidRDefault="00217CFD">
            <w:pPr>
              <w:rPr>
                <w:sz w:val="20"/>
                <w:szCs w:val="20"/>
              </w:rPr>
            </w:pPr>
          </w:p>
        </w:tc>
        <w:tc>
          <w:tcPr>
            <w:tcW w:w="0" w:type="auto"/>
            <w:tcBorders>
              <w:top w:val="nil"/>
              <w:left w:val="nil"/>
              <w:bottom w:val="nil"/>
              <w:right w:val="nil"/>
            </w:tcBorders>
            <w:noWrap/>
            <w:vAlign w:val="bottom"/>
            <w:hideMark/>
          </w:tcPr>
          <w:p w14:paraId="3980F5DB" w14:textId="77777777" w:rsidR="00217CFD" w:rsidRDefault="00217CFD">
            <w:pPr>
              <w:rPr>
                <w:sz w:val="20"/>
                <w:szCs w:val="20"/>
              </w:rPr>
            </w:pPr>
          </w:p>
        </w:tc>
        <w:tc>
          <w:tcPr>
            <w:tcW w:w="0" w:type="auto"/>
            <w:tcBorders>
              <w:top w:val="nil"/>
              <w:left w:val="nil"/>
              <w:bottom w:val="nil"/>
              <w:right w:val="nil"/>
            </w:tcBorders>
            <w:noWrap/>
            <w:vAlign w:val="bottom"/>
            <w:hideMark/>
          </w:tcPr>
          <w:p w14:paraId="2364ADF9" w14:textId="77777777" w:rsidR="00217CFD" w:rsidRDefault="00217CFD">
            <w:pPr>
              <w:rPr>
                <w:sz w:val="20"/>
                <w:szCs w:val="20"/>
              </w:rPr>
            </w:pPr>
          </w:p>
        </w:tc>
        <w:tc>
          <w:tcPr>
            <w:tcW w:w="0" w:type="auto"/>
            <w:tcBorders>
              <w:top w:val="nil"/>
              <w:left w:val="nil"/>
              <w:bottom w:val="nil"/>
              <w:right w:val="nil"/>
            </w:tcBorders>
            <w:noWrap/>
            <w:vAlign w:val="bottom"/>
            <w:hideMark/>
          </w:tcPr>
          <w:p w14:paraId="6872F402" w14:textId="77777777" w:rsidR="00217CFD" w:rsidRDefault="00217CFD">
            <w:pPr>
              <w:rPr>
                <w:sz w:val="20"/>
                <w:szCs w:val="20"/>
              </w:rPr>
            </w:pPr>
          </w:p>
        </w:tc>
      </w:tr>
    </w:tbl>
    <w:p w14:paraId="261E53E8" w14:textId="71691578" w:rsidR="00CB2E36" w:rsidRDefault="00CB2E36" w:rsidP="00AC59D3">
      <w:pPr>
        <w:pStyle w:val="CaptionedFigure"/>
        <w:spacing w:line="360" w:lineRule="auto"/>
        <w:rPr>
          <w:rFonts w:ascii="Arial" w:hAnsi="Arial" w:cs="Arial"/>
          <w:sz w:val="22"/>
          <w:szCs w:val="22"/>
        </w:rPr>
      </w:pPr>
    </w:p>
    <w:p w14:paraId="3B3A6167" w14:textId="77777777" w:rsidR="001D79D4" w:rsidRDefault="001D79D4" w:rsidP="001D79D4">
      <w:pPr>
        <w:pStyle w:val="CaptionedFigure"/>
        <w:spacing w:line="360" w:lineRule="auto"/>
        <w:rPr>
          <w:rFonts w:ascii="Arial" w:hAnsi="Arial" w:cs="Arial"/>
          <w:sz w:val="22"/>
          <w:szCs w:val="22"/>
        </w:rPr>
      </w:pPr>
      <w:r w:rsidRPr="003E78B1">
        <w:rPr>
          <w:rFonts w:ascii="Arial" w:hAnsi="Arial" w:cs="Arial"/>
          <w:sz w:val="22"/>
          <w:szCs w:val="22"/>
        </w:rPr>
        <w:t xml:space="preserve">Figure </w:t>
      </w:r>
      <w:r>
        <w:rPr>
          <w:rFonts w:ascii="Arial" w:hAnsi="Arial" w:cs="Arial"/>
          <w:sz w:val="22"/>
          <w:szCs w:val="22"/>
        </w:rPr>
        <w:t>4</w:t>
      </w:r>
      <w:r w:rsidRPr="003E78B1">
        <w:rPr>
          <w:rFonts w:ascii="Arial" w:hAnsi="Arial" w:cs="Arial"/>
          <w:sz w:val="22"/>
          <w:szCs w:val="22"/>
        </w:rPr>
        <w:t>: Sri Lanka’s post-crisis macroeconomic recovery, 2022-2026</w:t>
      </w:r>
    </w:p>
    <w:p w14:paraId="516C1A50" w14:textId="77777777" w:rsidR="001D79D4" w:rsidRDefault="001D79D4" w:rsidP="00AC59D3">
      <w:pPr>
        <w:pStyle w:val="CaptionedFigure"/>
        <w:spacing w:line="360" w:lineRule="auto"/>
        <w:rPr>
          <w:rFonts w:ascii="Arial" w:hAnsi="Arial" w:cs="Arial"/>
          <w:sz w:val="22"/>
          <w:szCs w:val="22"/>
        </w:rPr>
      </w:pPr>
    </w:p>
    <w:p w14:paraId="7485C1F8" w14:textId="77777777" w:rsidR="00CB2E36" w:rsidRPr="003E78B1" w:rsidRDefault="006165BC" w:rsidP="003E78B1">
      <w:pPr>
        <w:pStyle w:val="BodyText"/>
        <w:spacing w:line="360" w:lineRule="auto"/>
        <w:rPr>
          <w:rFonts w:ascii="Arial" w:hAnsi="Arial" w:cs="Arial"/>
          <w:sz w:val="22"/>
          <w:szCs w:val="22"/>
        </w:rPr>
      </w:pPr>
      <w:r w:rsidRPr="003E78B1">
        <w:rPr>
          <w:rFonts w:ascii="Arial" w:hAnsi="Arial" w:cs="Arial"/>
          <w:sz w:val="22"/>
          <w:szCs w:val="22"/>
        </w:rPr>
        <w:t xml:space="preserve">Sri Lanka’s economy is emerging from the 2022 crisis under a US$2.9 billion, 17th IMF Extended Fund Facility (EFF) </w:t>
      </w:r>
      <w:proofErr w:type="spellStart"/>
      <w:r w:rsidRPr="003E78B1">
        <w:rPr>
          <w:rFonts w:ascii="Arial" w:hAnsi="Arial" w:cs="Arial"/>
          <w:sz w:val="22"/>
          <w:szCs w:val="22"/>
        </w:rPr>
        <w:t>programme</w:t>
      </w:r>
      <w:proofErr w:type="spellEnd"/>
      <w:r w:rsidRPr="003E78B1">
        <w:rPr>
          <w:rFonts w:ascii="Arial" w:hAnsi="Arial" w:cs="Arial"/>
          <w:sz w:val="22"/>
          <w:szCs w:val="22"/>
        </w:rPr>
        <w:t xml:space="preserve">, reinforced by earlier Indian emergency financing and disciplined central bank policy. Growth rebounded to approximately 5% in 2025, although the IMF’s 2026 growth projection of around 3.0–3.1% is markedly more conservative than the government’s own 6–7% target, reflecting headwinds from the Middle East conflict (higher oil prices, weaker current account), reduced tourism receipts risk, and post-cyclone reconstruction costs (IMF, 2026; Asian Development Bank, 2026; Khaleej Times, 2026). Inflation, having swung from crisis-era hyperinflation to brief deflation, returned to positive territory at around 2.2–2.3% in early 2026 but is forecast to rise to an average of roughly 5.4% across 2026 — a meaningfully higher trajectory than the 3.3% previously projected — implying renewed exchange-rate and imported-input cost pressure for businesses reliant on foreign-sourced ingredients, packaging and equipment (IMF, 2026). Encouragingly, gross official reserves have been rebuilt to approximately US$7 billion by March 2026, and the rupee has </w:t>
      </w:r>
      <w:proofErr w:type="spellStart"/>
      <w:r w:rsidRPr="003E78B1">
        <w:rPr>
          <w:rFonts w:ascii="Arial" w:hAnsi="Arial" w:cs="Arial"/>
          <w:sz w:val="22"/>
          <w:szCs w:val="22"/>
        </w:rPr>
        <w:t>stabilised</w:t>
      </w:r>
      <w:proofErr w:type="spellEnd"/>
      <w:r w:rsidRPr="003E78B1">
        <w:rPr>
          <w:rFonts w:ascii="Arial" w:hAnsi="Arial" w:cs="Arial"/>
          <w:sz w:val="22"/>
          <w:szCs w:val="22"/>
        </w:rPr>
        <w:t xml:space="preserve">, </w:t>
      </w:r>
      <w:r w:rsidRPr="003E78B1">
        <w:rPr>
          <w:rFonts w:ascii="Arial" w:hAnsi="Arial" w:cs="Arial"/>
          <w:sz w:val="22"/>
          <w:szCs w:val="22"/>
        </w:rPr>
        <w:lastRenderedPageBreak/>
        <w:t>reducing the currency-conversion and profit-repatriation risk that is central to any franchise-royalty business model.</w:t>
      </w:r>
    </w:p>
    <w:p w14:paraId="4A6F4D5D" w14:textId="3DB97D96" w:rsidR="00CB2E36" w:rsidRPr="003E78B1" w:rsidRDefault="006165BC" w:rsidP="003E78B1">
      <w:pPr>
        <w:pStyle w:val="BodyText"/>
        <w:spacing w:line="360" w:lineRule="auto"/>
        <w:rPr>
          <w:rFonts w:ascii="Arial" w:hAnsi="Arial" w:cs="Arial"/>
          <w:sz w:val="22"/>
          <w:szCs w:val="22"/>
        </w:rPr>
      </w:pPr>
      <w:r w:rsidRPr="003E78B1">
        <w:rPr>
          <w:rFonts w:ascii="Arial" w:hAnsi="Arial" w:cs="Arial"/>
          <w:sz w:val="22"/>
          <w:szCs w:val="22"/>
        </w:rPr>
        <w:t xml:space="preserve">The most economically significant driver of QSR demand, however, is Sri Lanka’s tourism recovery. Arrivals reached a record 2.36 million in 2025 (+15.1% year-on-year, surpassing the prior 2018 peak), with a government target of 3 million arrivals and US$4 billion in tourism revenue for 2026 (Sri Lanka Tourism Development Authority, 2026). India is now by far the largest source market (531,511 arrivals in 2025, more than double the United Kingdom’s 212,277), a fact of direct relevance given McDonald’s well-established, beef-free Indian menu </w:t>
      </w:r>
      <w:r w:rsidR="004B2B5D">
        <w:rPr>
          <w:rFonts w:ascii="Arial" w:hAnsi="Arial" w:cs="Arial"/>
          <w:sz w:val="22"/>
          <w:szCs w:val="22"/>
        </w:rPr>
        <w:t xml:space="preserve">Sri Lanka's tourism-led demand recovery, coupled with a recovering urban middle class in Colombo, presents a larger market opportunity than during the 2022 crisis. However, historical reliance on import licensing and foreign-exchange rationing poses risks to an import-dependent supply chain, despite ongoing trade </w:t>
      </w:r>
      <w:proofErr w:type="spellStart"/>
      <w:r w:rsidR="004B2B5D">
        <w:rPr>
          <w:rFonts w:ascii="Arial" w:hAnsi="Arial" w:cs="Arial"/>
          <w:sz w:val="22"/>
          <w:szCs w:val="22"/>
        </w:rPr>
        <w:t>liberalisation</w:t>
      </w:r>
      <w:proofErr w:type="spellEnd"/>
      <w:r w:rsidR="004B2B5D">
        <w:rPr>
          <w:rFonts w:ascii="Arial" w:hAnsi="Arial" w:cs="Arial"/>
          <w:sz w:val="22"/>
          <w:szCs w:val="22"/>
        </w:rPr>
        <w:t xml:space="preserve"> efforts tied to IMF reforms. Additionally, the quick-service restaurant (QSR) sector faces challenges </w:t>
      </w:r>
      <w:r w:rsidR="004C64B9">
        <w:rPr>
          <w:rFonts w:ascii="Arial" w:hAnsi="Arial" w:cs="Arial"/>
          <w:sz w:val="22"/>
          <w:szCs w:val="22"/>
        </w:rPr>
        <w:t xml:space="preserve">in its cost structure, as margins are sensitive to </w:t>
      </w:r>
      <w:r w:rsidR="00DA4FC5">
        <w:rPr>
          <w:rFonts w:ascii="Arial" w:hAnsi="Arial" w:cs="Arial"/>
          <w:sz w:val="22"/>
          <w:szCs w:val="22"/>
        </w:rPr>
        <w:t>price</w:t>
      </w:r>
      <w:r w:rsidR="004C64B9">
        <w:rPr>
          <w:rFonts w:ascii="Arial" w:hAnsi="Arial" w:cs="Arial"/>
          <w:sz w:val="22"/>
          <w:szCs w:val="22"/>
        </w:rPr>
        <w:t xml:space="preserve"> </w:t>
      </w:r>
      <w:r w:rsidR="00DA4FC5">
        <w:rPr>
          <w:rFonts w:ascii="Arial" w:hAnsi="Arial" w:cs="Arial"/>
          <w:sz w:val="22"/>
          <w:szCs w:val="22"/>
        </w:rPr>
        <w:t>fluctuation</w:t>
      </w:r>
      <w:r w:rsidR="004C64B9">
        <w:rPr>
          <w:rFonts w:ascii="Arial" w:hAnsi="Arial" w:cs="Arial"/>
          <w:sz w:val="22"/>
          <w:szCs w:val="22"/>
        </w:rPr>
        <w:t xml:space="preserve">s </w:t>
      </w:r>
      <w:r w:rsidR="00DA4FC5">
        <w:rPr>
          <w:rFonts w:ascii="Arial" w:hAnsi="Arial" w:cs="Arial"/>
          <w:sz w:val="22"/>
          <w:szCs w:val="22"/>
        </w:rPr>
        <w:t>in</w:t>
      </w:r>
      <w:r w:rsidR="004C64B9">
        <w:rPr>
          <w:rFonts w:ascii="Arial" w:hAnsi="Arial" w:cs="Arial"/>
          <w:sz w:val="22"/>
          <w:szCs w:val="22"/>
        </w:rPr>
        <w:t xml:space="preserve"> protein, packaging, and rent, all </w:t>
      </w:r>
      <w:r w:rsidR="00DA4FC5">
        <w:rPr>
          <w:rFonts w:ascii="Arial" w:hAnsi="Arial" w:cs="Arial"/>
          <w:sz w:val="22"/>
          <w:szCs w:val="22"/>
        </w:rPr>
        <w:t xml:space="preserve">of which are </w:t>
      </w:r>
      <w:r w:rsidR="004C64B9">
        <w:rPr>
          <w:rFonts w:ascii="Arial" w:hAnsi="Arial" w:cs="Arial"/>
          <w:sz w:val="22"/>
          <w:szCs w:val="22"/>
        </w:rPr>
        <w:t xml:space="preserve">affected by currency </w:t>
      </w:r>
      <w:r w:rsidR="00DA4FC5">
        <w:rPr>
          <w:rFonts w:ascii="Arial" w:hAnsi="Arial" w:cs="Arial"/>
          <w:sz w:val="22"/>
          <w:szCs w:val="22"/>
        </w:rPr>
        <w:t>movement</w:t>
      </w:r>
      <w:r w:rsidR="004C64B9">
        <w:rPr>
          <w:rFonts w:ascii="Arial" w:hAnsi="Arial" w:cs="Arial"/>
          <w:sz w:val="22"/>
          <w:szCs w:val="22"/>
        </w:rPr>
        <w:t>s.</w:t>
      </w:r>
      <w:r w:rsidR="004B2B5D">
        <w:rPr>
          <w:rFonts w:ascii="Arial" w:hAnsi="Arial" w:cs="Arial"/>
          <w:sz w:val="22"/>
          <w:szCs w:val="22"/>
        </w:rPr>
        <w:t xml:space="preserve"> The </w:t>
      </w:r>
      <w:proofErr w:type="spellStart"/>
      <w:r w:rsidR="004B2B5D">
        <w:rPr>
          <w:rFonts w:ascii="Arial" w:hAnsi="Arial" w:cs="Arial"/>
          <w:sz w:val="22"/>
          <w:szCs w:val="22"/>
        </w:rPr>
        <w:t>organi</w:t>
      </w:r>
      <w:r w:rsidR="004C64B9">
        <w:rPr>
          <w:rFonts w:ascii="Arial" w:hAnsi="Arial" w:cs="Arial"/>
          <w:sz w:val="22"/>
          <w:szCs w:val="22"/>
        </w:rPr>
        <w:t>s</w:t>
      </w:r>
      <w:r w:rsidR="004B2B5D">
        <w:rPr>
          <w:rFonts w:ascii="Arial" w:hAnsi="Arial" w:cs="Arial"/>
          <w:sz w:val="22"/>
          <w:szCs w:val="22"/>
        </w:rPr>
        <w:t>ed</w:t>
      </w:r>
      <w:proofErr w:type="spellEnd"/>
      <w:r w:rsidR="004B2B5D">
        <w:rPr>
          <w:rFonts w:ascii="Arial" w:hAnsi="Arial" w:cs="Arial"/>
          <w:sz w:val="22"/>
          <w:szCs w:val="22"/>
        </w:rPr>
        <w:t xml:space="preserve"> QSR segment has consolidated during this period</w:t>
      </w:r>
      <w:r w:rsidR="004C64B9">
        <w:rPr>
          <w:rFonts w:ascii="Arial" w:hAnsi="Arial" w:cs="Arial"/>
          <w:sz w:val="22"/>
          <w:szCs w:val="22"/>
        </w:rPr>
        <w:t xml:space="preserve">, </w:t>
      </w:r>
      <w:r w:rsidR="008E231F">
        <w:rPr>
          <w:rFonts w:ascii="Arial" w:hAnsi="Arial" w:cs="Arial"/>
          <w:sz w:val="22"/>
          <w:szCs w:val="22"/>
        </w:rPr>
        <w:t>significantly during McDonald’s absence, with Sapphire Foods (operating KFC and Pizza Hut) commanding over 40% of the market through 121 outlets. Its merger with Devyani International, valued at around US$934 million, enhances its scale and bargaining power. McDonald’s will re-enter a competitive landscape in which its partners must excel at cost efficiency and site quality. While the economic outlook shows some positive signs, such as recovering tourism and remittance-driven demand, challenges like inflation, moderating growth, and competitive pressures complicate the demand recovery landscape.</w:t>
      </w:r>
    </w:p>
    <w:p w14:paraId="2AF7D5CF" w14:textId="2824926B" w:rsidR="00CB2E36" w:rsidRPr="00E011FF" w:rsidRDefault="001D79D4" w:rsidP="003E78B1">
      <w:pPr>
        <w:pStyle w:val="Heading3"/>
        <w:spacing w:line="360" w:lineRule="auto"/>
        <w:rPr>
          <w:rFonts w:ascii="Arial" w:hAnsi="Arial" w:cs="Arial"/>
          <w:sz w:val="28"/>
          <w:szCs w:val="28"/>
        </w:rPr>
      </w:pPr>
      <w:bookmarkStart w:id="14" w:name="legal-factors"/>
      <w:bookmarkStart w:id="15" w:name="_Toc236052393"/>
      <w:r>
        <w:rPr>
          <w:rFonts w:ascii="Arial" w:hAnsi="Arial" w:cs="Arial"/>
          <w:sz w:val="28"/>
          <w:szCs w:val="28"/>
        </w:rPr>
        <w:t xml:space="preserve">c) </w:t>
      </w:r>
      <w:r w:rsidR="006165BC" w:rsidRPr="00E011FF">
        <w:rPr>
          <w:rFonts w:ascii="Arial" w:hAnsi="Arial" w:cs="Arial"/>
          <w:sz w:val="28"/>
          <w:szCs w:val="28"/>
        </w:rPr>
        <w:t>Legal Factors</w:t>
      </w:r>
      <w:bookmarkEnd w:id="14"/>
      <w:bookmarkEnd w:id="15"/>
    </w:p>
    <w:p w14:paraId="0EE4CC9C" w14:textId="77777777" w:rsidR="00DC07EF" w:rsidRPr="00DC07EF" w:rsidRDefault="00DC07EF" w:rsidP="00DC07EF">
      <w:pPr>
        <w:pStyle w:val="NormalWeb"/>
        <w:spacing w:before="0" w:beforeAutospacing="0" w:after="0" w:afterAutospacing="0" w:line="360" w:lineRule="auto"/>
        <w:rPr>
          <w:rFonts w:ascii="Arial" w:hAnsi="Arial" w:cs="Arial"/>
          <w:color w:val="0E101A"/>
          <w:sz w:val="22"/>
          <w:szCs w:val="22"/>
        </w:rPr>
      </w:pPr>
      <w:r w:rsidRPr="00DC07EF">
        <w:rPr>
          <w:rFonts w:ascii="Arial" w:hAnsi="Arial" w:cs="Arial"/>
          <w:color w:val="0E101A"/>
          <w:sz w:val="22"/>
          <w:szCs w:val="22"/>
        </w:rPr>
        <w:t xml:space="preserve">Sri Lanka has a relatively liberal foreign investment regime, allowing </w:t>
      </w:r>
      <w:r w:rsidRPr="001D79D4">
        <w:rPr>
          <w:rStyle w:val="Strong"/>
          <w:rFonts w:ascii="Arial" w:hAnsi="Arial" w:cs="Arial"/>
          <w:b w:val="0"/>
          <w:bCs w:val="0"/>
          <w:color w:val="0E101A"/>
          <w:sz w:val="22"/>
          <w:szCs w:val="22"/>
        </w:rPr>
        <w:t>100% foreign ownership in many sectors</w:t>
      </w:r>
      <w:r w:rsidRPr="00DC07EF">
        <w:rPr>
          <w:rFonts w:ascii="Arial" w:hAnsi="Arial" w:cs="Arial"/>
          <w:color w:val="0E101A"/>
          <w:sz w:val="22"/>
          <w:szCs w:val="22"/>
        </w:rPr>
        <w:t xml:space="preserve"> through the Board of Investment (BOI), subject to sector-specific regulations. The BOI provides investment facilitation, approvals and incentives for eligible projects, while foreign investors can establish wholly owned companies in permitted industries (Board of Investment of Sri Lanka, 2025). However, restrictions remain in certain areas, particularly regarding foreign land ownership. Foreign entities are generally prohibited from purchasing land in Sri Lanka, except under specific legal exemptions, which may influence multinational firms that depend on strategic property ownership. Therefore, McDonald’s would need to rely primarily on lease arrangements or partnerships with locally incorporated entities rather than using its traditional global real-estate ownership model (Board of Investment of Sri Lanka, 2025).</w:t>
      </w:r>
    </w:p>
    <w:p w14:paraId="7A8A3431" w14:textId="77777777" w:rsidR="00DC07EF" w:rsidRPr="00DC07EF" w:rsidRDefault="00DC07EF" w:rsidP="00DC07EF">
      <w:pPr>
        <w:pStyle w:val="NormalWeb"/>
        <w:spacing w:before="0" w:beforeAutospacing="0" w:after="0" w:afterAutospacing="0" w:line="360" w:lineRule="auto"/>
        <w:rPr>
          <w:rFonts w:ascii="Arial" w:hAnsi="Arial" w:cs="Arial"/>
          <w:color w:val="0E101A"/>
          <w:sz w:val="22"/>
          <w:szCs w:val="22"/>
        </w:rPr>
      </w:pPr>
      <w:r w:rsidRPr="00DC07EF">
        <w:rPr>
          <w:rFonts w:ascii="Arial" w:hAnsi="Arial" w:cs="Arial"/>
          <w:color w:val="0E101A"/>
          <w:sz w:val="22"/>
          <w:szCs w:val="22"/>
        </w:rPr>
        <w:lastRenderedPageBreak/>
        <w:t xml:space="preserve">Food safety regulation is governed by the </w:t>
      </w:r>
      <w:r w:rsidRPr="001D79D4">
        <w:rPr>
          <w:rStyle w:val="Strong"/>
          <w:rFonts w:ascii="Arial" w:hAnsi="Arial" w:cs="Arial"/>
          <w:b w:val="0"/>
          <w:bCs w:val="0"/>
          <w:color w:val="0E101A"/>
          <w:sz w:val="22"/>
          <w:szCs w:val="22"/>
        </w:rPr>
        <w:t>Food Act No. 26 of 1980</w:t>
      </w:r>
      <w:r w:rsidRPr="001D79D4">
        <w:rPr>
          <w:rFonts w:ascii="Arial" w:hAnsi="Arial" w:cs="Arial"/>
          <w:b/>
          <w:bCs/>
          <w:color w:val="0E101A"/>
          <w:sz w:val="22"/>
          <w:szCs w:val="22"/>
        </w:rPr>
        <w:t>,</w:t>
      </w:r>
      <w:r w:rsidRPr="00DC07EF">
        <w:rPr>
          <w:rFonts w:ascii="Arial" w:hAnsi="Arial" w:cs="Arial"/>
          <w:color w:val="0E101A"/>
          <w:sz w:val="22"/>
          <w:szCs w:val="22"/>
        </w:rPr>
        <w:t xml:space="preserve"> as amended by the Food (Amendment) Acts of 1991 and 2011. The legislation regulates the manufacture, importation, distribution, sale, labelling and safety standards of food products, with enforcement responsibility placed under the Ministry of Health through the Food Control Administration Unit (Ministry of Health Sri Lanka, 2026). The 2024 closure of McDonald’s outlets following a legal dispute with its local franchise partner demonstrates that food safety standards and franchise compliance requirements are actively enforced in Sri Lanka. The Commercial High Court intervened after allegations concerning failure to meet McDonald’s international hygiene standards, resulting in the termination of the franchise arrangement with the local operator (Reuters, 2024). For McDonald’s, this highlights the importance of stronger franchise monitoring mechanisms, including regular audits, contractual quality controls, corrective action procedures and clear termination clauses, rather than relying only on lengthy legal remedies after reputational damage occurs.</w:t>
      </w:r>
    </w:p>
    <w:p w14:paraId="078F134D" w14:textId="77777777" w:rsidR="00A13BEF" w:rsidRDefault="00A13BEF" w:rsidP="003E78B1">
      <w:pPr>
        <w:pStyle w:val="BodyText"/>
        <w:spacing w:line="360" w:lineRule="auto"/>
        <w:rPr>
          <w:rFonts w:ascii="Arial" w:hAnsi="Arial" w:cs="Arial"/>
          <w:b/>
          <w:color w:val="548DD4" w:themeColor="text2" w:themeTint="99"/>
          <w:sz w:val="28"/>
          <w:szCs w:val="28"/>
        </w:rPr>
      </w:pPr>
    </w:p>
    <w:p w14:paraId="49544194" w14:textId="77777777" w:rsidR="00A13BEF" w:rsidRDefault="00A13BEF" w:rsidP="003E78B1">
      <w:pPr>
        <w:pStyle w:val="BodyText"/>
        <w:spacing w:line="360" w:lineRule="auto"/>
        <w:rPr>
          <w:rFonts w:ascii="Arial" w:hAnsi="Arial" w:cs="Arial"/>
          <w:b/>
          <w:color w:val="548DD4" w:themeColor="text2" w:themeTint="99"/>
          <w:sz w:val="28"/>
          <w:szCs w:val="28"/>
          <w:lang w:val="en-GB"/>
        </w:rPr>
      </w:pPr>
    </w:p>
    <w:p w14:paraId="709879A4" w14:textId="77777777" w:rsidR="00A13BEF" w:rsidRDefault="00A13BEF" w:rsidP="003E78B1">
      <w:pPr>
        <w:pStyle w:val="BodyText"/>
        <w:spacing w:line="360" w:lineRule="auto"/>
        <w:rPr>
          <w:rFonts w:ascii="Arial" w:hAnsi="Arial" w:cs="Arial"/>
          <w:b/>
          <w:color w:val="548DD4" w:themeColor="text2" w:themeTint="99"/>
          <w:sz w:val="28"/>
          <w:szCs w:val="28"/>
        </w:rPr>
      </w:pPr>
    </w:p>
    <w:p w14:paraId="4A19E490" w14:textId="77777777" w:rsidR="00A13BEF" w:rsidRDefault="00A13BEF" w:rsidP="003E78B1">
      <w:pPr>
        <w:pStyle w:val="BodyText"/>
        <w:spacing w:line="360" w:lineRule="auto"/>
        <w:rPr>
          <w:rFonts w:ascii="Arial" w:hAnsi="Arial" w:cs="Arial"/>
          <w:b/>
          <w:color w:val="548DD4" w:themeColor="text2" w:themeTint="99"/>
          <w:sz w:val="28"/>
          <w:szCs w:val="28"/>
          <w:lang w:val="en-GB"/>
        </w:rPr>
      </w:pPr>
    </w:p>
    <w:p w14:paraId="7B56FAEA" w14:textId="77777777" w:rsidR="00A13BEF" w:rsidRDefault="00A13BEF" w:rsidP="003E78B1">
      <w:pPr>
        <w:pStyle w:val="BodyText"/>
        <w:spacing w:line="360" w:lineRule="auto"/>
        <w:rPr>
          <w:rFonts w:ascii="Arial" w:hAnsi="Arial" w:cs="Arial"/>
          <w:b/>
          <w:color w:val="548DD4" w:themeColor="text2" w:themeTint="99"/>
          <w:sz w:val="28"/>
          <w:szCs w:val="28"/>
        </w:rPr>
      </w:pPr>
    </w:p>
    <w:p w14:paraId="73413CA2" w14:textId="5E624752" w:rsidR="00CB2E36" w:rsidRPr="00CC0A3F" w:rsidRDefault="006165BC" w:rsidP="003E78B1">
      <w:pPr>
        <w:pStyle w:val="BodyText"/>
        <w:spacing w:line="360" w:lineRule="auto"/>
        <w:rPr>
          <w:rFonts w:ascii="Arial" w:hAnsi="Arial" w:cs="Arial"/>
          <w:b/>
          <w:color w:val="548DD4" w:themeColor="text2" w:themeTint="99"/>
          <w:sz w:val="28"/>
          <w:szCs w:val="28"/>
        </w:rPr>
      </w:pPr>
      <w:r w:rsidRPr="00CC0A3F">
        <w:rPr>
          <w:rFonts w:ascii="Arial" w:hAnsi="Arial" w:cs="Arial"/>
          <w:b/>
          <w:color w:val="548DD4" w:themeColor="text2" w:themeTint="99"/>
          <w:sz w:val="28"/>
          <w:szCs w:val="28"/>
        </w:rPr>
        <w:t>Table 1: Key Legal Instruments Governing McDonald’s Re-Entry</w:t>
      </w:r>
    </w:p>
    <w:tbl>
      <w:tblPr>
        <w:tblStyle w:val="GridTable5Dark-Accent5"/>
        <w:tblW w:w="0" w:type="auto"/>
        <w:tblLook w:val="04A0" w:firstRow="1" w:lastRow="0" w:firstColumn="1" w:lastColumn="0" w:noHBand="0" w:noVBand="1"/>
      </w:tblPr>
      <w:tblGrid>
        <w:gridCol w:w="2742"/>
        <w:gridCol w:w="3488"/>
        <w:gridCol w:w="3120"/>
      </w:tblGrid>
      <w:tr w:rsidR="007D17D1" w14:paraId="581E5306" w14:textId="77777777" w:rsidTr="007D17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28BFFD4A" w14:textId="77777777" w:rsidR="007D17D1" w:rsidRDefault="007D17D1" w:rsidP="007D17D1">
            <w:pPr>
              <w:pStyle w:val="BodyText"/>
              <w:spacing w:line="360" w:lineRule="auto"/>
              <w:rPr>
                <w:rFonts w:ascii="Arial" w:hAnsi="Arial" w:cs="Arial"/>
                <w:sz w:val="22"/>
                <w:szCs w:val="22"/>
              </w:rPr>
            </w:pPr>
            <w:r w:rsidRPr="003E78B1">
              <w:rPr>
                <w:rFonts w:ascii="Arial" w:hAnsi="Arial" w:cs="Arial"/>
                <w:sz w:val="22"/>
                <w:szCs w:val="22"/>
              </w:rPr>
              <w:t>Instrument</w:t>
            </w:r>
          </w:p>
        </w:tc>
        <w:tc>
          <w:tcPr>
            <w:tcW w:w="3582" w:type="dxa"/>
            <w:vAlign w:val="bottom"/>
          </w:tcPr>
          <w:p w14:paraId="6864C74A" w14:textId="77777777" w:rsidR="007D17D1" w:rsidRPr="003E78B1" w:rsidRDefault="007D17D1" w:rsidP="007D17D1">
            <w:pPr>
              <w:pStyle w:val="Compac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Governing Body</w:t>
            </w:r>
          </w:p>
        </w:tc>
        <w:tc>
          <w:tcPr>
            <w:tcW w:w="3192" w:type="dxa"/>
            <w:vAlign w:val="bottom"/>
          </w:tcPr>
          <w:p w14:paraId="7D3E3FB1" w14:textId="77777777" w:rsidR="007D17D1" w:rsidRPr="003E78B1" w:rsidRDefault="007D17D1" w:rsidP="007D17D1">
            <w:pPr>
              <w:pStyle w:val="Compac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Relevance to Re-Entry</w:t>
            </w:r>
          </w:p>
        </w:tc>
      </w:tr>
      <w:tr w:rsidR="007D17D1" w14:paraId="150B4599" w14:textId="77777777" w:rsidTr="007D17D1">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2802" w:type="dxa"/>
          </w:tcPr>
          <w:p w14:paraId="1E63F269" w14:textId="77777777" w:rsidR="007D17D1" w:rsidRPr="00045835" w:rsidRDefault="007D17D1" w:rsidP="007D17D1">
            <w:pPr>
              <w:pStyle w:val="BodyText"/>
              <w:spacing w:line="360" w:lineRule="auto"/>
              <w:rPr>
                <w:rFonts w:ascii="Arial" w:hAnsi="Arial" w:cs="Arial"/>
                <w:sz w:val="16"/>
                <w:szCs w:val="16"/>
              </w:rPr>
            </w:pPr>
            <w:r w:rsidRPr="00045835">
              <w:rPr>
                <w:rFonts w:ascii="Arial" w:hAnsi="Arial" w:cs="Arial"/>
                <w:sz w:val="16"/>
                <w:szCs w:val="16"/>
              </w:rPr>
              <w:t>Foreign investment</w:t>
            </w:r>
            <w:r w:rsidR="00A15CF8" w:rsidRPr="00045835">
              <w:rPr>
                <w:rFonts w:ascii="Arial" w:hAnsi="Arial" w:cs="Arial"/>
                <w:sz w:val="16"/>
                <w:szCs w:val="16"/>
              </w:rPr>
              <w:t xml:space="preserve"> framework</w:t>
            </w:r>
          </w:p>
        </w:tc>
        <w:tc>
          <w:tcPr>
            <w:tcW w:w="3582" w:type="dxa"/>
          </w:tcPr>
          <w:p w14:paraId="7B5768D4" w14:textId="77777777" w:rsidR="007D17D1" w:rsidRPr="00045835" w:rsidRDefault="007D17D1" w:rsidP="007D17D1">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45835">
              <w:rPr>
                <w:rFonts w:ascii="Arial" w:hAnsi="Arial" w:cs="Arial"/>
                <w:sz w:val="16"/>
                <w:szCs w:val="16"/>
              </w:rPr>
              <w:t>Board of Investment (BOI)</w:t>
            </w:r>
          </w:p>
        </w:tc>
        <w:tc>
          <w:tcPr>
            <w:tcW w:w="3192" w:type="dxa"/>
          </w:tcPr>
          <w:p w14:paraId="635D802E" w14:textId="77777777" w:rsidR="007D17D1" w:rsidRPr="00045835" w:rsidRDefault="00A15CF8" w:rsidP="007D17D1">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45835">
              <w:rPr>
                <w:rFonts w:ascii="Arial" w:hAnsi="Arial" w:cs="Arial"/>
                <w:sz w:val="16"/>
                <w:szCs w:val="16"/>
              </w:rPr>
              <w:t>Permits up to 100% foreign ownership in QSR/restaurants; approvals, tax concessions</w:t>
            </w:r>
          </w:p>
        </w:tc>
      </w:tr>
      <w:tr w:rsidR="007D17D1" w14:paraId="13DF0F5F" w14:textId="77777777" w:rsidTr="007D17D1">
        <w:tc>
          <w:tcPr>
            <w:cnfStyle w:val="001000000000" w:firstRow="0" w:lastRow="0" w:firstColumn="1" w:lastColumn="0" w:oddVBand="0" w:evenVBand="0" w:oddHBand="0" w:evenHBand="0" w:firstRowFirstColumn="0" w:firstRowLastColumn="0" w:lastRowFirstColumn="0" w:lastRowLastColumn="0"/>
            <w:tcW w:w="2802" w:type="dxa"/>
          </w:tcPr>
          <w:p w14:paraId="6C79ACBC" w14:textId="77777777" w:rsidR="007D17D1" w:rsidRPr="00045835" w:rsidRDefault="007D17D1" w:rsidP="007D17D1">
            <w:pPr>
              <w:pStyle w:val="BodyText"/>
              <w:spacing w:line="360" w:lineRule="auto"/>
              <w:rPr>
                <w:rFonts w:ascii="Arial" w:hAnsi="Arial" w:cs="Arial"/>
                <w:sz w:val="16"/>
                <w:szCs w:val="16"/>
              </w:rPr>
            </w:pPr>
            <w:r w:rsidRPr="00045835">
              <w:rPr>
                <w:rFonts w:ascii="Arial" w:hAnsi="Arial" w:cs="Arial"/>
                <w:sz w:val="16"/>
                <w:szCs w:val="16"/>
              </w:rPr>
              <w:t>Land ownership</w:t>
            </w:r>
            <w:r w:rsidR="00A15CF8" w:rsidRPr="00045835">
              <w:rPr>
                <w:rFonts w:ascii="Arial" w:hAnsi="Arial" w:cs="Arial"/>
                <w:sz w:val="16"/>
                <w:szCs w:val="16"/>
              </w:rPr>
              <w:t xml:space="preserve"> restrictions</w:t>
            </w:r>
          </w:p>
        </w:tc>
        <w:tc>
          <w:tcPr>
            <w:tcW w:w="3582" w:type="dxa"/>
          </w:tcPr>
          <w:p w14:paraId="12E4A44E" w14:textId="77777777" w:rsidR="007D17D1" w:rsidRPr="00045835" w:rsidRDefault="00A15CF8" w:rsidP="007D17D1">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45835">
              <w:rPr>
                <w:rFonts w:ascii="Arial" w:hAnsi="Arial" w:cs="Arial"/>
                <w:sz w:val="16"/>
                <w:szCs w:val="16"/>
              </w:rPr>
              <w:t>Ministry of Lands / general law</w:t>
            </w:r>
          </w:p>
        </w:tc>
        <w:tc>
          <w:tcPr>
            <w:tcW w:w="3192" w:type="dxa"/>
          </w:tcPr>
          <w:p w14:paraId="68800F7D" w14:textId="77777777" w:rsidR="007D17D1" w:rsidRPr="00045835" w:rsidRDefault="00A15CF8" w:rsidP="007D17D1">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45835">
              <w:rPr>
                <w:rFonts w:ascii="Arial" w:hAnsi="Arial" w:cs="Arial"/>
                <w:sz w:val="16"/>
                <w:szCs w:val="16"/>
              </w:rPr>
              <w:t>Bars land sale to foreign entities; caps land acquisition by &gt;50% foreign-owned firms — blunts real-estate-based profit model</w:t>
            </w:r>
          </w:p>
        </w:tc>
      </w:tr>
      <w:tr w:rsidR="00A15CF8" w14:paraId="336BB714" w14:textId="77777777" w:rsidTr="007D17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6F5D64A2" w14:textId="77777777" w:rsidR="00A15CF8" w:rsidRPr="00045835" w:rsidRDefault="00A15CF8" w:rsidP="00A15CF8">
            <w:pPr>
              <w:pStyle w:val="BodyText"/>
              <w:spacing w:line="360" w:lineRule="auto"/>
              <w:rPr>
                <w:rFonts w:ascii="Arial" w:hAnsi="Arial" w:cs="Arial"/>
                <w:sz w:val="16"/>
                <w:szCs w:val="16"/>
              </w:rPr>
            </w:pPr>
            <w:r w:rsidRPr="00045835">
              <w:rPr>
                <w:rFonts w:ascii="Arial" w:hAnsi="Arial" w:cs="Arial"/>
                <w:sz w:val="16"/>
                <w:szCs w:val="16"/>
              </w:rPr>
              <w:lastRenderedPageBreak/>
              <w:t>Food Act No. 26 of 1980 (amended 1991, 2011)</w:t>
            </w:r>
          </w:p>
        </w:tc>
        <w:tc>
          <w:tcPr>
            <w:tcW w:w="3582" w:type="dxa"/>
          </w:tcPr>
          <w:p w14:paraId="6CEA92BC" w14:textId="77777777" w:rsidR="00A15CF8" w:rsidRPr="00045835" w:rsidRDefault="00A15CF8" w:rsidP="00A15CF8">
            <w:pPr>
              <w:pStyle w:val="Compac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45835">
              <w:rPr>
                <w:rFonts w:ascii="Arial" w:hAnsi="Arial" w:cs="Arial"/>
                <w:sz w:val="16"/>
                <w:szCs w:val="16"/>
              </w:rPr>
              <w:t>Ministry of Health</w:t>
            </w:r>
          </w:p>
        </w:tc>
        <w:tc>
          <w:tcPr>
            <w:tcW w:w="3192" w:type="dxa"/>
          </w:tcPr>
          <w:p w14:paraId="7E0C281C" w14:textId="77777777" w:rsidR="00A15CF8" w:rsidRPr="00045835" w:rsidRDefault="00A15CF8" w:rsidP="00A15CF8">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45835">
              <w:rPr>
                <w:rFonts w:ascii="Arial" w:hAnsi="Arial" w:cs="Arial"/>
                <w:sz w:val="16"/>
                <w:szCs w:val="16"/>
              </w:rPr>
              <w:t>Governs hygiene, labelling, import and sale of food; basis of 2024 court injunction</w:t>
            </w:r>
          </w:p>
        </w:tc>
      </w:tr>
      <w:tr w:rsidR="00A15CF8" w14:paraId="4EEB630A" w14:textId="77777777" w:rsidTr="007D17D1">
        <w:tc>
          <w:tcPr>
            <w:cnfStyle w:val="001000000000" w:firstRow="0" w:lastRow="0" w:firstColumn="1" w:lastColumn="0" w:oddVBand="0" w:evenVBand="0" w:oddHBand="0" w:evenHBand="0" w:firstRowFirstColumn="0" w:firstRowLastColumn="0" w:lastRowFirstColumn="0" w:lastRowLastColumn="0"/>
            <w:tcW w:w="2802" w:type="dxa"/>
          </w:tcPr>
          <w:p w14:paraId="465B4C50" w14:textId="77777777" w:rsidR="00A15CF8" w:rsidRPr="00045835" w:rsidRDefault="00A15CF8" w:rsidP="00A15CF8">
            <w:pPr>
              <w:pStyle w:val="BodyText"/>
              <w:spacing w:line="360" w:lineRule="auto"/>
              <w:rPr>
                <w:rFonts w:ascii="Arial" w:hAnsi="Arial" w:cs="Arial"/>
                <w:sz w:val="16"/>
                <w:szCs w:val="16"/>
              </w:rPr>
            </w:pPr>
            <w:r w:rsidRPr="00045835">
              <w:rPr>
                <w:rFonts w:ascii="Arial" w:hAnsi="Arial" w:cs="Arial"/>
                <w:sz w:val="16"/>
                <w:szCs w:val="16"/>
              </w:rPr>
              <w:t>Consumer Protection Act (Cap. 219)</w:t>
            </w:r>
          </w:p>
        </w:tc>
        <w:tc>
          <w:tcPr>
            <w:tcW w:w="3582" w:type="dxa"/>
          </w:tcPr>
          <w:p w14:paraId="378B6EEE" w14:textId="77777777" w:rsidR="00A15CF8" w:rsidRPr="00045835" w:rsidRDefault="00A15CF8" w:rsidP="00A15CF8">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45835">
              <w:rPr>
                <w:rFonts w:ascii="Arial" w:hAnsi="Arial" w:cs="Arial"/>
                <w:sz w:val="16"/>
                <w:szCs w:val="16"/>
              </w:rPr>
              <w:t>Consumer Affairs Authority (CAA)</w:t>
            </w:r>
          </w:p>
        </w:tc>
        <w:tc>
          <w:tcPr>
            <w:tcW w:w="3192" w:type="dxa"/>
          </w:tcPr>
          <w:p w14:paraId="7B2B8071" w14:textId="77777777" w:rsidR="00A15CF8" w:rsidRPr="00045835" w:rsidRDefault="00A15CF8" w:rsidP="00A15CF8">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45835">
              <w:rPr>
                <w:rFonts w:ascii="Arial" w:hAnsi="Arial" w:cs="Arial"/>
                <w:sz w:val="16"/>
                <w:szCs w:val="16"/>
              </w:rPr>
              <w:t>Additional enforcement layer for quality/consumer complaints</w:t>
            </w:r>
          </w:p>
        </w:tc>
      </w:tr>
      <w:tr w:rsidR="00A15CF8" w14:paraId="3084289F" w14:textId="77777777" w:rsidTr="007D17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3743575E" w14:textId="77777777" w:rsidR="00A15CF8" w:rsidRPr="00045835" w:rsidRDefault="00A15CF8" w:rsidP="00A15CF8">
            <w:pPr>
              <w:pStyle w:val="BodyText"/>
              <w:spacing w:line="360" w:lineRule="auto"/>
              <w:rPr>
                <w:rFonts w:ascii="Arial" w:hAnsi="Arial" w:cs="Arial"/>
                <w:sz w:val="16"/>
                <w:szCs w:val="16"/>
              </w:rPr>
            </w:pPr>
            <w:r w:rsidRPr="00045835">
              <w:rPr>
                <w:rFonts w:ascii="Arial" w:hAnsi="Arial" w:cs="Arial"/>
                <w:sz w:val="16"/>
                <w:szCs w:val="16"/>
              </w:rPr>
              <w:t>Commercial High Court jurisdiction</w:t>
            </w:r>
          </w:p>
        </w:tc>
        <w:tc>
          <w:tcPr>
            <w:tcW w:w="3582" w:type="dxa"/>
          </w:tcPr>
          <w:p w14:paraId="2D7B77BB" w14:textId="77777777" w:rsidR="00A15CF8" w:rsidRPr="00045835" w:rsidRDefault="00A15CF8" w:rsidP="00A15CF8">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45835">
              <w:rPr>
                <w:rFonts w:ascii="Arial" w:hAnsi="Arial" w:cs="Arial"/>
                <w:sz w:val="16"/>
                <w:szCs w:val="16"/>
              </w:rPr>
              <w:t>Judiciary</w:t>
            </w:r>
          </w:p>
        </w:tc>
        <w:tc>
          <w:tcPr>
            <w:tcW w:w="3192" w:type="dxa"/>
          </w:tcPr>
          <w:p w14:paraId="74AD1ED1" w14:textId="77777777" w:rsidR="00A15CF8" w:rsidRPr="00045835" w:rsidRDefault="00A15CF8" w:rsidP="00A15CF8">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45835">
              <w:rPr>
                <w:rFonts w:ascii="Arial" w:hAnsi="Arial" w:cs="Arial"/>
                <w:sz w:val="16"/>
                <w:szCs w:val="16"/>
              </w:rPr>
              <w:t>Demonstrated capacity to grant rapid injunctive relief in franchise disputes</w:t>
            </w:r>
          </w:p>
        </w:tc>
      </w:tr>
      <w:tr w:rsidR="00A15CF8" w14:paraId="3F6D4342" w14:textId="77777777" w:rsidTr="007D17D1">
        <w:tc>
          <w:tcPr>
            <w:cnfStyle w:val="001000000000" w:firstRow="0" w:lastRow="0" w:firstColumn="1" w:lastColumn="0" w:oddVBand="0" w:evenVBand="0" w:oddHBand="0" w:evenHBand="0" w:firstRowFirstColumn="0" w:firstRowLastColumn="0" w:lastRowFirstColumn="0" w:lastRowLastColumn="0"/>
            <w:tcW w:w="2802" w:type="dxa"/>
          </w:tcPr>
          <w:p w14:paraId="5917166E" w14:textId="77777777" w:rsidR="00A15CF8" w:rsidRPr="00045835" w:rsidRDefault="00A15CF8" w:rsidP="00A15CF8">
            <w:pPr>
              <w:pStyle w:val="BodyText"/>
              <w:spacing w:line="360" w:lineRule="auto"/>
              <w:rPr>
                <w:rFonts w:ascii="Arial" w:hAnsi="Arial" w:cs="Arial"/>
                <w:sz w:val="16"/>
                <w:szCs w:val="16"/>
              </w:rPr>
            </w:pPr>
            <w:r w:rsidRPr="00045835">
              <w:rPr>
                <w:rFonts w:ascii="Arial" w:hAnsi="Arial" w:cs="Arial"/>
                <w:sz w:val="16"/>
                <w:szCs w:val="16"/>
              </w:rPr>
              <w:t>Colombo Port City</w:t>
            </w:r>
          </w:p>
        </w:tc>
        <w:tc>
          <w:tcPr>
            <w:tcW w:w="3582" w:type="dxa"/>
          </w:tcPr>
          <w:p w14:paraId="65C45C6A" w14:textId="77777777" w:rsidR="00A15CF8" w:rsidRPr="00045835" w:rsidRDefault="00A15CF8" w:rsidP="00A15CF8">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45835">
              <w:rPr>
                <w:rFonts w:ascii="Arial" w:hAnsi="Arial" w:cs="Arial"/>
                <w:sz w:val="16"/>
                <w:szCs w:val="16"/>
              </w:rPr>
              <w:t>Port City Commission</w:t>
            </w:r>
          </w:p>
        </w:tc>
        <w:tc>
          <w:tcPr>
            <w:tcW w:w="3192" w:type="dxa"/>
          </w:tcPr>
          <w:p w14:paraId="391A4246" w14:textId="77777777" w:rsidR="00A15CF8" w:rsidRPr="00045835" w:rsidRDefault="00A15CF8" w:rsidP="00A15CF8">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45835">
              <w:rPr>
                <w:rFonts w:ascii="Arial" w:hAnsi="Arial" w:cs="Arial"/>
                <w:sz w:val="16"/>
                <w:szCs w:val="16"/>
              </w:rPr>
              <w:t xml:space="preserve">Fully </w:t>
            </w:r>
            <w:proofErr w:type="spellStart"/>
            <w:r w:rsidRPr="00045835">
              <w:rPr>
                <w:rFonts w:ascii="Arial" w:hAnsi="Arial" w:cs="Arial"/>
                <w:sz w:val="16"/>
                <w:szCs w:val="16"/>
              </w:rPr>
              <w:t>liberalised</w:t>
            </w:r>
            <w:proofErr w:type="spellEnd"/>
            <w:r w:rsidRPr="00045835">
              <w:rPr>
                <w:rFonts w:ascii="Arial" w:hAnsi="Arial" w:cs="Arial"/>
                <w:sz w:val="16"/>
                <w:szCs w:val="16"/>
              </w:rPr>
              <w:t xml:space="preserve"> alternative zone; no foreign-</w:t>
            </w:r>
          </w:p>
        </w:tc>
      </w:tr>
      <w:tr w:rsidR="00A15CF8" w14:paraId="4FE91907" w14:textId="77777777" w:rsidTr="007D17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5DBA0DEC" w14:textId="77777777" w:rsidR="00A15CF8" w:rsidRPr="00045835" w:rsidRDefault="00A15CF8" w:rsidP="00A15CF8">
            <w:pPr>
              <w:pStyle w:val="BodyText"/>
              <w:spacing w:line="360" w:lineRule="auto"/>
              <w:rPr>
                <w:rFonts w:ascii="Arial" w:hAnsi="Arial" w:cs="Arial"/>
                <w:sz w:val="16"/>
                <w:szCs w:val="16"/>
              </w:rPr>
            </w:pPr>
            <w:r w:rsidRPr="00045835">
              <w:rPr>
                <w:rFonts w:ascii="Arial" w:hAnsi="Arial" w:cs="Arial"/>
                <w:sz w:val="16"/>
                <w:szCs w:val="16"/>
              </w:rPr>
              <w:t>regime</w:t>
            </w:r>
          </w:p>
        </w:tc>
        <w:tc>
          <w:tcPr>
            <w:tcW w:w="3582" w:type="dxa"/>
          </w:tcPr>
          <w:p w14:paraId="45B4F37F" w14:textId="77777777" w:rsidR="00A15CF8" w:rsidRPr="00045835" w:rsidRDefault="00A15CF8" w:rsidP="00A15CF8">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45835">
              <w:rPr>
                <w:rFonts w:ascii="Arial" w:hAnsi="Arial" w:cs="Arial"/>
                <w:sz w:val="16"/>
                <w:szCs w:val="16"/>
              </w:rPr>
              <w:t>Commission</w:t>
            </w:r>
          </w:p>
        </w:tc>
        <w:tc>
          <w:tcPr>
            <w:tcW w:w="3192" w:type="dxa"/>
          </w:tcPr>
          <w:p w14:paraId="49EE2408" w14:textId="77777777" w:rsidR="00A15CF8" w:rsidRPr="00045835" w:rsidRDefault="00A15CF8" w:rsidP="00A15CF8">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45835">
              <w:rPr>
                <w:rFonts w:ascii="Arial" w:hAnsi="Arial" w:cs="Arial"/>
                <w:sz w:val="16"/>
                <w:szCs w:val="16"/>
              </w:rPr>
              <w:t>ownership caps, guaranteed repatriation</w:t>
            </w:r>
          </w:p>
        </w:tc>
      </w:tr>
    </w:tbl>
    <w:p w14:paraId="5483A8E0" w14:textId="77777777" w:rsidR="004C64B9" w:rsidRPr="003E78B1" w:rsidRDefault="004C64B9" w:rsidP="003E78B1">
      <w:pPr>
        <w:pStyle w:val="BodyText"/>
        <w:spacing w:line="360" w:lineRule="auto"/>
        <w:rPr>
          <w:rFonts w:ascii="Arial" w:hAnsi="Arial" w:cs="Arial"/>
          <w:sz w:val="22"/>
          <w:szCs w:val="22"/>
        </w:rPr>
      </w:pPr>
    </w:p>
    <w:p w14:paraId="7C38AB19" w14:textId="1C0FB8F7" w:rsidR="00CB2E36" w:rsidRDefault="00E76073" w:rsidP="003E78B1">
      <w:pPr>
        <w:pStyle w:val="Heading3"/>
        <w:spacing w:line="360" w:lineRule="auto"/>
        <w:rPr>
          <w:rFonts w:ascii="Arial" w:hAnsi="Arial" w:cs="Arial"/>
          <w:sz w:val="28"/>
          <w:szCs w:val="28"/>
        </w:rPr>
      </w:pPr>
      <w:bookmarkStart w:id="16" w:name="cultural-factors-a-hofstede-analysis"/>
      <w:bookmarkStart w:id="17" w:name="_Toc236052394"/>
      <w:r>
        <w:rPr>
          <w:rFonts w:ascii="Arial" w:hAnsi="Arial" w:cs="Arial"/>
          <w:sz w:val="28"/>
          <w:szCs w:val="28"/>
        </w:rPr>
        <w:t>d)</w:t>
      </w:r>
      <w:r w:rsidR="006165BC" w:rsidRPr="00CC0A3F">
        <w:rPr>
          <w:rFonts w:ascii="Arial" w:hAnsi="Arial" w:cs="Arial"/>
          <w:sz w:val="28"/>
          <w:szCs w:val="28"/>
        </w:rPr>
        <w:t>Cultural Factors: A Hofstede Analysis</w:t>
      </w:r>
      <w:bookmarkEnd w:id="16"/>
      <w:bookmarkEnd w:id="17"/>
    </w:p>
    <w:p w14:paraId="1FF0E6BE" w14:textId="7B6B8D95" w:rsidR="00A15CF8" w:rsidRDefault="00A15CF8" w:rsidP="009A2CE1">
      <w:pPr>
        <w:pStyle w:val="CaptionedFigure"/>
        <w:spacing w:line="360" w:lineRule="auto"/>
        <w:rPr>
          <w:rFonts w:ascii="Arial" w:hAnsi="Arial" w:cs="Arial"/>
          <w:sz w:val="22"/>
          <w:szCs w:val="22"/>
        </w:rPr>
      </w:pPr>
      <w:r w:rsidRPr="00A15CF8">
        <w:rPr>
          <w:rFonts w:ascii="Arial" w:hAnsi="Arial" w:cs="Arial"/>
          <w:sz w:val="22"/>
          <w:szCs w:val="22"/>
        </w:rPr>
        <w:t>Sri Lanka is a religiously plural, Sinhala-Buddhist-majority society: Buddhists constitute approximately 70.2% of the population, with Hindus (12.6%), Muslims (9.7%) and Christians (6.1%) forming significant minorities (Wikipedia, 2026). To move beyond a purely descriptive account of this plurality, this section applies Hofstede's (1980, 2001) cultural dimensions theory, benchmarking Sri Lanka against the United States — McDonald's home culture and the origin of its operating standards — to identify the cultural distance the firm must manage in any re-entry.</w:t>
      </w:r>
    </w:p>
    <w:p w14:paraId="429ED8C7" w14:textId="77777777" w:rsidR="007A3D43" w:rsidRPr="009A2CE1" w:rsidRDefault="007A3D43" w:rsidP="009A2CE1">
      <w:pPr>
        <w:pStyle w:val="CaptionedFigure"/>
        <w:spacing w:line="360" w:lineRule="auto"/>
        <w:rPr>
          <w:rFonts w:ascii="Arial" w:hAnsi="Arial" w:cs="Arial"/>
          <w:sz w:val="22"/>
          <w:szCs w:val="22"/>
        </w:rPr>
      </w:pPr>
    </w:p>
    <w:p w14:paraId="1D2AF6B3" w14:textId="70463AFC" w:rsidR="00A15CF8" w:rsidRPr="007A3D43" w:rsidRDefault="006165BC" w:rsidP="003E78B1">
      <w:pPr>
        <w:pStyle w:val="BodyText"/>
        <w:spacing w:line="360" w:lineRule="auto"/>
        <w:rPr>
          <w:rFonts w:ascii="Arial" w:hAnsi="Arial" w:cs="Arial"/>
          <w:b/>
          <w:color w:val="000000" w:themeColor="text1"/>
        </w:rPr>
      </w:pPr>
      <w:r w:rsidRPr="007A3D43">
        <w:rPr>
          <w:rFonts w:ascii="Arial" w:hAnsi="Arial" w:cs="Arial"/>
          <w:b/>
          <w:color w:val="000000" w:themeColor="text1"/>
        </w:rPr>
        <w:t>Table 2: Hofstede Dimension Scores and Strategic Implications for McDonald’s</w:t>
      </w:r>
    </w:p>
    <w:tbl>
      <w:tblPr>
        <w:tblStyle w:val="GridTable4-Accent5"/>
        <w:tblW w:w="0" w:type="auto"/>
        <w:tblLook w:val="04A0" w:firstRow="1" w:lastRow="0" w:firstColumn="1" w:lastColumn="0" w:noHBand="0" w:noVBand="1"/>
      </w:tblPr>
      <w:tblGrid>
        <w:gridCol w:w="1880"/>
        <w:gridCol w:w="1296"/>
        <w:gridCol w:w="1268"/>
        <w:gridCol w:w="1370"/>
        <w:gridCol w:w="3536"/>
      </w:tblGrid>
      <w:tr w:rsidR="00A15CF8" w14:paraId="6050E2CB" w14:textId="77777777" w:rsidTr="00F74D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0" w:type="dxa"/>
          </w:tcPr>
          <w:p w14:paraId="14470147" w14:textId="77777777" w:rsidR="00A15CF8" w:rsidRDefault="00A15CF8" w:rsidP="003E78B1">
            <w:pPr>
              <w:pStyle w:val="BodyText"/>
              <w:spacing w:line="360" w:lineRule="auto"/>
              <w:rPr>
                <w:rFonts w:ascii="Arial" w:hAnsi="Arial" w:cs="Arial"/>
                <w:sz w:val="22"/>
                <w:szCs w:val="22"/>
              </w:rPr>
            </w:pPr>
            <w:r w:rsidRPr="003E78B1">
              <w:rPr>
                <w:rFonts w:ascii="Arial" w:hAnsi="Arial" w:cs="Arial"/>
                <w:sz w:val="22"/>
                <w:szCs w:val="22"/>
              </w:rPr>
              <w:t>Dimension</w:t>
            </w:r>
          </w:p>
        </w:tc>
        <w:tc>
          <w:tcPr>
            <w:tcW w:w="1296" w:type="dxa"/>
          </w:tcPr>
          <w:p w14:paraId="0308C8E1" w14:textId="77777777" w:rsidR="00A15CF8" w:rsidRDefault="00A15CF8" w:rsidP="003E78B1">
            <w:pPr>
              <w:pStyle w:val="BodyTex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Sri Lanka</w:t>
            </w:r>
          </w:p>
        </w:tc>
        <w:tc>
          <w:tcPr>
            <w:tcW w:w="1268" w:type="dxa"/>
          </w:tcPr>
          <w:p w14:paraId="030F092D" w14:textId="77777777" w:rsidR="00A15CF8" w:rsidRDefault="00A15CF8" w:rsidP="003E78B1">
            <w:pPr>
              <w:pStyle w:val="BodyTex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USA</w:t>
            </w:r>
          </w:p>
        </w:tc>
        <w:tc>
          <w:tcPr>
            <w:tcW w:w="1370" w:type="dxa"/>
          </w:tcPr>
          <w:p w14:paraId="72DFC7FB" w14:textId="77777777" w:rsidR="00A15CF8" w:rsidRDefault="00A15CF8" w:rsidP="003E78B1">
            <w:pPr>
              <w:pStyle w:val="BodyTex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Gap</w:t>
            </w:r>
          </w:p>
        </w:tc>
        <w:tc>
          <w:tcPr>
            <w:tcW w:w="3536" w:type="dxa"/>
          </w:tcPr>
          <w:p w14:paraId="0E07E7B6" w14:textId="77777777" w:rsidR="00A15CF8" w:rsidRDefault="00A15CF8" w:rsidP="003E78B1">
            <w:pPr>
              <w:pStyle w:val="BodyTex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Implication for Re-Entry</w:t>
            </w:r>
          </w:p>
        </w:tc>
      </w:tr>
      <w:tr w:rsidR="00A15CF8" w14:paraId="267AD762" w14:textId="77777777" w:rsidTr="00F74D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0" w:type="dxa"/>
          </w:tcPr>
          <w:p w14:paraId="1A196FFF" w14:textId="77777777" w:rsidR="00A15CF8" w:rsidRPr="00B57DC1" w:rsidRDefault="00A15CF8" w:rsidP="00A15CF8">
            <w:pPr>
              <w:pStyle w:val="BodyText"/>
              <w:spacing w:line="360" w:lineRule="auto"/>
              <w:rPr>
                <w:rFonts w:ascii="Arial" w:hAnsi="Arial" w:cs="Arial"/>
                <w:b w:val="0"/>
                <w:bCs w:val="0"/>
                <w:sz w:val="16"/>
                <w:szCs w:val="16"/>
              </w:rPr>
            </w:pPr>
            <w:r w:rsidRPr="00B57DC1">
              <w:rPr>
                <w:rFonts w:ascii="Arial" w:hAnsi="Arial" w:cs="Arial"/>
                <w:b w:val="0"/>
                <w:bCs w:val="0"/>
                <w:sz w:val="16"/>
                <w:szCs w:val="16"/>
              </w:rPr>
              <w:t>Power Distance (PDI)</w:t>
            </w:r>
          </w:p>
        </w:tc>
        <w:tc>
          <w:tcPr>
            <w:tcW w:w="1296" w:type="dxa"/>
          </w:tcPr>
          <w:p w14:paraId="5CEA52D7" w14:textId="77777777" w:rsidR="00A15CF8" w:rsidRPr="00B57DC1" w:rsidRDefault="00A15CF8" w:rsidP="00A15CF8">
            <w:pPr>
              <w:pStyle w:val="Compac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B57DC1">
              <w:rPr>
                <w:rFonts w:ascii="Arial" w:hAnsi="Arial" w:cs="Arial"/>
                <w:sz w:val="16"/>
                <w:szCs w:val="16"/>
              </w:rPr>
              <w:t>80</w:t>
            </w:r>
          </w:p>
        </w:tc>
        <w:tc>
          <w:tcPr>
            <w:tcW w:w="1268" w:type="dxa"/>
          </w:tcPr>
          <w:p w14:paraId="2478EDB4" w14:textId="77777777" w:rsidR="00A15CF8" w:rsidRPr="00B57DC1" w:rsidRDefault="00A15CF8" w:rsidP="00A15CF8">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B57DC1">
              <w:rPr>
                <w:rFonts w:ascii="Arial" w:hAnsi="Arial" w:cs="Arial"/>
                <w:sz w:val="16"/>
                <w:szCs w:val="16"/>
              </w:rPr>
              <w:t>40</w:t>
            </w:r>
          </w:p>
        </w:tc>
        <w:tc>
          <w:tcPr>
            <w:tcW w:w="1370" w:type="dxa"/>
          </w:tcPr>
          <w:p w14:paraId="4E43E5EF" w14:textId="77777777" w:rsidR="00A15CF8" w:rsidRPr="00B57DC1" w:rsidRDefault="00A15CF8" w:rsidP="00A15CF8">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B57DC1">
              <w:rPr>
                <w:rFonts w:ascii="Arial" w:hAnsi="Arial" w:cs="Arial"/>
                <w:sz w:val="16"/>
                <w:szCs w:val="16"/>
              </w:rPr>
              <w:t>+40</w:t>
            </w:r>
          </w:p>
        </w:tc>
        <w:tc>
          <w:tcPr>
            <w:tcW w:w="3536" w:type="dxa"/>
          </w:tcPr>
          <w:p w14:paraId="1DD8EFF9" w14:textId="77777777" w:rsidR="00A15CF8" w:rsidRPr="00B57DC1" w:rsidRDefault="00A15CF8" w:rsidP="00A15CF8">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B57DC1">
              <w:rPr>
                <w:rFonts w:ascii="Arial" w:hAnsi="Arial" w:cs="Arial"/>
                <w:sz w:val="16"/>
                <w:szCs w:val="16"/>
              </w:rPr>
              <w:t>Sri Lankan staff expect hierarchical, directive management; McDonald’s standard “empowered crew member” training model (developed for a low-PDI culture) needs adaptation toward clearer top-down supervisory structures</w:t>
            </w:r>
          </w:p>
        </w:tc>
      </w:tr>
      <w:tr w:rsidR="00A15CF8" w14:paraId="3D1E9662" w14:textId="77777777" w:rsidTr="00F74D49">
        <w:tc>
          <w:tcPr>
            <w:cnfStyle w:val="001000000000" w:firstRow="0" w:lastRow="0" w:firstColumn="1" w:lastColumn="0" w:oddVBand="0" w:evenVBand="0" w:oddHBand="0" w:evenHBand="0" w:firstRowFirstColumn="0" w:firstRowLastColumn="0" w:lastRowFirstColumn="0" w:lastRowLastColumn="0"/>
            <w:tcW w:w="1880" w:type="dxa"/>
          </w:tcPr>
          <w:p w14:paraId="51A59FB8" w14:textId="77777777" w:rsidR="00A15CF8" w:rsidRPr="00B57DC1" w:rsidRDefault="00A15CF8" w:rsidP="00A15CF8">
            <w:pPr>
              <w:pStyle w:val="BodyText"/>
              <w:spacing w:line="360" w:lineRule="auto"/>
              <w:rPr>
                <w:rFonts w:ascii="Arial" w:hAnsi="Arial" w:cs="Arial"/>
                <w:b w:val="0"/>
                <w:bCs w:val="0"/>
                <w:sz w:val="16"/>
                <w:szCs w:val="16"/>
              </w:rPr>
            </w:pPr>
            <w:r w:rsidRPr="00B57DC1">
              <w:rPr>
                <w:rFonts w:ascii="Arial" w:hAnsi="Arial" w:cs="Arial"/>
                <w:b w:val="0"/>
                <w:bCs w:val="0"/>
                <w:sz w:val="16"/>
                <w:szCs w:val="16"/>
              </w:rPr>
              <w:lastRenderedPageBreak/>
              <w:t>Individualism (IDV)</w:t>
            </w:r>
          </w:p>
        </w:tc>
        <w:tc>
          <w:tcPr>
            <w:tcW w:w="1296" w:type="dxa"/>
          </w:tcPr>
          <w:p w14:paraId="59ED3CDE" w14:textId="77777777" w:rsidR="00A15CF8" w:rsidRPr="00B57DC1" w:rsidRDefault="00A15CF8" w:rsidP="00A15CF8">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B57DC1">
              <w:rPr>
                <w:rFonts w:ascii="Arial" w:hAnsi="Arial" w:cs="Arial"/>
                <w:sz w:val="16"/>
                <w:szCs w:val="16"/>
              </w:rPr>
              <w:t>35 (collectivist)</w:t>
            </w:r>
          </w:p>
        </w:tc>
        <w:tc>
          <w:tcPr>
            <w:tcW w:w="1268" w:type="dxa"/>
          </w:tcPr>
          <w:p w14:paraId="7D45077B" w14:textId="77777777" w:rsidR="00A15CF8" w:rsidRPr="00B57DC1" w:rsidRDefault="00A15CF8" w:rsidP="00A15CF8">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B57DC1">
              <w:rPr>
                <w:rFonts w:ascii="Arial" w:hAnsi="Arial" w:cs="Arial"/>
                <w:sz w:val="16"/>
                <w:szCs w:val="16"/>
              </w:rPr>
              <w:t>91 (individualist)</w:t>
            </w:r>
          </w:p>
        </w:tc>
        <w:tc>
          <w:tcPr>
            <w:tcW w:w="1370" w:type="dxa"/>
          </w:tcPr>
          <w:p w14:paraId="5C3CFD08" w14:textId="77777777" w:rsidR="00A15CF8" w:rsidRPr="00B57DC1" w:rsidRDefault="00A15CF8" w:rsidP="00A15CF8">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B57DC1">
              <w:rPr>
                <w:rFonts w:ascii="Arial" w:hAnsi="Arial" w:cs="Arial"/>
                <w:sz w:val="16"/>
                <w:szCs w:val="16"/>
              </w:rPr>
              <w:t>-56</w:t>
            </w:r>
          </w:p>
        </w:tc>
        <w:tc>
          <w:tcPr>
            <w:tcW w:w="3536" w:type="dxa"/>
          </w:tcPr>
          <w:p w14:paraId="2AC405C8" w14:textId="77777777" w:rsidR="00A15CF8" w:rsidRPr="00B57DC1" w:rsidRDefault="00A15CF8" w:rsidP="00A15CF8">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B57DC1">
              <w:rPr>
                <w:rFonts w:ascii="Arial" w:hAnsi="Arial" w:cs="Arial"/>
                <w:sz w:val="16"/>
                <w:szCs w:val="16"/>
              </w:rPr>
              <w:t xml:space="preserve">Marketing and in-store experience should </w:t>
            </w:r>
            <w:proofErr w:type="spellStart"/>
            <w:r w:rsidRPr="00B57DC1">
              <w:rPr>
                <w:rFonts w:ascii="Arial" w:hAnsi="Arial" w:cs="Arial"/>
                <w:sz w:val="16"/>
                <w:szCs w:val="16"/>
              </w:rPr>
              <w:t>emphasise</w:t>
            </w:r>
            <w:proofErr w:type="spellEnd"/>
            <w:r w:rsidRPr="00B57DC1">
              <w:rPr>
                <w:rFonts w:ascii="Arial" w:hAnsi="Arial" w:cs="Arial"/>
                <w:sz w:val="16"/>
                <w:szCs w:val="16"/>
              </w:rPr>
              <w:t xml:space="preserve"> family/group dining and community belonging rather than individual choice/</w:t>
            </w:r>
            <w:proofErr w:type="spellStart"/>
            <w:r w:rsidRPr="00B57DC1">
              <w:rPr>
                <w:rFonts w:ascii="Arial" w:hAnsi="Arial" w:cs="Arial"/>
                <w:sz w:val="16"/>
                <w:szCs w:val="16"/>
              </w:rPr>
              <w:t>customisation</w:t>
            </w:r>
            <w:proofErr w:type="spellEnd"/>
            <w:r w:rsidRPr="00B57DC1">
              <w:rPr>
                <w:rFonts w:ascii="Arial" w:hAnsi="Arial" w:cs="Arial"/>
                <w:sz w:val="16"/>
                <w:szCs w:val="16"/>
              </w:rPr>
              <w:t xml:space="preserve"> messaging used in the US</w:t>
            </w:r>
          </w:p>
        </w:tc>
      </w:tr>
      <w:tr w:rsidR="00A15CF8" w14:paraId="0A73D49F" w14:textId="77777777" w:rsidTr="00F74D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0" w:type="dxa"/>
          </w:tcPr>
          <w:p w14:paraId="597C0770" w14:textId="77777777" w:rsidR="00A15CF8" w:rsidRPr="003361A3" w:rsidRDefault="00A15CF8" w:rsidP="00A15CF8">
            <w:pPr>
              <w:pStyle w:val="BodyText"/>
              <w:spacing w:line="360" w:lineRule="auto"/>
              <w:rPr>
                <w:rFonts w:ascii="Arial" w:hAnsi="Arial" w:cs="Arial"/>
                <w:b w:val="0"/>
                <w:bCs w:val="0"/>
                <w:sz w:val="16"/>
                <w:szCs w:val="16"/>
              </w:rPr>
            </w:pPr>
            <w:r w:rsidRPr="003361A3">
              <w:rPr>
                <w:rFonts w:ascii="Arial" w:hAnsi="Arial" w:cs="Arial"/>
                <w:b w:val="0"/>
                <w:bCs w:val="0"/>
                <w:sz w:val="16"/>
                <w:szCs w:val="16"/>
              </w:rPr>
              <w:t>Masculinity (MAS)</w:t>
            </w:r>
          </w:p>
        </w:tc>
        <w:tc>
          <w:tcPr>
            <w:tcW w:w="1296" w:type="dxa"/>
          </w:tcPr>
          <w:p w14:paraId="06364BBA" w14:textId="77777777" w:rsidR="00A15CF8" w:rsidRPr="003361A3" w:rsidRDefault="00A15CF8" w:rsidP="00A15CF8">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361A3">
              <w:rPr>
                <w:rFonts w:ascii="Arial" w:hAnsi="Arial" w:cs="Arial"/>
                <w:sz w:val="16"/>
                <w:szCs w:val="16"/>
              </w:rPr>
              <w:t>10 (feminine)</w:t>
            </w:r>
          </w:p>
        </w:tc>
        <w:tc>
          <w:tcPr>
            <w:tcW w:w="1268" w:type="dxa"/>
          </w:tcPr>
          <w:p w14:paraId="6C03D198" w14:textId="77777777" w:rsidR="00A15CF8" w:rsidRPr="003361A3" w:rsidRDefault="00A15CF8" w:rsidP="00A15CF8">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361A3">
              <w:rPr>
                <w:rFonts w:ascii="Arial" w:hAnsi="Arial" w:cs="Arial"/>
                <w:sz w:val="16"/>
                <w:szCs w:val="16"/>
              </w:rPr>
              <w:t>62 (masculine)</w:t>
            </w:r>
          </w:p>
        </w:tc>
        <w:tc>
          <w:tcPr>
            <w:tcW w:w="1370" w:type="dxa"/>
          </w:tcPr>
          <w:p w14:paraId="698CA8CE" w14:textId="77777777" w:rsidR="00A15CF8" w:rsidRPr="003361A3" w:rsidRDefault="00A15CF8" w:rsidP="00A15CF8">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361A3">
              <w:rPr>
                <w:rFonts w:ascii="Arial" w:hAnsi="Arial" w:cs="Arial"/>
                <w:sz w:val="16"/>
                <w:szCs w:val="16"/>
              </w:rPr>
              <w:t>-52</w:t>
            </w:r>
          </w:p>
        </w:tc>
        <w:tc>
          <w:tcPr>
            <w:tcW w:w="3536" w:type="dxa"/>
          </w:tcPr>
          <w:p w14:paraId="5434D8F3" w14:textId="77777777" w:rsidR="00A15CF8" w:rsidRPr="003361A3" w:rsidRDefault="00A15CF8" w:rsidP="00A15CF8">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361A3">
              <w:rPr>
                <w:rFonts w:ascii="Arial" w:hAnsi="Arial" w:cs="Arial"/>
                <w:sz w:val="16"/>
                <w:szCs w:val="16"/>
              </w:rPr>
              <w:t xml:space="preserve">A “feminine”, consensus- and welfare-oriented culture </w:t>
            </w:r>
            <w:proofErr w:type="spellStart"/>
            <w:r w:rsidRPr="003361A3">
              <w:rPr>
                <w:rFonts w:ascii="Arial" w:hAnsi="Arial" w:cs="Arial"/>
                <w:sz w:val="16"/>
                <w:szCs w:val="16"/>
              </w:rPr>
              <w:t>favours</w:t>
            </w:r>
            <w:proofErr w:type="spellEnd"/>
            <w:r w:rsidRPr="003361A3">
              <w:rPr>
                <w:rFonts w:ascii="Arial" w:hAnsi="Arial" w:cs="Arial"/>
                <w:sz w:val="16"/>
                <w:szCs w:val="16"/>
              </w:rPr>
              <w:t xml:space="preserve"> cooperative franchisee relationships and modest, relationship-based negotiation over the competitive, results-driven style typical of US franchise management</w:t>
            </w:r>
          </w:p>
        </w:tc>
      </w:tr>
      <w:tr w:rsidR="00A15CF8" w14:paraId="151039B0" w14:textId="77777777" w:rsidTr="00F74D49">
        <w:tc>
          <w:tcPr>
            <w:cnfStyle w:val="001000000000" w:firstRow="0" w:lastRow="0" w:firstColumn="1" w:lastColumn="0" w:oddVBand="0" w:evenVBand="0" w:oddHBand="0" w:evenHBand="0" w:firstRowFirstColumn="0" w:firstRowLastColumn="0" w:lastRowFirstColumn="0" w:lastRowLastColumn="0"/>
            <w:tcW w:w="1880" w:type="dxa"/>
          </w:tcPr>
          <w:p w14:paraId="18B09249" w14:textId="77777777" w:rsidR="00A15CF8" w:rsidRPr="003361A3" w:rsidRDefault="001D42BD" w:rsidP="00A15CF8">
            <w:pPr>
              <w:pStyle w:val="BodyText"/>
              <w:spacing w:line="360" w:lineRule="auto"/>
              <w:rPr>
                <w:rFonts w:ascii="Arial" w:hAnsi="Arial" w:cs="Arial"/>
                <w:b w:val="0"/>
                <w:bCs w:val="0"/>
                <w:sz w:val="16"/>
                <w:szCs w:val="16"/>
              </w:rPr>
            </w:pPr>
            <w:r w:rsidRPr="003361A3">
              <w:rPr>
                <w:rFonts w:ascii="Arial" w:hAnsi="Arial" w:cs="Arial"/>
                <w:b w:val="0"/>
                <w:bCs w:val="0"/>
                <w:sz w:val="16"/>
                <w:szCs w:val="16"/>
              </w:rPr>
              <w:t>Uncertainty Avoidance (UAI)</w:t>
            </w:r>
          </w:p>
        </w:tc>
        <w:tc>
          <w:tcPr>
            <w:tcW w:w="1296" w:type="dxa"/>
          </w:tcPr>
          <w:p w14:paraId="48E8A8AD" w14:textId="77777777" w:rsidR="00A15CF8" w:rsidRPr="003361A3" w:rsidRDefault="001D42BD" w:rsidP="00A15CF8">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361A3">
              <w:rPr>
                <w:rFonts w:ascii="Arial" w:hAnsi="Arial" w:cs="Arial"/>
                <w:sz w:val="16"/>
                <w:szCs w:val="16"/>
              </w:rPr>
              <w:t>45</w:t>
            </w:r>
          </w:p>
        </w:tc>
        <w:tc>
          <w:tcPr>
            <w:tcW w:w="1268" w:type="dxa"/>
          </w:tcPr>
          <w:p w14:paraId="209BCA7E" w14:textId="77777777" w:rsidR="00A15CF8" w:rsidRPr="003361A3" w:rsidRDefault="001D42BD" w:rsidP="00A15CF8">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361A3">
              <w:rPr>
                <w:rFonts w:ascii="Arial" w:hAnsi="Arial" w:cs="Arial"/>
                <w:sz w:val="16"/>
                <w:szCs w:val="16"/>
              </w:rPr>
              <w:t>46</w:t>
            </w:r>
          </w:p>
        </w:tc>
        <w:tc>
          <w:tcPr>
            <w:tcW w:w="1370" w:type="dxa"/>
          </w:tcPr>
          <w:p w14:paraId="13B40EDB" w14:textId="77777777" w:rsidR="00A15CF8" w:rsidRPr="003361A3" w:rsidRDefault="001D42BD" w:rsidP="00A15CF8">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361A3">
              <w:rPr>
                <w:rFonts w:ascii="Arial" w:hAnsi="Arial" w:cs="Arial"/>
                <w:sz w:val="16"/>
                <w:szCs w:val="16"/>
              </w:rPr>
              <w:t>~0</w:t>
            </w:r>
          </w:p>
        </w:tc>
        <w:tc>
          <w:tcPr>
            <w:tcW w:w="3536" w:type="dxa"/>
          </w:tcPr>
          <w:p w14:paraId="7DAA9B2E" w14:textId="77777777" w:rsidR="00A15CF8" w:rsidRPr="003361A3" w:rsidRDefault="001D42BD" w:rsidP="00A15CF8">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361A3">
              <w:rPr>
                <w:rFonts w:ascii="Arial" w:hAnsi="Arial" w:cs="Arial"/>
                <w:sz w:val="16"/>
                <w:szCs w:val="16"/>
              </w:rPr>
              <w:t>Comparable tolerance for ambiguity — reduces the cultural (though not political/legal) barrier to introducing new operating procedures or a revised governance structure</w:t>
            </w:r>
          </w:p>
        </w:tc>
      </w:tr>
    </w:tbl>
    <w:p w14:paraId="567F54DF" w14:textId="77777777" w:rsidR="00E47789" w:rsidRPr="00E47789" w:rsidRDefault="0020121A" w:rsidP="003E78B1">
      <w:pPr>
        <w:pStyle w:val="BodyText"/>
        <w:spacing w:line="360" w:lineRule="auto"/>
        <w:rPr>
          <w:rFonts w:ascii="Arial" w:hAnsi="Arial" w:cs="Arial"/>
          <w:sz w:val="22"/>
          <w:szCs w:val="22"/>
        </w:rPr>
      </w:pPr>
      <w:r w:rsidRPr="00E47789">
        <w:rPr>
          <w:rFonts w:ascii="Arial" w:hAnsi="Arial" w:cs="Arial"/>
          <w:sz w:val="22"/>
          <w:szCs w:val="22"/>
        </w:rPr>
        <w:t>Source: Adapted from Hofstede (2001) and Hofstede Insights (2026).</w:t>
      </w:r>
    </w:p>
    <w:p w14:paraId="28E6DD6C" w14:textId="77777777" w:rsidR="00AF726A" w:rsidRDefault="00AF726A" w:rsidP="00AF726A">
      <w:pPr>
        <w:pStyle w:val="NormalWeb"/>
        <w:spacing w:before="0" w:beforeAutospacing="0" w:after="0" w:afterAutospacing="0" w:line="360" w:lineRule="auto"/>
        <w:rPr>
          <w:rFonts w:ascii="Arial" w:hAnsi="Arial" w:cs="Arial"/>
          <w:sz w:val="22"/>
          <w:szCs w:val="22"/>
        </w:rPr>
      </w:pPr>
      <w:bookmarkStart w:id="18" w:name="Xc2d9cbebdc3f175148205069cbc9973a9f8fd93"/>
      <w:r w:rsidRPr="00AF726A">
        <w:rPr>
          <w:rFonts w:ascii="Arial" w:hAnsi="Arial" w:cs="Arial"/>
          <w:sz w:val="22"/>
          <w:szCs w:val="22"/>
        </w:rPr>
        <w:t xml:space="preserve">As shown in </w:t>
      </w:r>
      <w:r w:rsidRPr="00AF726A">
        <w:rPr>
          <w:rStyle w:val="Strong"/>
          <w:rFonts w:ascii="Arial" w:hAnsi="Arial" w:cs="Arial"/>
          <w:sz w:val="22"/>
          <w:szCs w:val="22"/>
        </w:rPr>
        <w:t>Table 2</w:t>
      </w:r>
      <w:r w:rsidRPr="00AF726A">
        <w:rPr>
          <w:rFonts w:ascii="Arial" w:hAnsi="Arial" w:cs="Arial"/>
          <w:sz w:val="22"/>
          <w:szCs w:val="22"/>
        </w:rPr>
        <w:t xml:space="preserve">, cultural differences between Sri Lanka and the United States may affect McDonald’s operational and marketing strategies. The higher power distance and collectivist tendencies in Sri Lanka suggest the importance of maintaining strong relationships with local stakeholders and adapting management approaches to local expectations. However, McDonald’s must balance cultural adaptation with maintaining global brand consistency and operational </w:t>
      </w:r>
      <w:proofErr w:type="spellStart"/>
      <w:r w:rsidRPr="00AF726A">
        <w:rPr>
          <w:rFonts w:ascii="Arial" w:hAnsi="Arial" w:cs="Arial"/>
          <w:sz w:val="22"/>
          <w:szCs w:val="22"/>
        </w:rPr>
        <w:t>standards.</w:t>
      </w:r>
    </w:p>
    <w:p w14:paraId="044EA48F" w14:textId="49FA7853" w:rsidR="0085767E" w:rsidRPr="009D36CE" w:rsidRDefault="0085767E" w:rsidP="00AF726A">
      <w:pPr>
        <w:pStyle w:val="NormalWeb"/>
        <w:spacing w:before="0" w:beforeAutospacing="0" w:after="0" w:afterAutospacing="0" w:line="360" w:lineRule="auto"/>
        <w:rPr>
          <w:rFonts w:ascii="Arial" w:hAnsi="Arial" w:cs="Arial"/>
          <w:color w:val="0E101A"/>
          <w:sz w:val="22"/>
          <w:szCs w:val="22"/>
        </w:rPr>
      </w:pPr>
      <w:r w:rsidRPr="009D36CE">
        <w:rPr>
          <w:rFonts w:ascii="Arial" w:hAnsi="Arial" w:cs="Arial"/>
          <w:color w:val="0E101A"/>
          <w:sz w:val="22"/>
          <w:szCs w:val="22"/>
        </w:rPr>
        <w:t>A</w:t>
      </w:r>
      <w:proofErr w:type="spellEnd"/>
      <w:r w:rsidRPr="009D36CE">
        <w:rPr>
          <w:rFonts w:ascii="Arial" w:hAnsi="Arial" w:cs="Arial"/>
          <w:color w:val="0E101A"/>
          <w:sz w:val="22"/>
          <w:szCs w:val="22"/>
        </w:rPr>
        <w:t xml:space="preserve">n academic application of Hofstede’s model, since Sri Lanka is not among the countries with an officially published profile on Hofstede Insights, is itself a notable limitation of the framework’s coverage for smaller emerging markets. The US scores are taken from Hofstede Insights’ official country data. Long-Term Orientation and Indulgence are omitted for Sri Lanka </w:t>
      </w:r>
      <w:r w:rsidR="007A3D43">
        <w:rPr>
          <w:rFonts w:ascii="Arial" w:hAnsi="Arial" w:cs="Arial"/>
          <w:color w:val="0E101A"/>
          <w:sz w:val="22"/>
          <w:szCs w:val="22"/>
        </w:rPr>
        <w:t>due to</w:t>
      </w:r>
      <w:r w:rsidRPr="009D36CE">
        <w:rPr>
          <w:rFonts w:ascii="Arial" w:hAnsi="Arial" w:cs="Arial"/>
          <w:color w:val="0E101A"/>
          <w:sz w:val="22"/>
          <w:szCs w:val="22"/>
        </w:rPr>
        <w:t xml:space="preserve"> the same data </w:t>
      </w:r>
      <w:r w:rsidR="007A3D43">
        <w:rPr>
          <w:rFonts w:ascii="Arial" w:hAnsi="Arial" w:cs="Arial"/>
          <w:color w:val="0E101A"/>
          <w:sz w:val="22"/>
          <w:szCs w:val="22"/>
        </w:rPr>
        <w:t>availability issue</w:t>
      </w:r>
      <w:r w:rsidRPr="009D36CE">
        <w:rPr>
          <w:rFonts w:ascii="Arial" w:hAnsi="Arial" w:cs="Arial"/>
          <w:color w:val="0E101A"/>
          <w:sz w:val="22"/>
          <w:szCs w:val="22"/>
        </w:rPr>
        <w:t xml:space="preserve"> (Hofstede Insights, 2025).</w:t>
      </w:r>
    </w:p>
    <w:p w14:paraId="21EA6FDD" w14:textId="77777777" w:rsidR="002943E0" w:rsidRDefault="00F865B4" w:rsidP="00F865B4">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The significant gap in Power Distance scores—Sri Lanka’s 80 (high) versus the US’s 40 (low)—indicates that Sri Lankan employees may thrive in a hierarchical structure rather than the US's “shift-leader empowerment” model (Hofstede Insights, 2025). Hofstede notes that high power-distance societies tend to accept unequal authority, which can lead to reluctance in challenging management (Hofstede, 2010). This cultural dynamic may have contributed to the 2024 hygiene failure, as frontline staff might not have </w:t>
      </w:r>
      <w:r w:rsidR="002943E0">
        <w:rPr>
          <w:rFonts w:ascii="Arial" w:hAnsi="Arial" w:cs="Arial"/>
          <w:color w:val="0E101A"/>
          <w:sz w:val="22"/>
          <w:szCs w:val="22"/>
        </w:rPr>
        <w:t xml:space="preserve">effectively </w:t>
      </w:r>
      <w:r>
        <w:rPr>
          <w:rFonts w:ascii="Arial" w:hAnsi="Arial" w:cs="Arial"/>
          <w:color w:val="0E101A"/>
          <w:sz w:val="22"/>
          <w:szCs w:val="22"/>
        </w:rPr>
        <w:t xml:space="preserve">escalated quality concerns. </w:t>
      </w:r>
    </w:p>
    <w:p w14:paraId="77DC57B6" w14:textId="7BA91DD5" w:rsidR="00F865B4" w:rsidRDefault="00F865B4" w:rsidP="00F865B4">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This underscores the need for more frequent external audits and independent monitoring rather than relying solely on bottom-up reporting </w:t>
      </w:r>
      <w:proofErr w:type="spellStart"/>
      <w:r>
        <w:rPr>
          <w:rFonts w:ascii="Arial" w:hAnsi="Arial" w:cs="Arial"/>
          <w:color w:val="0E101A"/>
          <w:sz w:val="22"/>
          <w:szCs w:val="22"/>
        </w:rPr>
        <w:t>systems.</w:t>
      </w:r>
      <w:r w:rsidRPr="00F865B4">
        <w:rPr>
          <w:rFonts w:ascii="Arial" w:hAnsi="Arial" w:cs="Arial"/>
          <w:color w:val="0E101A"/>
          <w:sz w:val="22"/>
          <w:szCs w:val="22"/>
        </w:rPr>
        <w:t>The</w:t>
      </w:r>
      <w:proofErr w:type="spellEnd"/>
      <w:r w:rsidRPr="00F865B4">
        <w:rPr>
          <w:rFonts w:ascii="Arial" w:hAnsi="Arial" w:cs="Arial"/>
          <w:color w:val="0E101A"/>
          <w:sz w:val="22"/>
          <w:szCs w:val="22"/>
        </w:rPr>
        <w:t xml:space="preserve"> Individualism gap between Sri Lanka </w:t>
      </w:r>
      <w:r w:rsidRPr="00F865B4">
        <w:rPr>
          <w:rFonts w:ascii="Arial" w:hAnsi="Arial" w:cs="Arial"/>
          <w:color w:val="0E101A"/>
          <w:sz w:val="22"/>
          <w:szCs w:val="22"/>
        </w:rPr>
        <w:lastRenderedPageBreak/>
        <w:t>(35, collectivist) and the US (91, highly individualistic) impacts marketing strategies. In Sri Lanka, family and social relationships are prioriti</w:t>
      </w:r>
      <w:r w:rsidRPr="001C42F3">
        <w:rPr>
          <w:rFonts w:ascii="Arial" w:hAnsi="Arial" w:cs="Arial"/>
          <w:color w:val="0E101A"/>
          <w:sz w:val="22"/>
          <w:szCs w:val="22"/>
        </w:rPr>
        <w:t>s</w:t>
      </w:r>
      <w:r w:rsidRPr="00F865B4">
        <w:rPr>
          <w:rFonts w:ascii="Arial" w:hAnsi="Arial" w:cs="Arial"/>
          <w:color w:val="0E101A"/>
          <w:sz w:val="22"/>
          <w:szCs w:val="22"/>
        </w:rPr>
        <w:t>ed over personal preference</w:t>
      </w:r>
      <w:r w:rsidRPr="00EE192C">
        <w:rPr>
          <w:rFonts w:ascii="Arial" w:hAnsi="Arial" w:cs="Arial"/>
          <w:color w:val="0E101A"/>
          <w:sz w:val="22"/>
          <w:szCs w:val="22"/>
        </w:rPr>
        <w:t>s</w:t>
      </w:r>
      <w:r w:rsidRPr="00F865B4">
        <w:rPr>
          <w:rFonts w:ascii="Arial" w:hAnsi="Arial" w:cs="Arial"/>
          <w:color w:val="0E101A"/>
          <w:sz w:val="22"/>
          <w:szCs w:val="22"/>
        </w:rPr>
        <w:t xml:space="preserve">, suggesting that US-style advertisements </w:t>
      </w:r>
      <w:r w:rsidRPr="0054021B">
        <w:rPr>
          <w:rFonts w:ascii="Arial" w:hAnsi="Arial" w:cs="Arial"/>
          <w:color w:val="0E101A"/>
          <w:sz w:val="22"/>
          <w:szCs w:val="22"/>
        </w:rPr>
        <w:t>that focus</w:t>
      </w:r>
      <w:r w:rsidRPr="00F865B4">
        <w:rPr>
          <w:rFonts w:ascii="Arial" w:hAnsi="Arial" w:cs="Arial"/>
          <w:color w:val="0E101A"/>
          <w:sz w:val="22"/>
          <w:szCs w:val="22"/>
        </w:rPr>
        <w:t xml:space="preserve"> on individualism need </w:t>
      </w:r>
      <w:r w:rsidRPr="0054021B">
        <w:rPr>
          <w:rFonts w:ascii="Arial" w:hAnsi="Arial" w:cs="Arial"/>
          <w:color w:val="0E101A"/>
          <w:sz w:val="22"/>
          <w:szCs w:val="22"/>
        </w:rPr>
        <w:t>to be adapted</w:t>
      </w:r>
      <w:r w:rsidRPr="00F865B4">
        <w:rPr>
          <w:rFonts w:ascii="Arial" w:hAnsi="Arial" w:cs="Arial"/>
          <w:color w:val="0E101A"/>
          <w:sz w:val="22"/>
          <w:szCs w:val="22"/>
        </w:rPr>
        <w:t xml:space="preserve"> to emphasi</w:t>
      </w:r>
      <w:r w:rsidRPr="00EE192C">
        <w:rPr>
          <w:rFonts w:ascii="Arial" w:hAnsi="Arial" w:cs="Arial"/>
          <w:color w:val="0E101A"/>
          <w:sz w:val="22"/>
          <w:szCs w:val="22"/>
        </w:rPr>
        <w:t>s</w:t>
      </w:r>
      <w:r w:rsidRPr="00F865B4">
        <w:rPr>
          <w:rFonts w:ascii="Arial" w:hAnsi="Arial" w:cs="Arial"/>
          <w:color w:val="0E101A"/>
          <w:sz w:val="22"/>
          <w:szCs w:val="22"/>
        </w:rPr>
        <w:t xml:space="preserve">e shared experiences. </w:t>
      </w:r>
    </w:p>
    <w:p w14:paraId="37F95F08" w14:textId="784463F4" w:rsidR="00F865B4" w:rsidRDefault="00F865B4" w:rsidP="00F865B4">
      <w:pPr>
        <w:pStyle w:val="NormalWeb"/>
        <w:spacing w:before="0" w:beforeAutospacing="0" w:after="0" w:afterAutospacing="0" w:line="360" w:lineRule="auto"/>
        <w:rPr>
          <w:rFonts w:ascii="Arial" w:hAnsi="Arial" w:cs="Arial"/>
          <w:color w:val="0E101A"/>
          <w:sz w:val="22"/>
          <w:szCs w:val="22"/>
        </w:rPr>
      </w:pPr>
      <w:r w:rsidRPr="00F865B4">
        <w:rPr>
          <w:rFonts w:ascii="Arial" w:hAnsi="Arial" w:cs="Arial"/>
          <w:color w:val="0E101A"/>
          <w:sz w:val="22"/>
          <w:szCs w:val="22"/>
        </w:rPr>
        <w:t>Additionally, Sri Lanka's low Masculinity score (10 vs. US 62) indicates a cultural preference for cooperation, suggesting that McDonald's could benefit from building collaborative partnerships rather than purely transactional franchise agreements.</w:t>
      </w:r>
      <w:r>
        <w:rPr>
          <w:rFonts w:ascii="Arial" w:hAnsi="Arial" w:cs="Arial"/>
          <w:b/>
          <w:bCs/>
          <w:color w:val="0E101A"/>
          <w:sz w:val="22"/>
          <w:szCs w:val="22"/>
        </w:rPr>
        <w:t xml:space="preserve"> </w:t>
      </w:r>
      <w:r w:rsidRPr="00F865B4">
        <w:rPr>
          <w:rFonts w:ascii="Arial" w:hAnsi="Arial" w:cs="Arial"/>
          <w:color w:val="0E101A"/>
          <w:sz w:val="22"/>
          <w:szCs w:val="22"/>
        </w:rPr>
        <w:t xml:space="preserve">Both countries show similar Uncertainty Avoidance scores (Sri Lanka 45, US 46), indicating acceptance of formal procedures despite political and economic uncertainty. However, Hofstede’s framework has limitations, as it overlooks regional and ethnic differences within Sri Lanka, </w:t>
      </w:r>
      <w:r w:rsidR="00A26512">
        <w:rPr>
          <w:rFonts w:ascii="Arial" w:hAnsi="Arial" w:cs="Arial"/>
          <w:color w:val="0E101A"/>
          <w:sz w:val="22"/>
          <w:szCs w:val="22"/>
        </w:rPr>
        <w:t>a</w:t>
      </w:r>
      <w:r w:rsidRPr="00F865B4">
        <w:rPr>
          <w:rFonts w:ascii="Arial" w:hAnsi="Arial" w:cs="Arial"/>
          <w:color w:val="0E101A"/>
          <w:sz w:val="22"/>
          <w:szCs w:val="22"/>
        </w:rPr>
        <w:t xml:space="preserve"> culturally diverse </w:t>
      </w:r>
      <w:r w:rsidR="00A26512">
        <w:rPr>
          <w:rFonts w:ascii="Arial" w:hAnsi="Arial" w:cs="Arial"/>
          <w:color w:val="0E101A"/>
          <w:sz w:val="22"/>
          <w:szCs w:val="22"/>
        </w:rPr>
        <w:t xml:space="preserve">country </w:t>
      </w:r>
      <w:r w:rsidRPr="00F865B4">
        <w:rPr>
          <w:rFonts w:ascii="Arial" w:hAnsi="Arial" w:cs="Arial"/>
          <w:color w:val="0E101A"/>
          <w:sz w:val="22"/>
          <w:szCs w:val="22"/>
        </w:rPr>
        <w:t>with varying consumption behavio</w:t>
      </w:r>
      <w:r w:rsidRPr="001E1B91">
        <w:rPr>
          <w:rFonts w:ascii="Arial" w:hAnsi="Arial" w:cs="Arial"/>
          <w:color w:val="0E101A"/>
          <w:sz w:val="22"/>
          <w:szCs w:val="22"/>
        </w:rPr>
        <w:t>u</w:t>
      </w:r>
      <w:r w:rsidRPr="00F865B4">
        <w:rPr>
          <w:rFonts w:ascii="Arial" w:hAnsi="Arial" w:cs="Arial"/>
          <w:color w:val="0E101A"/>
          <w:sz w:val="22"/>
          <w:szCs w:val="22"/>
        </w:rPr>
        <w:t xml:space="preserve">rs. </w:t>
      </w:r>
      <w:r w:rsidR="00A26512">
        <w:rPr>
          <w:rFonts w:ascii="Arial" w:hAnsi="Arial" w:cs="Arial"/>
          <w:color w:val="0E101A"/>
          <w:sz w:val="22"/>
          <w:szCs w:val="22"/>
        </w:rPr>
        <w:t>Beef consumption in Sri Lanka varies by community, while chicken is widely accepted. Fast food, seen as modern and aspirational, competes with home-cooked meals and street food. McDonald's, with two decades of brand awareness, will face lower market-education costs upon re-entry. The educated workforce and established service sector facilitate recruitment; however, the 2024 franchise dispute and hygiene concerns emphasise the need for a strong QSR partner to ensure compliance and quality control.</w:t>
      </w:r>
    </w:p>
    <w:p w14:paraId="09E1C9DF" w14:textId="77777777" w:rsidR="00431E55" w:rsidRPr="00F865B4" w:rsidRDefault="00431E55" w:rsidP="00F865B4">
      <w:pPr>
        <w:pStyle w:val="NormalWeb"/>
        <w:spacing w:before="0" w:beforeAutospacing="0" w:after="0" w:afterAutospacing="0" w:line="360" w:lineRule="auto"/>
        <w:rPr>
          <w:rFonts w:ascii="Arial" w:hAnsi="Arial" w:cs="Arial"/>
          <w:color w:val="0E101A"/>
          <w:sz w:val="22"/>
          <w:szCs w:val="22"/>
        </w:rPr>
      </w:pPr>
    </w:p>
    <w:p w14:paraId="1700A8AF" w14:textId="6548E155" w:rsidR="00CB2E36" w:rsidRPr="00CC0A3F" w:rsidRDefault="00EE1D8E" w:rsidP="00F865B4">
      <w:pPr>
        <w:pStyle w:val="Heading3"/>
        <w:spacing w:line="360" w:lineRule="auto"/>
        <w:rPr>
          <w:rFonts w:ascii="Arial" w:hAnsi="Arial" w:cs="Arial"/>
          <w:sz w:val="28"/>
          <w:szCs w:val="28"/>
        </w:rPr>
      </w:pPr>
      <w:bookmarkStart w:id="19" w:name="_Toc236052395"/>
      <w:r>
        <w:rPr>
          <w:rFonts w:ascii="Arial" w:hAnsi="Arial" w:cs="Arial"/>
          <w:sz w:val="28"/>
          <w:szCs w:val="28"/>
        </w:rPr>
        <w:t>3.</w:t>
      </w:r>
      <w:r w:rsidR="009D36CE">
        <w:rPr>
          <w:rFonts w:ascii="Arial" w:hAnsi="Arial" w:cs="Arial"/>
          <w:sz w:val="28"/>
          <w:szCs w:val="28"/>
        </w:rPr>
        <w:t xml:space="preserve"> </w:t>
      </w:r>
      <w:r w:rsidR="006165BC" w:rsidRPr="00CC0A3F">
        <w:rPr>
          <w:rFonts w:ascii="Arial" w:hAnsi="Arial" w:cs="Arial"/>
          <w:sz w:val="28"/>
          <w:szCs w:val="28"/>
        </w:rPr>
        <w:t>Market Entry Synthesis: The Eclectic Paradigm (OLI Framework)</w:t>
      </w:r>
      <w:bookmarkEnd w:id="18"/>
      <w:bookmarkEnd w:id="19"/>
    </w:p>
    <w:p w14:paraId="1435991D" w14:textId="261636AD" w:rsidR="002433F4" w:rsidRPr="002433F4" w:rsidRDefault="002433F4" w:rsidP="002433F4">
      <w:pPr>
        <w:pStyle w:val="BodyText"/>
        <w:spacing w:line="360" w:lineRule="auto"/>
        <w:rPr>
          <w:rFonts w:ascii="Arial" w:hAnsi="Arial" w:cs="Arial"/>
          <w:sz w:val="22"/>
          <w:szCs w:val="22"/>
        </w:rPr>
      </w:pPr>
      <w:r w:rsidRPr="002433F4">
        <w:rPr>
          <w:rFonts w:ascii="Arial" w:hAnsi="Arial" w:cs="Arial"/>
          <w:sz w:val="22"/>
          <w:szCs w:val="22"/>
        </w:rPr>
        <w:t xml:space="preserve">Dunning’s (1988, 1993) eclectic paradigm posits that a firm will </w:t>
      </w:r>
      <w:proofErr w:type="spellStart"/>
      <w:r w:rsidRPr="002433F4">
        <w:rPr>
          <w:rFonts w:ascii="Arial" w:hAnsi="Arial" w:cs="Arial"/>
          <w:sz w:val="22"/>
          <w:szCs w:val="22"/>
        </w:rPr>
        <w:t>favo</w:t>
      </w:r>
      <w:r w:rsidR="00AA5191">
        <w:rPr>
          <w:rFonts w:ascii="Arial" w:hAnsi="Arial" w:cs="Arial"/>
          <w:sz w:val="22"/>
          <w:szCs w:val="22"/>
        </w:rPr>
        <w:t>u</w:t>
      </w:r>
      <w:r w:rsidRPr="002433F4">
        <w:rPr>
          <w:rFonts w:ascii="Arial" w:hAnsi="Arial" w:cs="Arial"/>
          <w:sz w:val="22"/>
          <w:szCs w:val="22"/>
        </w:rPr>
        <w:t>r</w:t>
      </w:r>
      <w:proofErr w:type="spellEnd"/>
      <w:r w:rsidRPr="002433F4">
        <w:rPr>
          <w:rFonts w:ascii="Arial" w:hAnsi="Arial" w:cs="Arial"/>
          <w:sz w:val="22"/>
          <w:szCs w:val="22"/>
        </w:rPr>
        <w:t xml:space="preserve"> hierarchical or equity-based foreign entry over arm’s-length exporting or licensing only when ownership (O), location (L), and </w:t>
      </w:r>
      <w:proofErr w:type="spellStart"/>
      <w:r w:rsidRPr="002433F4">
        <w:rPr>
          <w:rFonts w:ascii="Arial" w:hAnsi="Arial" w:cs="Arial"/>
          <w:sz w:val="22"/>
          <w:szCs w:val="22"/>
        </w:rPr>
        <w:t>internali</w:t>
      </w:r>
      <w:r w:rsidR="00AA5191">
        <w:rPr>
          <w:rFonts w:ascii="Arial" w:hAnsi="Arial" w:cs="Arial"/>
          <w:sz w:val="22"/>
          <w:szCs w:val="22"/>
        </w:rPr>
        <w:t>s</w:t>
      </w:r>
      <w:r w:rsidRPr="002433F4">
        <w:rPr>
          <w:rFonts w:ascii="Arial" w:hAnsi="Arial" w:cs="Arial"/>
          <w:sz w:val="22"/>
          <w:szCs w:val="22"/>
        </w:rPr>
        <w:t>ation</w:t>
      </w:r>
      <w:proofErr w:type="spellEnd"/>
      <w:r w:rsidRPr="002433F4">
        <w:rPr>
          <w:rFonts w:ascii="Arial" w:hAnsi="Arial" w:cs="Arial"/>
          <w:sz w:val="22"/>
          <w:szCs w:val="22"/>
        </w:rPr>
        <w:t xml:space="preserve"> (I) advantages collectively support that decision. </w:t>
      </w:r>
      <w:proofErr w:type="spellStart"/>
      <w:r w:rsidRPr="002433F4">
        <w:rPr>
          <w:rFonts w:ascii="Arial" w:hAnsi="Arial" w:cs="Arial"/>
          <w:sz w:val="22"/>
          <w:szCs w:val="22"/>
        </w:rPr>
        <w:t>Analy</w:t>
      </w:r>
      <w:r w:rsidR="00F865B4">
        <w:rPr>
          <w:rFonts w:ascii="Arial" w:hAnsi="Arial" w:cs="Arial"/>
          <w:sz w:val="22"/>
          <w:szCs w:val="22"/>
        </w:rPr>
        <w:t>s</w:t>
      </w:r>
      <w:r w:rsidRPr="002433F4">
        <w:rPr>
          <w:rFonts w:ascii="Arial" w:hAnsi="Arial" w:cs="Arial"/>
          <w:sz w:val="22"/>
          <w:szCs w:val="22"/>
        </w:rPr>
        <w:t>ing</w:t>
      </w:r>
      <w:proofErr w:type="spellEnd"/>
      <w:r w:rsidRPr="002433F4">
        <w:rPr>
          <w:rFonts w:ascii="Arial" w:hAnsi="Arial" w:cs="Arial"/>
          <w:sz w:val="22"/>
          <w:szCs w:val="22"/>
        </w:rPr>
        <w:t xml:space="preserve"> this framework in the context of McDonald’s potential re-entry into Sri Lanka illuminates </w:t>
      </w:r>
      <w:r w:rsidR="001F2F0E">
        <w:rPr>
          <w:rFonts w:ascii="Arial" w:hAnsi="Arial" w:cs="Arial"/>
          <w:sz w:val="22"/>
          <w:szCs w:val="22"/>
        </w:rPr>
        <w:t>th</w:t>
      </w:r>
      <w:r w:rsidRPr="002433F4">
        <w:rPr>
          <w:rFonts w:ascii="Arial" w:hAnsi="Arial" w:cs="Arial"/>
          <w:sz w:val="22"/>
          <w:szCs w:val="22"/>
        </w:rPr>
        <w:t>e strategic risks.</w:t>
      </w:r>
    </w:p>
    <w:p w14:paraId="0EDFE3F7" w14:textId="2839F2EE" w:rsidR="002433F4" w:rsidRPr="002433F4" w:rsidRDefault="002433F4" w:rsidP="002433F4">
      <w:pPr>
        <w:pStyle w:val="BodyText"/>
        <w:spacing w:line="360" w:lineRule="auto"/>
        <w:rPr>
          <w:rFonts w:ascii="Arial" w:hAnsi="Arial" w:cs="Arial"/>
          <w:sz w:val="22"/>
          <w:szCs w:val="22"/>
        </w:rPr>
      </w:pPr>
      <w:r w:rsidRPr="002433F4">
        <w:rPr>
          <w:rFonts w:ascii="Arial" w:hAnsi="Arial" w:cs="Arial"/>
          <w:b/>
          <w:bCs/>
          <w:sz w:val="22"/>
          <w:szCs w:val="22"/>
        </w:rPr>
        <w:t>Ownership Advantages:</w:t>
      </w:r>
      <w:r w:rsidRPr="002433F4">
        <w:rPr>
          <w:rFonts w:ascii="Arial" w:hAnsi="Arial" w:cs="Arial"/>
          <w:sz w:val="22"/>
          <w:szCs w:val="22"/>
        </w:rPr>
        <w:t xml:space="preserve"> McDonald’s ownership advantages are considerable and remain intact following </w:t>
      </w:r>
      <w:r w:rsidR="00663834">
        <w:rPr>
          <w:rFonts w:ascii="Arial" w:hAnsi="Arial" w:cs="Arial"/>
          <w:sz w:val="22"/>
          <w:szCs w:val="22"/>
        </w:rPr>
        <w:t>its</w:t>
      </w:r>
      <w:r w:rsidRPr="002433F4">
        <w:rPr>
          <w:rFonts w:ascii="Arial" w:hAnsi="Arial" w:cs="Arial"/>
          <w:sz w:val="22"/>
          <w:szCs w:val="22"/>
        </w:rPr>
        <w:t xml:space="preserve"> exit in 2024. The company retains globally transferable, firm-specific assets, including strong brand equity, a well-established operating system, </w:t>
      </w:r>
      <w:proofErr w:type="spellStart"/>
      <w:r w:rsidRPr="002433F4">
        <w:rPr>
          <w:rFonts w:ascii="Arial" w:hAnsi="Arial" w:cs="Arial"/>
          <w:sz w:val="22"/>
          <w:szCs w:val="22"/>
        </w:rPr>
        <w:t>standardi</w:t>
      </w:r>
      <w:r w:rsidR="00AA5191">
        <w:rPr>
          <w:rFonts w:ascii="Arial" w:hAnsi="Arial" w:cs="Arial"/>
          <w:sz w:val="22"/>
          <w:szCs w:val="22"/>
        </w:rPr>
        <w:t>s</w:t>
      </w:r>
      <w:r w:rsidRPr="002433F4">
        <w:rPr>
          <w:rFonts w:ascii="Arial" w:hAnsi="Arial" w:cs="Arial"/>
          <w:sz w:val="22"/>
          <w:szCs w:val="22"/>
        </w:rPr>
        <w:t>ed</w:t>
      </w:r>
      <w:proofErr w:type="spellEnd"/>
      <w:r w:rsidRPr="002433F4">
        <w:rPr>
          <w:rFonts w:ascii="Arial" w:hAnsi="Arial" w:cs="Arial"/>
          <w:sz w:val="22"/>
          <w:szCs w:val="22"/>
        </w:rPr>
        <w:t xml:space="preserve"> staff training through Hamburger University, and a robust global and regional supply chain. Notably, suppliers in India are well-positioned to support Sri Lanka, given their geographic proximity and alignment with McDonald’s menu architecture. Additionally, McDonald’s has developed a valuable digital ecosystem encompassing ordering, loyalty, and delivery services, which helps reduce the costs associated with rebuilding customer relationships. Importantly, the previous operational challenges in Sri Lanka stemmed from franchisee-level issues rather than </w:t>
      </w:r>
      <w:r>
        <w:rPr>
          <w:rFonts w:ascii="Arial" w:hAnsi="Arial" w:cs="Arial"/>
          <w:sz w:val="22"/>
          <w:szCs w:val="22"/>
        </w:rPr>
        <w:t xml:space="preserve">from </w:t>
      </w:r>
      <w:r w:rsidRPr="002433F4">
        <w:rPr>
          <w:rFonts w:ascii="Arial" w:hAnsi="Arial" w:cs="Arial"/>
          <w:sz w:val="22"/>
          <w:szCs w:val="22"/>
        </w:rPr>
        <w:t xml:space="preserve">a deterioration </w:t>
      </w:r>
      <w:r w:rsidRPr="002433F4">
        <w:rPr>
          <w:rFonts w:ascii="Arial" w:hAnsi="Arial" w:cs="Arial"/>
          <w:sz w:val="22"/>
          <w:szCs w:val="22"/>
        </w:rPr>
        <w:lastRenderedPageBreak/>
        <w:t xml:space="preserve">of McDonald’s core ownership advantages, a critical distinction </w:t>
      </w:r>
      <w:r>
        <w:rPr>
          <w:rFonts w:ascii="Arial" w:hAnsi="Arial" w:cs="Arial"/>
          <w:sz w:val="22"/>
          <w:szCs w:val="22"/>
        </w:rPr>
        <w:t>that will influence</w:t>
      </w:r>
      <w:r w:rsidRPr="002433F4">
        <w:rPr>
          <w:rFonts w:ascii="Arial" w:hAnsi="Arial" w:cs="Arial"/>
          <w:sz w:val="22"/>
          <w:szCs w:val="22"/>
        </w:rPr>
        <w:t xml:space="preserve"> future entry strategies.</w:t>
      </w:r>
    </w:p>
    <w:p w14:paraId="319D6537" w14:textId="07BB3849" w:rsidR="002433F4" w:rsidRPr="002433F4" w:rsidRDefault="002433F4" w:rsidP="002433F4">
      <w:pPr>
        <w:pStyle w:val="BodyText"/>
        <w:spacing w:line="360" w:lineRule="auto"/>
        <w:rPr>
          <w:rFonts w:ascii="Arial" w:hAnsi="Arial" w:cs="Arial"/>
          <w:sz w:val="22"/>
          <w:szCs w:val="22"/>
        </w:rPr>
      </w:pPr>
      <w:r w:rsidRPr="002433F4">
        <w:rPr>
          <w:rFonts w:ascii="Arial" w:hAnsi="Arial" w:cs="Arial"/>
          <w:b/>
          <w:bCs/>
          <w:sz w:val="22"/>
          <w:szCs w:val="22"/>
        </w:rPr>
        <w:t>Location Advantages:</w:t>
      </w:r>
      <w:r w:rsidRPr="002433F4">
        <w:rPr>
          <w:rFonts w:ascii="Arial" w:hAnsi="Arial" w:cs="Arial"/>
          <w:sz w:val="22"/>
          <w:szCs w:val="22"/>
        </w:rPr>
        <w:t xml:space="preserve"> While Sri Lanka presents some appealing location advantages, these are somewhat limited. Positive factors include a return to, albeit fragile, macroeconomic stability, record levels of tourism with a significant influx from India, a young and increasingly digitally connected urban demographic, and the latent brand equity and consumer familiarity from McDonald’s previous two decades in the market. Additionally, a liberal FDI/BOI regime allows for full foreign ownership of operating entities. However, challenges persist, including a relatively small population of around 22 million, modest per-capita income even in recovery, and land</w:t>
      </w:r>
      <w:r>
        <w:rPr>
          <w:rFonts w:ascii="Arial" w:hAnsi="Arial" w:cs="Arial"/>
          <w:sz w:val="22"/>
          <w:szCs w:val="22"/>
        </w:rPr>
        <w:t>-</w:t>
      </w:r>
      <w:r w:rsidRPr="002433F4">
        <w:rPr>
          <w:rFonts w:ascii="Arial" w:hAnsi="Arial" w:cs="Arial"/>
          <w:sz w:val="22"/>
          <w:szCs w:val="22"/>
        </w:rPr>
        <w:t>ownership restrictions that dampen the real estate-based profit mechanisms McDonald’s typically relies on in larger markets. These factors suggest that while renewed entry into Sri Lanka is justified, a capital-light approach would be more suitable than a capital-intensive model.</w:t>
      </w:r>
    </w:p>
    <w:p w14:paraId="1858CC13" w14:textId="2098BFF9" w:rsidR="002433F4" w:rsidRDefault="002433F4" w:rsidP="002433F4">
      <w:pPr>
        <w:pStyle w:val="BodyText"/>
        <w:spacing w:line="360" w:lineRule="auto"/>
        <w:rPr>
          <w:rFonts w:ascii="Arial" w:hAnsi="Arial" w:cs="Arial"/>
          <w:b/>
          <w:sz w:val="22"/>
          <w:szCs w:val="22"/>
        </w:rPr>
      </w:pPr>
      <w:proofErr w:type="spellStart"/>
      <w:r w:rsidRPr="002433F4">
        <w:rPr>
          <w:rFonts w:ascii="Arial" w:hAnsi="Arial" w:cs="Arial"/>
          <w:b/>
          <w:bCs/>
          <w:sz w:val="22"/>
          <w:szCs w:val="22"/>
        </w:rPr>
        <w:t>Internali</w:t>
      </w:r>
      <w:r>
        <w:rPr>
          <w:rFonts w:ascii="Arial" w:hAnsi="Arial" w:cs="Arial"/>
          <w:b/>
          <w:bCs/>
          <w:sz w:val="22"/>
          <w:szCs w:val="22"/>
        </w:rPr>
        <w:t>s</w:t>
      </w:r>
      <w:r w:rsidRPr="002433F4">
        <w:rPr>
          <w:rFonts w:ascii="Arial" w:hAnsi="Arial" w:cs="Arial"/>
          <w:b/>
          <w:bCs/>
          <w:sz w:val="22"/>
          <w:szCs w:val="22"/>
        </w:rPr>
        <w:t>ation</w:t>
      </w:r>
      <w:proofErr w:type="spellEnd"/>
      <w:r w:rsidRPr="002433F4">
        <w:rPr>
          <w:rFonts w:ascii="Arial" w:hAnsi="Arial" w:cs="Arial"/>
          <w:b/>
          <w:bCs/>
          <w:sz w:val="22"/>
          <w:szCs w:val="22"/>
        </w:rPr>
        <w:t xml:space="preserve"> Advantages:</w:t>
      </w:r>
      <w:r w:rsidRPr="002433F4">
        <w:rPr>
          <w:rFonts w:ascii="Arial" w:hAnsi="Arial" w:cs="Arial"/>
          <w:sz w:val="22"/>
          <w:szCs w:val="22"/>
        </w:rPr>
        <w:t xml:space="preserve"> The ne</w:t>
      </w:r>
      <w:r w:rsidR="00503D1A">
        <w:rPr>
          <w:rFonts w:ascii="Arial" w:hAnsi="Arial" w:cs="Arial"/>
          <w:sz w:val="22"/>
          <w:szCs w:val="22"/>
        </w:rPr>
        <w:t>ed</w:t>
      </w:r>
      <w:r w:rsidRPr="002433F4">
        <w:rPr>
          <w:rFonts w:ascii="Arial" w:hAnsi="Arial" w:cs="Arial"/>
          <w:sz w:val="22"/>
          <w:szCs w:val="22"/>
        </w:rPr>
        <w:t xml:space="preserve"> for hierarchical control over operating standards in the quick-service restaurant (QSR) sector is fundamental, particularly for perishable</w:t>
      </w:r>
      <w:r w:rsidR="00503D1A">
        <w:rPr>
          <w:rFonts w:ascii="Arial" w:hAnsi="Arial" w:cs="Arial"/>
          <w:sz w:val="22"/>
          <w:szCs w:val="22"/>
        </w:rPr>
        <w:t>,</w:t>
      </w:r>
      <w:r w:rsidRPr="002433F4">
        <w:rPr>
          <w:rFonts w:ascii="Arial" w:hAnsi="Arial" w:cs="Arial"/>
          <w:sz w:val="22"/>
          <w:szCs w:val="22"/>
        </w:rPr>
        <w:t xml:space="preserve"> service-focused businesses like McDonald’s. The period from 2022 to 2024 underscores the risks inherent in relying on loosely monitored master franchise agreements, especially when partnered with conglomerates that may not </w:t>
      </w:r>
      <w:proofErr w:type="spellStart"/>
      <w:r w:rsidRPr="002433F4">
        <w:rPr>
          <w:rFonts w:ascii="Arial" w:hAnsi="Arial" w:cs="Arial"/>
          <w:sz w:val="22"/>
          <w:szCs w:val="22"/>
        </w:rPr>
        <w:t>prioriti</w:t>
      </w:r>
      <w:r>
        <w:rPr>
          <w:rFonts w:ascii="Arial" w:hAnsi="Arial" w:cs="Arial"/>
          <w:sz w:val="22"/>
          <w:szCs w:val="22"/>
        </w:rPr>
        <w:t>s</w:t>
      </w:r>
      <w:r w:rsidRPr="002433F4">
        <w:rPr>
          <w:rFonts w:ascii="Arial" w:hAnsi="Arial" w:cs="Arial"/>
          <w:sz w:val="22"/>
          <w:szCs w:val="22"/>
        </w:rPr>
        <w:t>e</w:t>
      </w:r>
      <w:proofErr w:type="spellEnd"/>
      <w:r w:rsidRPr="002433F4">
        <w:rPr>
          <w:rFonts w:ascii="Arial" w:hAnsi="Arial" w:cs="Arial"/>
          <w:sz w:val="22"/>
          <w:szCs w:val="22"/>
        </w:rPr>
        <w:t xml:space="preserve"> QSR operations. This situation creates agency risks, particularly in the face of franchisee cost-cutting pressures. The path forward should not involve full </w:t>
      </w:r>
      <w:proofErr w:type="spellStart"/>
      <w:r w:rsidRPr="002433F4">
        <w:rPr>
          <w:rFonts w:ascii="Arial" w:hAnsi="Arial" w:cs="Arial"/>
          <w:sz w:val="22"/>
          <w:szCs w:val="22"/>
        </w:rPr>
        <w:t>internali</w:t>
      </w:r>
      <w:r>
        <w:rPr>
          <w:rFonts w:ascii="Arial" w:hAnsi="Arial" w:cs="Arial"/>
          <w:sz w:val="22"/>
          <w:szCs w:val="22"/>
        </w:rPr>
        <w:t>s</w:t>
      </w:r>
      <w:r w:rsidRPr="002433F4">
        <w:rPr>
          <w:rFonts w:ascii="Arial" w:hAnsi="Arial" w:cs="Arial"/>
          <w:sz w:val="22"/>
          <w:szCs w:val="22"/>
        </w:rPr>
        <w:t>ation</w:t>
      </w:r>
      <w:proofErr w:type="spellEnd"/>
      <w:r w:rsidRPr="002433F4">
        <w:rPr>
          <w:rFonts w:ascii="Arial" w:hAnsi="Arial" w:cs="Arial"/>
          <w:sz w:val="22"/>
          <w:szCs w:val="22"/>
        </w:rPr>
        <w:t xml:space="preserve"> or </w:t>
      </w:r>
      <w:proofErr w:type="spellStart"/>
      <w:r w:rsidRPr="002433F4">
        <w:rPr>
          <w:rFonts w:ascii="Arial" w:hAnsi="Arial" w:cs="Arial"/>
          <w:sz w:val="22"/>
          <w:szCs w:val="22"/>
        </w:rPr>
        <w:t>externali</w:t>
      </w:r>
      <w:r w:rsidR="00E672CA">
        <w:rPr>
          <w:rFonts w:ascii="Arial" w:hAnsi="Arial" w:cs="Arial"/>
          <w:sz w:val="22"/>
          <w:szCs w:val="22"/>
        </w:rPr>
        <w:t>s</w:t>
      </w:r>
      <w:r w:rsidRPr="002433F4">
        <w:rPr>
          <w:rFonts w:ascii="Arial" w:hAnsi="Arial" w:cs="Arial"/>
          <w:sz w:val="22"/>
          <w:szCs w:val="22"/>
        </w:rPr>
        <w:t>ation</w:t>
      </w:r>
      <w:proofErr w:type="spellEnd"/>
      <w:r w:rsidR="00C5695D">
        <w:rPr>
          <w:rFonts w:ascii="Arial" w:hAnsi="Arial" w:cs="Arial"/>
          <w:sz w:val="22"/>
          <w:szCs w:val="22"/>
        </w:rPr>
        <w:t>,</w:t>
      </w:r>
      <w:r w:rsidRPr="002433F4">
        <w:rPr>
          <w:rFonts w:ascii="Arial" w:hAnsi="Arial" w:cs="Arial"/>
          <w:sz w:val="22"/>
          <w:szCs w:val="22"/>
        </w:rPr>
        <w:t xml:space="preserve"> but rather </w:t>
      </w:r>
      <w:r w:rsidR="00C5695D">
        <w:rPr>
          <w:rFonts w:ascii="Arial" w:hAnsi="Arial" w:cs="Arial"/>
          <w:sz w:val="22"/>
          <w:szCs w:val="22"/>
        </w:rPr>
        <w:t>recalibrate</w:t>
      </w:r>
      <w:r w:rsidRPr="002433F4">
        <w:rPr>
          <w:rFonts w:ascii="Arial" w:hAnsi="Arial" w:cs="Arial"/>
          <w:sz w:val="22"/>
          <w:szCs w:val="22"/>
        </w:rPr>
        <w:t xml:space="preserve"> </w:t>
      </w:r>
      <w:proofErr w:type="spellStart"/>
      <w:r w:rsidRPr="002433F4">
        <w:rPr>
          <w:rFonts w:ascii="Arial" w:hAnsi="Arial" w:cs="Arial"/>
          <w:sz w:val="22"/>
          <w:szCs w:val="22"/>
        </w:rPr>
        <w:t>internali</w:t>
      </w:r>
      <w:r>
        <w:rPr>
          <w:rFonts w:ascii="Arial" w:hAnsi="Arial" w:cs="Arial"/>
          <w:sz w:val="22"/>
          <w:szCs w:val="22"/>
        </w:rPr>
        <w:t>s</w:t>
      </w:r>
      <w:r w:rsidRPr="002433F4">
        <w:rPr>
          <w:rFonts w:ascii="Arial" w:hAnsi="Arial" w:cs="Arial"/>
          <w:sz w:val="22"/>
          <w:szCs w:val="22"/>
        </w:rPr>
        <w:t>ation</w:t>
      </w:r>
      <w:proofErr w:type="spellEnd"/>
      <w:r w:rsidR="00C5695D">
        <w:rPr>
          <w:rFonts w:ascii="Arial" w:hAnsi="Arial" w:cs="Arial"/>
          <w:sz w:val="22"/>
          <w:szCs w:val="22"/>
        </w:rPr>
        <w:t xml:space="preserve"> by</w:t>
      </w:r>
      <w:r w:rsidRPr="002433F4">
        <w:rPr>
          <w:rFonts w:ascii="Arial" w:hAnsi="Arial" w:cs="Arial"/>
          <w:sz w:val="22"/>
          <w:szCs w:val="22"/>
        </w:rPr>
        <w:t xml:space="preserve"> incorporating tighter equity stakes, more rigorous monitoring, and enhanced governance. McDonald’s future opportunities in Sri Lanka are promising, but success will require stronger </w:t>
      </w:r>
      <w:proofErr w:type="spellStart"/>
      <w:r w:rsidRPr="002433F4">
        <w:rPr>
          <w:rFonts w:ascii="Arial" w:hAnsi="Arial" w:cs="Arial"/>
          <w:sz w:val="22"/>
          <w:szCs w:val="22"/>
        </w:rPr>
        <w:t>internali</w:t>
      </w:r>
      <w:r w:rsidR="002B7083">
        <w:rPr>
          <w:rFonts w:ascii="Arial" w:hAnsi="Arial" w:cs="Arial"/>
          <w:sz w:val="22"/>
          <w:szCs w:val="22"/>
        </w:rPr>
        <w:t>s</w:t>
      </w:r>
      <w:r w:rsidRPr="002433F4">
        <w:rPr>
          <w:rFonts w:ascii="Arial" w:hAnsi="Arial" w:cs="Arial"/>
          <w:sz w:val="22"/>
          <w:szCs w:val="22"/>
        </w:rPr>
        <w:t>ation</w:t>
      </w:r>
      <w:proofErr w:type="spellEnd"/>
      <w:r w:rsidRPr="002433F4">
        <w:rPr>
          <w:rFonts w:ascii="Arial" w:hAnsi="Arial" w:cs="Arial"/>
          <w:sz w:val="22"/>
          <w:szCs w:val="22"/>
        </w:rPr>
        <w:t xml:space="preserve"> mechanisms than those previously implemented.</w:t>
      </w:r>
      <w:r w:rsidRPr="003E78B1">
        <w:rPr>
          <w:rFonts w:ascii="Arial" w:hAnsi="Arial" w:cs="Arial"/>
          <w:b/>
          <w:sz w:val="22"/>
          <w:szCs w:val="22"/>
        </w:rPr>
        <w:t xml:space="preserve"> </w:t>
      </w:r>
    </w:p>
    <w:p w14:paraId="36B2D4B8" w14:textId="77777777" w:rsidR="00DD1100" w:rsidRDefault="00DD1100" w:rsidP="002433F4">
      <w:pPr>
        <w:pStyle w:val="BodyText"/>
        <w:spacing w:line="360" w:lineRule="auto"/>
        <w:rPr>
          <w:rFonts w:ascii="Arial" w:hAnsi="Arial" w:cs="Arial"/>
          <w:b/>
          <w:sz w:val="22"/>
          <w:szCs w:val="22"/>
        </w:rPr>
      </w:pPr>
    </w:p>
    <w:p w14:paraId="004F5996" w14:textId="33AF47F9" w:rsidR="00456D11" w:rsidRPr="004E602E" w:rsidRDefault="002433F4" w:rsidP="002433F4">
      <w:pPr>
        <w:pStyle w:val="BodyText"/>
        <w:spacing w:line="360" w:lineRule="auto"/>
        <w:rPr>
          <w:rFonts w:ascii="Arial" w:hAnsi="Arial" w:cs="Arial"/>
          <w:b/>
          <w:sz w:val="22"/>
          <w:szCs w:val="22"/>
        </w:rPr>
      </w:pPr>
      <w:r w:rsidRPr="003E78B1">
        <w:rPr>
          <w:rFonts w:ascii="Arial" w:hAnsi="Arial" w:cs="Arial"/>
          <w:b/>
          <w:sz w:val="22"/>
          <w:szCs w:val="22"/>
        </w:rPr>
        <w:t>Table</w:t>
      </w:r>
      <w:r w:rsidR="00456D11" w:rsidRPr="003E78B1">
        <w:rPr>
          <w:rFonts w:ascii="Arial" w:hAnsi="Arial" w:cs="Arial"/>
          <w:b/>
          <w:sz w:val="22"/>
          <w:szCs w:val="22"/>
        </w:rPr>
        <w:t xml:space="preserve"> </w:t>
      </w:r>
      <w:r w:rsidR="00AF726A">
        <w:rPr>
          <w:rFonts w:ascii="Arial" w:hAnsi="Arial" w:cs="Arial"/>
          <w:b/>
          <w:sz w:val="22"/>
          <w:szCs w:val="22"/>
        </w:rPr>
        <w:t>3</w:t>
      </w:r>
      <w:r w:rsidR="00456D11" w:rsidRPr="003E78B1">
        <w:rPr>
          <w:rFonts w:ascii="Arial" w:hAnsi="Arial" w:cs="Arial"/>
          <w:b/>
          <w:sz w:val="22"/>
          <w:szCs w:val="22"/>
        </w:rPr>
        <w:t>: Consolidated PESTLE-to-OLI Summary</w:t>
      </w:r>
    </w:p>
    <w:tbl>
      <w:tblPr>
        <w:tblStyle w:val="GridTable2-Accent4"/>
        <w:tblW w:w="0" w:type="auto"/>
        <w:tblLook w:val="04A0" w:firstRow="1" w:lastRow="0" w:firstColumn="1" w:lastColumn="0" w:noHBand="0" w:noVBand="1"/>
      </w:tblPr>
      <w:tblGrid>
        <w:gridCol w:w="3116"/>
        <w:gridCol w:w="3117"/>
        <w:gridCol w:w="3117"/>
      </w:tblGrid>
      <w:tr w:rsidR="00456D11" w14:paraId="4246790D" w14:textId="77777777" w:rsidTr="00503F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72CD0B0" w14:textId="5A08F400" w:rsidR="00456D11" w:rsidRDefault="00456D11" w:rsidP="00456D11">
            <w:pPr>
              <w:pStyle w:val="BodyText"/>
              <w:spacing w:line="360" w:lineRule="auto"/>
              <w:rPr>
                <w:rFonts w:ascii="Arial" w:hAnsi="Arial" w:cs="Arial"/>
                <w:sz w:val="22"/>
                <w:szCs w:val="22"/>
              </w:rPr>
            </w:pPr>
            <w:r w:rsidRPr="003E78B1">
              <w:rPr>
                <w:rFonts w:ascii="Arial" w:hAnsi="Arial" w:cs="Arial"/>
                <w:sz w:val="22"/>
                <w:szCs w:val="22"/>
              </w:rPr>
              <w:t>Dimension</w:t>
            </w:r>
          </w:p>
        </w:tc>
        <w:tc>
          <w:tcPr>
            <w:tcW w:w="3117" w:type="dxa"/>
          </w:tcPr>
          <w:p w14:paraId="2D4E9C99" w14:textId="3E2BCE6D" w:rsidR="00456D11" w:rsidRDefault="00456D11" w:rsidP="00456D11">
            <w:pPr>
              <w:pStyle w:val="BodyTex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Key Finding</w:t>
            </w:r>
          </w:p>
        </w:tc>
        <w:tc>
          <w:tcPr>
            <w:tcW w:w="3117" w:type="dxa"/>
            <w:vAlign w:val="bottom"/>
          </w:tcPr>
          <w:p w14:paraId="3BDA56F3" w14:textId="4E878B00" w:rsidR="00456D11" w:rsidRDefault="00456D11" w:rsidP="00456D11">
            <w:pPr>
              <w:pStyle w:val="BodyTex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Net Effect on Entry Decision</w:t>
            </w:r>
          </w:p>
        </w:tc>
      </w:tr>
      <w:tr w:rsidR="00456D11" w:rsidRPr="004E602E" w14:paraId="1AF8CF9E" w14:textId="77777777" w:rsidTr="00C119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49EBA39" w14:textId="57F6C6D8" w:rsidR="00456D11" w:rsidRDefault="00456D11" w:rsidP="00456D11">
            <w:pPr>
              <w:pStyle w:val="BodyText"/>
              <w:spacing w:line="360" w:lineRule="auto"/>
              <w:rPr>
                <w:rFonts w:ascii="Arial" w:hAnsi="Arial" w:cs="Arial"/>
                <w:sz w:val="22"/>
                <w:szCs w:val="22"/>
              </w:rPr>
            </w:pPr>
            <w:r w:rsidRPr="003E78B1">
              <w:rPr>
                <w:rFonts w:ascii="Arial" w:hAnsi="Arial" w:cs="Arial"/>
                <w:sz w:val="22"/>
                <w:szCs w:val="22"/>
              </w:rPr>
              <w:t>Political</w:t>
            </w:r>
          </w:p>
        </w:tc>
        <w:tc>
          <w:tcPr>
            <w:tcW w:w="3117" w:type="dxa"/>
          </w:tcPr>
          <w:p w14:paraId="785ACFA8" w14:textId="1BCC9863" w:rsidR="00456D11" w:rsidRPr="004E602E" w:rsidRDefault="00456D11" w:rsidP="00456D11">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4E602E">
              <w:rPr>
                <w:rFonts w:ascii="Arial" w:hAnsi="Arial" w:cs="Arial"/>
                <w:sz w:val="16"/>
                <w:szCs w:val="16"/>
              </w:rPr>
              <w:t>Stable parliamentary supermajority; inconsistent reform delivery; judiciary intervenes fast in franchise disputes</w:t>
            </w:r>
          </w:p>
        </w:tc>
        <w:tc>
          <w:tcPr>
            <w:tcW w:w="3117" w:type="dxa"/>
          </w:tcPr>
          <w:p w14:paraId="4EDD4DA7" w14:textId="3663BE78" w:rsidR="00456D11" w:rsidRPr="004E602E" w:rsidRDefault="00456D11" w:rsidP="00456D11">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4E602E">
              <w:rPr>
                <w:rFonts w:ascii="Arial" w:hAnsi="Arial" w:cs="Arial"/>
                <w:sz w:val="16"/>
                <w:szCs w:val="16"/>
              </w:rPr>
              <w:t>Moderate risk — manage via tighter contractual/monitoring mechanisms</w:t>
            </w:r>
          </w:p>
        </w:tc>
      </w:tr>
      <w:tr w:rsidR="00456D11" w:rsidRPr="004E602E" w14:paraId="7B52231F" w14:textId="77777777" w:rsidTr="00C119B5">
        <w:tc>
          <w:tcPr>
            <w:cnfStyle w:val="001000000000" w:firstRow="0" w:lastRow="0" w:firstColumn="1" w:lastColumn="0" w:oddVBand="0" w:evenVBand="0" w:oddHBand="0" w:evenHBand="0" w:firstRowFirstColumn="0" w:firstRowLastColumn="0" w:lastRowFirstColumn="0" w:lastRowLastColumn="0"/>
            <w:tcW w:w="3116" w:type="dxa"/>
          </w:tcPr>
          <w:p w14:paraId="5641B2F8" w14:textId="476BDF43" w:rsidR="00456D11" w:rsidRDefault="00456D11" w:rsidP="00456D11">
            <w:pPr>
              <w:pStyle w:val="BodyText"/>
              <w:spacing w:line="360" w:lineRule="auto"/>
              <w:rPr>
                <w:rFonts w:ascii="Arial" w:hAnsi="Arial" w:cs="Arial"/>
                <w:sz w:val="22"/>
                <w:szCs w:val="22"/>
              </w:rPr>
            </w:pPr>
            <w:r w:rsidRPr="003E78B1">
              <w:rPr>
                <w:rFonts w:ascii="Arial" w:hAnsi="Arial" w:cs="Arial"/>
                <w:sz w:val="22"/>
                <w:szCs w:val="22"/>
              </w:rPr>
              <w:lastRenderedPageBreak/>
              <w:t>Economic</w:t>
            </w:r>
          </w:p>
        </w:tc>
        <w:tc>
          <w:tcPr>
            <w:tcW w:w="3117" w:type="dxa"/>
          </w:tcPr>
          <w:p w14:paraId="317BB461" w14:textId="35020919" w:rsidR="00456D11" w:rsidRPr="004E602E" w:rsidRDefault="00456D11" w:rsidP="00456D11">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4E602E">
              <w:rPr>
                <w:rFonts w:ascii="Arial" w:hAnsi="Arial" w:cs="Arial"/>
                <w:sz w:val="16"/>
                <w:szCs w:val="16"/>
              </w:rPr>
              <w:t>Strong 2025 rebound, but 2026 inflation upturn and competitor consolidation</w:t>
            </w:r>
          </w:p>
        </w:tc>
        <w:tc>
          <w:tcPr>
            <w:tcW w:w="3117" w:type="dxa"/>
          </w:tcPr>
          <w:p w14:paraId="71C3B05F" w14:textId="67AA728E" w:rsidR="00456D11" w:rsidRPr="004E602E" w:rsidRDefault="00456D11" w:rsidP="00456D11">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4E602E">
              <w:rPr>
                <w:rFonts w:ascii="Arial" w:hAnsi="Arial" w:cs="Arial"/>
                <w:sz w:val="16"/>
                <w:szCs w:val="16"/>
              </w:rPr>
              <w:t>Cautiously attractive — demand recovering but not linear</w:t>
            </w:r>
          </w:p>
        </w:tc>
      </w:tr>
      <w:tr w:rsidR="00456D11" w:rsidRPr="004E602E" w14:paraId="19EF7BF7" w14:textId="77777777" w:rsidTr="00C119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91A4AC9" w14:textId="245B8C24" w:rsidR="00456D11" w:rsidRDefault="00456D11" w:rsidP="00456D11">
            <w:pPr>
              <w:pStyle w:val="BodyText"/>
              <w:spacing w:line="360" w:lineRule="auto"/>
              <w:rPr>
                <w:rFonts w:ascii="Arial" w:hAnsi="Arial" w:cs="Arial"/>
                <w:sz w:val="22"/>
                <w:szCs w:val="22"/>
              </w:rPr>
            </w:pPr>
            <w:r w:rsidRPr="003E78B1">
              <w:rPr>
                <w:rFonts w:ascii="Arial" w:hAnsi="Arial" w:cs="Arial"/>
                <w:sz w:val="22"/>
                <w:szCs w:val="22"/>
              </w:rPr>
              <w:t>Legal</w:t>
            </w:r>
          </w:p>
        </w:tc>
        <w:tc>
          <w:tcPr>
            <w:tcW w:w="3117" w:type="dxa"/>
          </w:tcPr>
          <w:p w14:paraId="20B3B180" w14:textId="28E6C913" w:rsidR="00456D11" w:rsidRPr="004E602E" w:rsidRDefault="00456D11" w:rsidP="00456D11">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4E602E">
              <w:rPr>
                <w:rFonts w:ascii="Arial" w:hAnsi="Arial" w:cs="Arial"/>
                <w:sz w:val="16"/>
                <w:szCs w:val="16"/>
              </w:rPr>
              <w:t>Liberal FDI regime; land-ownership caps constrain real-estate model; active food-safety enforcement</w:t>
            </w:r>
          </w:p>
        </w:tc>
        <w:tc>
          <w:tcPr>
            <w:tcW w:w="3117" w:type="dxa"/>
          </w:tcPr>
          <w:p w14:paraId="28AD42FC" w14:textId="3A8DE320" w:rsidR="00456D11" w:rsidRPr="004E602E" w:rsidRDefault="00456D11" w:rsidP="00456D11">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roofErr w:type="spellStart"/>
            <w:r w:rsidRPr="004E602E">
              <w:rPr>
                <w:rFonts w:ascii="Arial" w:hAnsi="Arial" w:cs="Arial"/>
                <w:sz w:val="16"/>
                <w:szCs w:val="16"/>
              </w:rPr>
              <w:t>Favours</w:t>
            </w:r>
            <w:proofErr w:type="spellEnd"/>
            <w:r w:rsidRPr="004E602E">
              <w:rPr>
                <w:rFonts w:ascii="Arial" w:hAnsi="Arial" w:cs="Arial"/>
                <w:sz w:val="16"/>
                <w:szCs w:val="16"/>
              </w:rPr>
              <w:t xml:space="preserve"> capital-light structure with a well-</w:t>
            </w:r>
            <w:proofErr w:type="spellStart"/>
            <w:r w:rsidRPr="004E602E">
              <w:rPr>
                <w:rFonts w:ascii="Arial" w:hAnsi="Arial" w:cs="Arial"/>
                <w:sz w:val="16"/>
                <w:szCs w:val="16"/>
              </w:rPr>
              <w:t>capitalised</w:t>
            </w:r>
            <w:proofErr w:type="spellEnd"/>
            <w:r w:rsidRPr="004E602E">
              <w:rPr>
                <w:rFonts w:ascii="Arial" w:hAnsi="Arial" w:cs="Arial"/>
                <w:sz w:val="16"/>
                <w:szCs w:val="16"/>
              </w:rPr>
              <w:t xml:space="preserve"> local partner</w:t>
            </w:r>
          </w:p>
        </w:tc>
      </w:tr>
      <w:tr w:rsidR="00456D11" w:rsidRPr="004E602E" w14:paraId="1EC3D279" w14:textId="77777777" w:rsidTr="00C119B5">
        <w:tc>
          <w:tcPr>
            <w:cnfStyle w:val="001000000000" w:firstRow="0" w:lastRow="0" w:firstColumn="1" w:lastColumn="0" w:oddVBand="0" w:evenVBand="0" w:oddHBand="0" w:evenHBand="0" w:firstRowFirstColumn="0" w:firstRowLastColumn="0" w:lastRowFirstColumn="0" w:lastRowLastColumn="0"/>
            <w:tcW w:w="3116" w:type="dxa"/>
          </w:tcPr>
          <w:p w14:paraId="137371F9" w14:textId="7D5F7653" w:rsidR="00456D11" w:rsidRDefault="00456D11" w:rsidP="00456D11">
            <w:pPr>
              <w:pStyle w:val="BodyText"/>
              <w:spacing w:line="360" w:lineRule="auto"/>
              <w:rPr>
                <w:rFonts w:ascii="Arial" w:hAnsi="Arial" w:cs="Arial"/>
                <w:sz w:val="22"/>
                <w:szCs w:val="22"/>
              </w:rPr>
            </w:pPr>
            <w:r w:rsidRPr="003E78B1">
              <w:rPr>
                <w:rFonts w:ascii="Arial" w:hAnsi="Arial" w:cs="Arial"/>
                <w:sz w:val="22"/>
                <w:szCs w:val="22"/>
              </w:rPr>
              <w:t>Cultural (Hofstede)</w:t>
            </w:r>
          </w:p>
        </w:tc>
        <w:tc>
          <w:tcPr>
            <w:tcW w:w="3117" w:type="dxa"/>
          </w:tcPr>
          <w:p w14:paraId="4EE81C9F" w14:textId="61830862" w:rsidR="00456D11" w:rsidRPr="004E602E" w:rsidRDefault="00456D11" w:rsidP="00456D11">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4E602E">
              <w:rPr>
                <w:rFonts w:ascii="Arial" w:hAnsi="Arial" w:cs="Arial"/>
                <w:sz w:val="16"/>
                <w:szCs w:val="16"/>
              </w:rPr>
              <w:t>High Power Distance and Collectivism vs. US home culture; halal/beef sensitivities not captured by national scores</w:t>
            </w:r>
          </w:p>
        </w:tc>
        <w:tc>
          <w:tcPr>
            <w:tcW w:w="3117" w:type="dxa"/>
          </w:tcPr>
          <w:p w14:paraId="399EDE52" w14:textId="711C9787" w:rsidR="00456D11" w:rsidRPr="004E602E" w:rsidRDefault="00456D11" w:rsidP="00456D11">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roofErr w:type="spellStart"/>
            <w:r w:rsidRPr="004E602E">
              <w:rPr>
                <w:rFonts w:ascii="Arial" w:hAnsi="Arial" w:cs="Arial"/>
                <w:sz w:val="16"/>
                <w:szCs w:val="16"/>
              </w:rPr>
              <w:t>Favours</w:t>
            </w:r>
            <w:proofErr w:type="spellEnd"/>
            <w:r w:rsidRPr="004E602E">
              <w:rPr>
                <w:rFonts w:ascii="Arial" w:hAnsi="Arial" w:cs="Arial"/>
                <w:sz w:val="16"/>
                <w:szCs w:val="16"/>
              </w:rPr>
              <w:t xml:space="preserve"> capital-light structure with a well-</w:t>
            </w:r>
            <w:proofErr w:type="spellStart"/>
            <w:r w:rsidRPr="004E602E">
              <w:rPr>
                <w:rFonts w:ascii="Arial" w:hAnsi="Arial" w:cs="Arial"/>
                <w:sz w:val="16"/>
                <w:szCs w:val="16"/>
              </w:rPr>
              <w:t>capitalised</w:t>
            </w:r>
            <w:proofErr w:type="spellEnd"/>
            <w:r w:rsidRPr="004E602E">
              <w:rPr>
                <w:rFonts w:ascii="Arial" w:hAnsi="Arial" w:cs="Arial"/>
                <w:sz w:val="16"/>
                <w:szCs w:val="16"/>
              </w:rPr>
              <w:t xml:space="preserve"> local partner</w:t>
            </w:r>
          </w:p>
        </w:tc>
      </w:tr>
    </w:tbl>
    <w:p w14:paraId="6F02E78F" w14:textId="77777777" w:rsidR="00AB7C7F" w:rsidRDefault="00AB7C7F" w:rsidP="003E78B1">
      <w:pPr>
        <w:pStyle w:val="BodyText"/>
        <w:spacing w:line="360" w:lineRule="auto"/>
        <w:rPr>
          <w:rFonts w:ascii="Arial" w:hAnsi="Arial" w:cs="Arial"/>
          <w:sz w:val="22"/>
          <w:szCs w:val="22"/>
        </w:rPr>
      </w:pPr>
    </w:p>
    <w:p w14:paraId="41F3B5AE" w14:textId="7BAC07A7" w:rsidR="00220029" w:rsidRPr="00BF3E7C" w:rsidRDefault="00BF3E7C" w:rsidP="00BF3E7C">
      <w:pPr>
        <w:pStyle w:val="BodyText"/>
        <w:spacing w:line="360" w:lineRule="auto"/>
        <w:rPr>
          <w:rFonts w:ascii="Arial" w:hAnsi="Arial" w:cs="Arial"/>
          <w:sz w:val="22"/>
          <w:szCs w:val="22"/>
        </w:rPr>
      </w:pPr>
      <w:r w:rsidRPr="00BF3E7C">
        <w:rPr>
          <w:rFonts w:ascii="Arial" w:hAnsi="Arial" w:cs="Arial"/>
          <w:sz w:val="22"/>
          <w:szCs w:val="22"/>
        </w:rPr>
        <w:t xml:space="preserve">As demonstrated in </w:t>
      </w:r>
      <w:r w:rsidRPr="009D338F">
        <w:rPr>
          <w:rStyle w:val="Strong"/>
          <w:rFonts w:ascii="Arial" w:hAnsi="Arial" w:cs="Arial"/>
          <w:b w:val="0"/>
          <w:bCs w:val="0"/>
          <w:sz w:val="22"/>
          <w:szCs w:val="22"/>
        </w:rPr>
        <w:t xml:space="preserve">Table </w:t>
      </w:r>
      <w:r w:rsidR="00AF726A">
        <w:rPr>
          <w:rStyle w:val="Strong"/>
          <w:rFonts w:ascii="Arial" w:hAnsi="Arial" w:cs="Arial"/>
          <w:b w:val="0"/>
          <w:bCs w:val="0"/>
          <w:sz w:val="22"/>
          <w:szCs w:val="22"/>
        </w:rPr>
        <w:t>3</w:t>
      </w:r>
      <w:r w:rsidRPr="00BF3E7C">
        <w:rPr>
          <w:rFonts w:ascii="Arial" w:hAnsi="Arial" w:cs="Arial"/>
          <w:sz w:val="22"/>
          <w:szCs w:val="22"/>
        </w:rPr>
        <w:t xml:space="preserve">, Sri Lanka presents both opportunities and challenges for McDonald’s re-entry. Economic recovery, tourism growth, and a young consumer market create location advantages, while regulatory uncertainty, currency risks, and operational governance issues represent potential barriers. The OLI analysis indicates that McDonald’s possesses strong ownership advantages through its global brand, operational expertise, and quality-control systems; however, these advantages must be protected through an entry mode that provides greater </w:t>
      </w:r>
      <w:proofErr w:type="spellStart"/>
      <w:r w:rsidRPr="00BF3E7C">
        <w:rPr>
          <w:rFonts w:ascii="Arial" w:hAnsi="Arial" w:cs="Arial"/>
          <w:sz w:val="22"/>
          <w:szCs w:val="22"/>
        </w:rPr>
        <w:t>internalisation</w:t>
      </w:r>
      <w:proofErr w:type="spellEnd"/>
      <w:r w:rsidRPr="00BF3E7C">
        <w:rPr>
          <w:rFonts w:ascii="Arial" w:hAnsi="Arial" w:cs="Arial"/>
          <w:sz w:val="22"/>
          <w:szCs w:val="22"/>
        </w:rPr>
        <w:t xml:space="preserve"> and control.</w:t>
      </w:r>
    </w:p>
    <w:p w14:paraId="7D866F79" w14:textId="77777777" w:rsidR="00220029" w:rsidRPr="00BF3E7C" w:rsidRDefault="00220029" w:rsidP="00BF3E7C">
      <w:pPr>
        <w:pStyle w:val="BodyText"/>
        <w:spacing w:line="360" w:lineRule="auto"/>
        <w:rPr>
          <w:rFonts w:ascii="Arial" w:hAnsi="Arial" w:cs="Arial"/>
          <w:sz w:val="22"/>
          <w:szCs w:val="22"/>
        </w:rPr>
      </w:pPr>
    </w:p>
    <w:p w14:paraId="2FB442AE" w14:textId="77777777" w:rsidR="00220029" w:rsidRPr="00BF3E7C" w:rsidRDefault="00220029" w:rsidP="00BF3E7C">
      <w:pPr>
        <w:pStyle w:val="BodyText"/>
        <w:spacing w:line="360" w:lineRule="auto"/>
        <w:rPr>
          <w:rFonts w:ascii="Arial" w:hAnsi="Arial" w:cs="Arial"/>
          <w:sz w:val="22"/>
          <w:szCs w:val="22"/>
        </w:rPr>
      </w:pPr>
    </w:p>
    <w:p w14:paraId="034DDE58" w14:textId="5C9DC104" w:rsidR="00CB2E36" w:rsidRPr="002F7A05" w:rsidRDefault="00624327" w:rsidP="003E78B1">
      <w:pPr>
        <w:pStyle w:val="Heading2"/>
        <w:spacing w:line="360" w:lineRule="auto"/>
        <w:rPr>
          <w:rFonts w:ascii="Arial" w:hAnsi="Arial" w:cs="Arial"/>
        </w:rPr>
      </w:pPr>
      <w:bookmarkStart w:id="20" w:name="X4b4e7bcf544f5ca834f4db7b0b8957f081e0b93"/>
      <w:bookmarkStart w:id="21" w:name="_Toc234787525"/>
      <w:bookmarkStart w:id="22" w:name="_Toc236052396"/>
      <w:r>
        <w:rPr>
          <w:rFonts w:ascii="Arial" w:hAnsi="Arial" w:cs="Arial"/>
        </w:rPr>
        <w:t>4</w:t>
      </w:r>
      <w:r w:rsidR="006165BC" w:rsidRPr="002F7A05">
        <w:rPr>
          <w:rFonts w:ascii="Arial" w:hAnsi="Arial" w:cs="Arial"/>
        </w:rPr>
        <w:t>. Entry Mode Strategy and Strategic Synthesis</w:t>
      </w:r>
      <w:bookmarkEnd w:id="20"/>
      <w:bookmarkEnd w:id="21"/>
      <w:bookmarkEnd w:id="22"/>
    </w:p>
    <w:p w14:paraId="5D578FE3" w14:textId="77777777" w:rsidR="00CB2E36" w:rsidRPr="002F7A05" w:rsidRDefault="006165BC" w:rsidP="003E78B1">
      <w:pPr>
        <w:pStyle w:val="Heading3"/>
        <w:spacing w:line="360" w:lineRule="auto"/>
        <w:rPr>
          <w:rFonts w:ascii="Arial" w:hAnsi="Arial" w:cs="Arial"/>
        </w:rPr>
      </w:pPr>
      <w:bookmarkStart w:id="23" w:name="historical-pattern-recognition"/>
      <w:bookmarkStart w:id="24" w:name="_Toc236052397"/>
      <w:r w:rsidRPr="002F7A05">
        <w:rPr>
          <w:rFonts w:ascii="Arial" w:hAnsi="Arial" w:cs="Arial"/>
        </w:rPr>
        <w:t>Historical Pattern Recognition</w:t>
      </w:r>
      <w:bookmarkEnd w:id="23"/>
      <w:bookmarkEnd w:id="24"/>
    </w:p>
    <w:p w14:paraId="66C919CA" w14:textId="7953BCFD" w:rsidR="00842DE3" w:rsidRPr="00B416EF" w:rsidRDefault="008F3366" w:rsidP="00B416EF">
      <w:pPr>
        <w:pStyle w:val="BodyText"/>
        <w:spacing w:line="360" w:lineRule="auto"/>
        <w:rPr>
          <w:rFonts w:ascii="Arial" w:hAnsi="Arial" w:cs="Arial"/>
          <w:b/>
          <w:bCs/>
          <w:sz w:val="22"/>
          <w:szCs w:val="22"/>
        </w:rPr>
      </w:pPr>
      <w:r>
        <w:rPr>
          <w:rStyle w:val="Strong"/>
          <w:rFonts w:ascii="Arial" w:hAnsi="Arial" w:cs="Arial"/>
          <w:b w:val="0"/>
          <w:bCs w:val="0"/>
          <w:sz w:val="22"/>
          <w:szCs w:val="22"/>
        </w:rPr>
        <w:t xml:space="preserve">McDonald’s uses master franchising for global expansion, with about 95% of its restaurants operated by franchisees. This model enables rapid growth while maintaining brand standards and shifting site-level investment risk to local operators. In strategically important markets, such as India and China, McDonald’s has selectively employed joint ventures and wholly owned subsidiaries to increase control over time, adapting ownership structures based on market conditions and partner performance. </w:t>
      </w:r>
      <w:r w:rsidR="00B416EF" w:rsidRPr="00B416EF">
        <w:rPr>
          <w:rStyle w:val="Strong"/>
          <w:rFonts w:ascii="Arial" w:hAnsi="Arial" w:cs="Arial"/>
          <w:b w:val="0"/>
          <w:bCs w:val="0"/>
          <w:sz w:val="22"/>
          <w:szCs w:val="22"/>
        </w:rPr>
        <w:t>Table 4 compares McDonald’s historical entry-mode strategies across selected markets and highlights implications for a potential Sri Lankan re-entry.</w:t>
      </w:r>
    </w:p>
    <w:p w14:paraId="11BE4AFC" w14:textId="4DDC1050" w:rsidR="00CB2E36" w:rsidRDefault="006165BC" w:rsidP="003E78B1">
      <w:pPr>
        <w:pStyle w:val="BodyText"/>
        <w:spacing w:line="360" w:lineRule="auto"/>
        <w:rPr>
          <w:rFonts w:ascii="Arial" w:hAnsi="Arial" w:cs="Arial"/>
          <w:b/>
          <w:sz w:val="22"/>
          <w:szCs w:val="22"/>
        </w:rPr>
      </w:pPr>
      <w:r w:rsidRPr="003E78B1">
        <w:rPr>
          <w:rFonts w:ascii="Arial" w:hAnsi="Arial" w:cs="Arial"/>
          <w:b/>
          <w:sz w:val="22"/>
          <w:szCs w:val="22"/>
        </w:rPr>
        <w:lastRenderedPageBreak/>
        <w:t xml:space="preserve">Table </w:t>
      </w:r>
      <w:r w:rsidR="004A1A7A">
        <w:rPr>
          <w:rFonts w:ascii="Arial" w:hAnsi="Arial" w:cs="Arial"/>
          <w:b/>
          <w:sz w:val="22"/>
          <w:szCs w:val="22"/>
        </w:rPr>
        <w:t>4</w:t>
      </w:r>
      <w:r w:rsidRPr="003E78B1">
        <w:rPr>
          <w:rFonts w:ascii="Arial" w:hAnsi="Arial" w:cs="Arial"/>
          <w:b/>
          <w:sz w:val="22"/>
          <w:szCs w:val="22"/>
        </w:rPr>
        <w:t>: McDonald’s Historical Entry Modes — Comparative Pattern</w:t>
      </w:r>
    </w:p>
    <w:tbl>
      <w:tblPr>
        <w:tblStyle w:val="GridTable4-Accent6"/>
        <w:tblW w:w="0" w:type="auto"/>
        <w:tblLook w:val="04A0" w:firstRow="1" w:lastRow="0" w:firstColumn="1" w:lastColumn="0" w:noHBand="0" w:noVBand="1"/>
      </w:tblPr>
      <w:tblGrid>
        <w:gridCol w:w="2337"/>
        <w:gridCol w:w="2337"/>
        <w:gridCol w:w="2338"/>
        <w:gridCol w:w="2338"/>
      </w:tblGrid>
      <w:tr w:rsidR="001D3FF0" w14:paraId="48931845" w14:textId="77777777" w:rsidTr="001D3F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56FC34B3" w14:textId="4C084340" w:rsidR="001D3FF0" w:rsidRDefault="003129D6" w:rsidP="003E78B1">
            <w:pPr>
              <w:pStyle w:val="BodyText"/>
              <w:spacing w:line="360" w:lineRule="auto"/>
              <w:rPr>
                <w:rFonts w:ascii="Arial" w:hAnsi="Arial" w:cs="Arial"/>
                <w:sz w:val="22"/>
                <w:szCs w:val="22"/>
              </w:rPr>
            </w:pPr>
            <w:r w:rsidRPr="003E78B1">
              <w:rPr>
                <w:rFonts w:ascii="Arial" w:hAnsi="Arial" w:cs="Arial"/>
                <w:sz w:val="22"/>
                <w:szCs w:val="22"/>
              </w:rPr>
              <w:t>Market/Mode</w:t>
            </w:r>
          </w:p>
        </w:tc>
        <w:tc>
          <w:tcPr>
            <w:tcW w:w="2337" w:type="dxa"/>
          </w:tcPr>
          <w:p w14:paraId="247E99DC" w14:textId="5ECF1C5A" w:rsidR="001D3FF0" w:rsidRDefault="003129D6" w:rsidP="003E78B1">
            <w:pPr>
              <w:pStyle w:val="BodyTex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Structure</w:t>
            </w:r>
          </w:p>
        </w:tc>
        <w:tc>
          <w:tcPr>
            <w:tcW w:w="2338" w:type="dxa"/>
          </w:tcPr>
          <w:p w14:paraId="27E156CE" w14:textId="00D72E07" w:rsidR="001D3FF0" w:rsidRDefault="009945B9" w:rsidP="003E78B1">
            <w:pPr>
              <w:pStyle w:val="BodyTex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Control Level</w:t>
            </w:r>
          </w:p>
        </w:tc>
        <w:tc>
          <w:tcPr>
            <w:tcW w:w="2338" w:type="dxa"/>
          </w:tcPr>
          <w:p w14:paraId="0ACBD410" w14:textId="7B5C67D8" w:rsidR="001D3FF0" w:rsidRDefault="009945B9" w:rsidP="003E78B1">
            <w:pPr>
              <w:pStyle w:val="BodyTex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Outcome</w:t>
            </w:r>
          </w:p>
        </w:tc>
      </w:tr>
      <w:tr w:rsidR="009945B9" w:rsidRPr="00153ABE" w14:paraId="5698E7C8" w14:textId="77777777" w:rsidTr="001D3F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E16DA38" w14:textId="3AD7E74E" w:rsidR="009945B9" w:rsidRPr="00153ABE" w:rsidRDefault="009945B9" w:rsidP="009945B9">
            <w:pPr>
              <w:pStyle w:val="BodyText"/>
              <w:spacing w:line="360" w:lineRule="auto"/>
              <w:rPr>
                <w:rFonts w:ascii="Arial" w:hAnsi="Arial" w:cs="Arial"/>
                <w:b w:val="0"/>
                <w:bCs w:val="0"/>
                <w:sz w:val="16"/>
                <w:szCs w:val="16"/>
              </w:rPr>
            </w:pPr>
            <w:r w:rsidRPr="00153ABE">
              <w:rPr>
                <w:rFonts w:ascii="Arial" w:hAnsi="Arial" w:cs="Arial"/>
                <w:b w:val="0"/>
                <w:bCs w:val="0"/>
                <w:sz w:val="16"/>
                <w:szCs w:val="16"/>
              </w:rPr>
              <w:t>Global norm (~95% of units)</w:t>
            </w:r>
          </w:p>
        </w:tc>
        <w:tc>
          <w:tcPr>
            <w:tcW w:w="2337" w:type="dxa"/>
          </w:tcPr>
          <w:p w14:paraId="5DBE774D" w14:textId="05FA1E38" w:rsidR="009945B9" w:rsidRPr="00153ABE" w:rsidRDefault="009945B9" w:rsidP="009945B9">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153ABE">
              <w:rPr>
                <w:rFonts w:ascii="Arial" w:hAnsi="Arial" w:cs="Arial"/>
                <w:sz w:val="16"/>
                <w:szCs w:val="16"/>
              </w:rPr>
              <w:t xml:space="preserve">Master franchise / developmental </w:t>
            </w:r>
            <w:proofErr w:type="spellStart"/>
            <w:r w:rsidRPr="00153ABE">
              <w:rPr>
                <w:rFonts w:ascii="Arial" w:hAnsi="Arial" w:cs="Arial"/>
                <w:sz w:val="16"/>
                <w:szCs w:val="16"/>
              </w:rPr>
              <w:t>licence</w:t>
            </w:r>
            <w:proofErr w:type="spellEnd"/>
          </w:p>
        </w:tc>
        <w:tc>
          <w:tcPr>
            <w:tcW w:w="2338" w:type="dxa"/>
          </w:tcPr>
          <w:p w14:paraId="6EF3A075" w14:textId="68B7BC38" w:rsidR="009945B9" w:rsidRPr="00153ABE" w:rsidRDefault="009945B9" w:rsidP="009945B9">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153ABE">
              <w:rPr>
                <w:rFonts w:ascii="Arial" w:hAnsi="Arial" w:cs="Arial"/>
                <w:sz w:val="16"/>
                <w:szCs w:val="16"/>
              </w:rPr>
              <w:t>Low-moderate (brand + real estate leverage)</w:t>
            </w:r>
          </w:p>
        </w:tc>
        <w:tc>
          <w:tcPr>
            <w:tcW w:w="2338" w:type="dxa"/>
          </w:tcPr>
          <w:p w14:paraId="135FA064" w14:textId="0404D6C3" w:rsidR="009945B9" w:rsidRPr="00153ABE" w:rsidRDefault="009945B9" w:rsidP="009945B9">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153ABE">
              <w:rPr>
                <w:rFonts w:ascii="Arial" w:hAnsi="Arial" w:cs="Arial"/>
                <w:sz w:val="16"/>
                <w:szCs w:val="16"/>
              </w:rPr>
              <w:t>Stable, capital-efficient scale</w:t>
            </w:r>
          </w:p>
        </w:tc>
      </w:tr>
      <w:tr w:rsidR="009945B9" w:rsidRPr="00153ABE" w14:paraId="4D4740DA" w14:textId="77777777" w:rsidTr="001D3FF0">
        <w:tc>
          <w:tcPr>
            <w:cnfStyle w:val="001000000000" w:firstRow="0" w:lastRow="0" w:firstColumn="1" w:lastColumn="0" w:oddVBand="0" w:evenVBand="0" w:oddHBand="0" w:evenHBand="0" w:firstRowFirstColumn="0" w:firstRowLastColumn="0" w:lastRowFirstColumn="0" w:lastRowLastColumn="0"/>
            <w:tcW w:w="2337" w:type="dxa"/>
          </w:tcPr>
          <w:p w14:paraId="4300BA20" w14:textId="11C40ABD" w:rsidR="009945B9" w:rsidRPr="00153ABE" w:rsidRDefault="00E761AE" w:rsidP="009945B9">
            <w:pPr>
              <w:pStyle w:val="BodyText"/>
              <w:spacing w:line="360" w:lineRule="auto"/>
              <w:rPr>
                <w:rFonts w:ascii="Arial" w:hAnsi="Arial" w:cs="Arial"/>
                <w:b w:val="0"/>
                <w:bCs w:val="0"/>
                <w:sz w:val="16"/>
                <w:szCs w:val="16"/>
              </w:rPr>
            </w:pPr>
            <w:r w:rsidRPr="00153ABE">
              <w:rPr>
                <w:rFonts w:ascii="Arial" w:hAnsi="Arial" w:cs="Arial"/>
                <w:b w:val="0"/>
                <w:bCs w:val="0"/>
                <w:sz w:val="16"/>
                <w:szCs w:val="16"/>
              </w:rPr>
              <w:t>India (1995-2010/2019)</w:t>
            </w:r>
          </w:p>
        </w:tc>
        <w:tc>
          <w:tcPr>
            <w:tcW w:w="2337" w:type="dxa"/>
          </w:tcPr>
          <w:p w14:paraId="0DF128A2" w14:textId="4EC1C3AD" w:rsidR="009945B9" w:rsidRPr="00153ABE" w:rsidRDefault="00E761AE" w:rsidP="009945B9">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153ABE">
              <w:rPr>
                <w:rFonts w:ascii="Arial" w:hAnsi="Arial" w:cs="Arial"/>
                <w:sz w:val="16"/>
                <w:szCs w:val="16"/>
              </w:rPr>
              <w:t>50:50 joint ventures (CPRL; Hardcastle)</w:t>
            </w:r>
          </w:p>
        </w:tc>
        <w:tc>
          <w:tcPr>
            <w:tcW w:w="2338" w:type="dxa"/>
          </w:tcPr>
          <w:p w14:paraId="77B07B81" w14:textId="05F07601" w:rsidR="009945B9" w:rsidRPr="00153ABE" w:rsidRDefault="00E761AE" w:rsidP="009945B9">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153ABE">
              <w:rPr>
                <w:rFonts w:ascii="Arial" w:hAnsi="Arial" w:cs="Arial"/>
                <w:sz w:val="16"/>
                <w:szCs w:val="16"/>
              </w:rPr>
              <w:t>High (equity + board seats)</w:t>
            </w:r>
          </w:p>
        </w:tc>
        <w:tc>
          <w:tcPr>
            <w:tcW w:w="2338" w:type="dxa"/>
          </w:tcPr>
          <w:p w14:paraId="487F0DF5" w14:textId="6FF350FA" w:rsidR="009945B9" w:rsidRPr="00153ABE" w:rsidRDefault="00021855" w:rsidP="009945B9">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153ABE">
              <w:rPr>
                <w:rFonts w:ascii="Arial" w:hAnsi="Arial" w:cs="Arial"/>
                <w:sz w:val="16"/>
                <w:szCs w:val="16"/>
              </w:rPr>
              <w:t>Hardcastle converted to master franchise (2010); CPRL fully acquired after dispute (2019)</w:t>
            </w:r>
          </w:p>
        </w:tc>
      </w:tr>
      <w:tr w:rsidR="009945B9" w:rsidRPr="00153ABE" w14:paraId="5B769546" w14:textId="77777777" w:rsidTr="001D3F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18FC4A9" w14:textId="7153A614" w:rsidR="009945B9" w:rsidRPr="00153ABE" w:rsidRDefault="00021855" w:rsidP="009945B9">
            <w:pPr>
              <w:pStyle w:val="BodyText"/>
              <w:spacing w:line="360" w:lineRule="auto"/>
              <w:rPr>
                <w:rFonts w:ascii="Arial" w:hAnsi="Arial" w:cs="Arial"/>
                <w:b w:val="0"/>
                <w:bCs w:val="0"/>
                <w:sz w:val="16"/>
                <w:szCs w:val="16"/>
              </w:rPr>
            </w:pPr>
            <w:r w:rsidRPr="00153ABE">
              <w:rPr>
                <w:rFonts w:ascii="Arial" w:hAnsi="Arial" w:cs="Arial"/>
                <w:b w:val="0"/>
                <w:bCs w:val="0"/>
                <w:sz w:val="16"/>
                <w:szCs w:val="16"/>
              </w:rPr>
              <w:t>China (entry phase)</w:t>
            </w:r>
          </w:p>
        </w:tc>
        <w:tc>
          <w:tcPr>
            <w:tcW w:w="2337" w:type="dxa"/>
          </w:tcPr>
          <w:p w14:paraId="43785C97" w14:textId="766D0C17" w:rsidR="009945B9" w:rsidRPr="00153ABE" w:rsidRDefault="006F54B5" w:rsidP="009945B9">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153ABE">
              <w:rPr>
                <w:rFonts w:ascii="Arial" w:hAnsi="Arial" w:cs="Arial"/>
                <w:sz w:val="16"/>
                <w:szCs w:val="16"/>
              </w:rPr>
              <w:t>Joint ventures with state-linked/PE partners</w:t>
            </w:r>
          </w:p>
        </w:tc>
        <w:tc>
          <w:tcPr>
            <w:tcW w:w="2338" w:type="dxa"/>
          </w:tcPr>
          <w:p w14:paraId="7B84D47C" w14:textId="34133DCB" w:rsidR="009945B9" w:rsidRPr="00153ABE" w:rsidRDefault="006F54B5" w:rsidP="009945B9">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153ABE">
              <w:rPr>
                <w:rFonts w:ascii="Arial" w:hAnsi="Arial" w:cs="Arial"/>
                <w:sz w:val="16"/>
                <w:szCs w:val="16"/>
              </w:rPr>
              <w:t>High initially</w:t>
            </w:r>
          </w:p>
        </w:tc>
        <w:tc>
          <w:tcPr>
            <w:tcW w:w="2338" w:type="dxa"/>
          </w:tcPr>
          <w:p w14:paraId="31D88BC3" w14:textId="71ECC179" w:rsidR="009945B9" w:rsidRPr="00153ABE" w:rsidRDefault="006F54B5" w:rsidP="009945B9">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153ABE">
              <w:rPr>
                <w:rFonts w:ascii="Arial" w:hAnsi="Arial" w:cs="Arial"/>
                <w:sz w:val="16"/>
                <w:szCs w:val="16"/>
              </w:rPr>
              <w:t>Consolidated toward greater McDonald’s control over time</w:t>
            </w:r>
          </w:p>
        </w:tc>
      </w:tr>
      <w:tr w:rsidR="00230A3B" w:rsidRPr="00153ABE" w14:paraId="50D6705C" w14:textId="77777777" w:rsidTr="001D3FF0">
        <w:tc>
          <w:tcPr>
            <w:cnfStyle w:val="001000000000" w:firstRow="0" w:lastRow="0" w:firstColumn="1" w:lastColumn="0" w:oddVBand="0" w:evenVBand="0" w:oddHBand="0" w:evenHBand="0" w:firstRowFirstColumn="0" w:firstRowLastColumn="0" w:lastRowFirstColumn="0" w:lastRowLastColumn="0"/>
            <w:tcW w:w="2337" w:type="dxa"/>
          </w:tcPr>
          <w:p w14:paraId="6F498BAC" w14:textId="6E6D0196" w:rsidR="00230A3B" w:rsidRPr="00153ABE" w:rsidRDefault="00230A3B" w:rsidP="00230A3B">
            <w:pPr>
              <w:pStyle w:val="BodyText"/>
              <w:spacing w:line="360" w:lineRule="auto"/>
              <w:rPr>
                <w:rFonts w:ascii="Arial" w:hAnsi="Arial" w:cs="Arial"/>
                <w:b w:val="0"/>
                <w:bCs w:val="0"/>
                <w:sz w:val="16"/>
                <w:szCs w:val="16"/>
              </w:rPr>
            </w:pPr>
            <w:r w:rsidRPr="00153ABE">
              <w:rPr>
                <w:rFonts w:ascii="Arial" w:hAnsi="Arial" w:cs="Arial"/>
                <w:b w:val="0"/>
                <w:bCs w:val="0"/>
                <w:sz w:val="16"/>
                <w:szCs w:val="16"/>
              </w:rPr>
              <w:t>Sri Lanka (2004-2024)</w:t>
            </w:r>
          </w:p>
        </w:tc>
        <w:tc>
          <w:tcPr>
            <w:tcW w:w="2337" w:type="dxa"/>
          </w:tcPr>
          <w:p w14:paraId="73803F3D" w14:textId="6FDCDD5B" w:rsidR="00230A3B" w:rsidRPr="00153ABE" w:rsidRDefault="00230A3B" w:rsidP="00230A3B">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16"/>
                <w:szCs w:val="16"/>
              </w:rPr>
            </w:pPr>
            <w:r w:rsidRPr="00153ABE">
              <w:rPr>
                <w:rFonts w:ascii="Arial" w:hAnsi="Arial" w:cs="Arial"/>
                <w:sz w:val="16"/>
                <w:szCs w:val="16"/>
              </w:rPr>
              <w:t>Single master franchise, conglomerate-owned partner</w:t>
            </w:r>
          </w:p>
        </w:tc>
        <w:tc>
          <w:tcPr>
            <w:tcW w:w="2338" w:type="dxa"/>
          </w:tcPr>
          <w:p w14:paraId="1A070DCF" w14:textId="77777777" w:rsidR="00230A3B" w:rsidRPr="00153ABE" w:rsidRDefault="00230A3B" w:rsidP="00230A3B">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153ABE">
              <w:rPr>
                <w:rFonts w:ascii="Arial" w:hAnsi="Arial" w:cs="Arial"/>
                <w:sz w:val="16"/>
                <w:szCs w:val="16"/>
              </w:rPr>
              <w:t>Low (light-touch)</w:t>
            </w:r>
          </w:p>
        </w:tc>
        <w:tc>
          <w:tcPr>
            <w:tcW w:w="2338" w:type="dxa"/>
          </w:tcPr>
          <w:p w14:paraId="1BA9816A" w14:textId="38D22C90" w:rsidR="00230A3B" w:rsidRPr="00153ABE" w:rsidRDefault="00230A3B" w:rsidP="00230A3B">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153ABE">
              <w:rPr>
                <w:rFonts w:ascii="Arial" w:hAnsi="Arial" w:cs="Arial"/>
                <w:sz w:val="16"/>
                <w:szCs w:val="16"/>
              </w:rPr>
              <w:t>Agency/quality failure; court-ordered exit (2024)</w:t>
            </w:r>
          </w:p>
        </w:tc>
      </w:tr>
      <w:tr w:rsidR="00230A3B" w:rsidRPr="00153ABE" w14:paraId="6DA25293" w14:textId="77777777" w:rsidTr="001D3F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DA163BF" w14:textId="1C94548A" w:rsidR="00230A3B" w:rsidRPr="00153ABE" w:rsidRDefault="00230A3B" w:rsidP="00230A3B">
            <w:pPr>
              <w:pStyle w:val="BodyText"/>
              <w:spacing w:line="360" w:lineRule="auto"/>
              <w:rPr>
                <w:rFonts w:ascii="Arial" w:hAnsi="Arial" w:cs="Arial"/>
                <w:b w:val="0"/>
                <w:bCs w:val="0"/>
                <w:sz w:val="16"/>
                <w:szCs w:val="16"/>
              </w:rPr>
            </w:pPr>
            <w:r w:rsidRPr="00153ABE">
              <w:rPr>
                <w:rFonts w:ascii="Arial" w:hAnsi="Arial" w:cs="Arial"/>
                <w:b w:val="0"/>
                <w:bCs w:val="0"/>
                <w:sz w:val="16"/>
                <w:szCs w:val="16"/>
              </w:rPr>
              <w:t>Recommended Sri Lanka re-entry</w:t>
            </w:r>
          </w:p>
        </w:tc>
        <w:tc>
          <w:tcPr>
            <w:tcW w:w="2337" w:type="dxa"/>
          </w:tcPr>
          <w:p w14:paraId="437C668F" w14:textId="0486C942" w:rsidR="00230A3B" w:rsidRPr="00153ABE" w:rsidRDefault="00230A3B" w:rsidP="00230A3B">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153ABE">
              <w:rPr>
                <w:rFonts w:ascii="Arial" w:hAnsi="Arial" w:cs="Arial"/>
                <w:bCs/>
                <w:sz w:val="16"/>
                <w:szCs w:val="16"/>
              </w:rPr>
              <w:t>Minority-equity JV / controlled master franchise</w:t>
            </w:r>
          </w:p>
        </w:tc>
        <w:tc>
          <w:tcPr>
            <w:tcW w:w="2338" w:type="dxa"/>
          </w:tcPr>
          <w:p w14:paraId="1677636E" w14:textId="71E4798D" w:rsidR="00230A3B" w:rsidRPr="00153ABE" w:rsidRDefault="00230A3B" w:rsidP="00230A3B">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153ABE">
              <w:rPr>
                <w:rFonts w:ascii="Arial" w:hAnsi="Arial" w:cs="Arial"/>
                <w:bCs/>
                <w:sz w:val="16"/>
                <w:szCs w:val="16"/>
              </w:rPr>
              <w:t>Moderate-high (audit rights, board representation)</w:t>
            </w:r>
          </w:p>
        </w:tc>
        <w:tc>
          <w:tcPr>
            <w:tcW w:w="2338" w:type="dxa"/>
          </w:tcPr>
          <w:p w14:paraId="7D2E2084" w14:textId="318F1506" w:rsidR="00230A3B" w:rsidRPr="00153ABE" w:rsidRDefault="00586F99" w:rsidP="00230A3B">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153ABE">
              <w:rPr>
                <w:rFonts w:ascii="Arial" w:hAnsi="Arial" w:cs="Arial"/>
                <w:bCs/>
                <w:sz w:val="16"/>
                <w:szCs w:val="16"/>
              </w:rPr>
              <w:t>To be phased in from 2026</w:t>
            </w:r>
          </w:p>
        </w:tc>
      </w:tr>
    </w:tbl>
    <w:p w14:paraId="5CE50D41" w14:textId="724E5B0C" w:rsidR="004547FF" w:rsidRPr="00463DAC" w:rsidRDefault="00463DAC" w:rsidP="003E78B1">
      <w:pPr>
        <w:pStyle w:val="BodyText"/>
        <w:spacing w:line="360" w:lineRule="auto"/>
        <w:rPr>
          <w:rFonts w:ascii="Arial" w:hAnsi="Arial" w:cs="Arial"/>
          <w:sz w:val="22"/>
          <w:szCs w:val="22"/>
        </w:rPr>
      </w:pPr>
      <w:r w:rsidRPr="00463DAC">
        <w:rPr>
          <w:rFonts w:ascii="Arial" w:hAnsi="Arial" w:cs="Arial"/>
          <w:sz w:val="22"/>
          <w:szCs w:val="22"/>
        </w:rPr>
        <w:t xml:space="preserve">Source: Author’s compilation based on McDonald’s Corporation (2026), </w:t>
      </w:r>
      <w:proofErr w:type="spellStart"/>
      <w:r w:rsidRPr="00463DAC">
        <w:rPr>
          <w:rFonts w:ascii="Arial" w:hAnsi="Arial" w:cs="Arial"/>
          <w:sz w:val="22"/>
          <w:szCs w:val="22"/>
        </w:rPr>
        <w:t>EconomyNext</w:t>
      </w:r>
      <w:proofErr w:type="spellEnd"/>
      <w:r w:rsidRPr="00463DAC">
        <w:rPr>
          <w:rFonts w:ascii="Arial" w:hAnsi="Arial" w:cs="Arial"/>
          <w:sz w:val="22"/>
          <w:szCs w:val="22"/>
        </w:rPr>
        <w:t xml:space="preserve"> (2024), Quartz (2019), Scroll.in (2019), and entry-mode literature (Dunning, 1988; Anderson and </w:t>
      </w:r>
      <w:proofErr w:type="spellStart"/>
      <w:r w:rsidRPr="00463DAC">
        <w:rPr>
          <w:rFonts w:ascii="Arial" w:hAnsi="Arial" w:cs="Arial"/>
          <w:sz w:val="22"/>
          <w:szCs w:val="22"/>
        </w:rPr>
        <w:t>Gatignon</w:t>
      </w:r>
      <w:proofErr w:type="spellEnd"/>
      <w:r w:rsidRPr="00463DAC">
        <w:rPr>
          <w:rFonts w:ascii="Arial" w:hAnsi="Arial" w:cs="Arial"/>
          <w:sz w:val="22"/>
          <w:szCs w:val="22"/>
        </w:rPr>
        <w:t>, 1986).</w:t>
      </w:r>
    </w:p>
    <w:p w14:paraId="1C2942D5" w14:textId="2A318B49" w:rsidR="007A78F3" w:rsidRDefault="00FE1377" w:rsidP="003E78B1">
      <w:pPr>
        <w:pStyle w:val="BodyText"/>
        <w:spacing w:line="360" w:lineRule="auto"/>
        <w:rPr>
          <w:rFonts w:ascii="Arial" w:hAnsi="Arial" w:cs="Arial"/>
          <w:sz w:val="22"/>
          <w:szCs w:val="22"/>
        </w:rPr>
      </w:pPr>
      <w:r>
        <w:rPr>
          <w:rFonts w:ascii="Arial" w:hAnsi="Arial" w:cs="Arial"/>
          <w:sz w:val="22"/>
          <w:szCs w:val="22"/>
        </w:rPr>
        <w:t>As shown in Table 4, McDonald’s has historically relied on franchising for international expansion, but more complex markets require greater ownership involvement. The Sri Lankan case highlights the limitations of a low-control master franchise model, where insufficient oversight led to operational and reputational risks. Therefore, future re-entry in Sri Lanka should adopt a hybrid approach, such as a minority-equity joint venture or a controlled master franchise, to retain local market expertise while protecting brand standards.</w:t>
      </w:r>
    </w:p>
    <w:p w14:paraId="144053E1" w14:textId="77777777" w:rsidR="00C5695D" w:rsidRDefault="00C5695D" w:rsidP="003E78B1">
      <w:pPr>
        <w:pStyle w:val="BodyText"/>
        <w:spacing w:line="360" w:lineRule="auto"/>
        <w:rPr>
          <w:rFonts w:ascii="Arial" w:hAnsi="Arial" w:cs="Arial"/>
          <w:sz w:val="22"/>
          <w:szCs w:val="22"/>
        </w:rPr>
      </w:pPr>
    </w:p>
    <w:p w14:paraId="301D73D5" w14:textId="77777777" w:rsidR="00C5695D" w:rsidRDefault="00C5695D" w:rsidP="003E78B1">
      <w:pPr>
        <w:pStyle w:val="BodyText"/>
        <w:spacing w:line="360" w:lineRule="auto"/>
        <w:rPr>
          <w:rFonts w:ascii="Arial" w:hAnsi="Arial" w:cs="Arial"/>
          <w:sz w:val="22"/>
          <w:szCs w:val="22"/>
        </w:rPr>
      </w:pPr>
    </w:p>
    <w:p w14:paraId="72803ECD" w14:textId="77777777" w:rsidR="00C5695D" w:rsidRDefault="00C5695D" w:rsidP="003E78B1">
      <w:pPr>
        <w:pStyle w:val="BodyText"/>
        <w:spacing w:line="360" w:lineRule="auto"/>
        <w:rPr>
          <w:rFonts w:ascii="Arial" w:hAnsi="Arial" w:cs="Arial"/>
          <w:sz w:val="22"/>
          <w:szCs w:val="22"/>
        </w:rPr>
      </w:pPr>
    </w:p>
    <w:p w14:paraId="49967538" w14:textId="77777777" w:rsidR="00C5695D" w:rsidRPr="007A78F3" w:rsidRDefault="00C5695D" w:rsidP="003E78B1">
      <w:pPr>
        <w:pStyle w:val="BodyText"/>
        <w:spacing w:line="360" w:lineRule="auto"/>
        <w:rPr>
          <w:rFonts w:ascii="Arial" w:hAnsi="Arial" w:cs="Arial"/>
          <w:sz w:val="22"/>
          <w:szCs w:val="22"/>
        </w:rPr>
      </w:pPr>
    </w:p>
    <w:p w14:paraId="095FA45D" w14:textId="60B1EC7E" w:rsidR="00CB2E36" w:rsidRPr="0000703C" w:rsidRDefault="006165BC" w:rsidP="003E78B1">
      <w:pPr>
        <w:pStyle w:val="BodyText"/>
        <w:spacing w:line="360" w:lineRule="auto"/>
        <w:rPr>
          <w:rFonts w:ascii="Arial" w:hAnsi="Arial" w:cs="Arial"/>
          <w:b/>
          <w:color w:val="000000" w:themeColor="text1"/>
        </w:rPr>
      </w:pPr>
      <w:r w:rsidRPr="0000703C">
        <w:rPr>
          <w:rFonts w:ascii="Arial" w:hAnsi="Arial" w:cs="Arial"/>
          <w:b/>
          <w:color w:val="000000" w:themeColor="text1"/>
        </w:rPr>
        <w:lastRenderedPageBreak/>
        <w:t xml:space="preserve">Table </w:t>
      </w:r>
      <w:r w:rsidR="008F3366">
        <w:rPr>
          <w:rFonts w:ascii="Arial" w:hAnsi="Arial" w:cs="Arial"/>
          <w:b/>
          <w:color w:val="000000" w:themeColor="text1"/>
        </w:rPr>
        <w:t>5</w:t>
      </w:r>
      <w:r w:rsidRPr="0000703C">
        <w:rPr>
          <w:rFonts w:ascii="Arial" w:hAnsi="Arial" w:cs="Arial"/>
          <w:b/>
          <w:color w:val="000000" w:themeColor="text1"/>
        </w:rPr>
        <w:t>: McDonald’s (Pre-2024) vs. Sapphire Foods (KFC/Pizza Hut) — Sri Lankan Franchise Structure</w:t>
      </w:r>
    </w:p>
    <w:tbl>
      <w:tblPr>
        <w:tblStyle w:val="ListTable1Light-Accent2"/>
        <w:tblW w:w="0" w:type="auto"/>
        <w:tblLook w:val="04A0" w:firstRow="1" w:lastRow="0" w:firstColumn="1" w:lastColumn="0" w:noHBand="0" w:noVBand="1"/>
      </w:tblPr>
      <w:tblGrid>
        <w:gridCol w:w="3117"/>
        <w:gridCol w:w="3117"/>
        <w:gridCol w:w="3117"/>
      </w:tblGrid>
      <w:tr w:rsidR="007C5D0E" w14:paraId="6619CB92" w14:textId="77777777" w:rsidTr="009B47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tcPr>
          <w:p w14:paraId="3F2976EA" w14:textId="12914E17" w:rsidR="007C5D0E" w:rsidRDefault="00F23EDA" w:rsidP="003E78B1">
            <w:pPr>
              <w:pStyle w:val="BodyText"/>
              <w:spacing w:line="360" w:lineRule="auto"/>
              <w:rPr>
                <w:rFonts w:ascii="Arial" w:hAnsi="Arial" w:cs="Arial"/>
                <w:sz w:val="22"/>
                <w:szCs w:val="22"/>
              </w:rPr>
            </w:pPr>
            <w:r w:rsidRPr="003E78B1">
              <w:rPr>
                <w:rFonts w:ascii="Arial" w:hAnsi="Arial" w:cs="Arial"/>
                <w:sz w:val="22"/>
                <w:szCs w:val="22"/>
              </w:rPr>
              <w:t xml:space="preserve">Feature </w:t>
            </w:r>
          </w:p>
        </w:tc>
        <w:tc>
          <w:tcPr>
            <w:tcW w:w="3117" w:type="dxa"/>
          </w:tcPr>
          <w:p w14:paraId="34C3BA3D" w14:textId="6B6D72C3" w:rsidR="007C5D0E" w:rsidRDefault="00F23EDA" w:rsidP="003E78B1">
            <w:pPr>
              <w:pStyle w:val="BodyTex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McDonald’s (IRS/Abans)</w:t>
            </w:r>
          </w:p>
        </w:tc>
        <w:tc>
          <w:tcPr>
            <w:tcW w:w="3117" w:type="dxa"/>
          </w:tcPr>
          <w:p w14:paraId="53CC77B9" w14:textId="17F6DCD3" w:rsidR="007C5D0E" w:rsidRDefault="00F23EDA" w:rsidP="003E78B1">
            <w:pPr>
              <w:pStyle w:val="BodyText"/>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E78B1">
              <w:rPr>
                <w:rFonts w:ascii="Arial" w:hAnsi="Arial" w:cs="Arial"/>
                <w:sz w:val="22"/>
                <w:szCs w:val="22"/>
              </w:rPr>
              <w:t>Sapphire Foods (KFC, Pizza Hut)</w:t>
            </w:r>
          </w:p>
        </w:tc>
      </w:tr>
      <w:tr w:rsidR="007C5D0E" w14:paraId="6A109751" w14:textId="77777777" w:rsidTr="009B47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tcPr>
          <w:p w14:paraId="06A3984E" w14:textId="72BE3657" w:rsidR="007C5D0E" w:rsidRPr="00153ABE" w:rsidRDefault="00F23EDA" w:rsidP="003E78B1">
            <w:pPr>
              <w:pStyle w:val="BodyText"/>
              <w:spacing w:line="360" w:lineRule="auto"/>
              <w:rPr>
                <w:rFonts w:ascii="Arial" w:hAnsi="Arial" w:cs="Arial"/>
                <w:b w:val="0"/>
                <w:bCs w:val="0"/>
                <w:sz w:val="16"/>
                <w:szCs w:val="16"/>
              </w:rPr>
            </w:pPr>
            <w:r w:rsidRPr="00153ABE">
              <w:rPr>
                <w:rFonts w:ascii="Arial" w:hAnsi="Arial" w:cs="Arial"/>
                <w:b w:val="0"/>
                <w:bCs w:val="0"/>
                <w:sz w:val="16"/>
                <w:szCs w:val="16"/>
              </w:rPr>
              <w:t>Core business focus</w:t>
            </w:r>
          </w:p>
        </w:tc>
        <w:tc>
          <w:tcPr>
            <w:tcW w:w="3117" w:type="dxa"/>
          </w:tcPr>
          <w:p w14:paraId="4D1689E7" w14:textId="75F60285" w:rsidR="007C5D0E" w:rsidRPr="00153ABE" w:rsidRDefault="00F23EDA" w:rsidP="003E78B1">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153ABE">
              <w:rPr>
                <w:rFonts w:ascii="Arial" w:hAnsi="Arial" w:cs="Arial"/>
                <w:sz w:val="16"/>
                <w:szCs w:val="16"/>
              </w:rPr>
              <w:t>QSR peripheral to conglomerate’s electronics/retail core</w:t>
            </w:r>
          </w:p>
        </w:tc>
        <w:tc>
          <w:tcPr>
            <w:tcW w:w="3117" w:type="dxa"/>
          </w:tcPr>
          <w:p w14:paraId="74B54B24" w14:textId="069EE0B8" w:rsidR="007C5D0E" w:rsidRPr="00153ABE" w:rsidRDefault="00F23EDA" w:rsidP="003E78B1">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153ABE">
              <w:rPr>
                <w:rFonts w:ascii="Arial" w:hAnsi="Arial" w:cs="Arial"/>
                <w:sz w:val="16"/>
                <w:szCs w:val="16"/>
              </w:rPr>
              <w:t>Dedicated multi-country, multi-brand QSR operator</w:t>
            </w:r>
          </w:p>
        </w:tc>
      </w:tr>
      <w:tr w:rsidR="007C5D0E" w14:paraId="5C51DAA4" w14:textId="77777777" w:rsidTr="009B473E">
        <w:tc>
          <w:tcPr>
            <w:cnfStyle w:val="001000000000" w:firstRow="0" w:lastRow="0" w:firstColumn="1" w:lastColumn="0" w:oddVBand="0" w:evenVBand="0" w:oddHBand="0" w:evenHBand="0" w:firstRowFirstColumn="0" w:firstRowLastColumn="0" w:lastRowFirstColumn="0" w:lastRowLastColumn="0"/>
            <w:tcW w:w="3117" w:type="dxa"/>
          </w:tcPr>
          <w:p w14:paraId="1989E634" w14:textId="0B4EADE8" w:rsidR="007C5D0E" w:rsidRPr="00153ABE" w:rsidRDefault="00F23EDA" w:rsidP="003E78B1">
            <w:pPr>
              <w:pStyle w:val="BodyText"/>
              <w:spacing w:line="360" w:lineRule="auto"/>
              <w:rPr>
                <w:rFonts w:ascii="Arial" w:hAnsi="Arial" w:cs="Arial"/>
                <w:b w:val="0"/>
                <w:bCs w:val="0"/>
                <w:sz w:val="16"/>
                <w:szCs w:val="16"/>
              </w:rPr>
            </w:pPr>
            <w:r w:rsidRPr="00153ABE">
              <w:rPr>
                <w:rFonts w:ascii="Arial" w:hAnsi="Arial" w:cs="Arial"/>
                <w:b w:val="0"/>
                <w:bCs w:val="0"/>
                <w:sz w:val="16"/>
                <w:szCs w:val="16"/>
              </w:rPr>
              <w:t>Outlet count (Sri Lanka)</w:t>
            </w:r>
          </w:p>
        </w:tc>
        <w:tc>
          <w:tcPr>
            <w:tcW w:w="3117" w:type="dxa"/>
          </w:tcPr>
          <w:p w14:paraId="5A512252" w14:textId="18DF7BAF" w:rsidR="007C5D0E" w:rsidRPr="00153ABE" w:rsidRDefault="00F23EDA" w:rsidP="003E78B1">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153ABE">
              <w:rPr>
                <w:rFonts w:ascii="Arial" w:hAnsi="Arial" w:cs="Arial"/>
                <w:sz w:val="16"/>
                <w:szCs w:val="16"/>
              </w:rPr>
              <w:t>12 (pre-2024)</w:t>
            </w:r>
          </w:p>
        </w:tc>
        <w:tc>
          <w:tcPr>
            <w:tcW w:w="3117" w:type="dxa"/>
          </w:tcPr>
          <w:p w14:paraId="759E7DED" w14:textId="261A0EA5" w:rsidR="007C5D0E" w:rsidRPr="00153ABE" w:rsidRDefault="00F23EDA" w:rsidP="003E78B1">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153ABE">
              <w:rPr>
                <w:rFonts w:ascii="Arial" w:hAnsi="Arial" w:cs="Arial"/>
                <w:sz w:val="16"/>
                <w:szCs w:val="16"/>
              </w:rPr>
              <w:t>121</w:t>
            </w:r>
          </w:p>
        </w:tc>
      </w:tr>
      <w:tr w:rsidR="007C5D0E" w14:paraId="0B5F8AAF" w14:textId="77777777" w:rsidTr="009B47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tcPr>
          <w:p w14:paraId="4B3DB4D9" w14:textId="4377B3A4" w:rsidR="007C5D0E" w:rsidRPr="00153ABE" w:rsidRDefault="00F23EDA" w:rsidP="003E78B1">
            <w:pPr>
              <w:pStyle w:val="BodyText"/>
              <w:spacing w:line="360" w:lineRule="auto"/>
              <w:rPr>
                <w:rFonts w:ascii="Arial" w:hAnsi="Arial" w:cs="Arial"/>
                <w:b w:val="0"/>
                <w:bCs w:val="0"/>
                <w:sz w:val="16"/>
                <w:szCs w:val="16"/>
              </w:rPr>
            </w:pPr>
            <w:proofErr w:type="spellStart"/>
            <w:r w:rsidRPr="00153ABE">
              <w:rPr>
                <w:rFonts w:ascii="Arial" w:hAnsi="Arial" w:cs="Arial"/>
                <w:b w:val="0"/>
                <w:bCs w:val="0"/>
                <w:sz w:val="16"/>
                <w:szCs w:val="16"/>
              </w:rPr>
              <w:t>Organised</w:t>
            </w:r>
            <w:proofErr w:type="spellEnd"/>
            <w:r w:rsidRPr="00153ABE">
              <w:rPr>
                <w:rFonts w:ascii="Arial" w:hAnsi="Arial" w:cs="Arial"/>
                <w:b w:val="0"/>
                <w:bCs w:val="0"/>
                <w:sz w:val="16"/>
                <w:szCs w:val="16"/>
              </w:rPr>
              <w:t xml:space="preserve"> market share</w:t>
            </w:r>
          </w:p>
        </w:tc>
        <w:tc>
          <w:tcPr>
            <w:tcW w:w="3117" w:type="dxa"/>
          </w:tcPr>
          <w:p w14:paraId="194FB88F" w14:textId="4CDF13C8" w:rsidR="007C5D0E" w:rsidRPr="00153ABE" w:rsidRDefault="00F23EDA" w:rsidP="003E78B1">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153ABE">
              <w:rPr>
                <w:rFonts w:ascii="Arial" w:hAnsi="Arial" w:cs="Arial"/>
                <w:sz w:val="16"/>
                <w:szCs w:val="16"/>
              </w:rPr>
              <w:t>N/A at exit</w:t>
            </w:r>
          </w:p>
        </w:tc>
        <w:tc>
          <w:tcPr>
            <w:tcW w:w="3117" w:type="dxa"/>
          </w:tcPr>
          <w:p w14:paraId="2268039E" w14:textId="5C57781B" w:rsidR="007C5D0E" w:rsidRPr="00153ABE" w:rsidRDefault="00F23EDA" w:rsidP="003E78B1">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153ABE">
              <w:rPr>
                <w:rFonts w:ascii="Arial" w:hAnsi="Arial" w:cs="Arial"/>
                <w:sz w:val="16"/>
                <w:szCs w:val="16"/>
              </w:rPr>
              <w:t>40%+</w:t>
            </w:r>
          </w:p>
        </w:tc>
      </w:tr>
      <w:tr w:rsidR="007C5D0E" w14:paraId="3E337631" w14:textId="77777777" w:rsidTr="009B473E">
        <w:tc>
          <w:tcPr>
            <w:cnfStyle w:val="001000000000" w:firstRow="0" w:lastRow="0" w:firstColumn="1" w:lastColumn="0" w:oddVBand="0" w:evenVBand="0" w:oddHBand="0" w:evenHBand="0" w:firstRowFirstColumn="0" w:firstRowLastColumn="0" w:lastRowFirstColumn="0" w:lastRowLastColumn="0"/>
            <w:tcW w:w="3117" w:type="dxa"/>
          </w:tcPr>
          <w:p w14:paraId="6B581D95" w14:textId="22CBF6A3" w:rsidR="007C5D0E" w:rsidRPr="00153ABE" w:rsidRDefault="00F23EDA" w:rsidP="003E78B1">
            <w:pPr>
              <w:pStyle w:val="BodyText"/>
              <w:spacing w:line="360" w:lineRule="auto"/>
              <w:rPr>
                <w:rFonts w:ascii="Arial" w:hAnsi="Arial" w:cs="Arial"/>
                <w:b w:val="0"/>
                <w:bCs w:val="0"/>
                <w:sz w:val="16"/>
                <w:szCs w:val="16"/>
              </w:rPr>
            </w:pPr>
            <w:r w:rsidRPr="00153ABE">
              <w:rPr>
                <w:rFonts w:ascii="Arial" w:hAnsi="Arial" w:cs="Arial"/>
                <w:b w:val="0"/>
                <w:bCs w:val="0"/>
                <w:sz w:val="16"/>
                <w:szCs w:val="16"/>
              </w:rPr>
              <w:t>Regional risk-pooling</w:t>
            </w:r>
          </w:p>
        </w:tc>
        <w:tc>
          <w:tcPr>
            <w:tcW w:w="3117" w:type="dxa"/>
          </w:tcPr>
          <w:p w14:paraId="2E73DE4F" w14:textId="13659A32" w:rsidR="007C5D0E" w:rsidRPr="00153ABE" w:rsidRDefault="00F23EDA" w:rsidP="003E78B1">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153ABE">
              <w:rPr>
                <w:rFonts w:ascii="Arial" w:hAnsi="Arial" w:cs="Arial"/>
                <w:sz w:val="16"/>
                <w:szCs w:val="16"/>
              </w:rPr>
              <w:t>Single market, single brand</w:t>
            </w:r>
          </w:p>
        </w:tc>
        <w:tc>
          <w:tcPr>
            <w:tcW w:w="3117" w:type="dxa"/>
          </w:tcPr>
          <w:p w14:paraId="2E2435DF" w14:textId="00C422C4" w:rsidR="007C5D0E" w:rsidRPr="00153ABE" w:rsidRDefault="0004136A" w:rsidP="003E78B1">
            <w:pPr>
              <w:pStyle w:val="BodyT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153ABE">
              <w:rPr>
                <w:rFonts w:ascii="Arial" w:hAnsi="Arial" w:cs="Arial"/>
                <w:sz w:val="16"/>
                <w:szCs w:val="16"/>
              </w:rPr>
              <w:t>Multi-market (India, Sri Lanka, Maldives), multi-brand</w:t>
            </w:r>
          </w:p>
        </w:tc>
      </w:tr>
      <w:tr w:rsidR="0004136A" w14:paraId="522F778E" w14:textId="77777777" w:rsidTr="009B47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tcPr>
          <w:p w14:paraId="574A08E5" w14:textId="2BB79AB0" w:rsidR="0004136A" w:rsidRPr="00153ABE" w:rsidRDefault="0004136A" w:rsidP="0004136A">
            <w:pPr>
              <w:pStyle w:val="BodyText"/>
              <w:spacing w:line="360" w:lineRule="auto"/>
              <w:rPr>
                <w:rFonts w:ascii="Arial" w:hAnsi="Arial" w:cs="Arial"/>
                <w:b w:val="0"/>
                <w:bCs w:val="0"/>
                <w:sz w:val="16"/>
                <w:szCs w:val="16"/>
              </w:rPr>
            </w:pPr>
            <w:r w:rsidRPr="00153ABE">
              <w:rPr>
                <w:rFonts w:ascii="Arial" w:hAnsi="Arial" w:cs="Arial"/>
                <w:b w:val="0"/>
                <w:bCs w:val="0"/>
                <w:sz w:val="16"/>
                <w:szCs w:val="16"/>
              </w:rPr>
              <w:t>2026 development</w:t>
            </w:r>
          </w:p>
        </w:tc>
        <w:tc>
          <w:tcPr>
            <w:tcW w:w="3117" w:type="dxa"/>
          </w:tcPr>
          <w:p w14:paraId="4E4423E4" w14:textId="7FEE34FF" w:rsidR="0004136A" w:rsidRPr="00153ABE" w:rsidRDefault="0004136A" w:rsidP="0004136A">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153ABE">
              <w:rPr>
                <w:rFonts w:ascii="Arial" w:hAnsi="Arial" w:cs="Arial"/>
                <w:sz w:val="16"/>
                <w:szCs w:val="16"/>
              </w:rPr>
              <w:t>Exited; no successor announced</w:t>
            </w:r>
          </w:p>
        </w:tc>
        <w:tc>
          <w:tcPr>
            <w:tcW w:w="3117" w:type="dxa"/>
          </w:tcPr>
          <w:p w14:paraId="2721AE7B" w14:textId="025CD2D0" w:rsidR="0004136A" w:rsidRPr="00153ABE" w:rsidRDefault="0004136A" w:rsidP="0004136A">
            <w:pPr>
              <w:pStyle w:val="BodyTex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153ABE">
              <w:rPr>
                <w:rFonts w:ascii="Arial" w:hAnsi="Arial" w:cs="Arial"/>
                <w:sz w:val="16"/>
                <w:szCs w:val="16"/>
              </w:rPr>
              <w:t>Strengthened via merger with Devyani International</w:t>
            </w:r>
          </w:p>
        </w:tc>
      </w:tr>
    </w:tbl>
    <w:p w14:paraId="527CFFD0" w14:textId="77777777" w:rsidR="009B473E" w:rsidRDefault="009B473E" w:rsidP="003E78B1">
      <w:pPr>
        <w:pStyle w:val="Heading3"/>
        <w:spacing w:line="360" w:lineRule="auto"/>
        <w:rPr>
          <w:rFonts w:ascii="Arial" w:hAnsi="Arial" w:cs="Arial"/>
          <w:sz w:val="28"/>
          <w:szCs w:val="28"/>
        </w:rPr>
      </w:pPr>
      <w:bookmarkStart w:id="25" w:name="strategic-fit-and-justification"/>
    </w:p>
    <w:p w14:paraId="1126CB1B" w14:textId="77777777" w:rsidR="005D291F" w:rsidRDefault="005D291F" w:rsidP="003E78B1">
      <w:pPr>
        <w:pStyle w:val="Heading3"/>
        <w:spacing w:line="360" w:lineRule="auto"/>
        <w:rPr>
          <w:rFonts w:ascii="Arial" w:hAnsi="Arial" w:cs="Arial"/>
          <w:b w:val="0"/>
          <w:bCs w:val="0"/>
          <w:color w:val="000000" w:themeColor="text1"/>
          <w:sz w:val="22"/>
          <w:szCs w:val="22"/>
        </w:rPr>
      </w:pPr>
      <w:bookmarkStart w:id="26" w:name="_Toc236052398"/>
      <w:r w:rsidRPr="005D291F">
        <w:rPr>
          <w:rFonts w:ascii="Arial" w:hAnsi="Arial" w:cs="Arial"/>
          <w:b w:val="0"/>
          <w:bCs w:val="0"/>
          <w:color w:val="000000" w:themeColor="text1"/>
          <w:sz w:val="22"/>
          <w:szCs w:val="22"/>
        </w:rPr>
        <w:t xml:space="preserve">Source: Author’s own compilation based on McDonald’s Corporation (2026), </w:t>
      </w:r>
      <w:proofErr w:type="spellStart"/>
      <w:r w:rsidRPr="005D291F">
        <w:rPr>
          <w:rFonts w:ascii="Arial" w:hAnsi="Arial" w:cs="Arial"/>
          <w:b w:val="0"/>
          <w:bCs w:val="0"/>
          <w:color w:val="000000" w:themeColor="text1"/>
          <w:sz w:val="22"/>
          <w:szCs w:val="22"/>
        </w:rPr>
        <w:t>EconomyNext</w:t>
      </w:r>
      <w:proofErr w:type="spellEnd"/>
      <w:r w:rsidRPr="005D291F">
        <w:rPr>
          <w:rFonts w:ascii="Arial" w:hAnsi="Arial" w:cs="Arial"/>
          <w:b w:val="0"/>
          <w:bCs w:val="0"/>
          <w:color w:val="000000" w:themeColor="text1"/>
          <w:sz w:val="22"/>
          <w:szCs w:val="22"/>
        </w:rPr>
        <w:t xml:space="preserve"> (2024), and Sapphire Foods India (2026).</w:t>
      </w:r>
      <w:bookmarkEnd w:id="26"/>
    </w:p>
    <w:p w14:paraId="7EBB1AE8" w14:textId="5B566F88" w:rsidR="00ED226F" w:rsidRPr="00ED226F" w:rsidRDefault="00C1374C" w:rsidP="00256135">
      <w:pPr>
        <w:pStyle w:val="BodyText"/>
        <w:spacing w:line="360" w:lineRule="auto"/>
        <w:rPr>
          <w:rFonts w:ascii="Arial" w:hAnsi="Arial" w:cs="Arial"/>
          <w:sz w:val="22"/>
          <w:szCs w:val="22"/>
        </w:rPr>
      </w:pPr>
      <w:r>
        <w:rPr>
          <w:rFonts w:ascii="Arial" w:hAnsi="Arial" w:cs="Arial"/>
          <w:sz w:val="22"/>
          <w:szCs w:val="22"/>
        </w:rPr>
        <w:t xml:space="preserve">McDonald’s used a single master franchisee model in Sri Lanka, which posed agency and quality-control risks. In contrast, Sapphire Foods has a structured franchise management approach with stronger corporate oversight for KFC and Pizza Hut. This suggests that McDonald’s future re-entry should </w:t>
      </w:r>
      <w:proofErr w:type="spellStart"/>
      <w:r>
        <w:rPr>
          <w:rFonts w:ascii="Arial" w:hAnsi="Arial" w:cs="Arial"/>
          <w:sz w:val="22"/>
          <w:szCs w:val="22"/>
        </w:rPr>
        <w:t>prioritise</w:t>
      </w:r>
      <w:proofErr w:type="spellEnd"/>
      <w:r>
        <w:rPr>
          <w:rFonts w:ascii="Arial" w:hAnsi="Arial" w:cs="Arial"/>
          <w:sz w:val="22"/>
          <w:szCs w:val="22"/>
        </w:rPr>
        <w:t xml:space="preserve"> improved governance to safeguard brand standards.</w:t>
      </w:r>
    </w:p>
    <w:p w14:paraId="588C7C7F" w14:textId="1007F8BB" w:rsidR="00CB2E36" w:rsidRDefault="00965DDD" w:rsidP="003E78B1">
      <w:pPr>
        <w:pStyle w:val="Heading3"/>
        <w:spacing w:line="360" w:lineRule="auto"/>
        <w:rPr>
          <w:rFonts w:ascii="Arial" w:hAnsi="Arial" w:cs="Arial"/>
          <w:sz w:val="28"/>
          <w:szCs w:val="28"/>
        </w:rPr>
      </w:pPr>
      <w:bookmarkStart w:id="27" w:name="_Toc236052399"/>
      <w:r>
        <w:rPr>
          <w:rFonts w:ascii="Arial" w:hAnsi="Arial" w:cs="Arial"/>
          <w:sz w:val="28"/>
          <w:szCs w:val="28"/>
        </w:rPr>
        <w:t>5.</w:t>
      </w:r>
      <w:r w:rsidR="00A81B82">
        <w:rPr>
          <w:rFonts w:ascii="Arial" w:hAnsi="Arial" w:cs="Arial"/>
          <w:sz w:val="28"/>
          <w:szCs w:val="28"/>
        </w:rPr>
        <w:t xml:space="preserve"> </w:t>
      </w:r>
      <w:r w:rsidR="006165BC" w:rsidRPr="00AC3BA0">
        <w:rPr>
          <w:rFonts w:ascii="Arial" w:hAnsi="Arial" w:cs="Arial"/>
          <w:sz w:val="28"/>
          <w:szCs w:val="28"/>
        </w:rPr>
        <w:t>Strategic Fit and Justification</w:t>
      </w:r>
      <w:bookmarkEnd w:id="25"/>
      <w:bookmarkEnd w:id="27"/>
    </w:p>
    <w:p w14:paraId="2A04C5E0" w14:textId="73A325AB" w:rsidR="009663A9" w:rsidRPr="00A81B82" w:rsidRDefault="009663A9" w:rsidP="00A81B82">
      <w:pPr>
        <w:pStyle w:val="NormalWeb"/>
        <w:spacing w:line="360" w:lineRule="auto"/>
        <w:rPr>
          <w:rFonts w:ascii="Arial" w:hAnsi="Arial" w:cs="Arial"/>
          <w:sz w:val="22"/>
          <w:szCs w:val="22"/>
        </w:rPr>
      </w:pPr>
      <w:r w:rsidRPr="00A81B82">
        <w:rPr>
          <w:rFonts w:ascii="Arial" w:hAnsi="Arial" w:cs="Arial"/>
          <w:sz w:val="22"/>
          <w:szCs w:val="22"/>
        </w:rPr>
        <w:t xml:space="preserve">McDonald’s previous franchising strategy in Sri Lanka failed primarily due to implementation weaknesses rather than limitations of the franchise model itself. The 2024 exit highlighted significant agency risks </w:t>
      </w:r>
      <w:r w:rsidR="00A81B82">
        <w:rPr>
          <w:rFonts w:ascii="Arial" w:hAnsi="Arial" w:cs="Arial"/>
          <w:sz w:val="22"/>
          <w:szCs w:val="22"/>
        </w:rPr>
        <w:t>stemming</w:t>
      </w:r>
      <w:r w:rsidRPr="00A81B82">
        <w:rPr>
          <w:rFonts w:ascii="Arial" w:hAnsi="Arial" w:cs="Arial"/>
          <w:sz w:val="22"/>
          <w:szCs w:val="22"/>
        </w:rPr>
        <w:t xml:space="preserve"> </w:t>
      </w:r>
      <w:r w:rsidR="00A81B82">
        <w:rPr>
          <w:rFonts w:ascii="Arial" w:hAnsi="Arial" w:cs="Arial"/>
          <w:sz w:val="22"/>
          <w:szCs w:val="22"/>
        </w:rPr>
        <w:t>from</w:t>
      </w:r>
      <w:r w:rsidRPr="00A81B82">
        <w:rPr>
          <w:rFonts w:ascii="Arial" w:hAnsi="Arial" w:cs="Arial"/>
          <w:sz w:val="22"/>
          <w:szCs w:val="22"/>
        </w:rPr>
        <w:t xml:space="preserve"> insufficient franchisee capability, </w:t>
      </w:r>
      <w:r w:rsidR="00A81B82">
        <w:rPr>
          <w:rFonts w:ascii="Arial" w:hAnsi="Arial" w:cs="Arial"/>
          <w:sz w:val="22"/>
          <w:szCs w:val="22"/>
        </w:rPr>
        <w:t>necessitat</w:t>
      </w:r>
      <w:r w:rsidRPr="00A81B82">
        <w:rPr>
          <w:rFonts w:ascii="Arial" w:hAnsi="Arial" w:cs="Arial"/>
          <w:sz w:val="22"/>
          <w:szCs w:val="22"/>
        </w:rPr>
        <w:t xml:space="preserve">ing stronger partner selection, contractual safeguards, and continuous operational monitoring. While franchising provides flexibility and reduces capital exposure, it limits direct control over quality </w:t>
      </w:r>
      <w:r w:rsidRPr="00A81B82">
        <w:rPr>
          <w:rFonts w:ascii="Arial" w:hAnsi="Arial" w:cs="Arial"/>
          <w:sz w:val="22"/>
          <w:szCs w:val="22"/>
        </w:rPr>
        <w:lastRenderedPageBreak/>
        <w:t xml:space="preserve">standards. Conversely, a wholly owned subsidiary would maximise operational control but would be inconsistent with McDonald’s capital-light global strategy and would expose the company to greater financial and regulatory risks. Therefore, a joint venture model, similar to McDonald’s approach in India, offers a more suitable strategic balance by combining local market expertise, shared investment risk, and enhanced corporate oversight. Figure 5 illustrates the relative positioning of these entry modes </w:t>
      </w:r>
      <w:r w:rsidR="00A81B82">
        <w:rPr>
          <w:rFonts w:ascii="Arial" w:hAnsi="Arial" w:cs="Arial"/>
          <w:sz w:val="22"/>
          <w:szCs w:val="22"/>
        </w:rPr>
        <w:t>along the control-flexibility trade-off.</w:t>
      </w:r>
    </w:p>
    <w:p w14:paraId="1FAD9049" w14:textId="77777777" w:rsidR="00A51CFE" w:rsidRPr="009663A9" w:rsidRDefault="00A51CFE" w:rsidP="00931F5C">
      <w:pPr>
        <w:pStyle w:val="CaptionedFigure"/>
        <w:spacing w:line="360" w:lineRule="auto"/>
        <w:rPr>
          <w:rFonts w:ascii="Arial" w:hAnsi="Arial" w:cs="Arial"/>
          <w:lang w:val="en-GB"/>
        </w:rPr>
      </w:pPr>
    </w:p>
    <w:p w14:paraId="3A6B0057" w14:textId="4BDD8DB7" w:rsidR="00B154FA" w:rsidRPr="00B02F7E" w:rsidRDefault="00F750D9" w:rsidP="00931F5C">
      <w:pPr>
        <w:pStyle w:val="CaptionedFigure"/>
        <w:spacing w:line="360" w:lineRule="auto"/>
        <w:rPr>
          <w:rFonts w:ascii="Arial" w:hAnsi="Arial" w:cs="Arial"/>
          <w:b/>
          <w:bCs/>
          <w:color w:val="548DD4" w:themeColor="text2" w:themeTint="99"/>
        </w:rPr>
      </w:pPr>
      <w:r w:rsidRPr="00B02F7E">
        <w:rPr>
          <w:rFonts w:ascii="Arial" w:hAnsi="Arial" w:cs="Arial"/>
          <w:b/>
          <w:bCs/>
          <w:noProof/>
          <w:color w:val="000000" w:themeColor="text1"/>
        </w:rPr>
        <mc:AlternateContent>
          <mc:Choice Requires="wps">
            <w:drawing>
              <wp:anchor distT="0" distB="0" distL="114300" distR="114300" simplePos="0" relativeHeight="251666432" behindDoc="0" locked="0" layoutInCell="1" allowOverlap="1" wp14:anchorId="16E81BCA" wp14:editId="0438EA90">
                <wp:simplePos x="0" y="0"/>
                <wp:positionH relativeFrom="column">
                  <wp:posOffset>2953657</wp:posOffset>
                </wp:positionH>
                <wp:positionV relativeFrom="paragraph">
                  <wp:posOffset>396150</wp:posOffset>
                </wp:positionV>
                <wp:extent cx="0" cy="3577318"/>
                <wp:effectExtent l="63500" t="25400" r="63500" b="67945"/>
                <wp:wrapNone/>
                <wp:docPr id="1887205722" name="Straight Connector 10"/>
                <wp:cNvGraphicFramePr/>
                <a:graphic xmlns:a="http://schemas.openxmlformats.org/drawingml/2006/main">
                  <a:graphicData uri="http://schemas.microsoft.com/office/word/2010/wordprocessingShape">
                    <wps:wsp>
                      <wps:cNvCnPr/>
                      <wps:spPr>
                        <a:xfrm>
                          <a:off x="0" y="0"/>
                          <a:ext cx="0" cy="357731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B44309"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55pt,31.2pt" to="232.55pt,312.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" strokecolor="#4f81bd [3204]" strokeweight="2pt">
                <v:shadow on="t" color="black" opacity="24903f" origin=",.5" offset="0,.55556mm"/>
              </v:line>
            </w:pict>
          </mc:Fallback>
        </mc:AlternateContent>
      </w:r>
      <w:r w:rsidR="00C217DA" w:rsidRPr="00B02F7E">
        <w:rPr>
          <w:rFonts w:ascii="Arial" w:hAnsi="Arial" w:cs="Arial"/>
          <w:b/>
          <w:bCs/>
          <w:noProof/>
          <w:color w:val="000000" w:themeColor="text1"/>
        </w:rPr>
        <mc:AlternateContent>
          <mc:Choice Requires="wps">
            <w:drawing>
              <wp:anchor distT="0" distB="0" distL="114300" distR="114300" simplePos="0" relativeHeight="251668480" behindDoc="0" locked="0" layoutInCell="1" allowOverlap="1" wp14:anchorId="60FA78B4" wp14:editId="630CC908">
                <wp:simplePos x="0" y="0"/>
                <wp:positionH relativeFrom="column">
                  <wp:posOffset>10160</wp:posOffset>
                </wp:positionH>
                <wp:positionV relativeFrom="paragraph">
                  <wp:posOffset>427355</wp:posOffset>
                </wp:positionV>
                <wp:extent cx="1951355" cy="337185"/>
                <wp:effectExtent l="0" t="0" r="17145" b="18415"/>
                <wp:wrapNone/>
                <wp:docPr id="437030368" name="Text Box 12"/>
                <wp:cNvGraphicFramePr/>
                <a:graphic xmlns:a="http://schemas.openxmlformats.org/drawingml/2006/main">
                  <a:graphicData uri="http://schemas.microsoft.com/office/word/2010/wordprocessingShape">
                    <wps:wsp>
                      <wps:cNvSpPr txBox="1"/>
                      <wps:spPr>
                        <a:xfrm>
                          <a:off x="0" y="0"/>
                          <a:ext cx="1951355" cy="337185"/>
                        </a:xfrm>
                        <a:prstGeom prst="rect">
                          <a:avLst/>
                        </a:prstGeom>
                        <a:solidFill>
                          <a:schemeClr val="tx2">
                            <a:lumMod val="40000"/>
                            <a:lumOff val="60000"/>
                          </a:schemeClr>
                        </a:solidFill>
                        <a:ln w="6350">
                          <a:solidFill>
                            <a:schemeClr val="accent1"/>
                          </a:solidFill>
                        </a:ln>
                      </wps:spPr>
                      <wps:txbx>
                        <w:txbxContent>
                          <w:p w14:paraId="5B118BFC" w14:textId="5EDFA02D" w:rsidR="00E63993" w:rsidRPr="00AD679A" w:rsidRDefault="00AD679A">
                            <w:pPr>
                              <w:rPr>
                                <w:sz w:val="16"/>
                                <w:szCs w:val="16"/>
                                <w:lang w:val="en-GB"/>
                              </w:rPr>
                            </w:pPr>
                            <w:r>
                              <w:rPr>
                                <w:sz w:val="16"/>
                                <w:szCs w:val="16"/>
                                <w:lang w:val="en-GB"/>
                              </w:rPr>
                              <w:t>High Control/High Resource commitment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FA78B4" id="Text Box 12" o:spid="_x0000_s1032" type="#_x0000_t202" style="position:absolute;margin-left:.8pt;margin-top:33.65pt;width:153.65pt;height:26.5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" fillcolor="#8db3e2 [1311]" strokecolor="#4f81bd [3204]" strokeweight=".5pt">
                <v:textbox>
                  <w:txbxContent>
                    <w:p w14:paraId="5B118BFC" w14:textId="5EDFA02D" w:rsidR="00E63993" w:rsidRPr="00AD679A" w:rsidRDefault="00AD679A">
                      <w:pPr>
                        <w:rPr>
                          <w:sz w:val="16"/>
                          <w:szCs w:val="16"/>
                          <w:lang w:val="en-GB"/>
                        </w:rPr>
                      </w:pPr>
                      <w:r>
                        <w:rPr>
                          <w:sz w:val="16"/>
                          <w:szCs w:val="16"/>
                          <w:lang w:val="en-GB"/>
                        </w:rPr>
                        <w:t>High Control/High Resource commitment</w:t>
                      </w:r>
                    </w:p>
                  </w:txbxContent>
                </v:textbox>
              </v:shape>
            </w:pict>
          </mc:Fallback>
        </mc:AlternateContent>
      </w:r>
      <w:r w:rsidR="00C217DA" w:rsidRPr="00B02F7E">
        <w:rPr>
          <w:rFonts w:ascii="Arial" w:hAnsi="Arial" w:cs="Arial"/>
          <w:b/>
          <w:bCs/>
          <w:noProof/>
          <w:color w:val="000000" w:themeColor="text1"/>
        </w:rPr>
        <mc:AlternateContent>
          <mc:Choice Requires="wps">
            <w:drawing>
              <wp:anchor distT="0" distB="0" distL="114300" distR="114300" simplePos="0" relativeHeight="251669504" behindDoc="0" locked="0" layoutInCell="1" allowOverlap="1" wp14:anchorId="5E916B41" wp14:editId="64591D10">
                <wp:simplePos x="0" y="0"/>
                <wp:positionH relativeFrom="column">
                  <wp:posOffset>3009265</wp:posOffset>
                </wp:positionH>
                <wp:positionV relativeFrom="paragraph">
                  <wp:posOffset>426085</wp:posOffset>
                </wp:positionV>
                <wp:extent cx="1389380" cy="269875"/>
                <wp:effectExtent l="0" t="0" r="7620" b="9525"/>
                <wp:wrapNone/>
                <wp:docPr id="806932748" name="Text Box 13"/>
                <wp:cNvGraphicFramePr/>
                <a:graphic xmlns:a="http://schemas.openxmlformats.org/drawingml/2006/main">
                  <a:graphicData uri="http://schemas.microsoft.com/office/word/2010/wordprocessingShape">
                    <wps:wsp>
                      <wps:cNvSpPr txBox="1"/>
                      <wps:spPr>
                        <a:xfrm>
                          <a:off x="0" y="0"/>
                          <a:ext cx="1389380" cy="269875"/>
                        </a:xfrm>
                        <a:prstGeom prst="rect">
                          <a:avLst/>
                        </a:prstGeom>
                        <a:solidFill>
                          <a:schemeClr val="tx2">
                            <a:lumMod val="40000"/>
                            <a:lumOff val="60000"/>
                          </a:schemeClr>
                        </a:solidFill>
                        <a:ln w="6350">
                          <a:solidFill>
                            <a:prstClr val="black"/>
                          </a:solidFill>
                        </a:ln>
                      </wps:spPr>
                      <wps:txbx>
                        <w:txbxContent>
                          <w:p w14:paraId="5A27B30A" w14:textId="0705984C" w:rsidR="005B15F9" w:rsidRPr="00F24D52" w:rsidRDefault="005B15F9">
                            <w:pPr>
                              <w:rPr>
                                <w:sz w:val="16"/>
                                <w:szCs w:val="16"/>
                                <w:lang w:val="en-GB"/>
                              </w:rPr>
                            </w:pPr>
                            <w:r w:rsidRPr="00F24D52">
                              <w:rPr>
                                <w:sz w:val="16"/>
                                <w:szCs w:val="16"/>
                                <w:lang w:val="en-GB"/>
                              </w:rPr>
                              <w:t>Low Flexibility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916B41" id="Text Box 13" o:spid="_x0000_s1033" type="#_x0000_t202" style="position:absolute;margin-left:236.95pt;margin-top:33.55pt;width:109.4pt;height:21.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" fillcolor="#8db3e2 [1311]" strokeweight=".5pt">
                <v:textbox>
                  <w:txbxContent>
                    <w:p w14:paraId="5A27B30A" w14:textId="0705984C" w:rsidR="005B15F9" w:rsidRPr="00F24D52" w:rsidRDefault="005B15F9">
                      <w:pPr>
                        <w:rPr>
                          <w:sz w:val="16"/>
                          <w:szCs w:val="16"/>
                          <w:lang w:val="en-GB"/>
                        </w:rPr>
                      </w:pPr>
                      <w:r w:rsidRPr="00F24D52">
                        <w:rPr>
                          <w:sz w:val="16"/>
                          <w:szCs w:val="16"/>
                          <w:lang w:val="en-GB"/>
                        </w:rPr>
                        <w:t>Low Flexibility</w:t>
                      </w:r>
                    </w:p>
                  </w:txbxContent>
                </v:textbox>
              </v:shape>
            </w:pict>
          </mc:Fallback>
        </mc:AlternateContent>
      </w:r>
      <w:r w:rsidR="00C217DA" w:rsidRPr="00B02F7E">
        <w:rPr>
          <w:rFonts w:ascii="Arial" w:hAnsi="Arial" w:cs="Arial"/>
          <w:b/>
          <w:bCs/>
          <w:noProof/>
          <w:color w:val="000000" w:themeColor="text1"/>
        </w:rPr>
        <mc:AlternateContent>
          <mc:Choice Requires="wps">
            <w:drawing>
              <wp:anchor distT="0" distB="0" distL="114300" distR="114300" simplePos="0" relativeHeight="251662336" behindDoc="0" locked="0" layoutInCell="1" allowOverlap="1" wp14:anchorId="1E2ECE83" wp14:editId="27385F7F">
                <wp:simplePos x="0" y="0"/>
                <wp:positionH relativeFrom="column">
                  <wp:posOffset>-30843</wp:posOffset>
                </wp:positionH>
                <wp:positionV relativeFrom="paragraph">
                  <wp:posOffset>394970</wp:posOffset>
                </wp:positionV>
                <wp:extent cx="5549900" cy="3596731"/>
                <wp:effectExtent l="50800" t="25400" r="63500" b="73660"/>
                <wp:wrapNone/>
                <wp:docPr id="1575281297" name="Rectangle 5"/>
                <wp:cNvGraphicFramePr/>
                <a:graphic xmlns:a="http://schemas.openxmlformats.org/drawingml/2006/main">
                  <a:graphicData uri="http://schemas.microsoft.com/office/word/2010/wordprocessingShape">
                    <wps:wsp>
                      <wps:cNvSpPr/>
                      <wps:spPr>
                        <a:xfrm>
                          <a:off x="0" y="0"/>
                          <a:ext cx="5549900" cy="3596731"/>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EBCF83" id="Rectangle 5" o:spid="_x0000_s1026" style="position:absolute;margin-left:-2.45pt;margin-top:31.1pt;width:437pt;height:283.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" fillcolor="#4f81bd [3204]" strokecolor="#4579b8 [3044]">
                <v:fill color2="#a7bfde [1620]" rotate="t" angle="180" focus="100%" type="gradient">
                  <o:fill v:ext="view" type="gradientUnscaled"/>
                </v:fill>
                <v:shadow on="t" color="black" opacity="22937f" origin=",.5" offset="0,.63889mm"/>
              </v:rect>
            </w:pict>
          </mc:Fallback>
        </mc:AlternateContent>
      </w:r>
      <w:r w:rsidR="00B154FA" w:rsidRPr="00B02F7E">
        <w:rPr>
          <w:rFonts w:ascii="Arial" w:hAnsi="Arial" w:cs="Arial"/>
          <w:b/>
          <w:bCs/>
          <w:color w:val="000000" w:themeColor="text1"/>
        </w:rPr>
        <w:t>Figure</w:t>
      </w:r>
      <w:r w:rsidR="00B154FA" w:rsidRPr="00B02F7E">
        <w:rPr>
          <w:rFonts w:ascii="Arial" w:hAnsi="Arial" w:cs="Arial"/>
          <w:b/>
          <w:bCs/>
          <w:color w:val="548DD4" w:themeColor="text2" w:themeTint="99"/>
        </w:rPr>
        <w:t xml:space="preserve"> </w:t>
      </w:r>
      <w:r w:rsidR="000F68BF" w:rsidRPr="00B02F7E">
        <w:rPr>
          <w:rFonts w:ascii="Arial" w:hAnsi="Arial" w:cs="Arial"/>
          <w:b/>
          <w:bCs/>
          <w:color w:val="000000" w:themeColor="text1"/>
        </w:rPr>
        <w:t>5</w:t>
      </w:r>
      <w:r w:rsidR="00B154FA" w:rsidRPr="00B02F7E">
        <w:rPr>
          <w:rFonts w:ascii="Arial" w:hAnsi="Arial" w:cs="Arial"/>
          <w:b/>
          <w:bCs/>
          <w:color w:val="000000" w:themeColor="text1"/>
        </w:rPr>
        <w:t>: Entry-</w:t>
      </w:r>
      <w:r w:rsidR="000B646C" w:rsidRPr="00B02F7E">
        <w:rPr>
          <w:rFonts w:ascii="Arial" w:hAnsi="Arial" w:cs="Arial"/>
          <w:b/>
          <w:bCs/>
          <w:color w:val="000000" w:themeColor="text1"/>
        </w:rPr>
        <w:t>Mode Positioning-</w:t>
      </w:r>
      <w:r w:rsidR="00BD6BBE" w:rsidRPr="00B02F7E">
        <w:rPr>
          <w:rFonts w:ascii="Arial" w:hAnsi="Arial" w:cs="Arial"/>
          <w:b/>
          <w:bCs/>
          <w:color w:val="000000" w:themeColor="text1"/>
        </w:rPr>
        <w:t xml:space="preserve">Control </w:t>
      </w:r>
      <w:r w:rsidR="00A7244C" w:rsidRPr="00B02F7E">
        <w:rPr>
          <w:rFonts w:ascii="Arial" w:hAnsi="Arial" w:cs="Arial"/>
          <w:b/>
          <w:bCs/>
          <w:color w:val="000000" w:themeColor="text1"/>
        </w:rPr>
        <w:t>vs Flexibility Trade-off</w:t>
      </w:r>
    </w:p>
    <w:p w14:paraId="317D9AE5" w14:textId="1524F1AA" w:rsidR="00A7244C" w:rsidRDefault="00C217DA" w:rsidP="00931F5C">
      <w:pPr>
        <w:pStyle w:val="CaptionedFigure"/>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0528" behindDoc="0" locked="0" layoutInCell="1" allowOverlap="1" wp14:anchorId="1D709D1D" wp14:editId="1F42B057">
                <wp:simplePos x="0" y="0"/>
                <wp:positionH relativeFrom="column">
                  <wp:posOffset>4253683</wp:posOffset>
                </wp:positionH>
                <wp:positionV relativeFrom="paragraph">
                  <wp:posOffset>372110</wp:posOffset>
                </wp:positionV>
                <wp:extent cx="1213104" cy="518160"/>
                <wp:effectExtent l="0" t="0" r="19050" b="15240"/>
                <wp:wrapNone/>
                <wp:docPr id="1042626412" name="Text Box 14"/>
                <wp:cNvGraphicFramePr/>
                <a:graphic xmlns:a="http://schemas.openxmlformats.org/drawingml/2006/main">
                  <a:graphicData uri="http://schemas.microsoft.com/office/word/2010/wordprocessingShape">
                    <wps:wsp>
                      <wps:cNvSpPr txBox="1"/>
                      <wps:spPr>
                        <a:xfrm>
                          <a:off x="0" y="0"/>
                          <a:ext cx="1213104" cy="518160"/>
                        </a:xfrm>
                        <a:prstGeom prst="rect">
                          <a:avLst/>
                        </a:prstGeom>
                        <a:solidFill>
                          <a:schemeClr val="tx2">
                            <a:lumMod val="40000"/>
                            <a:lumOff val="60000"/>
                          </a:schemeClr>
                        </a:solidFill>
                        <a:ln w="6350">
                          <a:solidFill>
                            <a:prstClr val="black"/>
                          </a:solidFill>
                        </a:ln>
                      </wps:spPr>
                      <wps:txbx>
                        <w:txbxContent>
                          <w:p w14:paraId="4311F782" w14:textId="09C854CB" w:rsidR="005B15F9" w:rsidRPr="00F24D52" w:rsidRDefault="005B15F9">
                            <w:pPr>
                              <w:rPr>
                                <w:sz w:val="16"/>
                                <w:szCs w:val="16"/>
                                <w:lang w:val="en-GB"/>
                              </w:rPr>
                            </w:pPr>
                            <w:r w:rsidRPr="00F24D52">
                              <w:rPr>
                                <w:sz w:val="16"/>
                                <w:szCs w:val="16"/>
                                <w:lang w:val="en-GB"/>
                              </w:rPr>
                              <w:t>Wholly-owned</w:t>
                            </w:r>
                          </w:p>
                          <w:p w14:paraId="44E81795" w14:textId="70239373" w:rsidR="00F24D52" w:rsidRPr="00F24D52" w:rsidRDefault="00F24D52">
                            <w:pPr>
                              <w:rPr>
                                <w:sz w:val="16"/>
                                <w:szCs w:val="16"/>
                                <w:lang w:val="en-GB"/>
                              </w:rPr>
                            </w:pPr>
                            <w:r w:rsidRPr="00F24D52">
                              <w:rPr>
                                <w:sz w:val="16"/>
                                <w:szCs w:val="16"/>
                                <w:lang w:val="en-GB"/>
                              </w:rPr>
                              <w:t>Subsidiary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09D1D" id="Text Box 14" o:spid="_x0000_s1034" type="#_x0000_t202" style="position:absolute;margin-left:334.95pt;margin-top:29.3pt;width:95.5pt;height:40.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" fillcolor="#8db3e2 [1311]" strokeweight=".5pt">
                <v:textbox>
                  <w:txbxContent>
                    <w:p w14:paraId="4311F782" w14:textId="09C854CB" w:rsidR="005B15F9" w:rsidRPr="00F24D52" w:rsidRDefault="005B15F9">
                      <w:pPr>
                        <w:rPr>
                          <w:sz w:val="16"/>
                          <w:szCs w:val="16"/>
                          <w:lang w:val="en-GB"/>
                        </w:rPr>
                      </w:pPr>
                      <w:r w:rsidRPr="00F24D52">
                        <w:rPr>
                          <w:sz w:val="16"/>
                          <w:szCs w:val="16"/>
                          <w:lang w:val="en-GB"/>
                        </w:rPr>
                        <w:t>Wholly-owned</w:t>
                      </w:r>
                    </w:p>
                    <w:p w14:paraId="44E81795" w14:textId="70239373" w:rsidR="00F24D52" w:rsidRPr="00F24D52" w:rsidRDefault="00F24D52">
                      <w:pPr>
                        <w:rPr>
                          <w:sz w:val="16"/>
                          <w:szCs w:val="16"/>
                          <w:lang w:val="en-GB"/>
                        </w:rPr>
                      </w:pPr>
                      <w:r w:rsidRPr="00F24D52">
                        <w:rPr>
                          <w:sz w:val="16"/>
                          <w:szCs w:val="16"/>
                          <w:lang w:val="en-GB"/>
                        </w:rPr>
                        <w:t>Subsidiary</w:t>
                      </w:r>
                    </w:p>
                  </w:txbxContent>
                </v:textbox>
              </v:shape>
            </w:pict>
          </mc:Fallback>
        </mc:AlternateContent>
      </w:r>
      <w:r w:rsidR="00AD0148">
        <w:rPr>
          <w:rFonts w:ascii="Arial" w:hAnsi="Arial" w:cs="Arial"/>
          <w:noProof/>
          <w:sz w:val="22"/>
          <w:szCs w:val="22"/>
        </w:rPr>
        <mc:AlternateContent>
          <mc:Choice Requires="wpi">
            <w:drawing>
              <wp:anchor distT="0" distB="0" distL="114300" distR="114300" simplePos="0" relativeHeight="251665408" behindDoc="0" locked="0" layoutInCell="1" allowOverlap="1" wp14:anchorId="10DB3D83" wp14:editId="4BA69D29">
                <wp:simplePos x="0" y="0"/>
                <wp:positionH relativeFrom="column">
                  <wp:posOffset>3111995</wp:posOffset>
                </wp:positionH>
                <wp:positionV relativeFrom="paragraph">
                  <wp:posOffset>190176</wp:posOffset>
                </wp:positionV>
                <wp:extent cx="360" cy="360"/>
                <wp:effectExtent l="38100" t="38100" r="38100" b="38100"/>
                <wp:wrapNone/>
                <wp:docPr id="1872476783" name="Ink 9"/>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0012BD54" id="Ink 9" o:spid="_x0000_s1026" type="#_x0000_t75" style="position:absolute;margin-left:244.55pt;margin-top:14.45pt;width:1.05pt;height:1.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">
                <v:imagedata r:id="rId29" o:title=""/>
              </v:shape>
            </w:pict>
          </mc:Fallback>
        </mc:AlternateContent>
      </w:r>
    </w:p>
    <w:p w14:paraId="76DD04D8" w14:textId="0A5FB810" w:rsidR="00A7244C" w:rsidRDefault="00A7244C" w:rsidP="00931F5C">
      <w:pPr>
        <w:pStyle w:val="CaptionedFigure"/>
        <w:spacing w:line="360" w:lineRule="auto"/>
        <w:rPr>
          <w:rFonts w:ascii="Arial" w:hAnsi="Arial" w:cs="Arial"/>
          <w:sz w:val="22"/>
          <w:szCs w:val="22"/>
        </w:rPr>
      </w:pPr>
    </w:p>
    <w:p w14:paraId="32E97875" w14:textId="0D877ACB" w:rsidR="00A7244C" w:rsidRDefault="00D27976" w:rsidP="00931F5C">
      <w:pPr>
        <w:pStyle w:val="CaptionedFigure"/>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9744" behindDoc="0" locked="0" layoutInCell="1" allowOverlap="1" wp14:anchorId="51D226D2" wp14:editId="018D736B">
                <wp:simplePos x="0" y="0"/>
                <wp:positionH relativeFrom="column">
                  <wp:posOffset>-391794</wp:posOffset>
                </wp:positionH>
                <wp:positionV relativeFrom="paragraph">
                  <wp:posOffset>279582</wp:posOffset>
                </wp:positionV>
                <wp:extent cx="326572" cy="1665151"/>
                <wp:effectExtent l="0" t="0" r="16510" b="11430"/>
                <wp:wrapNone/>
                <wp:docPr id="78360543" name="Text Box 26"/>
                <wp:cNvGraphicFramePr/>
                <a:graphic xmlns:a="http://schemas.openxmlformats.org/drawingml/2006/main">
                  <a:graphicData uri="http://schemas.microsoft.com/office/word/2010/wordprocessingShape">
                    <wps:wsp>
                      <wps:cNvSpPr txBox="1"/>
                      <wps:spPr>
                        <a:xfrm rot="10800000">
                          <a:off x="0" y="0"/>
                          <a:ext cx="326572" cy="1665151"/>
                        </a:xfrm>
                        <a:prstGeom prst="rect">
                          <a:avLst/>
                        </a:prstGeom>
                        <a:solidFill>
                          <a:schemeClr val="lt1"/>
                        </a:solidFill>
                        <a:ln w="6350">
                          <a:solidFill>
                            <a:prstClr val="black"/>
                          </a:solidFill>
                        </a:ln>
                      </wps:spPr>
                      <wps:txbx>
                        <w:txbxContent>
                          <w:p w14:paraId="4EFA85EA" w14:textId="68E48863" w:rsidR="00B94158" w:rsidRPr="0099446B" w:rsidRDefault="0099446B">
                            <w:pPr>
                              <w:rPr>
                                <w:sz w:val="16"/>
                                <w:szCs w:val="16"/>
                                <w:lang w:val="en-GB"/>
                              </w:rPr>
                            </w:pPr>
                            <w:r>
                              <w:rPr>
                                <w:sz w:val="16"/>
                                <w:szCs w:val="16"/>
                                <w:lang w:val="en-GB"/>
                              </w:rPr>
                              <w:t>Resource commitment/risk</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226D2" id="Text Box 26" o:spid="_x0000_s1035" type="#_x0000_t202" style="position:absolute;margin-left:-30.85pt;margin-top:22pt;width:25.7pt;height:131.1pt;rotation:18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" fillcolor="white [3201]" strokeweight=".5pt">
                <v:textbox style="layout-flow:vertical-ideographic">
                  <w:txbxContent>
                    <w:p w14:paraId="4EFA85EA" w14:textId="68E48863" w:rsidR="00B94158" w:rsidRPr="0099446B" w:rsidRDefault="0099446B">
                      <w:pPr>
                        <w:rPr>
                          <w:sz w:val="16"/>
                          <w:szCs w:val="16"/>
                          <w:lang w:val="en-GB"/>
                        </w:rPr>
                      </w:pPr>
                      <w:r>
                        <w:rPr>
                          <w:sz w:val="16"/>
                          <w:szCs w:val="16"/>
                          <w:lang w:val="en-GB"/>
                        </w:rPr>
                        <w:t>Resource commitment/risk</w:t>
                      </w:r>
                    </w:p>
                  </w:txbxContent>
                </v:textbox>
              </v:shape>
            </w:pict>
          </mc:Fallback>
        </mc:AlternateContent>
      </w:r>
      <w:r w:rsidR="007910B2">
        <w:rPr>
          <w:rFonts w:ascii="Arial" w:hAnsi="Arial" w:cs="Arial"/>
          <w:noProof/>
          <w:sz w:val="22"/>
          <w:szCs w:val="22"/>
        </w:rPr>
        <mc:AlternateContent>
          <mc:Choice Requires="wps">
            <w:drawing>
              <wp:anchor distT="0" distB="0" distL="114300" distR="114300" simplePos="0" relativeHeight="251671552" behindDoc="0" locked="0" layoutInCell="1" allowOverlap="1" wp14:anchorId="69358061" wp14:editId="6F5D09D2">
                <wp:simplePos x="0" y="0"/>
                <wp:positionH relativeFrom="column">
                  <wp:posOffset>4565650</wp:posOffset>
                </wp:positionH>
                <wp:positionV relativeFrom="paragraph">
                  <wp:posOffset>238887</wp:posOffset>
                </wp:positionV>
                <wp:extent cx="160528" cy="139192"/>
                <wp:effectExtent l="50800" t="25400" r="5080" b="76835"/>
                <wp:wrapNone/>
                <wp:docPr id="1279812845" name="Oval 15"/>
                <wp:cNvGraphicFramePr/>
                <a:graphic xmlns:a="http://schemas.openxmlformats.org/drawingml/2006/main">
                  <a:graphicData uri="http://schemas.microsoft.com/office/word/2010/wordprocessingShape">
                    <wps:wsp>
                      <wps:cNvSpPr/>
                      <wps:spPr>
                        <a:xfrm>
                          <a:off x="0" y="0"/>
                          <a:ext cx="160528" cy="139192"/>
                        </a:xfrm>
                        <a:prstGeom prst="ellipse">
                          <a:avLst/>
                        </a:prstGeom>
                        <a:solidFill>
                          <a:schemeClr val="tx1"/>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930B980" id="Oval 15" o:spid="_x0000_s1026" style="position:absolute;margin-left:359.5pt;margin-top:18.8pt;width:12.65pt;height:10.9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" fillcolor="black [3213]" strokecolor="#4579b8 [3044]">
                <v:shadow on="t" color="black" opacity="22937f" origin=",.5" offset="0,.63889mm"/>
              </v:oval>
            </w:pict>
          </mc:Fallback>
        </mc:AlternateContent>
      </w:r>
    </w:p>
    <w:p w14:paraId="5632382A" w14:textId="0FB900BA" w:rsidR="00A7244C" w:rsidRDefault="00C217DA" w:rsidP="00931F5C">
      <w:pPr>
        <w:pStyle w:val="CaptionedFigure"/>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2576" behindDoc="0" locked="0" layoutInCell="1" allowOverlap="1" wp14:anchorId="55086132" wp14:editId="20951177">
                <wp:simplePos x="0" y="0"/>
                <wp:positionH relativeFrom="column">
                  <wp:posOffset>3902347</wp:posOffset>
                </wp:positionH>
                <wp:positionV relativeFrom="paragraph">
                  <wp:posOffset>201930</wp:posOffset>
                </wp:positionV>
                <wp:extent cx="1604306" cy="322507"/>
                <wp:effectExtent l="0" t="0" r="8890" b="8255"/>
                <wp:wrapNone/>
                <wp:docPr id="1002095411" name="Text Box 16"/>
                <wp:cNvGraphicFramePr/>
                <a:graphic xmlns:a="http://schemas.openxmlformats.org/drawingml/2006/main">
                  <a:graphicData uri="http://schemas.microsoft.com/office/word/2010/wordprocessingShape">
                    <wps:wsp>
                      <wps:cNvSpPr txBox="1"/>
                      <wps:spPr>
                        <a:xfrm>
                          <a:off x="0" y="0"/>
                          <a:ext cx="1604306" cy="322507"/>
                        </a:xfrm>
                        <a:prstGeom prst="rect">
                          <a:avLst/>
                        </a:prstGeom>
                        <a:solidFill>
                          <a:schemeClr val="tx2">
                            <a:lumMod val="40000"/>
                            <a:lumOff val="60000"/>
                          </a:schemeClr>
                        </a:solidFill>
                        <a:ln w="6350">
                          <a:solidFill>
                            <a:prstClr val="black"/>
                          </a:solidFill>
                        </a:ln>
                      </wps:spPr>
                      <wps:txbx>
                        <w:txbxContent>
                          <w:p w14:paraId="57808E96" w14:textId="2AFB5EA0" w:rsidR="007910B2" w:rsidRPr="007910B2" w:rsidRDefault="007910B2">
                            <w:pPr>
                              <w:rPr>
                                <w:sz w:val="16"/>
                                <w:szCs w:val="16"/>
                                <w:lang w:val="en-GB"/>
                              </w:rPr>
                            </w:pPr>
                            <w:r>
                              <w:rPr>
                                <w:sz w:val="16"/>
                                <w:szCs w:val="16"/>
                                <w:lang w:val="en-GB"/>
                              </w:rPr>
                              <w:t xml:space="preserve">Recommend </w:t>
                            </w:r>
                            <w:r w:rsidR="007158CB">
                              <w:rPr>
                                <w:sz w:val="16"/>
                                <w:szCs w:val="16"/>
                                <w:lang w:val="en-GB"/>
                              </w:rPr>
                              <w:t>minority-JV/controlled master franchise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086132" id="Text Box 16" o:spid="_x0000_s1036" type="#_x0000_t202" style="position:absolute;margin-left:307.25pt;margin-top:15.9pt;width:126.3pt;height:25.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" fillcolor="#8db3e2 [1311]" strokeweight=".5pt">
                <v:textbox>
                  <w:txbxContent>
                    <w:p w14:paraId="57808E96" w14:textId="2AFB5EA0" w:rsidR="007910B2" w:rsidRPr="007910B2" w:rsidRDefault="007910B2">
                      <w:pPr>
                        <w:rPr>
                          <w:sz w:val="16"/>
                          <w:szCs w:val="16"/>
                          <w:lang w:val="en-GB"/>
                        </w:rPr>
                      </w:pPr>
                      <w:r>
                        <w:rPr>
                          <w:sz w:val="16"/>
                          <w:szCs w:val="16"/>
                          <w:lang w:val="en-GB"/>
                        </w:rPr>
                        <w:t xml:space="preserve">Recommend </w:t>
                      </w:r>
                      <w:r w:rsidR="007158CB">
                        <w:rPr>
                          <w:sz w:val="16"/>
                          <w:szCs w:val="16"/>
                          <w:lang w:val="en-GB"/>
                        </w:rPr>
                        <w:t>minority-JV/controlled master franchise</w:t>
                      </w:r>
                    </w:p>
                  </w:txbxContent>
                </v:textbox>
              </v:shape>
            </w:pict>
          </mc:Fallback>
        </mc:AlternateContent>
      </w:r>
      <w:r w:rsidR="00D27976">
        <w:rPr>
          <w:rFonts w:ascii="Arial" w:hAnsi="Arial" w:cs="Arial"/>
          <w:noProof/>
          <w:sz w:val="22"/>
          <w:szCs w:val="22"/>
        </w:rPr>
        <mc:AlternateContent>
          <mc:Choice Requires="wps">
            <w:drawing>
              <wp:anchor distT="0" distB="0" distL="114300" distR="114300" simplePos="0" relativeHeight="251675648" behindDoc="0" locked="0" layoutInCell="1" allowOverlap="1" wp14:anchorId="01DF022D" wp14:editId="365DE455">
                <wp:simplePos x="0" y="0"/>
                <wp:positionH relativeFrom="column">
                  <wp:posOffset>1763848</wp:posOffset>
                </wp:positionH>
                <wp:positionV relativeFrom="paragraph">
                  <wp:posOffset>9253</wp:posOffset>
                </wp:positionV>
                <wp:extent cx="1286609" cy="390347"/>
                <wp:effectExtent l="0" t="0" r="8890" b="16510"/>
                <wp:wrapNone/>
                <wp:docPr id="1916138181" name="Text Box 19"/>
                <wp:cNvGraphicFramePr/>
                <a:graphic xmlns:a="http://schemas.openxmlformats.org/drawingml/2006/main">
                  <a:graphicData uri="http://schemas.microsoft.com/office/word/2010/wordprocessingShape">
                    <wps:wsp>
                      <wps:cNvSpPr txBox="1"/>
                      <wps:spPr>
                        <a:xfrm>
                          <a:off x="0" y="0"/>
                          <a:ext cx="1286609" cy="390347"/>
                        </a:xfrm>
                        <a:prstGeom prst="rect">
                          <a:avLst/>
                        </a:prstGeom>
                        <a:solidFill>
                          <a:schemeClr val="tx2">
                            <a:lumMod val="40000"/>
                            <a:lumOff val="60000"/>
                          </a:schemeClr>
                        </a:solidFill>
                        <a:ln w="6350">
                          <a:solidFill>
                            <a:prstClr val="black"/>
                          </a:solidFill>
                        </a:ln>
                      </wps:spPr>
                      <wps:txbx>
                        <w:txbxContent>
                          <w:p w14:paraId="09061BB4" w14:textId="4A29EF26" w:rsidR="0078387F" w:rsidRPr="00C12618" w:rsidRDefault="00C12618">
                            <w:pPr>
                              <w:rPr>
                                <w:sz w:val="16"/>
                                <w:szCs w:val="16"/>
                                <w:lang w:val="en-GB"/>
                              </w:rPr>
                            </w:pPr>
                            <w:r>
                              <w:rPr>
                                <w:sz w:val="16"/>
                                <w:szCs w:val="16"/>
                                <w:lang w:val="en-GB"/>
                              </w:rPr>
                              <w:t>50-50</w:t>
                            </w:r>
                            <w:r w:rsidR="000B4FDC">
                              <w:rPr>
                                <w:sz w:val="16"/>
                                <w:szCs w:val="16"/>
                                <w:lang w:val="en-GB"/>
                              </w:rPr>
                              <w:t xml:space="preserve"> joint venture</w:t>
                            </w:r>
                            <w:r w:rsidR="00316880">
                              <w:rPr>
                                <w:sz w:val="16"/>
                                <w:szCs w:val="16"/>
                                <w:lang w:val="en-GB"/>
                              </w:rPr>
                              <w:t xml:space="preserve"> </w:t>
                            </w:r>
                            <w:proofErr w:type="spellStart"/>
                            <w:r w:rsidR="00316880">
                              <w:rPr>
                                <w:sz w:val="16"/>
                                <w:szCs w:val="16"/>
                                <w:lang w:val="en-GB"/>
                              </w:rPr>
                              <w:t>Mcdo</w:t>
                            </w:r>
                            <w:r w:rsidR="0064052C">
                              <w:rPr>
                                <w:sz w:val="16"/>
                                <w:szCs w:val="16"/>
                                <w:lang w:val="en-GB"/>
                              </w:rPr>
                              <w:t>nald's</w:t>
                            </w:r>
                            <w:proofErr w:type="spellEnd"/>
                            <w:r w:rsidR="0064052C">
                              <w:rPr>
                                <w:sz w:val="16"/>
                                <w:szCs w:val="16"/>
                                <w:lang w:val="en-GB"/>
                              </w:rPr>
                              <w:t xml:space="preserve"> India,1995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F022D" id="Text Box 19" o:spid="_x0000_s1037" type="#_x0000_t202" style="position:absolute;margin-left:138.9pt;margin-top:.75pt;width:101.3pt;height:30.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" fillcolor="#8db3e2 [1311]" strokeweight=".5pt">
                <v:textbox>
                  <w:txbxContent>
                    <w:p w14:paraId="09061BB4" w14:textId="4A29EF26" w:rsidR="0078387F" w:rsidRPr="00C12618" w:rsidRDefault="00C12618">
                      <w:pPr>
                        <w:rPr>
                          <w:sz w:val="16"/>
                          <w:szCs w:val="16"/>
                          <w:lang w:val="en-GB"/>
                        </w:rPr>
                      </w:pPr>
                      <w:r>
                        <w:rPr>
                          <w:sz w:val="16"/>
                          <w:szCs w:val="16"/>
                          <w:lang w:val="en-GB"/>
                        </w:rPr>
                        <w:t>50-50</w:t>
                      </w:r>
                      <w:r w:rsidR="000B4FDC">
                        <w:rPr>
                          <w:sz w:val="16"/>
                          <w:szCs w:val="16"/>
                          <w:lang w:val="en-GB"/>
                        </w:rPr>
                        <w:t xml:space="preserve"> joint venture</w:t>
                      </w:r>
                      <w:r w:rsidR="00316880">
                        <w:rPr>
                          <w:sz w:val="16"/>
                          <w:szCs w:val="16"/>
                          <w:lang w:val="en-GB"/>
                        </w:rPr>
                        <w:t xml:space="preserve"> </w:t>
                      </w:r>
                      <w:proofErr w:type="spellStart"/>
                      <w:r w:rsidR="00316880">
                        <w:rPr>
                          <w:sz w:val="16"/>
                          <w:szCs w:val="16"/>
                          <w:lang w:val="en-GB"/>
                        </w:rPr>
                        <w:t>Mcdo</w:t>
                      </w:r>
                      <w:r w:rsidR="0064052C">
                        <w:rPr>
                          <w:sz w:val="16"/>
                          <w:szCs w:val="16"/>
                          <w:lang w:val="en-GB"/>
                        </w:rPr>
                        <w:t>nald's</w:t>
                      </w:r>
                      <w:proofErr w:type="spellEnd"/>
                      <w:r w:rsidR="0064052C">
                        <w:rPr>
                          <w:sz w:val="16"/>
                          <w:szCs w:val="16"/>
                          <w:lang w:val="en-GB"/>
                        </w:rPr>
                        <w:t xml:space="preserve"> India,1995</w:t>
                      </w:r>
                    </w:p>
                  </w:txbxContent>
                </v:textbox>
              </v:shape>
            </w:pict>
          </mc:Fallback>
        </mc:AlternateContent>
      </w:r>
    </w:p>
    <w:p w14:paraId="5595E839" w14:textId="4A1DB334" w:rsidR="00A7244C" w:rsidRDefault="00D27976" w:rsidP="00931F5C">
      <w:pPr>
        <w:pStyle w:val="CaptionedFigure"/>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0768" behindDoc="0" locked="0" layoutInCell="1" allowOverlap="1" wp14:anchorId="2D886751" wp14:editId="3A2A5296">
                <wp:simplePos x="0" y="0"/>
                <wp:positionH relativeFrom="column">
                  <wp:posOffset>1561919</wp:posOffset>
                </wp:positionH>
                <wp:positionV relativeFrom="paragraph">
                  <wp:posOffset>85362</wp:posOffset>
                </wp:positionV>
                <wp:extent cx="157843" cy="116114"/>
                <wp:effectExtent l="50800" t="25400" r="7620" b="74930"/>
                <wp:wrapNone/>
                <wp:docPr id="1361432382" name="Oval 27"/>
                <wp:cNvGraphicFramePr/>
                <a:graphic xmlns:a="http://schemas.openxmlformats.org/drawingml/2006/main">
                  <a:graphicData uri="http://schemas.microsoft.com/office/word/2010/wordprocessingShape">
                    <wps:wsp>
                      <wps:cNvSpPr/>
                      <wps:spPr>
                        <a:xfrm>
                          <a:off x="0" y="0"/>
                          <a:ext cx="157843" cy="116114"/>
                        </a:xfrm>
                        <a:prstGeom prst="ellipse">
                          <a:avLst/>
                        </a:prstGeom>
                        <a:solidFill>
                          <a:srgbClr val="00B05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DA2A61D" id="Oval 27" o:spid="_x0000_s1026" style="position:absolute;margin-left:123pt;margin-top:6.7pt;width:12.45pt;height:9.1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" fillcolor="#00b050" strokecolor="#4579b8 [3044]">
                <v:shadow on="t" color="black" opacity="22937f" origin=",.5" offset="0,.63889mm"/>
              </v:oval>
            </w:pict>
          </mc:Fallback>
        </mc:AlternateContent>
      </w:r>
      <w:r w:rsidR="001E3105">
        <w:rPr>
          <w:rFonts w:ascii="Arial" w:hAnsi="Arial" w:cs="Arial"/>
          <w:noProof/>
          <w:sz w:val="22"/>
          <w:szCs w:val="22"/>
        </w:rPr>
        <mc:AlternateContent>
          <mc:Choice Requires="wps">
            <w:drawing>
              <wp:anchor distT="0" distB="0" distL="114300" distR="114300" simplePos="0" relativeHeight="251673600" behindDoc="0" locked="0" layoutInCell="1" allowOverlap="1" wp14:anchorId="09A9E817" wp14:editId="70332D86">
                <wp:simplePos x="0" y="0"/>
                <wp:positionH relativeFrom="column">
                  <wp:posOffset>3901790</wp:posOffset>
                </wp:positionH>
                <wp:positionV relativeFrom="paragraph">
                  <wp:posOffset>228935</wp:posOffset>
                </wp:positionV>
                <wp:extent cx="188370" cy="169461"/>
                <wp:effectExtent l="63500" t="38100" r="40640" b="85090"/>
                <wp:wrapNone/>
                <wp:docPr id="758532465" name="5-point Star 17"/>
                <wp:cNvGraphicFramePr/>
                <a:graphic xmlns:a="http://schemas.openxmlformats.org/drawingml/2006/main">
                  <a:graphicData uri="http://schemas.microsoft.com/office/word/2010/wordprocessingShape">
                    <wps:wsp>
                      <wps:cNvSpPr/>
                      <wps:spPr>
                        <a:xfrm>
                          <a:off x="0" y="0"/>
                          <a:ext cx="188370" cy="169461"/>
                        </a:xfrm>
                        <a:prstGeom prst="star5">
                          <a:avLst/>
                        </a:prstGeom>
                        <a:solidFill>
                          <a:srgbClr val="EE00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36243B" id="5-point Star 17" o:spid="_x0000_s1026" style="position:absolute;margin-left:307.25pt;margin-top:18.05pt;width:14.85pt;height:13.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8370,16946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" path="m,64728r71951,1l94185,r22234,64729l188370,64728r-58210,40004l152394,169461,94185,129456,35976,169461,58210,104732,,64728xe" fillcolor="#e00" strokecolor="#4579b8 [3044]">
                <v:shadow on="t" color="black" opacity="22937f" origin=",.5" offset="0,.63889mm"/>
                <v:path arrowok="t" o:connecttype="custom" o:connectlocs="0,64728;71951,64729;94185,0;116419,64729;188370,64728;130160,104732;152394,169461;94185,129456;35976,169461;58210,104732;0,64728" o:connectangles="0,0,0,0,0,0,0,0,0,0,0"/>
              </v:shape>
            </w:pict>
          </mc:Fallback>
        </mc:AlternateContent>
      </w:r>
    </w:p>
    <w:p w14:paraId="14D732C0" w14:textId="428A2E44" w:rsidR="00A7244C" w:rsidRDefault="00D27976" w:rsidP="00931F5C">
      <w:pPr>
        <w:pStyle w:val="CaptionedFigure"/>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7456" behindDoc="0" locked="0" layoutInCell="1" allowOverlap="1" wp14:anchorId="58F15741" wp14:editId="7D8B9A34">
                <wp:simplePos x="0" y="0"/>
                <wp:positionH relativeFrom="column">
                  <wp:posOffset>-63500</wp:posOffset>
                </wp:positionH>
                <wp:positionV relativeFrom="paragraph">
                  <wp:posOffset>176620</wp:posOffset>
                </wp:positionV>
                <wp:extent cx="5582557" cy="44087"/>
                <wp:effectExtent l="50800" t="38100" r="43815" b="83185"/>
                <wp:wrapNone/>
                <wp:docPr id="1954350730" name="Straight Connector 11"/>
                <wp:cNvGraphicFramePr/>
                <a:graphic xmlns:a="http://schemas.openxmlformats.org/drawingml/2006/main">
                  <a:graphicData uri="http://schemas.microsoft.com/office/word/2010/wordprocessingShape">
                    <wps:wsp>
                      <wps:cNvCnPr/>
                      <wps:spPr>
                        <a:xfrm flipV="1">
                          <a:off x="0" y="0"/>
                          <a:ext cx="5582557" cy="4408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6B7E2B" id="Straight Connector 11"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pt,13.9pt" to="434.55pt,17.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" strokecolor="#4f81bd [3204]" strokeweight="2pt">
                <v:shadow on="t" color="black" opacity="24903f" origin=",.5" offset="0,.55556mm"/>
              </v:line>
            </w:pict>
          </mc:Fallback>
        </mc:AlternateContent>
      </w:r>
      <w:r w:rsidR="00371EFB">
        <w:rPr>
          <w:rFonts w:ascii="Arial" w:hAnsi="Arial" w:cs="Arial"/>
          <w:noProof/>
          <w:sz w:val="22"/>
          <w:szCs w:val="22"/>
        </w:rPr>
        <mc:AlternateContent>
          <mc:Choice Requires="wps">
            <w:drawing>
              <wp:anchor distT="0" distB="0" distL="114300" distR="114300" simplePos="0" relativeHeight="251674624" behindDoc="0" locked="0" layoutInCell="1" allowOverlap="1" wp14:anchorId="09E152A4" wp14:editId="1777E9D7">
                <wp:simplePos x="0" y="0"/>
                <wp:positionH relativeFrom="column">
                  <wp:posOffset>3778060</wp:posOffset>
                </wp:positionH>
                <wp:positionV relativeFrom="paragraph">
                  <wp:posOffset>331523</wp:posOffset>
                </wp:positionV>
                <wp:extent cx="1439689" cy="465413"/>
                <wp:effectExtent l="0" t="0" r="8255" b="17780"/>
                <wp:wrapNone/>
                <wp:docPr id="1582896596" name="Text Box 18"/>
                <wp:cNvGraphicFramePr/>
                <a:graphic xmlns:a="http://schemas.openxmlformats.org/drawingml/2006/main">
                  <a:graphicData uri="http://schemas.microsoft.com/office/word/2010/wordprocessingShape">
                    <wps:wsp>
                      <wps:cNvSpPr txBox="1"/>
                      <wps:spPr>
                        <a:xfrm>
                          <a:off x="0" y="0"/>
                          <a:ext cx="1439689" cy="465413"/>
                        </a:xfrm>
                        <a:prstGeom prst="rect">
                          <a:avLst/>
                        </a:prstGeom>
                        <a:solidFill>
                          <a:schemeClr val="lt1"/>
                        </a:solidFill>
                        <a:ln w="6350">
                          <a:solidFill>
                            <a:prstClr val="black"/>
                          </a:solidFill>
                        </a:ln>
                      </wps:spPr>
                      <wps:txbx>
                        <w:txbxContent>
                          <w:p w14:paraId="7F77D27D" w14:textId="07426917" w:rsidR="00371EFB" w:rsidRPr="00CC4CBC" w:rsidRDefault="00CC4CBC" w:rsidP="00371EFB">
                            <w:pPr>
                              <w:shd w:val="clear" w:color="auto" w:fill="8DB3E2" w:themeFill="text2" w:themeFillTint="66"/>
                              <w:rPr>
                                <w:sz w:val="16"/>
                                <w:szCs w:val="16"/>
                                <w:lang w:val="en-GB"/>
                              </w:rPr>
                            </w:pPr>
                            <w:r>
                              <w:rPr>
                                <w:sz w:val="16"/>
                                <w:szCs w:val="16"/>
                                <w:lang w:val="en-GB"/>
                              </w:rPr>
                              <w:t xml:space="preserve">Prior Sri Lanka </w:t>
                            </w:r>
                            <w:proofErr w:type="spellStart"/>
                            <w:r>
                              <w:rPr>
                                <w:sz w:val="16"/>
                                <w:szCs w:val="16"/>
                                <w:lang w:val="en-GB"/>
                              </w:rPr>
                              <w:t>mode:light</w:t>
                            </w:r>
                            <w:proofErr w:type="spellEnd"/>
                            <w:r>
                              <w:rPr>
                                <w:sz w:val="16"/>
                                <w:szCs w:val="16"/>
                                <w:lang w:val="en-GB"/>
                              </w:rPr>
                              <w:t xml:space="preserve"> </w:t>
                            </w:r>
                            <w:r w:rsidR="00883B29">
                              <w:rPr>
                                <w:sz w:val="16"/>
                                <w:szCs w:val="16"/>
                                <w:lang w:val="en-GB"/>
                              </w:rPr>
                              <w:t xml:space="preserve">touch </w:t>
                            </w:r>
                            <w:proofErr w:type="spellStart"/>
                            <w:r w:rsidR="00883B29">
                              <w:rPr>
                                <w:sz w:val="16"/>
                                <w:szCs w:val="16"/>
                                <w:lang w:val="en-GB"/>
                              </w:rPr>
                              <w:t>masterfranchise</w:t>
                            </w:r>
                            <w:proofErr w:type="spellEnd"/>
                            <w:r w:rsidR="00883B29">
                              <w:rPr>
                                <w:sz w:val="16"/>
                                <w:szCs w:val="16"/>
                                <w:lang w:val="en-GB"/>
                              </w:rPr>
                              <w:t xml:space="preserve"> </w:t>
                            </w:r>
                            <w:r w:rsidR="0078387F">
                              <w:rPr>
                                <w:sz w:val="16"/>
                                <w:szCs w:val="16"/>
                                <w:lang w:val="en-GB"/>
                              </w:rPr>
                              <w:t>(Single Partner)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E152A4" id="Text Box 18" o:spid="_x0000_s1038" type="#_x0000_t202" style="position:absolute;margin-left:297.5pt;margin-top:26.1pt;width:113.35pt;height:36.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" fillcolor="white [3201]" strokeweight=".5pt">
                <v:textbox>
                  <w:txbxContent>
                    <w:p w14:paraId="7F77D27D" w14:textId="07426917" w:rsidR="00371EFB" w:rsidRPr="00CC4CBC" w:rsidRDefault="00CC4CBC" w:rsidP="00371EFB">
                      <w:pPr>
                        <w:shd w:val="clear" w:color="auto" w:fill="8DB3E2" w:themeFill="text2" w:themeFillTint="66"/>
                        <w:rPr>
                          <w:sz w:val="16"/>
                          <w:szCs w:val="16"/>
                          <w:lang w:val="en-GB"/>
                        </w:rPr>
                      </w:pPr>
                      <w:r>
                        <w:rPr>
                          <w:sz w:val="16"/>
                          <w:szCs w:val="16"/>
                          <w:lang w:val="en-GB"/>
                        </w:rPr>
                        <w:t xml:space="preserve">Prior Sri Lanka </w:t>
                      </w:r>
                      <w:proofErr w:type="spellStart"/>
                      <w:r>
                        <w:rPr>
                          <w:sz w:val="16"/>
                          <w:szCs w:val="16"/>
                          <w:lang w:val="en-GB"/>
                        </w:rPr>
                        <w:t>mode:light</w:t>
                      </w:r>
                      <w:proofErr w:type="spellEnd"/>
                      <w:r>
                        <w:rPr>
                          <w:sz w:val="16"/>
                          <w:szCs w:val="16"/>
                          <w:lang w:val="en-GB"/>
                        </w:rPr>
                        <w:t xml:space="preserve"> </w:t>
                      </w:r>
                      <w:r w:rsidR="00883B29">
                        <w:rPr>
                          <w:sz w:val="16"/>
                          <w:szCs w:val="16"/>
                          <w:lang w:val="en-GB"/>
                        </w:rPr>
                        <w:t xml:space="preserve">touch </w:t>
                      </w:r>
                      <w:proofErr w:type="spellStart"/>
                      <w:r w:rsidR="00883B29">
                        <w:rPr>
                          <w:sz w:val="16"/>
                          <w:szCs w:val="16"/>
                          <w:lang w:val="en-GB"/>
                        </w:rPr>
                        <w:t>masterfranchise</w:t>
                      </w:r>
                      <w:proofErr w:type="spellEnd"/>
                      <w:r w:rsidR="00883B29">
                        <w:rPr>
                          <w:sz w:val="16"/>
                          <w:szCs w:val="16"/>
                          <w:lang w:val="en-GB"/>
                        </w:rPr>
                        <w:t xml:space="preserve"> </w:t>
                      </w:r>
                      <w:r w:rsidR="0078387F">
                        <w:rPr>
                          <w:sz w:val="16"/>
                          <w:szCs w:val="16"/>
                          <w:lang w:val="en-GB"/>
                        </w:rPr>
                        <w:t>(Single Partner)</w:t>
                      </w:r>
                    </w:p>
                  </w:txbxContent>
                </v:textbox>
              </v:shape>
            </w:pict>
          </mc:Fallback>
        </mc:AlternateContent>
      </w:r>
    </w:p>
    <w:p w14:paraId="2EBA1A30" w14:textId="5BA992B6" w:rsidR="00A7244C" w:rsidRDefault="00D27976" w:rsidP="00931F5C">
      <w:pPr>
        <w:pStyle w:val="CaptionedFigure"/>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6672" behindDoc="0" locked="0" layoutInCell="1" allowOverlap="1" wp14:anchorId="77AF7361" wp14:editId="03BB49C2">
                <wp:simplePos x="0" y="0"/>
                <wp:positionH relativeFrom="column">
                  <wp:posOffset>1659436</wp:posOffset>
                </wp:positionH>
                <wp:positionV relativeFrom="paragraph">
                  <wp:posOffset>139791</wp:posOffset>
                </wp:positionV>
                <wp:extent cx="1023257" cy="440690"/>
                <wp:effectExtent l="0" t="0" r="18415" b="16510"/>
                <wp:wrapNone/>
                <wp:docPr id="777978085" name="Text Box 22"/>
                <wp:cNvGraphicFramePr/>
                <a:graphic xmlns:a="http://schemas.openxmlformats.org/drawingml/2006/main">
                  <a:graphicData uri="http://schemas.microsoft.com/office/word/2010/wordprocessingShape">
                    <wps:wsp>
                      <wps:cNvSpPr txBox="1"/>
                      <wps:spPr>
                        <a:xfrm>
                          <a:off x="0" y="0"/>
                          <a:ext cx="1023257" cy="440690"/>
                        </a:xfrm>
                        <a:prstGeom prst="rect">
                          <a:avLst/>
                        </a:prstGeom>
                        <a:solidFill>
                          <a:schemeClr val="tx2">
                            <a:lumMod val="40000"/>
                            <a:lumOff val="60000"/>
                          </a:schemeClr>
                        </a:solidFill>
                        <a:ln w="6350">
                          <a:solidFill>
                            <a:prstClr val="black"/>
                          </a:solidFill>
                        </a:ln>
                      </wps:spPr>
                      <wps:txbx>
                        <w:txbxContent>
                          <w:p w14:paraId="275D5891" w14:textId="20DC6F0B" w:rsidR="00DE2D70" w:rsidRDefault="00DE2D70">
                            <w:pPr>
                              <w:rPr>
                                <w:sz w:val="16"/>
                                <w:szCs w:val="16"/>
                                <w:lang w:val="en-GB"/>
                              </w:rPr>
                            </w:pPr>
                            <w:r>
                              <w:rPr>
                                <w:sz w:val="16"/>
                                <w:szCs w:val="16"/>
                                <w:lang w:val="en-GB"/>
                              </w:rPr>
                              <w:t>Arms- leng</w:t>
                            </w:r>
                            <w:r w:rsidR="006D558E">
                              <w:rPr>
                                <w:sz w:val="16"/>
                                <w:szCs w:val="16"/>
                                <w:lang w:val="en-GB"/>
                              </w:rPr>
                              <w:t>th</w:t>
                            </w:r>
                          </w:p>
                          <w:p w14:paraId="715718AA" w14:textId="1886AFEE" w:rsidR="006D558E" w:rsidRPr="00DE2D70" w:rsidRDefault="006D558E">
                            <w:pPr>
                              <w:rPr>
                                <w:sz w:val="16"/>
                                <w:szCs w:val="16"/>
                                <w:lang w:val="en-GB"/>
                              </w:rPr>
                            </w:pPr>
                            <w:r>
                              <w:rPr>
                                <w:sz w:val="16"/>
                                <w:szCs w:val="16"/>
                                <w:lang w:val="en-GB"/>
                              </w:rPr>
                              <w:t>licensing exporting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AF7361" id="Text Box 22" o:spid="_x0000_s1039" type="#_x0000_t202" style="position:absolute;margin-left:130.65pt;margin-top:11pt;width:80.55pt;height:34.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" fillcolor="#8db3e2 [1311]" strokeweight=".5pt">
                <v:textbox>
                  <w:txbxContent>
                    <w:p w14:paraId="275D5891" w14:textId="20DC6F0B" w:rsidR="00DE2D70" w:rsidRDefault="00DE2D70">
                      <w:pPr>
                        <w:rPr>
                          <w:sz w:val="16"/>
                          <w:szCs w:val="16"/>
                          <w:lang w:val="en-GB"/>
                        </w:rPr>
                      </w:pPr>
                      <w:r>
                        <w:rPr>
                          <w:sz w:val="16"/>
                          <w:szCs w:val="16"/>
                          <w:lang w:val="en-GB"/>
                        </w:rPr>
                        <w:t>Arms- leng</w:t>
                      </w:r>
                      <w:r w:rsidR="006D558E">
                        <w:rPr>
                          <w:sz w:val="16"/>
                          <w:szCs w:val="16"/>
                          <w:lang w:val="en-GB"/>
                        </w:rPr>
                        <w:t>th</w:t>
                      </w:r>
                    </w:p>
                    <w:p w14:paraId="715718AA" w14:textId="1886AFEE" w:rsidR="006D558E" w:rsidRPr="00DE2D70" w:rsidRDefault="006D558E">
                      <w:pPr>
                        <w:rPr>
                          <w:sz w:val="16"/>
                          <w:szCs w:val="16"/>
                          <w:lang w:val="en-GB"/>
                        </w:rPr>
                      </w:pPr>
                      <w:r>
                        <w:rPr>
                          <w:sz w:val="16"/>
                          <w:szCs w:val="16"/>
                          <w:lang w:val="en-GB"/>
                        </w:rPr>
                        <w:t>licensing exporting</w:t>
                      </w:r>
                    </w:p>
                  </w:txbxContent>
                </v:textbox>
              </v:shape>
            </w:pict>
          </mc:Fallback>
        </mc:AlternateContent>
      </w:r>
    </w:p>
    <w:p w14:paraId="2ECF3411" w14:textId="29339258" w:rsidR="00B154FA" w:rsidRDefault="00D27976" w:rsidP="00931F5C">
      <w:pPr>
        <w:pStyle w:val="CaptionedFigure"/>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1792" behindDoc="0" locked="0" layoutInCell="1" allowOverlap="1" wp14:anchorId="752D5252" wp14:editId="218FDEF6">
                <wp:simplePos x="0" y="0"/>
                <wp:positionH relativeFrom="column">
                  <wp:posOffset>1353548</wp:posOffset>
                </wp:positionH>
                <wp:positionV relativeFrom="paragraph">
                  <wp:posOffset>214448</wp:posOffset>
                </wp:positionV>
                <wp:extent cx="156029" cy="142058"/>
                <wp:effectExtent l="50800" t="25400" r="9525" b="74295"/>
                <wp:wrapNone/>
                <wp:docPr id="1957696690" name="Oval 28"/>
                <wp:cNvGraphicFramePr/>
                <a:graphic xmlns:a="http://schemas.openxmlformats.org/drawingml/2006/main">
                  <a:graphicData uri="http://schemas.microsoft.com/office/word/2010/wordprocessingShape">
                    <wps:wsp>
                      <wps:cNvSpPr/>
                      <wps:spPr>
                        <a:xfrm>
                          <a:off x="0" y="0"/>
                          <a:ext cx="156029" cy="142058"/>
                        </a:xfrm>
                        <a:prstGeom prst="ellipse">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86D33F6" id="Oval 28" o:spid="_x0000_s1026" style="position:absolute;margin-left:106.6pt;margin-top:16.9pt;width:12.3pt;height:11.2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" fillcolor="black [3200]" strokecolor="black [3040]">
                <v:fill color2="gray [1616]" rotate="t" angle="180" focus="100%" type="gradient">
                  <o:fill v:ext="view" type="gradientUnscaled"/>
                </v:fill>
                <v:shadow on="t" color="black" opacity="22937f" origin=",.5" offset="0,.63889mm"/>
              </v:oval>
            </w:pict>
          </mc:Fallback>
        </mc:AlternateContent>
      </w:r>
      <w:r>
        <w:rPr>
          <w:rFonts w:ascii="Arial" w:hAnsi="Arial" w:cs="Arial"/>
          <w:noProof/>
          <w:sz w:val="22"/>
          <w:szCs w:val="22"/>
        </w:rPr>
        <mc:AlternateContent>
          <mc:Choice Requires="wps">
            <w:drawing>
              <wp:anchor distT="0" distB="0" distL="114300" distR="114300" simplePos="0" relativeHeight="251682816" behindDoc="0" locked="0" layoutInCell="1" allowOverlap="1" wp14:anchorId="00CE2A6B" wp14:editId="55C8B2C0">
                <wp:simplePos x="0" y="0"/>
                <wp:positionH relativeFrom="column">
                  <wp:posOffset>3810000</wp:posOffset>
                </wp:positionH>
                <wp:positionV relativeFrom="paragraph">
                  <wp:posOffset>180975</wp:posOffset>
                </wp:positionV>
                <wp:extent cx="146957" cy="141514"/>
                <wp:effectExtent l="50800" t="25400" r="18415" b="74930"/>
                <wp:wrapNone/>
                <wp:docPr id="233779240" name="Oval 29"/>
                <wp:cNvGraphicFramePr/>
                <a:graphic xmlns:a="http://schemas.openxmlformats.org/drawingml/2006/main">
                  <a:graphicData uri="http://schemas.microsoft.com/office/word/2010/wordprocessingShape">
                    <wps:wsp>
                      <wps:cNvSpPr/>
                      <wps:spPr>
                        <a:xfrm>
                          <a:off x="0" y="0"/>
                          <a:ext cx="146957" cy="141514"/>
                        </a:xfrm>
                        <a:prstGeom prst="ellipse">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9D6B59" id="Oval 29" o:spid="_x0000_s1026" style="position:absolute;margin-left:300pt;margin-top:14.25pt;width:11.55pt;height:11.1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" fillcolor="black [3200]" strokecolor="black [3040]">
                <v:fill color2="gray [1616]" rotate="t" angle="180" focus="100%" type="gradient">
                  <o:fill v:ext="view" type="gradientUnscaled"/>
                </v:fill>
                <v:shadow on="t" color="black" opacity="22937f" origin=",.5" offset="0,.63889mm"/>
              </v:oval>
            </w:pict>
          </mc:Fallback>
        </mc:AlternateContent>
      </w:r>
    </w:p>
    <w:p w14:paraId="72321FB2" w14:textId="7689F89F" w:rsidR="00CB2E36" w:rsidRPr="003E78B1" w:rsidRDefault="00F750D9" w:rsidP="00931F5C">
      <w:pPr>
        <w:pStyle w:val="CaptionedFigure"/>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7696" behindDoc="0" locked="0" layoutInCell="1" allowOverlap="1" wp14:anchorId="31DC6368" wp14:editId="20111054">
                <wp:simplePos x="0" y="0"/>
                <wp:positionH relativeFrom="column">
                  <wp:posOffset>-28394</wp:posOffset>
                </wp:positionH>
                <wp:positionV relativeFrom="paragraph">
                  <wp:posOffset>206012</wp:posOffset>
                </wp:positionV>
                <wp:extent cx="1322614" cy="391886"/>
                <wp:effectExtent l="0" t="0" r="11430" b="14605"/>
                <wp:wrapNone/>
                <wp:docPr id="943860390" name="Text Box 23"/>
                <wp:cNvGraphicFramePr/>
                <a:graphic xmlns:a="http://schemas.openxmlformats.org/drawingml/2006/main">
                  <a:graphicData uri="http://schemas.microsoft.com/office/word/2010/wordprocessingShape">
                    <wps:wsp>
                      <wps:cNvSpPr txBox="1"/>
                      <wps:spPr>
                        <a:xfrm>
                          <a:off x="0" y="0"/>
                          <a:ext cx="1322614" cy="391886"/>
                        </a:xfrm>
                        <a:prstGeom prst="rect">
                          <a:avLst/>
                        </a:prstGeom>
                        <a:solidFill>
                          <a:schemeClr val="tx2">
                            <a:lumMod val="40000"/>
                            <a:lumOff val="60000"/>
                          </a:schemeClr>
                        </a:solidFill>
                        <a:ln w="6350">
                          <a:solidFill>
                            <a:prstClr val="black"/>
                          </a:solidFill>
                        </a:ln>
                      </wps:spPr>
                      <wps:txbx>
                        <w:txbxContent>
                          <w:p w14:paraId="22381FDF" w14:textId="2EFC3CA5" w:rsidR="006D558E" w:rsidRPr="00E07BF6" w:rsidRDefault="006D558E">
                            <w:pPr>
                              <w:rPr>
                                <w:sz w:val="16"/>
                                <w:szCs w:val="16"/>
                                <w:lang w:val="en-GB"/>
                              </w:rPr>
                            </w:pPr>
                            <w:r w:rsidRPr="00E07BF6">
                              <w:rPr>
                                <w:sz w:val="16"/>
                                <w:szCs w:val="16"/>
                                <w:lang w:val="en-GB"/>
                              </w:rPr>
                              <w:t>low control</w:t>
                            </w:r>
                            <w:r w:rsidR="00E07BF6" w:rsidRPr="00E07BF6">
                              <w:rPr>
                                <w:sz w:val="16"/>
                                <w:szCs w:val="16"/>
                                <w:lang w:val="en-GB"/>
                              </w:rPr>
                              <w:t>/low resource commitment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C6368" id="Text Box 23" o:spid="_x0000_s1040" type="#_x0000_t202" style="position:absolute;margin-left:-2.25pt;margin-top:16.2pt;width:104.15pt;height:30.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" fillcolor="#8db3e2 [1311]" strokeweight=".5pt">
                <v:textbox>
                  <w:txbxContent>
                    <w:p w14:paraId="22381FDF" w14:textId="2EFC3CA5" w:rsidR="006D558E" w:rsidRPr="00E07BF6" w:rsidRDefault="006D558E">
                      <w:pPr>
                        <w:rPr>
                          <w:sz w:val="16"/>
                          <w:szCs w:val="16"/>
                          <w:lang w:val="en-GB"/>
                        </w:rPr>
                      </w:pPr>
                      <w:r w:rsidRPr="00E07BF6">
                        <w:rPr>
                          <w:sz w:val="16"/>
                          <w:szCs w:val="16"/>
                          <w:lang w:val="en-GB"/>
                        </w:rPr>
                        <w:t>low control</w:t>
                      </w:r>
                      <w:r w:rsidR="00E07BF6" w:rsidRPr="00E07BF6">
                        <w:rPr>
                          <w:sz w:val="16"/>
                          <w:szCs w:val="16"/>
                          <w:lang w:val="en-GB"/>
                        </w:rPr>
                        <w:t>/low resource commitment</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78720" behindDoc="0" locked="0" layoutInCell="1" allowOverlap="1" wp14:anchorId="3CFCC4C2" wp14:editId="12035131">
                <wp:simplePos x="0" y="0"/>
                <wp:positionH relativeFrom="column">
                  <wp:posOffset>4248875</wp:posOffset>
                </wp:positionH>
                <wp:positionV relativeFrom="paragraph">
                  <wp:posOffset>312329</wp:posOffset>
                </wp:positionV>
                <wp:extent cx="1246414" cy="283029"/>
                <wp:effectExtent l="0" t="0" r="11430" b="9525"/>
                <wp:wrapNone/>
                <wp:docPr id="845245435" name="Text Box 24"/>
                <wp:cNvGraphicFramePr/>
                <a:graphic xmlns:a="http://schemas.openxmlformats.org/drawingml/2006/main">
                  <a:graphicData uri="http://schemas.microsoft.com/office/word/2010/wordprocessingShape">
                    <wps:wsp>
                      <wps:cNvSpPr txBox="1"/>
                      <wps:spPr>
                        <a:xfrm>
                          <a:off x="0" y="0"/>
                          <a:ext cx="1246414" cy="283029"/>
                        </a:xfrm>
                        <a:prstGeom prst="rect">
                          <a:avLst/>
                        </a:prstGeom>
                        <a:solidFill>
                          <a:schemeClr val="tx2">
                            <a:lumMod val="40000"/>
                            <a:lumOff val="60000"/>
                          </a:schemeClr>
                        </a:solidFill>
                        <a:ln w="6350">
                          <a:solidFill>
                            <a:prstClr val="black"/>
                          </a:solidFill>
                        </a:ln>
                      </wps:spPr>
                      <wps:txbx>
                        <w:txbxContent>
                          <w:p w14:paraId="71B043ED" w14:textId="21A374CC" w:rsidR="00E07BF6" w:rsidRPr="0074714D" w:rsidRDefault="0074714D">
                            <w:pPr>
                              <w:rPr>
                                <w:sz w:val="16"/>
                                <w:szCs w:val="16"/>
                                <w:lang w:val="en-GB"/>
                              </w:rPr>
                            </w:pPr>
                            <w:r w:rsidRPr="0074714D">
                              <w:rPr>
                                <w:sz w:val="16"/>
                                <w:szCs w:val="16"/>
                                <w:lang w:val="en-GB"/>
                              </w:rPr>
                              <w:t xml:space="preserve">High </w:t>
                            </w:r>
                            <w:proofErr w:type="spellStart"/>
                            <w:r w:rsidRPr="0074714D">
                              <w:rPr>
                                <w:sz w:val="16"/>
                                <w:szCs w:val="16"/>
                                <w:lang w:val="en-GB"/>
                              </w:rPr>
                              <w:t>flexibilty</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FCC4C2" id="Text Box 24" o:spid="_x0000_s1041" type="#_x0000_t202" style="position:absolute;margin-left:334.55pt;margin-top:24.6pt;width:98.15pt;height:22.3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" fillcolor="#8db3e2 [1311]" strokeweight=".5pt">
                <v:textbox>
                  <w:txbxContent>
                    <w:p w14:paraId="71B043ED" w14:textId="21A374CC" w:rsidR="00E07BF6" w:rsidRPr="0074714D" w:rsidRDefault="0074714D">
                      <w:pPr>
                        <w:rPr>
                          <w:sz w:val="16"/>
                          <w:szCs w:val="16"/>
                          <w:lang w:val="en-GB"/>
                        </w:rPr>
                      </w:pPr>
                      <w:r w:rsidRPr="0074714D">
                        <w:rPr>
                          <w:sz w:val="16"/>
                          <w:szCs w:val="16"/>
                          <w:lang w:val="en-GB"/>
                        </w:rPr>
                        <w:t xml:space="preserve">High </w:t>
                      </w:r>
                      <w:proofErr w:type="spellStart"/>
                      <w:r w:rsidRPr="0074714D">
                        <w:rPr>
                          <w:sz w:val="16"/>
                          <w:szCs w:val="16"/>
                          <w:lang w:val="en-GB"/>
                        </w:rPr>
                        <w:t>flexibilty</w:t>
                      </w:r>
                      <w:proofErr w:type="spellEnd"/>
                    </w:p>
                  </w:txbxContent>
                </v:textbox>
              </v:shape>
            </w:pict>
          </mc:Fallback>
        </mc:AlternateContent>
      </w:r>
    </w:p>
    <w:p w14:paraId="07F6E8AD" w14:textId="5F326A76" w:rsidR="00CB2E36" w:rsidRPr="003E78B1" w:rsidRDefault="00D27976" w:rsidP="003E78B1">
      <w:pPr>
        <w:pStyle w:val="ImageCaption"/>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3840" behindDoc="0" locked="0" layoutInCell="1" allowOverlap="1" wp14:anchorId="11CD683B" wp14:editId="43425B2E">
                <wp:simplePos x="0" y="0"/>
                <wp:positionH relativeFrom="column">
                  <wp:posOffset>2486479</wp:posOffset>
                </wp:positionH>
                <wp:positionV relativeFrom="paragraph">
                  <wp:posOffset>429169</wp:posOffset>
                </wp:positionV>
                <wp:extent cx="990600" cy="239486"/>
                <wp:effectExtent l="0" t="0" r="12700" b="14605"/>
                <wp:wrapNone/>
                <wp:docPr id="457159246" name="Text Box 30"/>
                <wp:cNvGraphicFramePr/>
                <a:graphic xmlns:a="http://schemas.openxmlformats.org/drawingml/2006/main">
                  <a:graphicData uri="http://schemas.microsoft.com/office/word/2010/wordprocessingShape">
                    <wps:wsp>
                      <wps:cNvSpPr txBox="1"/>
                      <wps:spPr>
                        <a:xfrm>
                          <a:off x="0" y="0"/>
                          <a:ext cx="990600" cy="239486"/>
                        </a:xfrm>
                        <a:prstGeom prst="rect">
                          <a:avLst/>
                        </a:prstGeom>
                        <a:solidFill>
                          <a:schemeClr val="lt1"/>
                        </a:solidFill>
                        <a:ln w="6350">
                          <a:solidFill>
                            <a:prstClr val="black"/>
                          </a:solidFill>
                        </a:ln>
                      </wps:spPr>
                      <wps:txbx>
                        <w:txbxContent>
                          <w:p w14:paraId="56192880" w14:textId="7F9E7CBE" w:rsidR="00D27976" w:rsidRPr="00D27976" w:rsidRDefault="00D27976">
                            <w:pPr>
                              <w:rPr>
                                <w:sz w:val="16"/>
                                <w:szCs w:val="16"/>
                                <w:lang w:val="en-GB"/>
                              </w:rPr>
                            </w:pPr>
                            <w:r w:rsidRPr="00D27976">
                              <w:rPr>
                                <w:sz w:val="16"/>
                                <w:szCs w:val="16"/>
                                <w:lang w:val="en-GB"/>
                              </w:rPr>
                              <w:t>Control flexibility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D683B" id="Text Box 30" o:spid="_x0000_s1042" type="#_x0000_t202" style="position:absolute;margin-left:195.8pt;margin-top:33.8pt;width:78pt;height:18.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" fillcolor="white [3201]" strokeweight=".5pt">
                <v:textbox>
                  <w:txbxContent>
                    <w:p w14:paraId="56192880" w14:textId="7F9E7CBE" w:rsidR="00D27976" w:rsidRPr="00D27976" w:rsidRDefault="00D27976">
                      <w:pPr>
                        <w:rPr>
                          <w:sz w:val="16"/>
                          <w:szCs w:val="16"/>
                          <w:lang w:val="en-GB"/>
                        </w:rPr>
                      </w:pPr>
                      <w:r w:rsidRPr="00D27976">
                        <w:rPr>
                          <w:sz w:val="16"/>
                          <w:szCs w:val="16"/>
                          <w:lang w:val="en-GB"/>
                        </w:rPr>
                        <w:t>Control flexibility</w:t>
                      </w:r>
                    </w:p>
                  </w:txbxContent>
                </v:textbox>
              </v:shape>
            </w:pict>
          </mc:Fallback>
        </mc:AlternateContent>
      </w:r>
      <w:r w:rsidR="006165BC" w:rsidRPr="003E78B1">
        <w:rPr>
          <w:rFonts w:ascii="Arial" w:hAnsi="Arial" w:cs="Arial"/>
          <w:sz w:val="22"/>
          <w:szCs w:val="22"/>
        </w:rPr>
        <w:t>Figure 6: Entry-mode positioning — control vs flexibility trade-off</w:t>
      </w:r>
    </w:p>
    <w:p w14:paraId="0CB3AEE6" w14:textId="77777777" w:rsidR="009D7BDA" w:rsidRDefault="009D7BDA" w:rsidP="003E78B1">
      <w:pPr>
        <w:pStyle w:val="Heading3"/>
        <w:spacing w:line="360" w:lineRule="auto"/>
        <w:rPr>
          <w:rFonts w:ascii="Arial" w:hAnsi="Arial" w:cs="Arial"/>
          <w:sz w:val="28"/>
          <w:szCs w:val="28"/>
        </w:rPr>
      </w:pPr>
      <w:bookmarkStart w:id="28" w:name="conclusion-and-recommendations"/>
    </w:p>
    <w:p w14:paraId="5B63DB71" w14:textId="2BC4FDF0" w:rsidR="009732F2" w:rsidRPr="00B02F7E" w:rsidRDefault="00B02F7E" w:rsidP="009732F2">
      <w:pPr>
        <w:pStyle w:val="BodyText"/>
        <w:rPr>
          <w:rFonts w:ascii="Arial" w:hAnsi="Arial" w:cs="Arial"/>
          <w:sz w:val="22"/>
          <w:szCs w:val="22"/>
        </w:rPr>
      </w:pPr>
      <w:r w:rsidRPr="00B02F7E">
        <w:rPr>
          <w:rFonts w:ascii="Arial" w:hAnsi="Arial" w:cs="Arial"/>
          <w:sz w:val="22"/>
          <w:szCs w:val="22"/>
        </w:rPr>
        <w:t xml:space="preserve">Source: Adapted from Anderson and </w:t>
      </w:r>
      <w:proofErr w:type="spellStart"/>
      <w:r w:rsidRPr="00B02F7E">
        <w:rPr>
          <w:rFonts w:ascii="Arial" w:hAnsi="Arial" w:cs="Arial"/>
          <w:sz w:val="22"/>
          <w:szCs w:val="22"/>
        </w:rPr>
        <w:t>Gatignon</w:t>
      </w:r>
      <w:proofErr w:type="spellEnd"/>
      <w:r w:rsidRPr="00B02F7E">
        <w:rPr>
          <w:rFonts w:ascii="Arial" w:hAnsi="Arial" w:cs="Arial"/>
          <w:sz w:val="22"/>
          <w:szCs w:val="22"/>
        </w:rPr>
        <w:t xml:space="preserve"> (1986); Hill, Hwang and Kim (1990).</w:t>
      </w:r>
    </w:p>
    <w:p w14:paraId="43500EC3" w14:textId="77777777" w:rsidR="009732F2" w:rsidRDefault="009732F2" w:rsidP="009732F2">
      <w:pPr>
        <w:pStyle w:val="BodyText"/>
      </w:pPr>
    </w:p>
    <w:p w14:paraId="1F29C2ED" w14:textId="77777777" w:rsidR="009732F2" w:rsidRDefault="009732F2" w:rsidP="009732F2">
      <w:pPr>
        <w:pStyle w:val="BodyText"/>
      </w:pPr>
    </w:p>
    <w:p w14:paraId="31F5F67C" w14:textId="77777777" w:rsidR="009732F2" w:rsidRPr="009732F2" w:rsidRDefault="009732F2" w:rsidP="009732F2">
      <w:pPr>
        <w:pStyle w:val="BodyText"/>
      </w:pPr>
    </w:p>
    <w:p w14:paraId="6DB4C63B" w14:textId="77777777" w:rsidR="009D7BDA" w:rsidRDefault="009D7BDA" w:rsidP="003E78B1">
      <w:pPr>
        <w:pStyle w:val="Heading3"/>
        <w:spacing w:line="360" w:lineRule="auto"/>
        <w:rPr>
          <w:rFonts w:ascii="Arial" w:hAnsi="Arial" w:cs="Arial"/>
          <w:sz w:val="28"/>
          <w:szCs w:val="28"/>
        </w:rPr>
      </w:pPr>
    </w:p>
    <w:p w14:paraId="0F50D5E4" w14:textId="77777777" w:rsidR="003D4D42" w:rsidRPr="003D4D42" w:rsidRDefault="003D4D42" w:rsidP="003D4D42">
      <w:pPr>
        <w:pStyle w:val="BodyText"/>
      </w:pPr>
    </w:p>
    <w:p w14:paraId="5B3CEFE4" w14:textId="77777777" w:rsidR="009732F2" w:rsidRDefault="009732F2" w:rsidP="003E78B1">
      <w:pPr>
        <w:pStyle w:val="Heading3"/>
        <w:spacing w:line="360" w:lineRule="auto"/>
        <w:rPr>
          <w:rFonts w:ascii="Arial" w:hAnsi="Arial" w:cs="Arial"/>
          <w:sz w:val="28"/>
          <w:szCs w:val="28"/>
        </w:rPr>
      </w:pPr>
    </w:p>
    <w:p w14:paraId="60F01E5F" w14:textId="77777777" w:rsidR="00FF28A9" w:rsidRPr="00FF28A9" w:rsidRDefault="00FF28A9" w:rsidP="00FF28A9">
      <w:pPr>
        <w:pStyle w:val="BodyText"/>
      </w:pPr>
    </w:p>
    <w:p w14:paraId="618C020E" w14:textId="6F45BDAE" w:rsidR="00FF28A9" w:rsidRPr="000020AC" w:rsidRDefault="00624327" w:rsidP="000020AC">
      <w:pPr>
        <w:pStyle w:val="Heading3"/>
        <w:spacing w:line="360" w:lineRule="auto"/>
        <w:rPr>
          <w:rFonts w:ascii="Arial" w:hAnsi="Arial" w:cs="Arial"/>
          <w:sz w:val="28"/>
          <w:szCs w:val="28"/>
        </w:rPr>
      </w:pPr>
      <w:bookmarkStart w:id="29" w:name="_Toc236052400"/>
      <w:r>
        <w:rPr>
          <w:rFonts w:ascii="Arial" w:hAnsi="Arial" w:cs="Arial"/>
          <w:sz w:val="28"/>
          <w:szCs w:val="28"/>
        </w:rPr>
        <w:t xml:space="preserve">6. </w:t>
      </w:r>
      <w:r w:rsidR="006165BC" w:rsidRPr="00AC3BA0">
        <w:rPr>
          <w:rFonts w:ascii="Arial" w:hAnsi="Arial" w:cs="Arial"/>
          <w:sz w:val="28"/>
          <w:szCs w:val="28"/>
        </w:rPr>
        <w:t>Conclusion and Recommendations</w:t>
      </w:r>
      <w:bookmarkEnd w:id="28"/>
      <w:bookmarkEnd w:id="29"/>
    </w:p>
    <w:p w14:paraId="1AA6E9A0" w14:textId="202B9360" w:rsidR="00FF28A9" w:rsidRPr="000020AC" w:rsidRDefault="00FF28A9" w:rsidP="000020AC">
      <w:pPr>
        <w:pStyle w:val="NormalWeb"/>
        <w:spacing w:line="360" w:lineRule="auto"/>
        <w:rPr>
          <w:rFonts w:ascii="Arial" w:hAnsi="Arial" w:cs="Arial"/>
          <w:sz w:val="22"/>
          <w:szCs w:val="22"/>
        </w:rPr>
      </w:pPr>
      <w:r w:rsidRPr="000020AC">
        <w:rPr>
          <w:rFonts w:ascii="Arial" w:hAnsi="Arial" w:cs="Arial"/>
          <w:sz w:val="22"/>
          <w:szCs w:val="22"/>
        </w:rPr>
        <w:t>This analysis concludes that McDonald’s should consider re-entering Sri Lanka; however, the company should avoid repeating the low-control master franchise model used between 2004 and 2024. The previous exit demonstrated that while franchising provides McDonald’s with scalability and reduced capital exposure, insufficient monitoring of a single franchise partner can create significant operational, quality-control, and reputational risks. Therefore, future entry should prioritise governance, control, and protection of McDonald’s global brand standards rather than pursuing rapid market expansion.</w:t>
      </w:r>
      <w:r w:rsidR="00C5695D">
        <w:rPr>
          <w:rFonts w:ascii="Arial" w:hAnsi="Arial" w:cs="Arial"/>
          <w:sz w:val="22"/>
          <w:szCs w:val="22"/>
        </w:rPr>
        <w:t xml:space="preserve"> </w:t>
      </w:r>
      <w:r w:rsidRPr="000020AC">
        <w:rPr>
          <w:rFonts w:ascii="Arial" w:hAnsi="Arial" w:cs="Arial"/>
          <w:sz w:val="22"/>
          <w:szCs w:val="22"/>
        </w:rPr>
        <w:t>The strategic assessment indicates that Sri Lanka presents a cautiously attractive opportunity for McDonald’s. From a location</w:t>
      </w:r>
      <w:r w:rsidR="007B3AED">
        <w:rPr>
          <w:rFonts w:ascii="Arial" w:hAnsi="Arial" w:cs="Arial"/>
          <w:sz w:val="22"/>
          <w:szCs w:val="22"/>
        </w:rPr>
        <w:t>-</w:t>
      </w:r>
      <w:r w:rsidRPr="000020AC">
        <w:rPr>
          <w:rFonts w:ascii="Arial" w:hAnsi="Arial" w:cs="Arial"/>
          <w:sz w:val="22"/>
          <w:szCs w:val="22"/>
        </w:rPr>
        <w:t xml:space="preserve">advantage perspective under Dunning’s (1988) OLI framework, the country offers several positive factors, including economic recovery following the 2022 crisis, </w:t>
      </w:r>
      <w:r w:rsidR="007B3AED">
        <w:rPr>
          <w:rFonts w:ascii="Arial" w:hAnsi="Arial" w:cs="Arial"/>
          <w:sz w:val="22"/>
          <w:szCs w:val="22"/>
        </w:rPr>
        <w:t>ri</w:t>
      </w:r>
      <w:r w:rsidRPr="000020AC">
        <w:rPr>
          <w:rFonts w:ascii="Arial" w:hAnsi="Arial" w:cs="Arial"/>
          <w:sz w:val="22"/>
          <w:szCs w:val="22"/>
        </w:rPr>
        <w:t>sing tourism flows, a young urban consumer base, and existing brand awareness from McDonald’s previous presence. However, economic challenges remain, including inflationary pressures, currency risks, relatively low purchasing power compared with developed markets, and strong competition from established QSR operators. Therefore, Sri Lanka should be considered a long-term growth market rather than a high-volume expansion opportunity.</w:t>
      </w:r>
    </w:p>
    <w:p w14:paraId="687B8100" w14:textId="4361F61D" w:rsidR="00FF28A9" w:rsidRPr="000020AC" w:rsidRDefault="00FF28A9" w:rsidP="000020AC">
      <w:pPr>
        <w:pStyle w:val="NormalWeb"/>
        <w:spacing w:line="360" w:lineRule="auto"/>
        <w:rPr>
          <w:rFonts w:ascii="Arial" w:hAnsi="Arial" w:cs="Arial"/>
          <w:sz w:val="22"/>
          <w:szCs w:val="22"/>
        </w:rPr>
      </w:pPr>
      <w:r w:rsidRPr="000020AC">
        <w:rPr>
          <w:rFonts w:ascii="Arial" w:hAnsi="Arial" w:cs="Arial"/>
          <w:sz w:val="22"/>
          <w:szCs w:val="22"/>
        </w:rPr>
        <w:t>The OLI analysis further demonstrates that McDonald’s retains strong ownership advantages through its globally recognised brand, operational expertise, supply</w:t>
      </w:r>
      <w:r w:rsidR="007B3AED">
        <w:rPr>
          <w:rFonts w:ascii="Arial" w:hAnsi="Arial" w:cs="Arial"/>
          <w:sz w:val="22"/>
          <w:szCs w:val="22"/>
        </w:rPr>
        <w:t xml:space="preserve"> </w:t>
      </w:r>
      <w:r w:rsidRPr="000020AC">
        <w:rPr>
          <w:rFonts w:ascii="Arial" w:hAnsi="Arial" w:cs="Arial"/>
          <w:sz w:val="22"/>
          <w:szCs w:val="22"/>
        </w:rPr>
        <w:t>chain capabilities, digital platforms, and quality</w:t>
      </w:r>
      <w:r w:rsidR="007B3AED">
        <w:rPr>
          <w:rFonts w:ascii="Arial" w:hAnsi="Arial" w:cs="Arial"/>
          <w:sz w:val="22"/>
          <w:szCs w:val="22"/>
        </w:rPr>
        <w:t xml:space="preserve"> </w:t>
      </w:r>
      <w:r w:rsidRPr="000020AC">
        <w:rPr>
          <w:rFonts w:ascii="Arial" w:hAnsi="Arial" w:cs="Arial"/>
          <w:sz w:val="22"/>
          <w:szCs w:val="22"/>
        </w:rPr>
        <w:t>management systems. However, the internalisation advantage is the most critical consideration for re-entry. The 2024 franchise failure highlighted the limitations of transferring operational responsibility to a local partner without sufficient control mechanisms. Consequently, McDonald’s should strengthen internalisation by increasing oversight, audit capability, and strategic involvement in franchise operations.</w:t>
      </w:r>
      <w:r w:rsidR="00C5695D">
        <w:rPr>
          <w:rFonts w:ascii="Arial" w:hAnsi="Arial" w:cs="Arial"/>
          <w:sz w:val="22"/>
          <w:szCs w:val="22"/>
        </w:rPr>
        <w:t xml:space="preserve"> </w:t>
      </w:r>
      <w:r w:rsidRPr="000020AC">
        <w:rPr>
          <w:rFonts w:ascii="Arial" w:hAnsi="Arial" w:cs="Arial"/>
          <w:sz w:val="22"/>
          <w:szCs w:val="22"/>
        </w:rPr>
        <w:t xml:space="preserve">Based on the entry-mode analysis, a minority-equity joint venture with a carefully selected local QSR partner is recommended as the most appropriate approach. This model would provide McDonald’s with greater control over food safety, employee training, supply-chain standards, and brand protection, while allowing the </w:t>
      </w:r>
      <w:r w:rsidRPr="000020AC">
        <w:rPr>
          <w:rFonts w:ascii="Arial" w:hAnsi="Arial" w:cs="Arial"/>
          <w:sz w:val="22"/>
          <w:szCs w:val="22"/>
        </w:rPr>
        <w:lastRenderedPageBreak/>
        <w:t>local partner to contribute market knowledge, regulatory understanding, and local relationship networks. This approach reflects McDonald’s previous experience in markets such as India and China, where greater ownership involvement was used to manage complex operating environments.</w:t>
      </w:r>
    </w:p>
    <w:p w14:paraId="6510D76E" w14:textId="64EA6CCE" w:rsidR="00FF28A9" w:rsidRPr="000020AC" w:rsidRDefault="00FF28A9" w:rsidP="000020AC">
      <w:pPr>
        <w:pStyle w:val="NormalWeb"/>
        <w:spacing w:line="360" w:lineRule="auto"/>
        <w:rPr>
          <w:rFonts w:ascii="Arial" w:hAnsi="Arial" w:cs="Arial"/>
          <w:sz w:val="22"/>
          <w:szCs w:val="22"/>
        </w:rPr>
      </w:pPr>
      <w:r w:rsidRPr="000020AC">
        <w:rPr>
          <w:rFonts w:ascii="Arial" w:hAnsi="Arial" w:cs="Arial"/>
          <w:sz w:val="22"/>
          <w:szCs w:val="22"/>
        </w:rPr>
        <w:t>To ensure successful re-entry, McDonald’s should implement several strategic recommendations. First, partner selection should focus on QSR-specific capabilit</w:t>
      </w:r>
      <w:r w:rsidR="000020AC">
        <w:rPr>
          <w:rFonts w:ascii="Arial" w:hAnsi="Arial" w:cs="Arial"/>
          <w:sz w:val="22"/>
          <w:szCs w:val="22"/>
        </w:rPr>
        <w:t>ies</w:t>
      </w:r>
      <w:r w:rsidRPr="000020AC">
        <w:rPr>
          <w:rFonts w:ascii="Arial" w:hAnsi="Arial" w:cs="Arial"/>
          <w:sz w:val="22"/>
          <w:szCs w:val="22"/>
        </w:rPr>
        <w:t xml:space="preserve"> rather than general corporate strength, ensuring that the franchise partner has proven experience in restaurant operations, supply</w:t>
      </w:r>
      <w:r w:rsidR="000020AC">
        <w:rPr>
          <w:rFonts w:ascii="Arial" w:hAnsi="Arial" w:cs="Arial"/>
          <w:sz w:val="22"/>
          <w:szCs w:val="22"/>
        </w:rPr>
        <w:t xml:space="preserve"> </w:t>
      </w:r>
      <w:r w:rsidRPr="000020AC">
        <w:rPr>
          <w:rFonts w:ascii="Arial" w:hAnsi="Arial" w:cs="Arial"/>
          <w:sz w:val="22"/>
          <w:szCs w:val="22"/>
        </w:rPr>
        <w:t xml:space="preserve">chain management, and quality assurance. Second, McDonald’s should introduce stronger governance systems, including independent hygiene audits, digital performance monitoring, regular operational inspections, and clear contractual consequences for non-compliance. Third, market expansion should follow a phased approach, beginning with high-potential locations such as Colombo and major tourism areas before expanding into secondary cities. Finally, McDonald’s should continue </w:t>
      </w:r>
      <w:r w:rsidR="000020AC">
        <w:rPr>
          <w:rFonts w:ascii="Arial" w:hAnsi="Arial" w:cs="Arial"/>
          <w:sz w:val="22"/>
          <w:szCs w:val="22"/>
        </w:rPr>
        <w:t>to apply</w:t>
      </w:r>
      <w:r w:rsidRPr="000020AC">
        <w:rPr>
          <w:rFonts w:ascii="Arial" w:hAnsi="Arial" w:cs="Arial"/>
          <w:sz w:val="22"/>
          <w:szCs w:val="22"/>
        </w:rPr>
        <w:t xml:space="preserve"> a transnational strategy by maintaining global operational consistency while adapting </w:t>
      </w:r>
      <w:r w:rsidR="000020AC">
        <w:rPr>
          <w:rFonts w:ascii="Arial" w:hAnsi="Arial" w:cs="Arial"/>
          <w:sz w:val="22"/>
          <w:szCs w:val="22"/>
        </w:rPr>
        <w:t xml:space="preserve">its </w:t>
      </w:r>
      <w:r w:rsidRPr="000020AC">
        <w:rPr>
          <w:rFonts w:ascii="Arial" w:hAnsi="Arial" w:cs="Arial"/>
          <w:sz w:val="22"/>
          <w:szCs w:val="22"/>
        </w:rPr>
        <w:t>products and marketing to Sri Lankan preferences, including chicken-based products, vegetarian options, family-oriented meals, and culturally appropriate promotional campaigns.</w:t>
      </w:r>
    </w:p>
    <w:p w14:paraId="52258F85" w14:textId="0E813615" w:rsidR="00FF28A9" w:rsidRPr="000020AC" w:rsidRDefault="00FF28A9" w:rsidP="000020AC">
      <w:pPr>
        <w:pStyle w:val="NormalWeb"/>
        <w:spacing w:line="360" w:lineRule="auto"/>
        <w:rPr>
          <w:rFonts w:ascii="Arial" w:hAnsi="Arial" w:cs="Arial"/>
          <w:sz w:val="22"/>
          <w:szCs w:val="22"/>
        </w:rPr>
      </w:pPr>
      <w:r w:rsidRPr="000020AC">
        <w:rPr>
          <w:rFonts w:ascii="Arial" w:hAnsi="Arial" w:cs="Arial"/>
          <w:sz w:val="22"/>
          <w:szCs w:val="22"/>
        </w:rPr>
        <w:t xml:space="preserve">The cultural analysis using Hofstede’s dimensions also highlights the importance of adaptation. Differences between Sri Lanka and the United States, particularly regarding power distance and collectivism, suggest that McDonald’s should adopt a more relationship-oriented management approach and emphasise family and community values in marketing communication. Nevertheless, Hofstede’s framework should be applied </w:t>
      </w:r>
      <w:r w:rsidR="000020AC">
        <w:rPr>
          <w:rFonts w:ascii="Arial" w:hAnsi="Arial" w:cs="Arial"/>
          <w:sz w:val="22"/>
          <w:szCs w:val="22"/>
        </w:rPr>
        <w:t>with caution</w:t>
      </w:r>
      <w:r w:rsidRPr="000020AC">
        <w:rPr>
          <w:rFonts w:ascii="Arial" w:hAnsi="Arial" w:cs="Arial"/>
          <w:sz w:val="22"/>
          <w:szCs w:val="22"/>
        </w:rPr>
        <w:t xml:space="preserve"> because national cultural scores may not fully </w:t>
      </w:r>
      <w:r w:rsidR="000020AC">
        <w:rPr>
          <w:rFonts w:ascii="Arial" w:hAnsi="Arial" w:cs="Arial"/>
          <w:sz w:val="22"/>
          <w:szCs w:val="22"/>
        </w:rPr>
        <w:t>capture</w:t>
      </w:r>
      <w:r w:rsidRPr="000020AC">
        <w:rPr>
          <w:rFonts w:ascii="Arial" w:hAnsi="Arial" w:cs="Arial"/>
          <w:sz w:val="22"/>
          <w:szCs w:val="22"/>
        </w:rPr>
        <w:t xml:space="preserve"> Sri Lanka’s ethnic, regional, and consumer diversity.</w:t>
      </w:r>
    </w:p>
    <w:p w14:paraId="2017DB82" w14:textId="1392DEB6" w:rsidR="009732F2" w:rsidRDefault="00FF28A9" w:rsidP="00A81B82">
      <w:pPr>
        <w:pStyle w:val="NormalWeb"/>
        <w:spacing w:line="360" w:lineRule="auto"/>
        <w:rPr>
          <w:rFonts w:ascii="Arial" w:hAnsi="Arial" w:cs="Arial"/>
          <w:sz w:val="22"/>
          <w:szCs w:val="22"/>
        </w:rPr>
      </w:pPr>
      <w:r w:rsidRPr="000020AC">
        <w:rPr>
          <w:rFonts w:ascii="Arial" w:hAnsi="Arial" w:cs="Arial"/>
          <w:sz w:val="22"/>
          <w:szCs w:val="22"/>
        </w:rPr>
        <w:t>Overall, McDonald’s re-entry into Sri Lanka is strategically feasible but requires a different approach from its previous market participation. A controlled joint-venture model supported by strong governance, cultural adaptation, and gradual expansion would provide the best balance between McDonald’s need for operational control and the advantages of local market expertise. The key lesson from the Sri Lankan case is that international expansion success depends not only on selecting an attractive market but also on choosing an entry mode that protects the firm’s strategic assets and competitive advantage.</w:t>
      </w:r>
    </w:p>
    <w:p w14:paraId="3D2C01B8" w14:textId="5E759C9A" w:rsidR="00CB2E36" w:rsidRDefault="006165BC" w:rsidP="003E78B1">
      <w:pPr>
        <w:pStyle w:val="Heading1"/>
        <w:spacing w:line="360" w:lineRule="auto"/>
        <w:rPr>
          <w:rFonts w:ascii="Arial" w:hAnsi="Arial" w:cs="Arial"/>
          <w:sz w:val="28"/>
          <w:szCs w:val="28"/>
        </w:rPr>
      </w:pPr>
      <w:bookmarkStart w:id="30" w:name="section-2-reflective-account"/>
      <w:bookmarkStart w:id="31" w:name="_Toc234787526"/>
      <w:bookmarkStart w:id="32" w:name="_Toc236052401"/>
      <w:r w:rsidRPr="00FA14E9">
        <w:rPr>
          <w:rFonts w:ascii="Arial" w:hAnsi="Arial" w:cs="Arial"/>
          <w:sz w:val="28"/>
          <w:szCs w:val="28"/>
        </w:rPr>
        <w:lastRenderedPageBreak/>
        <w:t>Section 2: Reflective</w:t>
      </w:r>
      <w:bookmarkEnd w:id="32"/>
      <w:r w:rsidRPr="00FA14E9">
        <w:rPr>
          <w:rFonts w:ascii="Arial" w:hAnsi="Arial" w:cs="Arial"/>
          <w:sz w:val="28"/>
          <w:szCs w:val="28"/>
        </w:rPr>
        <w:t xml:space="preserve"> </w:t>
      </w:r>
      <w:bookmarkEnd w:id="30"/>
      <w:bookmarkEnd w:id="31"/>
    </w:p>
    <w:p w14:paraId="430A6819" w14:textId="3BA1391D" w:rsidR="005E6A80" w:rsidRPr="005E6A80" w:rsidRDefault="004A1763" w:rsidP="005E6A80">
      <w:pPr>
        <w:pStyle w:val="BodyText"/>
      </w:pPr>
      <w:r>
        <w:rPr>
          <w:noProof/>
        </w:rPr>
        <w:drawing>
          <wp:inline distT="0" distB="0" distL="0" distR="0" wp14:anchorId="3318D04C" wp14:editId="04FF64F0">
            <wp:extent cx="4733026" cy="2470030"/>
            <wp:effectExtent l="0" t="0" r="0" b="0"/>
            <wp:docPr id="272410690"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4FBE75BA" w14:textId="2AC19147" w:rsidR="00DF7F4D" w:rsidRPr="00207684" w:rsidRDefault="004C5917" w:rsidP="003E78B1">
      <w:pPr>
        <w:pStyle w:val="FirstParagraph"/>
        <w:spacing w:line="360" w:lineRule="auto"/>
        <w:rPr>
          <w:rFonts w:ascii="Arial" w:hAnsi="Arial" w:cs="Arial"/>
          <w:sz w:val="22"/>
          <w:szCs w:val="22"/>
        </w:rPr>
      </w:pPr>
      <w:r w:rsidRPr="00207684">
        <w:rPr>
          <w:rFonts w:ascii="Arial" w:hAnsi="Arial" w:cs="Arial"/>
          <w:sz w:val="22"/>
          <w:szCs w:val="22"/>
        </w:rPr>
        <w:t xml:space="preserve">Figure </w:t>
      </w:r>
      <w:r w:rsidRPr="00207684">
        <w:rPr>
          <w:rFonts w:ascii="Arial" w:hAnsi="Arial" w:cs="Arial"/>
          <w:sz w:val="22"/>
          <w:szCs w:val="22"/>
        </w:rPr>
        <w:t>7</w:t>
      </w:r>
      <w:r w:rsidRPr="00207684">
        <w:rPr>
          <w:rFonts w:ascii="Arial" w:hAnsi="Arial" w:cs="Arial"/>
          <w:sz w:val="22"/>
          <w:szCs w:val="22"/>
        </w:rPr>
        <w:t>: Gibbs’ Reflective Cycle (1988)</w:t>
      </w:r>
    </w:p>
    <w:p w14:paraId="3C75BAD9" w14:textId="057153D7" w:rsidR="00207684" w:rsidRPr="00207684" w:rsidRDefault="00207684" w:rsidP="00207684">
      <w:pPr>
        <w:pStyle w:val="BodyText"/>
        <w:rPr>
          <w:rFonts w:ascii="Arial" w:hAnsi="Arial" w:cs="Arial"/>
          <w:sz w:val="22"/>
          <w:szCs w:val="22"/>
        </w:rPr>
      </w:pPr>
      <w:r w:rsidRPr="00207684">
        <w:rPr>
          <w:rFonts w:ascii="Arial" w:hAnsi="Arial" w:cs="Arial"/>
          <w:sz w:val="22"/>
          <w:szCs w:val="22"/>
        </w:rPr>
        <w:t>Source: Adapted from Gibbs (1988).</w:t>
      </w:r>
    </w:p>
    <w:p w14:paraId="3A9E07B7" w14:textId="77777777" w:rsidR="00A81B82" w:rsidRDefault="006165BC" w:rsidP="00A81B82">
      <w:pPr>
        <w:pStyle w:val="FirstParagraph"/>
        <w:spacing w:line="360" w:lineRule="auto"/>
        <w:rPr>
          <w:rFonts w:ascii="Arial" w:hAnsi="Arial" w:cs="Arial"/>
          <w:sz w:val="22"/>
          <w:szCs w:val="22"/>
        </w:rPr>
      </w:pPr>
      <w:r w:rsidRPr="003E78B1">
        <w:rPr>
          <w:rFonts w:ascii="Arial" w:hAnsi="Arial" w:cs="Arial"/>
          <w:sz w:val="22"/>
          <w:szCs w:val="22"/>
        </w:rPr>
        <w:t xml:space="preserve">This reflection uses Gibbs’ (1988) Reflective Cycle — description, feelings, evaluation, analysis, conclusion, and action plan — to critically examine the process of researching, </w:t>
      </w:r>
      <w:proofErr w:type="spellStart"/>
      <w:r w:rsidRPr="003E78B1">
        <w:rPr>
          <w:rFonts w:ascii="Arial" w:hAnsi="Arial" w:cs="Arial"/>
          <w:sz w:val="22"/>
          <w:szCs w:val="22"/>
        </w:rPr>
        <w:t>analysing</w:t>
      </w:r>
      <w:proofErr w:type="spellEnd"/>
      <w:r w:rsidRPr="003E78B1">
        <w:rPr>
          <w:rFonts w:ascii="Arial" w:hAnsi="Arial" w:cs="Arial"/>
          <w:sz w:val="22"/>
          <w:szCs w:val="22"/>
        </w:rPr>
        <w:t xml:space="preserve"> and preparing the preceding market-entry analysis.</w:t>
      </w:r>
    </w:p>
    <w:p w14:paraId="3CC90901" w14:textId="092A662A" w:rsidR="00CB2E36" w:rsidRPr="003E78B1" w:rsidRDefault="006165BC" w:rsidP="00A81B82">
      <w:pPr>
        <w:pStyle w:val="FirstParagraph"/>
        <w:spacing w:line="360" w:lineRule="auto"/>
        <w:rPr>
          <w:rFonts w:ascii="Arial" w:hAnsi="Arial" w:cs="Arial"/>
          <w:sz w:val="22"/>
          <w:szCs w:val="22"/>
        </w:rPr>
      </w:pPr>
      <w:r w:rsidRPr="003E78B1">
        <w:rPr>
          <w:rFonts w:ascii="Arial" w:hAnsi="Arial" w:cs="Arial"/>
          <w:b/>
          <w:sz w:val="22"/>
          <w:szCs w:val="22"/>
        </w:rPr>
        <w:t>Description.</w:t>
      </w:r>
      <w:r w:rsidRPr="003E78B1">
        <w:rPr>
          <w:rFonts w:ascii="Arial" w:hAnsi="Arial" w:cs="Arial"/>
          <w:sz w:val="22"/>
          <w:szCs w:val="22"/>
        </w:rPr>
        <w:t xml:space="preserve"> The task required selecting a multinational corporation and a target country where it currently h</w:t>
      </w:r>
      <w:r w:rsidR="00C9366E">
        <w:rPr>
          <w:rFonts w:ascii="Arial" w:hAnsi="Arial" w:cs="Arial"/>
          <w:sz w:val="22"/>
          <w:szCs w:val="22"/>
        </w:rPr>
        <w:t>a</w:t>
      </w:r>
      <w:r w:rsidRPr="003E78B1">
        <w:rPr>
          <w:rFonts w:ascii="Arial" w:hAnsi="Arial" w:cs="Arial"/>
          <w:sz w:val="22"/>
          <w:szCs w:val="22"/>
        </w:rPr>
        <w:t xml:space="preserve">d no significant operational presence, then building a critical, theory-grounded evaluation of market attractiveness and entry-mode strategy using public data </w:t>
      </w:r>
      <w:r w:rsidR="00C9366E">
        <w:rPr>
          <w:rFonts w:ascii="Arial" w:hAnsi="Arial" w:cs="Arial"/>
          <w:sz w:val="22"/>
          <w:szCs w:val="22"/>
        </w:rPr>
        <w:t>as of</w:t>
      </w:r>
      <w:r w:rsidRPr="003E78B1">
        <w:rPr>
          <w:rFonts w:ascii="Arial" w:hAnsi="Arial" w:cs="Arial"/>
          <w:sz w:val="22"/>
          <w:szCs w:val="22"/>
        </w:rPr>
        <w:t xml:space="preserve"> June 2026. I chose McDonald’s Corporation and Sri Lanka. My process moved through four broad stages: first, verifying that the premise held (confirming McDonald’s had genuinely exited Sri Lanka, and understanding why); second, gathering evidence on McDonald’s global strategic classification and configuration; third, building a focused, industry-relevant PESTLE picture of Sri Lanka rather than a generic one; and fourth, </w:t>
      </w:r>
      <w:proofErr w:type="spellStart"/>
      <w:r w:rsidRPr="003E78B1">
        <w:rPr>
          <w:rFonts w:ascii="Arial" w:hAnsi="Arial" w:cs="Arial"/>
          <w:sz w:val="22"/>
          <w:szCs w:val="22"/>
        </w:rPr>
        <w:t>synthesising</w:t>
      </w:r>
      <w:proofErr w:type="spellEnd"/>
      <w:r w:rsidRPr="003E78B1">
        <w:rPr>
          <w:rFonts w:ascii="Arial" w:hAnsi="Arial" w:cs="Arial"/>
          <w:sz w:val="22"/>
          <w:szCs w:val="22"/>
        </w:rPr>
        <w:t xml:space="preserve"> these findings through the Bartlett and Ghoshal (1989) and Dunning (1988) frameworks before turning to entry-mode strategy.</w:t>
      </w:r>
    </w:p>
    <w:p w14:paraId="076B4428" w14:textId="5B19BE38" w:rsidR="00CB2E36" w:rsidRPr="003E78B1" w:rsidRDefault="006165BC" w:rsidP="003E78B1">
      <w:pPr>
        <w:pStyle w:val="BodyText"/>
        <w:spacing w:line="360" w:lineRule="auto"/>
        <w:rPr>
          <w:rFonts w:ascii="Arial" w:hAnsi="Arial" w:cs="Arial"/>
          <w:sz w:val="22"/>
          <w:szCs w:val="22"/>
        </w:rPr>
      </w:pPr>
      <w:r w:rsidRPr="003E78B1">
        <w:rPr>
          <w:rFonts w:ascii="Arial" w:hAnsi="Arial" w:cs="Arial"/>
          <w:b/>
          <w:sz w:val="22"/>
          <w:szCs w:val="22"/>
        </w:rPr>
        <w:t>Feelings.</w:t>
      </w:r>
      <w:r w:rsidRPr="003E78B1">
        <w:rPr>
          <w:rFonts w:ascii="Arial" w:hAnsi="Arial" w:cs="Arial"/>
          <w:sz w:val="22"/>
          <w:szCs w:val="22"/>
        </w:rPr>
        <w:t xml:space="preserve"> </w:t>
      </w:r>
      <w:r w:rsidR="00B25ED2">
        <w:rPr>
          <w:rFonts w:ascii="Arial" w:hAnsi="Arial" w:cs="Arial"/>
          <w:sz w:val="22"/>
          <w:szCs w:val="22"/>
        </w:rPr>
        <w:t xml:space="preserve">My reaction to the discovery that McDonald’s operated in Sri Lanka for two decades before a court-ordered exit in 2024 was mixed. I felt relief, as it provided a rich case of entry-mode failure, rather than a hypothetical scenario. However, I was apprehensive because the assignment brief specified a market with “no significant operational presence,” and I needed to honestly assess whether this recent exit met that criterion. Additionally, I faced pressure regarding the currency of information, since the brief called for data “as of June 2026,” requiring </w:t>
      </w:r>
      <w:r w:rsidR="00B25ED2">
        <w:rPr>
          <w:rFonts w:ascii="Arial" w:hAnsi="Arial" w:cs="Arial"/>
          <w:sz w:val="22"/>
          <w:szCs w:val="22"/>
        </w:rPr>
        <w:lastRenderedPageBreak/>
        <w:t>careful verification of publication dates and treating figures for volatile areas, like inflation forecasts, as provisional.</w:t>
      </w:r>
    </w:p>
    <w:p w14:paraId="39226F60" w14:textId="5F55A236" w:rsidR="00CB2E36" w:rsidRPr="003E78B1" w:rsidRDefault="006165BC" w:rsidP="003E78B1">
      <w:pPr>
        <w:pStyle w:val="BodyText"/>
        <w:spacing w:line="360" w:lineRule="auto"/>
        <w:rPr>
          <w:rFonts w:ascii="Arial" w:hAnsi="Arial" w:cs="Arial"/>
          <w:sz w:val="22"/>
          <w:szCs w:val="22"/>
        </w:rPr>
      </w:pPr>
      <w:r w:rsidRPr="003E78B1">
        <w:rPr>
          <w:rFonts w:ascii="Arial" w:hAnsi="Arial" w:cs="Arial"/>
          <w:b/>
          <w:sz w:val="22"/>
          <w:szCs w:val="22"/>
        </w:rPr>
        <w:t>Evaluation.</w:t>
      </w:r>
      <w:r w:rsidRPr="003E78B1">
        <w:rPr>
          <w:rFonts w:ascii="Arial" w:hAnsi="Arial" w:cs="Arial"/>
          <w:sz w:val="22"/>
          <w:szCs w:val="22"/>
        </w:rPr>
        <w:t xml:space="preserve"> </w:t>
      </w:r>
      <w:r w:rsidR="00284C92">
        <w:rPr>
          <w:rFonts w:ascii="Arial" w:hAnsi="Arial" w:cs="Arial"/>
          <w:sz w:val="22"/>
          <w:szCs w:val="22"/>
        </w:rPr>
        <w:t xml:space="preserve">I effectively triangulated multiple independent sources for contested facts, such as cross-checking the McDonald’s–Abans dispute </w:t>
      </w:r>
      <w:r w:rsidR="00284C92">
        <w:rPr>
          <w:rFonts w:ascii="Arial" w:hAnsi="Arial" w:cs="Arial"/>
          <w:sz w:val="22"/>
          <w:szCs w:val="22"/>
        </w:rPr>
        <w:t>across local and international news outlets and comparing Sri Lankan GDP and inflation figures with those from the IMF and the Asian</w:t>
      </w:r>
      <w:r w:rsidR="00284C92">
        <w:rPr>
          <w:rFonts w:ascii="Arial" w:hAnsi="Arial" w:cs="Arial"/>
          <w:sz w:val="22"/>
          <w:szCs w:val="22"/>
        </w:rPr>
        <w:t xml:space="preserve"> Development Bank. This approach minimized the risk of relying on outlier data. However, I struggled to avoid purely descriptive PESTLE writing. The initial draft focused too much on covering all factors instead of prioritizing the most critical issues relevant to the firm’s industry and strategy. I ultimately refined it to highlight key factors, like how land-ownership restrictions impact McDonald’s real-estate profit model.</w:t>
      </w:r>
    </w:p>
    <w:p w14:paraId="79177C3B" w14:textId="38557B06" w:rsidR="00CB2E36" w:rsidRPr="003E78B1" w:rsidRDefault="006165BC" w:rsidP="003E78B1">
      <w:pPr>
        <w:pStyle w:val="BodyText"/>
        <w:spacing w:line="360" w:lineRule="auto"/>
        <w:rPr>
          <w:rFonts w:ascii="Arial" w:hAnsi="Arial" w:cs="Arial"/>
          <w:sz w:val="22"/>
          <w:szCs w:val="22"/>
        </w:rPr>
      </w:pPr>
      <w:r w:rsidRPr="003E78B1">
        <w:rPr>
          <w:rFonts w:ascii="Arial" w:hAnsi="Arial" w:cs="Arial"/>
          <w:b/>
          <w:sz w:val="22"/>
          <w:szCs w:val="22"/>
        </w:rPr>
        <w:t>Analysis.</w:t>
      </w:r>
      <w:r w:rsidRPr="003E78B1">
        <w:rPr>
          <w:rFonts w:ascii="Arial" w:hAnsi="Arial" w:cs="Arial"/>
          <w:sz w:val="22"/>
          <w:szCs w:val="22"/>
        </w:rPr>
        <w:t xml:space="preserve"> </w:t>
      </w:r>
      <w:r w:rsidR="007B3AED">
        <w:rPr>
          <w:rFonts w:ascii="Arial" w:hAnsi="Arial" w:cs="Arial"/>
          <w:sz w:val="22"/>
          <w:szCs w:val="22"/>
        </w:rPr>
        <w:t xml:space="preserve">Dunning’s eclectic paradigm proved to be the most useful theoretical tool by breaking down market attractiveness into firm advantages, location benefits, and </w:t>
      </w:r>
      <w:proofErr w:type="spellStart"/>
      <w:r w:rsidR="007B3AED">
        <w:rPr>
          <w:rFonts w:ascii="Arial" w:hAnsi="Arial" w:cs="Arial"/>
          <w:sz w:val="22"/>
          <w:szCs w:val="22"/>
        </w:rPr>
        <w:t>internalisation</w:t>
      </w:r>
      <w:proofErr w:type="spellEnd"/>
      <w:r w:rsidR="007B3AED">
        <w:rPr>
          <w:rFonts w:ascii="Arial" w:hAnsi="Arial" w:cs="Arial"/>
          <w:sz w:val="22"/>
          <w:szCs w:val="22"/>
        </w:rPr>
        <w:t xml:space="preserve"> rationale. This led me to conclude that while ownership and location advantages were strong, </w:t>
      </w:r>
      <w:proofErr w:type="spellStart"/>
      <w:r w:rsidR="007B3AED">
        <w:rPr>
          <w:rFonts w:ascii="Arial" w:hAnsi="Arial" w:cs="Arial"/>
          <w:sz w:val="22"/>
          <w:szCs w:val="22"/>
        </w:rPr>
        <w:t>internalisation</w:t>
      </w:r>
      <w:proofErr w:type="spellEnd"/>
      <w:r w:rsidR="007B3AED">
        <w:rPr>
          <w:rFonts w:ascii="Arial" w:hAnsi="Arial" w:cs="Arial"/>
          <w:sz w:val="22"/>
          <w:szCs w:val="22"/>
        </w:rPr>
        <w:t xml:space="preserve"> governance was where previous failures occurred, shaping my final entry-mode recommendation. This highlights how course frameworks should build toward a cohesive argument. Additionally, insights from Bartlett and Ghoshal refined my analysis of McDonald’s “transnational” label, prompting me to assess whether there was genuine reciprocal learning between headquarters and subsidiaries or just a “</w:t>
      </w:r>
      <w:proofErr w:type="spellStart"/>
      <w:r w:rsidR="007B3AED">
        <w:rPr>
          <w:rFonts w:ascii="Arial" w:hAnsi="Arial" w:cs="Arial"/>
          <w:sz w:val="22"/>
          <w:szCs w:val="22"/>
        </w:rPr>
        <w:t>glocal</w:t>
      </w:r>
      <w:proofErr w:type="spellEnd"/>
      <w:r w:rsidR="007B3AED">
        <w:rPr>
          <w:rFonts w:ascii="Arial" w:hAnsi="Arial" w:cs="Arial"/>
          <w:sz w:val="22"/>
          <w:szCs w:val="22"/>
        </w:rPr>
        <w:t>” approach, which was crucial for evaluating the bargaining power of a re-entering Sri Lankan franchisee.</w:t>
      </w:r>
    </w:p>
    <w:p w14:paraId="1505D2C8" w14:textId="17645C5E" w:rsidR="00CB2E36" w:rsidRPr="003E78B1" w:rsidRDefault="006165BC" w:rsidP="003E78B1">
      <w:pPr>
        <w:pStyle w:val="BodyText"/>
        <w:spacing w:line="360" w:lineRule="auto"/>
        <w:rPr>
          <w:rFonts w:ascii="Arial" w:hAnsi="Arial" w:cs="Arial"/>
          <w:sz w:val="22"/>
          <w:szCs w:val="22"/>
        </w:rPr>
      </w:pPr>
      <w:r w:rsidRPr="003E78B1">
        <w:rPr>
          <w:rFonts w:ascii="Arial" w:hAnsi="Arial" w:cs="Arial"/>
          <w:b/>
          <w:sz w:val="22"/>
          <w:szCs w:val="22"/>
        </w:rPr>
        <w:t>Conclusion.</w:t>
      </w:r>
      <w:r w:rsidRPr="003E78B1">
        <w:rPr>
          <w:rFonts w:ascii="Arial" w:hAnsi="Arial" w:cs="Arial"/>
          <w:sz w:val="22"/>
          <w:szCs w:val="22"/>
        </w:rPr>
        <w:t xml:space="preserve"> </w:t>
      </w:r>
      <w:r w:rsidR="00EE793A">
        <w:rPr>
          <w:rFonts w:ascii="Arial" w:hAnsi="Arial" w:cs="Arial"/>
          <w:sz w:val="22"/>
          <w:szCs w:val="22"/>
        </w:rPr>
        <w:t xml:space="preserve">The assignment highlighted that effective international business analysis relies on selecting relevant facts for a theoretical framework rather than just accumulating information. It’s important to acknowledge prior operations, </w:t>
      </w:r>
      <w:r w:rsidR="00286FC2">
        <w:rPr>
          <w:rFonts w:ascii="Arial" w:hAnsi="Arial" w:cs="Arial"/>
          <w:sz w:val="22"/>
          <w:szCs w:val="22"/>
        </w:rPr>
        <w:t>such as</w:t>
      </w:r>
      <w:r w:rsidR="00EE793A">
        <w:rPr>
          <w:rFonts w:ascii="Arial" w:hAnsi="Arial" w:cs="Arial"/>
          <w:sz w:val="22"/>
          <w:szCs w:val="22"/>
        </w:rPr>
        <w:t xml:space="preserve"> the Sri Lankan case, rather than ignor</w:t>
      </w:r>
      <w:r w:rsidR="00286FC2">
        <w:rPr>
          <w:rFonts w:ascii="Arial" w:hAnsi="Arial" w:cs="Arial"/>
          <w:sz w:val="22"/>
          <w:szCs w:val="22"/>
        </w:rPr>
        <w:t>e</w:t>
      </w:r>
      <w:r w:rsidR="00EE793A">
        <w:rPr>
          <w:rFonts w:ascii="Arial" w:hAnsi="Arial" w:cs="Arial"/>
          <w:sz w:val="22"/>
          <w:szCs w:val="22"/>
        </w:rPr>
        <w:t xml:space="preserve"> them to fit a narrative. I </w:t>
      </w:r>
      <w:proofErr w:type="spellStart"/>
      <w:r w:rsidR="00EE793A">
        <w:rPr>
          <w:rFonts w:ascii="Arial" w:hAnsi="Arial" w:cs="Arial"/>
          <w:sz w:val="22"/>
          <w:szCs w:val="22"/>
        </w:rPr>
        <w:t>realised</w:t>
      </w:r>
      <w:proofErr w:type="spellEnd"/>
      <w:r w:rsidR="00EE793A">
        <w:rPr>
          <w:rFonts w:ascii="Arial" w:hAnsi="Arial" w:cs="Arial"/>
          <w:sz w:val="22"/>
          <w:szCs w:val="22"/>
        </w:rPr>
        <w:t xml:space="preserve"> I could have managed my research better by defining my PESTLE priorities upfront, which would have </w:t>
      </w:r>
      <w:proofErr w:type="spellStart"/>
      <w:r w:rsidR="00EE793A">
        <w:rPr>
          <w:rFonts w:ascii="Arial" w:hAnsi="Arial" w:cs="Arial"/>
          <w:sz w:val="22"/>
          <w:szCs w:val="22"/>
        </w:rPr>
        <w:t>minimised</w:t>
      </w:r>
      <w:proofErr w:type="spellEnd"/>
      <w:r w:rsidR="00EE793A">
        <w:rPr>
          <w:rFonts w:ascii="Arial" w:hAnsi="Arial" w:cs="Arial"/>
          <w:sz w:val="22"/>
          <w:szCs w:val="22"/>
        </w:rPr>
        <w:t xml:space="preserve"> redundant reading. Additionally, I noticed a risk of confirmation bias in my application of the OLI and entry-mode frameworks; a more critical approach in seeking contradictory evidence regarding the 2024 exit would have enhanced the robustness of my final recommendation.</w:t>
      </w:r>
    </w:p>
    <w:p w14:paraId="6654F842" w14:textId="53E1BAE5" w:rsidR="003D4D42" w:rsidRPr="00FD0774" w:rsidRDefault="006165BC" w:rsidP="00FD0774">
      <w:pPr>
        <w:pStyle w:val="BodyText"/>
        <w:spacing w:line="360" w:lineRule="auto"/>
        <w:rPr>
          <w:rFonts w:ascii="Arial" w:hAnsi="Arial" w:cs="Arial"/>
          <w:sz w:val="22"/>
          <w:szCs w:val="22"/>
        </w:rPr>
      </w:pPr>
      <w:r w:rsidRPr="003E78B1">
        <w:rPr>
          <w:rFonts w:ascii="Arial" w:hAnsi="Arial" w:cs="Arial"/>
          <w:b/>
          <w:sz w:val="22"/>
          <w:szCs w:val="22"/>
        </w:rPr>
        <w:t>Action Plan.</w:t>
      </w:r>
      <w:r w:rsidRPr="003E78B1">
        <w:rPr>
          <w:rFonts w:ascii="Arial" w:hAnsi="Arial" w:cs="Arial"/>
          <w:sz w:val="22"/>
          <w:szCs w:val="22"/>
        </w:rPr>
        <w:t xml:space="preserve"> In future assignments of this kind, I will (1) draft a short “relevance filter” for each analytical framework before conducting research, so that searching is targeted rather than exploratory from the outset; (2) maintain a running source log with publication dates from the first search, rather than reconstructing currency checks retrospectively; and (3) deliberately draft the critical-synthesis sections (such as the OLI framework here) before </w:t>
      </w:r>
      <w:proofErr w:type="spellStart"/>
      <w:r w:rsidRPr="003E78B1">
        <w:rPr>
          <w:rFonts w:ascii="Arial" w:hAnsi="Arial" w:cs="Arial"/>
          <w:sz w:val="22"/>
          <w:szCs w:val="22"/>
        </w:rPr>
        <w:t>finalising</w:t>
      </w:r>
      <w:proofErr w:type="spellEnd"/>
      <w:r w:rsidRPr="003E78B1">
        <w:rPr>
          <w:rFonts w:ascii="Arial" w:hAnsi="Arial" w:cs="Arial"/>
          <w:sz w:val="22"/>
          <w:szCs w:val="22"/>
        </w:rPr>
        <w:t xml:space="preserve"> the descriptive </w:t>
      </w:r>
      <w:r w:rsidRPr="003E78B1">
        <w:rPr>
          <w:rFonts w:ascii="Arial" w:hAnsi="Arial" w:cs="Arial"/>
          <w:sz w:val="22"/>
          <w:szCs w:val="22"/>
        </w:rPr>
        <w:lastRenderedPageBreak/>
        <w:t>sections that feed them, so that the descriptive material is selected to serve the argument rather than the argument being fitted to whatever descriptive material was gathered first</w:t>
      </w:r>
      <w:bookmarkStart w:id="33" w:name="references"/>
      <w:bookmarkStart w:id="34" w:name="_Toc234787527"/>
      <w:r w:rsidR="00C5695D">
        <w:rPr>
          <w:rFonts w:ascii="Arial" w:hAnsi="Arial" w:cs="Arial"/>
          <w:sz w:val="22"/>
          <w:szCs w:val="22"/>
        </w:rPr>
        <w:t>.</w:t>
      </w:r>
    </w:p>
    <w:p w14:paraId="3668882A" w14:textId="2C0BD756" w:rsidR="00CB2E36" w:rsidRPr="003E78B1" w:rsidRDefault="006165BC" w:rsidP="003E78B1">
      <w:pPr>
        <w:pStyle w:val="Heading1"/>
        <w:spacing w:line="360" w:lineRule="auto"/>
        <w:rPr>
          <w:rFonts w:ascii="Arial" w:hAnsi="Arial" w:cs="Arial"/>
          <w:sz w:val="22"/>
          <w:szCs w:val="22"/>
        </w:rPr>
      </w:pPr>
      <w:bookmarkStart w:id="35" w:name="_Toc236052402"/>
      <w:bookmarkEnd w:id="0"/>
      <w:r w:rsidRPr="003E78B1">
        <w:rPr>
          <w:rFonts w:ascii="Arial" w:hAnsi="Arial" w:cs="Arial"/>
          <w:sz w:val="22"/>
          <w:szCs w:val="22"/>
        </w:rPr>
        <w:t>References</w:t>
      </w:r>
      <w:bookmarkEnd w:id="33"/>
      <w:bookmarkEnd w:id="34"/>
      <w:bookmarkEnd w:id="35"/>
    </w:p>
    <w:bookmarkEnd w:id="3"/>
    <w:p w14:paraId="547FD809" w14:textId="77777777" w:rsidR="003763C7" w:rsidRPr="00A54F11" w:rsidRDefault="003763C7" w:rsidP="003763C7">
      <w:pPr>
        <w:pStyle w:val="pdq2pgselectionanchorcontainer"/>
        <w:rPr>
          <w:rFonts w:ascii="Arial" w:hAnsi="Arial" w:cs="Arial"/>
          <w:sz w:val="22"/>
          <w:szCs w:val="22"/>
        </w:rPr>
      </w:pPr>
      <w:r w:rsidRPr="00A54F11">
        <w:rPr>
          <w:rFonts w:ascii="Arial" w:hAnsi="Arial" w:cs="Arial"/>
          <w:sz w:val="22"/>
          <w:szCs w:val="22"/>
        </w:rPr>
        <w:t xml:space="preserve">Ada Derana (2024) </w:t>
      </w:r>
      <w:r w:rsidRPr="00A54F11">
        <w:rPr>
          <w:rStyle w:val="Emphasis"/>
          <w:rFonts w:ascii="Arial" w:hAnsi="Arial" w:cs="Arial"/>
          <w:sz w:val="22"/>
          <w:szCs w:val="22"/>
        </w:rPr>
        <w:t>McDonald’s formally ends franchise operations in Sri Lanka</w:t>
      </w:r>
      <w:r w:rsidRPr="00A54F11">
        <w:rPr>
          <w:rFonts w:ascii="Arial" w:hAnsi="Arial" w:cs="Arial"/>
          <w:sz w:val="22"/>
          <w:szCs w:val="22"/>
        </w:rPr>
        <w:t xml:space="preserve">. Available at: </w:t>
      </w:r>
      <w:hyperlink r:id="rId35" w:tgtFrame="_new" w:history="1">
        <w:r w:rsidRPr="00A54F11">
          <w:rPr>
            <w:rStyle w:val="Hyperlink"/>
            <w:rFonts w:ascii="Arial" w:hAnsi="Arial" w:cs="Arial"/>
            <w:sz w:val="22"/>
            <w:szCs w:val="22"/>
          </w:rPr>
          <w:t>https://www.adaderana.lk/news/102942/mcdonalds-formally-ends-franchise-operations-in-sri-lanka</w:t>
        </w:r>
      </w:hyperlink>
      <w:r w:rsidRPr="00A54F11">
        <w:rPr>
          <w:rFonts w:ascii="Arial" w:hAnsi="Arial" w:cs="Arial"/>
          <w:sz w:val="22"/>
          <w:szCs w:val="22"/>
        </w:rPr>
        <w:t xml:space="preserve"> (Accessed: 12 July 2026).</w:t>
      </w:r>
    </w:p>
    <w:p w14:paraId="478FA903" w14:textId="77777777" w:rsidR="003763C7" w:rsidRPr="00A54F11" w:rsidRDefault="003763C7" w:rsidP="003763C7">
      <w:pPr>
        <w:spacing w:before="100" w:beforeAutospacing="1" w:after="100" w:afterAutospacing="1"/>
        <w:rPr>
          <w:rFonts w:ascii="Arial" w:hAnsi="Arial" w:cs="Arial"/>
          <w:sz w:val="22"/>
          <w:szCs w:val="22"/>
        </w:rPr>
      </w:pPr>
      <w:r w:rsidRPr="00A54F11">
        <w:rPr>
          <w:rFonts w:ascii="Arial" w:hAnsi="Arial" w:cs="Arial"/>
          <w:sz w:val="22"/>
          <w:szCs w:val="22"/>
        </w:rPr>
        <w:t xml:space="preserve">Al Arabiya English (2024) </w:t>
      </w:r>
      <w:r w:rsidRPr="00A54F11">
        <w:rPr>
          <w:rStyle w:val="Emphasis"/>
          <w:rFonts w:ascii="Arial" w:hAnsi="Arial" w:cs="Arial"/>
          <w:sz w:val="22"/>
          <w:szCs w:val="22"/>
        </w:rPr>
        <w:t>McDonald’s stores close down across Sri Lanka over poor hygiene case</w:t>
      </w:r>
      <w:r w:rsidRPr="00A54F11">
        <w:rPr>
          <w:rFonts w:ascii="Arial" w:hAnsi="Arial" w:cs="Arial"/>
          <w:sz w:val="22"/>
          <w:szCs w:val="22"/>
        </w:rPr>
        <w:t xml:space="preserve">. Available at: </w:t>
      </w:r>
      <w:hyperlink r:id="rId36" w:tgtFrame="_new" w:history="1">
        <w:r w:rsidRPr="00A54F11">
          <w:rPr>
            <w:rStyle w:val="Hyperlink"/>
            <w:rFonts w:ascii="Arial" w:hAnsi="Arial" w:cs="Arial"/>
            <w:sz w:val="22"/>
            <w:szCs w:val="22"/>
          </w:rPr>
          <w:t>https://english.alarabiya.net/News/world/2024/03/24/McDonald-s-stores-close-down-across-Sri-Lanka-over-poor-hygiene-case-</w:t>
        </w:r>
      </w:hyperlink>
      <w:r w:rsidRPr="00A54F11">
        <w:rPr>
          <w:rFonts w:ascii="Arial" w:hAnsi="Arial" w:cs="Arial"/>
          <w:sz w:val="22"/>
          <w:szCs w:val="22"/>
        </w:rPr>
        <w:t xml:space="preserve"> (Accessed: 12 July 2026).</w:t>
      </w:r>
    </w:p>
    <w:p w14:paraId="6D53B1ED"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Asian Development Bank (2026) </w:t>
      </w:r>
      <w:r w:rsidRPr="00A54F11">
        <w:rPr>
          <w:rStyle w:val="Emphasis"/>
          <w:rFonts w:ascii="Arial" w:hAnsi="Arial" w:cs="Arial"/>
          <w:sz w:val="22"/>
          <w:szCs w:val="22"/>
        </w:rPr>
        <w:t>Asian Development Outlook (ADO) April 2026: Sri Lanka</w:t>
      </w:r>
      <w:r w:rsidRPr="00A54F11">
        <w:rPr>
          <w:rFonts w:ascii="Arial" w:hAnsi="Arial" w:cs="Arial"/>
          <w:sz w:val="22"/>
          <w:szCs w:val="22"/>
        </w:rPr>
        <w:t xml:space="preserve">. Manila: Asian Development Bank. Available at: </w:t>
      </w:r>
      <w:hyperlink r:id="rId37" w:tgtFrame="_new" w:history="1">
        <w:r w:rsidRPr="00A54F11">
          <w:rPr>
            <w:rStyle w:val="Hyperlink"/>
            <w:rFonts w:ascii="Arial" w:hAnsi="Arial" w:cs="Arial"/>
            <w:sz w:val="22"/>
            <w:szCs w:val="22"/>
          </w:rPr>
          <w:t>https://www.adb.org/sites/default/files/publication/1135881/sri-ado-april-2026.pdf</w:t>
        </w:r>
      </w:hyperlink>
      <w:r w:rsidRPr="00A54F11">
        <w:rPr>
          <w:rFonts w:ascii="Arial" w:hAnsi="Arial" w:cs="Arial"/>
          <w:sz w:val="22"/>
          <w:szCs w:val="22"/>
        </w:rPr>
        <w:t xml:space="preserve"> (Accessed: 12 July 2026).</w:t>
      </w:r>
    </w:p>
    <w:p w14:paraId="3EDDC922"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di Norcia, V. (1991) 'Managing Across Borders: The Transnational Solution, by Bartlett Christopher A. and Ghoshal Sumantra. Cambridge, MA: Harvard Business School Press, 1989, 288 pp., $24.95', </w:t>
      </w:r>
      <w:r w:rsidRPr="00A54F11">
        <w:rPr>
          <w:rStyle w:val="Emphasis"/>
          <w:rFonts w:ascii="Arial" w:hAnsi="Arial" w:cs="Arial"/>
          <w:sz w:val="22"/>
          <w:szCs w:val="22"/>
        </w:rPr>
        <w:t>Academy of Management Review</w:t>
      </w:r>
      <w:r w:rsidRPr="00A54F11">
        <w:rPr>
          <w:rFonts w:ascii="Arial" w:hAnsi="Arial" w:cs="Arial"/>
          <w:sz w:val="22"/>
          <w:szCs w:val="22"/>
        </w:rPr>
        <w:t xml:space="preserve">, 16(1), pp. 225–228. Available at: </w:t>
      </w:r>
      <w:hyperlink r:id="rId38" w:tgtFrame="_new" w:history="1">
        <w:r w:rsidRPr="00A54F11">
          <w:rPr>
            <w:rStyle w:val="Hyperlink"/>
            <w:rFonts w:ascii="Arial" w:hAnsi="Arial" w:cs="Arial"/>
            <w:sz w:val="22"/>
            <w:szCs w:val="22"/>
          </w:rPr>
          <w:t>https://doi.org/10.5465/amr.1991.4279037</w:t>
        </w:r>
      </w:hyperlink>
      <w:r w:rsidRPr="00A54F11">
        <w:rPr>
          <w:rFonts w:ascii="Arial" w:hAnsi="Arial" w:cs="Arial"/>
          <w:sz w:val="22"/>
          <w:szCs w:val="22"/>
        </w:rPr>
        <w:t xml:space="preserve"> (Accessed: 12 July 2026).</w:t>
      </w:r>
    </w:p>
    <w:p w14:paraId="7CDCFF1A" w14:textId="168D8183" w:rsidR="009952E5" w:rsidRPr="003D4D42" w:rsidRDefault="009952E5" w:rsidP="003763C7">
      <w:pPr>
        <w:pStyle w:val="NormalWeb"/>
        <w:rPr>
          <w:rFonts w:ascii="Arial" w:hAnsi="Arial" w:cs="Arial"/>
          <w:color w:val="000000" w:themeColor="text1"/>
          <w:sz w:val="22"/>
          <w:szCs w:val="22"/>
        </w:rPr>
      </w:pPr>
      <w:r w:rsidRPr="003D4D42">
        <w:rPr>
          <w:rFonts w:ascii="Arial" w:hAnsi="Arial" w:cs="Arial"/>
          <w:color w:val="000000" w:themeColor="text1"/>
          <w:sz w:val="22"/>
          <w:szCs w:val="22"/>
          <w:shd w:val="clear" w:color="auto" w:fill="FFFFFF"/>
        </w:rPr>
        <w:t xml:space="preserve">Daniels, J, Radebaugh, L, Sullivan, D, Daniels, J, Radebaugh, L, Sullivan, D, Radebaugh, L, Daniels, J, Sullivan, D, &amp; Daniels, J 2018, International Business: Environments and Operations, Global Edition, Pearson Education, Limited, Harlow. Available from: ProQuest </w:t>
      </w:r>
      <w:proofErr w:type="spellStart"/>
      <w:r w:rsidRPr="003D4D42">
        <w:rPr>
          <w:rFonts w:ascii="Arial" w:hAnsi="Arial" w:cs="Arial"/>
          <w:color w:val="000000" w:themeColor="text1"/>
          <w:sz w:val="22"/>
          <w:szCs w:val="22"/>
          <w:shd w:val="clear" w:color="auto" w:fill="FFFFFF"/>
        </w:rPr>
        <w:t>Ebook</w:t>
      </w:r>
      <w:proofErr w:type="spellEnd"/>
      <w:r w:rsidRPr="003D4D42">
        <w:rPr>
          <w:rFonts w:ascii="Arial" w:hAnsi="Arial" w:cs="Arial"/>
          <w:color w:val="000000" w:themeColor="text1"/>
          <w:sz w:val="22"/>
          <w:szCs w:val="22"/>
          <w:shd w:val="clear" w:color="auto" w:fill="FFFFFF"/>
        </w:rPr>
        <w:t xml:space="preserve"> Central. [27 July 2026].</w:t>
      </w:r>
    </w:p>
    <w:p w14:paraId="5D79F6BD"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DNA India (2026) </w:t>
      </w:r>
      <w:r w:rsidRPr="00A54F11">
        <w:rPr>
          <w:rStyle w:val="Emphasis"/>
          <w:rFonts w:ascii="Arial" w:hAnsi="Arial" w:cs="Arial"/>
          <w:sz w:val="22"/>
          <w:szCs w:val="22"/>
        </w:rPr>
        <w:t>KFC, Pizza Hut operators join hands to compete with McDonald’s, Domino’s in ₹8,482 crore deal</w:t>
      </w:r>
      <w:r w:rsidRPr="00A54F11">
        <w:rPr>
          <w:rFonts w:ascii="Arial" w:hAnsi="Arial" w:cs="Arial"/>
          <w:sz w:val="22"/>
          <w:szCs w:val="22"/>
        </w:rPr>
        <w:t xml:space="preserve">. Available at: </w:t>
      </w:r>
      <w:hyperlink r:id="rId39" w:tgtFrame="_new" w:history="1">
        <w:r w:rsidRPr="00A54F11">
          <w:rPr>
            <w:rStyle w:val="Hyperlink"/>
            <w:rFonts w:ascii="Arial" w:hAnsi="Arial" w:cs="Arial"/>
            <w:sz w:val="22"/>
            <w:szCs w:val="22"/>
          </w:rPr>
          <w:t>https://www.dnaindia.com/business</w:t>
        </w:r>
      </w:hyperlink>
      <w:r w:rsidRPr="00A54F11">
        <w:rPr>
          <w:rFonts w:ascii="Arial" w:hAnsi="Arial" w:cs="Arial"/>
          <w:sz w:val="22"/>
          <w:szCs w:val="22"/>
        </w:rPr>
        <w:t xml:space="preserve"> (Accessed: 12 July 2026).</w:t>
      </w:r>
    </w:p>
    <w:p w14:paraId="2AFBA540"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Dunning, J.H. (1988) 'The eclectic paradigm of international production: A restatement and some possible extensions', </w:t>
      </w:r>
      <w:r w:rsidRPr="00A54F11">
        <w:rPr>
          <w:rStyle w:val="Emphasis"/>
          <w:rFonts w:ascii="Arial" w:hAnsi="Arial" w:cs="Arial"/>
          <w:sz w:val="22"/>
          <w:szCs w:val="22"/>
        </w:rPr>
        <w:t>Journal of International Business Studies</w:t>
      </w:r>
      <w:r w:rsidRPr="00A54F11">
        <w:rPr>
          <w:rFonts w:ascii="Arial" w:hAnsi="Arial" w:cs="Arial"/>
          <w:sz w:val="22"/>
          <w:szCs w:val="22"/>
        </w:rPr>
        <w:t xml:space="preserve">, 19(1), pp. 1–31. Available at: </w:t>
      </w:r>
      <w:hyperlink r:id="rId40" w:tgtFrame="_new" w:history="1">
        <w:r w:rsidRPr="00A54F11">
          <w:rPr>
            <w:rStyle w:val="Hyperlink"/>
            <w:rFonts w:ascii="Arial" w:hAnsi="Arial" w:cs="Arial"/>
            <w:sz w:val="22"/>
            <w:szCs w:val="22"/>
          </w:rPr>
          <w:t>https://www.jstor.org/stable/154984</w:t>
        </w:r>
      </w:hyperlink>
      <w:r w:rsidRPr="00A54F11">
        <w:rPr>
          <w:rFonts w:ascii="Arial" w:hAnsi="Arial" w:cs="Arial"/>
          <w:sz w:val="22"/>
          <w:szCs w:val="22"/>
        </w:rPr>
        <w:t xml:space="preserve"> (Accessed: 10 July 2026).</w:t>
      </w:r>
    </w:p>
    <w:p w14:paraId="12FF5401" w14:textId="77777777" w:rsidR="003763C7" w:rsidRPr="00A54F11" w:rsidRDefault="003763C7" w:rsidP="003763C7">
      <w:pPr>
        <w:pStyle w:val="NormalWeb"/>
        <w:rPr>
          <w:rFonts w:ascii="Arial" w:hAnsi="Arial" w:cs="Arial"/>
          <w:sz w:val="22"/>
          <w:szCs w:val="22"/>
        </w:rPr>
      </w:pPr>
      <w:proofErr w:type="spellStart"/>
      <w:r w:rsidRPr="00A54F11">
        <w:rPr>
          <w:rFonts w:ascii="Arial" w:hAnsi="Arial" w:cs="Arial"/>
          <w:sz w:val="22"/>
          <w:szCs w:val="22"/>
        </w:rPr>
        <w:t>EconomyNext</w:t>
      </w:r>
      <w:proofErr w:type="spellEnd"/>
      <w:r w:rsidRPr="00A54F11">
        <w:rPr>
          <w:rFonts w:ascii="Arial" w:hAnsi="Arial" w:cs="Arial"/>
          <w:sz w:val="22"/>
          <w:szCs w:val="22"/>
        </w:rPr>
        <w:t xml:space="preserve"> (2024) </w:t>
      </w:r>
      <w:r w:rsidRPr="00A54F11">
        <w:rPr>
          <w:rStyle w:val="Emphasis"/>
          <w:rFonts w:ascii="Arial" w:hAnsi="Arial" w:cs="Arial"/>
          <w:sz w:val="22"/>
          <w:szCs w:val="22"/>
        </w:rPr>
        <w:t>Sri Lanka Abans says McDonald’s local franchisee is mainly owned by its MD, not a subsidiary</w:t>
      </w:r>
      <w:r w:rsidRPr="00A54F11">
        <w:rPr>
          <w:rFonts w:ascii="Arial" w:hAnsi="Arial" w:cs="Arial"/>
          <w:sz w:val="22"/>
          <w:szCs w:val="22"/>
        </w:rPr>
        <w:t xml:space="preserve">. Available at: </w:t>
      </w:r>
      <w:hyperlink r:id="rId41" w:tgtFrame="_new" w:history="1">
        <w:r w:rsidRPr="00A54F11">
          <w:rPr>
            <w:rStyle w:val="Hyperlink"/>
            <w:rFonts w:ascii="Arial" w:hAnsi="Arial" w:cs="Arial"/>
            <w:sz w:val="22"/>
            <w:szCs w:val="22"/>
          </w:rPr>
          <w:t>https://economynext.com/sri-lanka-abans-says-mcdonalds-local-franchisee-mainly-owned-by-its-md-not-subsidiary-156486/</w:t>
        </w:r>
      </w:hyperlink>
      <w:r w:rsidRPr="00A54F11">
        <w:rPr>
          <w:rFonts w:ascii="Arial" w:hAnsi="Arial" w:cs="Arial"/>
          <w:sz w:val="22"/>
          <w:szCs w:val="22"/>
        </w:rPr>
        <w:t xml:space="preserve"> (Accessed: 12 July 2026).</w:t>
      </w:r>
    </w:p>
    <w:p w14:paraId="68467657"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East Asia Forum (2026) 'Reforms stall in AKD’s Sri Lanka'. Available at: </w:t>
      </w:r>
      <w:hyperlink r:id="rId42" w:tgtFrame="_new" w:history="1">
        <w:r w:rsidRPr="00A54F11">
          <w:rPr>
            <w:rStyle w:val="Hyperlink"/>
            <w:rFonts w:ascii="Arial" w:hAnsi="Arial" w:cs="Arial"/>
            <w:sz w:val="22"/>
            <w:szCs w:val="22"/>
          </w:rPr>
          <w:t>https://eastasiaforum.org/2026/02/23/reforms-stall-in-akds-sri-lanka/</w:t>
        </w:r>
      </w:hyperlink>
      <w:r w:rsidRPr="00A54F11">
        <w:rPr>
          <w:rFonts w:ascii="Arial" w:hAnsi="Arial" w:cs="Arial"/>
          <w:sz w:val="22"/>
          <w:szCs w:val="22"/>
        </w:rPr>
        <w:t xml:space="preserve"> (Accessed: 12 July 2026).</w:t>
      </w:r>
    </w:p>
    <w:p w14:paraId="7236C87C" w14:textId="77777777" w:rsidR="003763C7" w:rsidRPr="00A54F11" w:rsidRDefault="003763C7" w:rsidP="003763C7">
      <w:pPr>
        <w:pStyle w:val="NormalWeb"/>
        <w:rPr>
          <w:rFonts w:ascii="Arial" w:hAnsi="Arial" w:cs="Arial"/>
          <w:sz w:val="22"/>
          <w:szCs w:val="22"/>
        </w:rPr>
      </w:pPr>
      <w:proofErr w:type="spellStart"/>
      <w:r w:rsidRPr="00A54F11">
        <w:rPr>
          <w:rFonts w:ascii="Arial" w:hAnsi="Arial" w:cs="Arial"/>
          <w:sz w:val="22"/>
          <w:szCs w:val="22"/>
        </w:rPr>
        <w:t>Enterslice</w:t>
      </w:r>
      <w:proofErr w:type="spellEnd"/>
      <w:r w:rsidRPr="00A54F11">
        <w:rPr>
          <w:rFonts w:ascii="Arial" w:hAnsi="Arial" w:cs="Arial"/>
          <w:sz w:val="22"/>
          <w:szCs w:val="22"/>
        </w:rPr>
        <w:t xml:space="preserve"> (n.d.) </w:t>
      </w:r>
      <w:r w:rsidRPr="00A54F11">
        <w:rPr>
          <w:rStyle w:val="Emphasis"/>
          <w:rFonts w:ascii="Arial" w:hAnsi="Arial" w:cs="Arial"/>
          <w:sz w:val="22"/>
          <w:szCs w:val="22"/>
        </w:rPr>
        <w:t>Foreign Ownership Rules and Regulations in Sri Lanka</w:t>
      </w:r>
      <w:r w:rsidRPr="00A54F11">
        <w:rPr>
          <w:rFonts w:ascii="Arial" w:hAnsi="Arial" w:cs="Arial"/>
          <w:sz w:val="22"/>
          <w:szCs w:val="22"/>
        </w:rPr>
        <w:t xml:space="preserve">. Available at: </w:t>
      </w:r>
      <w:hyperlink r:id="rId43" w:tgtFrame="_new" w:history="1">
        <w:r w:rsidRPr="00A54F11">
          <w:rPr>
            <w:rStyle w:val="Hyperlink"/>
            <w:rFonts w:ascii="Arial" w:hAnsi="Arial" w:cs="Arial"/>
            <w:sz w:val="22"/>
            <w:szCs w:val="22"/>
          </w:rPr>
          <w:t>https://enterslice.com/learning/lk/foreign-ownership-rules-in-sri-lanka/</w:t>
        </w:r>
      </w:hyperlink>
      <w:r w:rsidRPr="00A54F11">
        <w:rPr>
          <w:rFonts w:ascii="Arial" w:hAnsi="Arial" w:cs="Arial"/>
          <w:sz w:val="22"/>
          <w:szCs w:val="22"/>
        </w:rPr>
        <w:t xml:space="preserve"> (Accessed: 12 July 2026).</w:t>
      </w:r>
    </w:p>
    <w:p w14:paraId="0B5887CF" w14:textId="3420ED43" w:rsidR="00920B01" w:rsidRPr="00A54F11" w:rsidRDefault="00920B01" w:rsidP="00920B01">
      <w:pPr>
        <w:pStyle w:val="pdq2pgselectionanchorcontainer"/>
        <w:rPr>
          <w:rFonts w:ascii="Arial" w:hAnsi="Arial" w:cs="Arial"/>
          <w:sz w:val="22"/>
          <w:szCs w:val="22"/>
        </w:rPr>
      </w:pPr>
      <w:r w:rsidRPr="00A54F11">
        <w:rPr>
          <w:rStyle w:val="Strong"/>
          <w:rFonts w:ascii="Arial" w:hAnsi="Arial" w:cs="Arial"/>
          <w:b w:val="0"/>
          <w:bCs w:val="0"/>
          <w:sz w:val="22"/>
          <w:szCs w:val="22"/>
        </w:rPr>
        <w:lastRenderedPageBreak/>
        <w:t xml:space="preserve">Fuchs, C. and Diamantopoulos, A. (2010) 'Evaluating the effectiveness of brand-positioning strategies from a consumer perspective', </w:t>
      </w:r>
      <w:r w:rsidRPr="00A54F11">
        <w:rPr>
          <w:rStyle w:val="Emphasis"/>
          <w:rFonts w:ascii="Arial" w:hAnsi="Arial" w:cs="Arial"/>
          <w:sz w:val="22"/>
          <w:szCs w:val="22"/>
        </w:rPr>
        <w:t>European Journal of Marketing</w:t>
      </w:r>
      <w:r w:rsidRPr="00A54F11">
        <w:rPr>
          <w:rStyle w:val="Strong"/>
          <w:rFonts w:ascii="Arial" w:hAnsi="Arial" w:cs="Arial"/>
          <w:b w:val="0"/>
          <w:bCs w:val="0"/>
          <w:sz w:val="22"/>
          <w:szCs w:val="22"/>
        </w:rPr>
        <w:t>, 44(11–12), pp. 1763–1786.</w:t>
      </w:r>
      <w:r w:rsidRPr="00A54F11">
        <w:rPr>
          <w:rFonts w:ascii="Arial" w:hAnsi="Arial" w:cs="Arial"/>
          <w:sz w:val="22"/>
          <w:szCs w:val="22"/>
        </w:rPr>
        <w:t xml:space="preserve"> </w:t>
      </w:r>
      <w:r w:rsidRPr="00A54F11">
        <w:rPr>
          <w:rFonts w:ascii="Arial" w:hAnsi="Arial" w:cs="Arial"/>
          <w:sz w:val="22"/>
          <w:szCs w:val="22"/>
        </w:rPr>
        <w:t xml:space="preserve">Available at: </w:t>
      </w:r>
      <w:r w:rsidRPr="00A54F11">
        <w:rPr>
          <w:rStyle w:val="Strong"/>
          <w:rFonts w:ascii="Arial" w:hAnsi="Arial" w:cs="Arial"/>
          <w:sz w:val="22"/>
          <w:szCs w:val="22"/>
        </w:rPr>
        <w:t xml:space="preserve"> </w:t>
      </w:r>
      <w:hyperlink r:id="rId44" w:tgtFrame="_new" w:history="1">
        <w:r w:rsidRPr="00A54F11">
          <w:rPr>
            <w:rStyle w:val="Hyperlink"/>
            <w:rFonts w:ascii="Arial" w:hAnsi="Arial" w:cs="Arial"/>
            <w:sz w:val="22"/>
            <w:szCs w:val="22"/>
          </w:rPr>
          <w:t>https://doi.o</w:t>
        </w:r>
        <w:r w:rsidRPr="00A54F11">
          <w:rPr>
            <w:rStyle w:val="Hyperlink"/>
            <w:rFonts w:ascii="Arial" w:hAnsi="Arial" w:cs="Arial"/>
            <w:sz w:val="22"/>
            <w:szCs w:val="22"/>
          </w:rPr>
          <w:t>r</w:t>
        </w:r>
        <w:r w:rsidRPr="00A54F11">
          <w:rPr>
            <w:rStyle w:val="Hyperlink"/>
            <w:rFonts w:ascii="Arial" w:hAnsi="Arial" w:cs="Arial"/>
            <w:sz w:val="22"/>
            <w:szCs w:val="22"/>
          </w:rPr>
          <w:t>g/10.1108/03090561011079873</w:t>
        </w:r>
      </w:hyperlink>
      <w:r w:rsidRPr="00A54F11">
        <w:rPr>
          <w:rStyle w:val="Strong"/>
          <w:rFonts w:ascii="Arial" w:hAnsi="Arial" w:cs="Arial"/>
          <w:sz w:val="22"/>
          <w:szCs w:val="22"/>
        </w:rPr>
        <w:t xml:space="preserve"> </w:t>
      </w:r>
      <w:r w:rsidRPr="00A54F11">
        <w:rPr>
          <w:rFonts w:ascii="Arial" w:hAnsi="Arial" w:cs="Arial"/>
          <w:sz w:val="22"/>
          <w:szCs w:val="22"/>
        </w:rPr>
        <w:t>(Accessed: 12 July 2026).</w:t>
      </w:r>
    </w:p>
    <w:p w14:paraId="6E68C17B" w14:textId="77777777" w:rsidR="00920B01" w:rsidRPr="00A54F11" w:rsidRDefault="00920B01" w:rsidP="003763C7">
      <w:pPr>
        <w:pStyle w:val="NormalWeb"/>
        <w:rPr>
          <w:rFonts w:ascii="Arial" w:hAnsi="Arial" w:cs="Arial"/>
          <w:sz w:val="22"/>
          <w:szCs w:val="22"/>
        </w:rPr>
      </w:pPr>
    </w:p>
    <w:p w14:paraId="3AB637EE" w14:textId="77777777" w:rsidR="003763C7" w:rsidRPr="00A54F11" w:rsidRDefault="003763C7" w:rsidP="003763C7">
      <w:pPr>
        <w:pStyle w:val="NormalWeb"/>
        <w:rPr>
          <w:rFonts w:ascii="Arial" w:hAnsi="Arial" w:cs="Arial"/>
          <w:sz w:val="22"/>
          <w:szCs w:val="22"/>
        </w:rPr>
      </w:pPr>
      <w:proofErr w:type="spellStart"/>
      <w:r w:rsidRPr="00A54F11">
        <w:rPr>
          <w:rFonts w:ascii="Arial" w:hAnsi="Arial" w:cs="Arial"/>
          <w:sz w:val="22"/>
          <w:szCs w:val="22"/>
        </w:rPr>
        <w:t>FourWeekMBA</w:t>
      </w:r>
      <w:proofErr w:type="spellEnd"/>
      <w:r w:rsidRPr="00A54F11">
        <w:rPr>
          <w:rFonts w:ascii="Arial" w:hAnsi="Arial" w:cs="Arial"/>
          <w:sz w:val="22"/>
          <w:szCs w:val="22"/>
        </w:rPr>
        <w:t xml:space="preserve"> (2026) </w:t>
      </w:r>
      <w:r w:rsidRPr="00A54F11">
        <w:rPr>
          <w:rStyle w:val="Emphasis"/>
          <w:rFonts w:ascii="Arial" w:hAnsi="Arial" w:cs="Arial"/>
          <w:sz w:val="22"/>
          <w:szCs w:val="22"/>
        </w:rPr>
        <w:t>McDonald’s Business Model 2026: How 95% Franchising Works</w:t>
      </w:r>
      <w:r w:rsidRPr="00A54F11">
        <w:rPr>
          <w:rFonts w:ascii="Arial" w:hAnsi="Arial" w:cs="Arial"/>
          <w:sz w:val="22"/>
          <w:szCs w:val="22"/>
        </w:rPr>
        <w:t xml:space="preserve">. Available at: </w:t>
      </w:r>
      <w:hyperlink r:id="rId45" w:tgtFrame="_new" w:history="1">
        <w:r w:rsidRPr="00A54F11">
          <w:rPr>
            <w:rStyle w:val="Hyperlink"/>
            <w:rFonts w:ascii="Arial" w:hAnsi="Arial" w:cs="Arial"/>
            <w:sz w:val="22"/>
            <w:szCs w:val="22"/>
          </w:rPr>
          <w:t>https://fourweekmba.com/mcdonalds-business-model/</w:t>
        </w:r>
      </w:hyperlink>
      <w:r w:rsidRPr="00A54F11">
        <w:rPr>
          <w:rFonts w:ascii="Arial" w:hAnsi="Arial" w:cs="Arial"/>
          <w:sz w:val="22"/>
          <w:szCs w:val="22"/>
        </w:rPr>
        <w:t xml:space="preserve"> (Accessed: 12 July 2026).</w:t>
      </w:r>
    </w:p>
    <w:p w14:paraId="7B8C7B1A"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Gibbs, G. (1988) </w:t>
      </w:r>
      <w:r w:rsidRPr="00A54F11">
        <w:rPr>
          <w:rStyle w:val="Emphasis"/>
          <w:rFonts w:ascii="Arial" w:hAnsi="Arial" w:cs="Arial"/>
          <w:sz w:val="22"/>
          <w:szCs w:val="22"/>
        </w:rPr>
        <w:t>Learning by Doing: A Guide to Teaching and Learning Methods</w:t>
      </w:r>
      <w:r w:rsidRPr="00A54F11">
        <w:rPr>
          <w:rFonts w:ascii="Arial" w:hAnsi="Arial" w:cs="Arial"/>
          <w:sz w:val="22"/>
          <w:szCs w:val="22"/>
        </w:rPr>
        <w:t xml:space="preserve">. Oxford: Further Education Unit, Oxford Polytechnic. Available at: </w:t>
      </w:r>
      <w:hyperlink r:id="rId46" w:tgtFrame="_new" w:history="1">
        <w:r w:rsidRPr="00A54F11">
          <w:rPr>
            <w:rStyle w:val="Hyperlink"/>
            <w:rFonts w:ascii="Arial" w:hAnsi="Arial" w:cs="Arial"/>
            <w:sz w:val="22"/>
            <w:szCs w:val="22"/>
          </w:rPr>
          <w:t>https://www.scribd.com/document/396189261/Learning-by-Doing-Graham-Gibbs</w:t>
        </w:r>
      </w:hyperlink>
      <w:r w:rsidRPr="00A54F11">
        <w:rPr>
          <w:rFonts w:ascii="Arial" w:hAnsi="Arial" w:cs="Arial"/>
          <w:sz w:val="22"/>
          <w:szCs w:val="22"/>
        </w:rPr>
        <w:t xml:space="preserve"> (Accessed: 10 July 2026).</w:t>
      </w:r>
    </w:p>
    <w:p w14:paraId="575B85E3" w14:textId="77777777" w:rsidR="003763C7" w:rsidRPr="00A54F11" w:rsidRDefault="003763C7" w:rsidP="003763C7">
      <w:pPr>
        <w:pStyle w:val="NormalWeb"/>
        <w:rPr>
          <w:rFonts w:ascii="Arial" w:hAnsi="Arial" w:cs="Arial"/>
          <w:sz w:val="22"/>
          <w:szCs w:val="22"/>
        </w:rPr>
      </w:pPr>
      <w:proofErr w:type="spellStart"/>
      <w:r w:rsidRPr="00A54F11">
        <w:rPr>
          <w:rFonts w:ascii="Arial" w:hAnsi="Arial" w:cs="Arial"/>
          <w:sz w:val="22"/>
          <w:szCs w:val="22"/>
        </w:rPr>
        <w:t>Groundviews</w:t>
      </w:r>
      <w:proofErr w:type="spellEnd"/>
      <w:r w:rsidRPr="00A54F11">
        <w:rPr>
          <w:rFonts w:ascii="Arial" w:hAnsi="Arial" w:cs="Arial"/>
          <w:sz w:val="22"/>
          <w:szCs w:val="22"/>
        </w:rPr>
        <w:t xml:space="preserve"> (2026) </w:t>
      </w:r>
      <w:r w:rsidRPr="00A54F11">
        <w:rPr>
          <w:rStyle w:val="Emphasis"/>
          <w:rFonts w:ascii="Arial" w:hAnsi="Arial" w:cs="Arial"/>
          <w:sz w:val="22"/>
          <w:szCs w:val="22"/>
        </w:rPr>
        <w:t>Sri Lanka’s Comeback Story</w:t>
      </w:r>
      <w:r w:rsidRPr="00A54F11">
        <w:rPr>
          <w:rFonts w:ascii="Arial" w:hAnsi="Arial" w:cs="Arial"/>
          <w:sz w:val="22"/>
          <w:szCs w:val="22"/>
        </w:rPr>
        <w:t xml:space="preserve">. Available at: </w:t>
      </w:r>
      <w:hyperlink r:id="rId47" w:tgtFrame="_new" w:history="1">
        <w:r w:rsidRPr="00A54F11">
          <w:rPr>
            <w:rStyle w:val="Hyperlink"/>
            <w:rFonts w:ascii="Arial" w:hAnsi="Arial" w:cs="Arial"/>
            <w:sz w:val="22"/>
            <w:szCs w:val="22"/>
          </w:rPr>
          <w:t>https://groundviews.org/2026/02/19/sri-lankas-comeback-story/</w:t>
        </w:r>
      </w:hyperlink>
      <w:r w:rsidRPr="00A54F11">
        <w:rPr>
          <w:rFonts w:ascii="Arial" w:hAnsi="Arial" w:cs="Arial"/>
          <w:sz w:val="22"/>
          <w:szCs w:val="22"/>
        </w:rPr>
        <w:t xml:space="preserve"> (Accessed: 12 July 2026).</w:t>
      </w:r>
    </w:p>
    <w:p w14:paraId="6D2C2F74"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Hofstede, G. (2001) </w:t>
      </w:r>
      <w:r w:rsidRPr="00A54F11">
        <w:rPr>
          <w:rStyle w:val="Emphasis"/>
          <w:rFonts w:ascii="Arial" w:hAnsi="Arial" w:cs="Arial"/>
          <w:sz w:val="22"/>
          <w:szCs w:val="22"/>
        </w:rPr>
        <w:t xml:space="preserve">Culture's Consequences: Comparing Values, </w:t>
      </w:r>
      <w:proofErr w:type="spellStart"/>
      <w:r w:rsidRPr="00A54F11">
        <w:rPr>
          <w:rStyle w:val="Emphasis"/>
          <w:rFonts w:ascii="Arial" w:hAnsi="Arial" w:cs="Arial"/>
          <w:sz w:val="22"/>
          <w:szCs w:val="22"/>
        </w:rPr>
        <w:t>Behaviors</w:t>
      </w:r>
      <w:proofErr w:type="spellEnd"/>
      <w:r w:rsidRPr="00A54F11">
        <w:rPr>
          <w:rStyle w:val="Emphasis"/>
          <w:rFonts w:ascii="Arial" w:hAnsi="Arial" w:cs="Arial"/>
          <w:sz w:val="22"/>
          <w:szCs w:val="22"/>
        </w:rPr>
        <w:t>, Institutions and Organizations Across Nations</w:t>
      </w:r>
      <w:r w:rsidRPr="00A54F11">
        <w:rPr>
          <w:rFonts w:ascii="Arial" w:hAnsi="Arial" w:cs="Arial"/>
          <w:sz w:val="22"/>
          <w:szCs w:val="22"/>
        </w:rPr>
        <w:t xml:space="preserve">. 2nd </w:t>
      </w:r>
      <w:proofErr w:type="spellStart"/>
      <w:r w:rsidRPr="00A54F11">
        <w:rPr>
          <w:rFonts w:ascii="Arial" w:hAnsi="Arial" w:cs="Arial"/>
          <w:sz w:val="22"/>
          <w:szCs w:val="22"/>
        </w:rPr>
        <w:t>edn</w:t>
      </w:r>
      <w:proofErr w:type="spellEnd"/>
      <w:r w:rsidRPr="00A54F11">
        <w:rPr>
          <w:rFonts w:ascii="Arial" w:hAnsi="Arial" w:cs="Arial"/>
          <w:sz w:val="22"/>
          <w:szCs w:val="22"/>
        </w:rPr>
        <w:t>. Thousand Oaks, CA: Sage Publications.</w:t>
      </w:r>
    </w:p>
    <w:p w14:paraId="532554C0"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Hofstede Insights (2026) </w:t>
      </w:r>
      <w:r w:rsidRPr="00A54F11">
        <w:rPr>
          <w:rStyle w:val="Emphasis"/>
          <w:rFonts w:ascii="Arial" w:hAnsi="Arial" w:cs="Arial"/>
          <w:sz w:val="22"/>
          <w:szCs w:val="22"/>
        </w:rPr>
        <w:t>Country Comparison Tool: The United States</w:t>
      </w:r>
      <w:r w:rsidRPr="00A54F11">
        <w:rPr>
          <w:rFonts w:ascii="Arial" w:hAnsi="Arial" w:cs="Arial"/>
          <w:sz w:val="22"/>
          <w:szCs w:val="22"/>
        </w:rPr>
        <w:t xml:space="preserve">. Available at: </w:t>
      </w:r>
      <w:hyperlink r:id="rId48" w:tgtFrame="_new" w:history="1">
        <w:r w:rsidRPr="00A54F11">
          <w:rPr>
            <w:rStyle w:val="Hyperlink"/>
            <w:rFonts w:ascii="Arial" w:hAnsi="Arial" w:cs="Arial"/>
            <w:sz w:val="22"/>
            <w:szCs w:val="22"/>
          </w:rPr>
          <w:t>https://www.hofstede-insights.com/country-comparison-tool?countries=the-usa</w:t>
        </w:r>
      </w:hyperlink>
      <w:r w:rsidRPr="00A54F11">
        <w:rPr>
          <w:rFonts w:ascii="Arial" w:hAnsi="Arial" w:cs="Arial"/>
          <w:sz w:val="22"/>
          <w:szCs w:val="22"/>
        </w:rPr>
        <w:t xml:space="preserve"> (Accessed: 12 July 2026).</w:t>
      </w:r>
    </w:p>
    <w:p w14:paraId="5A311AE5"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International Crisis Group (2026) </w:t>
      </w:r>
      <w:r w:rsidRPr="00A54F11">
        <w:rPr>
          <w:rStyle w:val="Emphasis"/>
          <w:rFonts w:ascii="Arial" w:hAnsi="Arial" w:cs="Arial"/>
          <w:sz w:val="22"/>
          <w:szCs w:val="22"/>
        </w:rPr>
        <w:t>Sri Lanka’s Bumpy Road to a Political Reset</w:t>
      </w:r>
      <w:r w:rsidRPr="00A54F11">
        <w:rPr>
          <w:rFonts w:ascii="Arial" w:hAnsi="Arial" w:cs="Arial"/>
          <w:sz w:val="22"/>
          <w:szCs w:val="22"/>
        </w:rPr>
        <w:t xml:space="preserve">. Available at: </w:t>
      </w:r>
      <w:hyperlink r:id="rId49" w:tgtFrame="_new" w:history="1">
        <w:r w:rsidRPr="00A54F11">
          <w:rPr>
            <w:rStyle w:val="Hyperlink"/>
            <w:rFonts w:ascii="Arial" w:hAnsi="Arial" w:cs="Arial"/>
            <w:sz w:val="22"/>
            <w:szCs w:val="22"/>
          </w:rPr>
          <w:t>https://www.crisisgroup.org/rpt/asia-pacific/sri-lanka/356-sri-lankas-bumpy-road-political-reset</w:t>
        </w:r>
      </w:hyperlink>
      <w:r w:rsidRPr="00A54F11">
        <w:rPr>
          <w:rFonts w:ascii="Arial" w:hAnsi="Arial" w:cs="Arial"/>
          <w:sz w:val="22"/>
          <w:szCs w:val="22"/>
        </w:rPr>
        <w:t xml:space="preserve"> (Accessed: 12 July 2026).</w:t>
      </w:r>
    </w:p>
    <w:p w14:paraId="28E1B888"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International Monetary Fund (2026) </w:t>
      </w:r>
      <w:r w:rsidRPr="00A54F11">
        <w:rPr>
          <w:rStyle w:val="Emphasis"/>
          <w:rFonts w:ascii="Arial" w:hAnsi="Arial" w:cs="Arial"/>
          <w:sz w:val="22"/>
          <w:szCs w:val="22"/>
        </w:rPr>
        <w:t>IMF Executive Board Completes the Combined Fifth and Sixth Reviews Under the Extended Fund Facility for Sri Lanka</w:t>
      </w:r>
      <w:r w:rsidRPr="00A54F11">
        <w:rPr>
          <w:rFonts w:ascii="Arial" w:hAnsi="Arial" w:cs="Arial"/>
          <w:sz w:val="22"/>
          <w:szCs w:val="22"/>
        </w:rPr>
        <w:t xml:space="preserve">. Press Release No. 26/172. Available at: </w:t>
      </w:r>
      <w:hyperlink r:id="rId50" w:tgtFrame="_new" w:history="1">
        <w:r w:rsidRPr="00A54F11">
          <w:rPr>
            <w:rStyle w:val="Hyperlink"/>
            <w:rFonts w:ascii="Arial" w:hAnsi="Arial" w:cs="Arial"/>
            <w:sz w:val="22"/>
            <w:szCs w:val="22"/>
          </w:rPr>
          <w:t>https://www.imf.org/en/news/articles/2026/05/27/pr26172-sri-lanka-imf-completes-combined-5th-and-6th-reviews-under-eff</w:t>
        </w:r>
      </w:hyperlink>
      <w:r w:rsidRPr="00A54F11">
        <w:rPr>
          <w:rFonts w:ascii="Arial" w:hAnsi="Arial" w:cs="Arial"/>
          <w:sz w:val="22"/>
          <w:szCs w:val="22"/>
        </w:rPr>
        <w:t xml:space="preserve"> (Accessed: 12 July 2026).</w:t>
      </w:r>
    </w:p>
    <w:p w14:paraId="7670FE1D"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Irfan, M.I.M. (2016) 'Cultural dimensions of Hofstede and their impact on organizational performance in Sri Lanka', </w:t>
      </w:r>
      <w:r w:rsidRPr="00A54F11">
        <w:rPr>
          <w:rStyle w:val="Emphasis"/>
          <w:rFonts w:ascii="Arial" w:hAnsi="Arial" w:cs="Arial"/>
          <w:sz w:val="22"/>
          <w:szCs w:val="22"/>
        </w:rPr>
        <w:t>Imperial Journal of Interdisciplinary Research</w:t>
      </w:r>
      <w:r w:rsidRPr="00A54F11">
        <w:rPr>
          <w:rFonts w:ascii="Arial" w:hAnsi="Arial" w:cs="Arial"/>
          <w:sz w:val="22"/>
          <w:szCs w:val="22"/>
        </w:rPr>
        <w:t xml:space="preserve">, 2(9), pp. 1–8. Available at: </w:t>
      </w:r>
      <w:hyperlink r:id="rId51" w:tgtFrame="_new" w:history="1">
        <w:r w:rsidRPr="00A54F11">
          <w:rPr>
            <w:rStyle w:val="Hyperlink"/>
            <w:rFonts w:ascii="Arial" w:hAnsi="Arial" w:cs="Arial"/>
            <w:sz w:val="22"/>
            <w:szCs w:val="22"/>
          </w:rPr>
          <w:t>https://www.researchgate.net/publication/308335168_Cultural_Dimensions_of_Hofstede_and_Their_Impact_on_Organizational_Performance_in_Sri_Lanka</w:t>
        </w:r>
      </w:hyperlink>
      <w:r w:rsidRPr="00A54F11">
        <w:rPr>
          <w:rFonts w:ascii="Arial" w:hAnsi="Arial" w:cs="Arial"/>
          <w:sz w:val="22"/>
          <w:szCs w:val="22"/>
        </w:rPr>
        <w:t xml:space="preserve"> (Accessed: 23 July 2026).</w:t>
      </w:r>
    </w:p>
    <w:p w14:paraId="67D18E07"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Khaleej Times (2026) </w:t>
      </w:r>
      <w:r w:rsidRPr="00A54F11">
        <w:rPr>
          <w:rStyle w:val="Emphasis"/>
          <w:rFonts w:ascii="Arial" w:hAnsi="Arial" w:cs="Arial"/>
          <w:sz w:val="22"/>
          <w:szCs w:val="22"/>
        </w:rPr>
        <w:t>Sri Lanka targets 6% GDP growth in 2026 amid post-cyclone recovery</w:t>
      </w:r>
      <w:r w:rsidRPr="00A54F11">
        <w:rPr>
          <w:rFonts w:ascii="Arial" w:hAnsi="Arial" w:cs="Arial"/>
          <w:sz w:val="22"/>
          <w:szCs w:val="22"/>
        </w:rPr>
        <w:t xml:space="preserve">. Available at: </w:t>
      </w:r>
      <w:hyperlink r:id="rId52" w:tgtFrame="_new" w:history="1">
        <w:r w:rsidRPr="00A54F11">
          <w:rPr>
            <w:rStyle w:val="Hyperlink"/>
            <w:rFonts w:ascii="Arial" w:hAnsi="Arial" w:cs="Arial"/>
            <w:sz w:val="22"/>
            <w:szCs w:val="22"/>
          </w:rPr>
          <w:t>https://www.khaleejtimes.com/supplements/sri-lanka-targets-6-gdp-growth-in-2026-amid-post-cyclone-recovery</w:t>
        </w:r>
      </w:hyperlink>
      <w:r w:rsidRPr="00A54F11">
        <w:rPr>
          <w:rFonts w:ascii="Arial" w:hAnsi="Arial" w:cs="Arial"/>
          <w:sz w:val="22"/>
          <w:szCs w:val="22"/>
        </w:rPr>
        <w:t xml:space="preserve"> (Accessed: 12 July 2026).</w:t>
      </w:r>
    </w:p>
    <w:p w14:paraId="6D42872B"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Lex Mundi (n.d.) </w:t>
      </w:r>
      <w:r w:rsidRPr="00A54F11">
        <w:rPr>
          <w:rStyle w:val="Emphasis"/>
          <w:rFonts w:ascii="Arial" w:hAnsi="Arial" w:cs="Arial"/>
          <w:sz w:val="22"/>
          <w:szCs w:val="22"/>
        </w:rPr>
        <w:t>Foreign Investment Restrictions Guide: Sri Lanka</w:t>
      </w:r>
      <w:r w:rsidRPr="00A54F11">
        <w:rPr>
          <w:rFonts w:ascii="Arial" w:hAnsi="Arial" w:cs="Arial"/>
          <w:sz w:val="22"/>
          <w:szCs w:val="22"/>
        </w:rPr>
        <w:t xml:space="preserve">. Available at: </w:t>
      </w:r>
      <w:hyperlink r:id="rId53" w:tgtFrame="_new" w:history="1">
        <w:r w:rsidRPr="00A54F11">
          <w:rPr>
            <w:rStyle w:val="Hyperlink"/>
            <w:rFonts w:ascii="Arial" w:hAnsi="Arial" w:cs="Arial"/>
            <w:sz w:val="22"/>
            <w:szCs w:val="22"/>
          </w:rPr>
          <w:t>https://www.lexmundi.com/guides/foreign-investment-restrictions-guide/jurisdictions/asia-pacific/sri-lanka/</w:t>
        </w:r>
      </w:hyperlink>
      <w:r w:rsidRPr="00A54F11">
        <w:rPr>
          <w:rFonts w:ascii="Arial" w:hAnsi="Arial" w:cs="Arial"/>
          <w:sz w:val="22"/>
          <w:szCs w:val="22"/>
        </w:rPr>
        <w:t xml:space="preserve"> (Accessed: 12 July 2026).</w:t>
      </w:r>
    </w:p>
    <w:p w14:paraId="2C487AA7" w14:textId="77777777" w:rsidR="003763C7" w:rsidRPr="00A54F11" w:rsidRDefault="003763C7" w:rsidP="003763C7">
      <w:pPr>
        <w:pStyle w:val="NormalWeb"/>
        <w:rPr>
          <w:rFonts w:ascii="Arial" w:hAnsi="Arial" w:cs="Arial"/>
          <w:sz w:val="22"/>
          <w:szCs w:val="22"/>
        </w:rPr>
      </w:pPr>
      <w:proofErr w:type="spellStart"/>
      <w:r w:rsidRPr="00A54F11">
        <w:rPr>
          <w:rFonts w:ascii="Arial" w:hAnsi="Arial" w:cs="Arial"/>
          <w:sz w:val="22"/>
          <w:szCs w:val="22"/>
        </w:rPr>
        <w:t>MatrixBCG</w:t>
      </w:r>
      <w:proofErr w:type="spellEnd"/>
      <w:r w:rsidRPr="00A54F11">
        <w:rPr>
          <w:rFonts w:ascii="Arial" w:hAnsi="Arial" w:cs="Arial"/>
          <w:sz w:val="22"/>
          <w:szCs w:val="22"/>
        </w:rPr>
        <w:t xml:space="preserve"> (2026) </w:t>
      </w:r>
      <w:r w:rsidRPr="00A54F11">
        <w:rPr>
          <w:rStyle w:val="Emphasis"/>
          <w:rFonts w:ascii="Arial" w:hAnsi="Arial" w:cs="Arial"/>
          <w:sz w:val="22"/>
          <w:szCs w:val="22"/>
        </w:rPr>
        <w:t>What is Competitive Landscape of Sapphire Foods Company?</w:t>
      </w:r>
      <w:r w:rsidRPr="00A54F11">
        <w:rPr>
          <w:rFonts w:ascii="Arial" w:hAnsi="Arial" w:cs="Arial"/>
          <w:sz w:val="22"/>
          <w:szCs w:val="22"/>
        </w:rPr>
        <w:t xml:space="preserve"> Available at: </w:t>
      </w:r>
      <w:hyperlink r:id="rId54" w:tgtFrame="_new" w:history="1">
        <w:r w:rsidRPr="00A54F11">
          <w:rPr>
            <w:rStyle w:val="Hyperlink"/>
            <w:rFonts w:ascii="Arial" w:hAnsi="Arial" w:cs="Arial"/>
            <w:sz w:val="22"/>
            <w:szCs w:val="22"/>
          </w:rPr>
          <w:t>https://matrixbcg.com/blogs/competitors/sapphirefoods</w:t>
        </w:r>
      </w:hyperlink>
      <w:r w:rsidRPr="00A54F11">
        <w:rPr>
          <w:rFonts w:ascii="Arial" w:hAnsi="Arial" w:cs="Arial"/>
          <w:sz w:val="22"/>
          <w:szCs w:val="22"/>
        </w:rPr>
        <w:t xml:space="preserve"> (Accessed: 12 July 2026).</w:t>
      </w:r>
    </w:p>
    <w:p w14:paraId="73962012"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lastRenderedPageBreak/>
        <w:t xml:space="preserve">McDonald’s Corporation (2026) </w:t>
      </w:r>
      <w:r w:rsidRPr="00A54F11">
        <w:rPr>
          <w:rStyle w:val="Emphasis"/>
          <w:rFonts w:ascii="Arial" w:hAnsi="Arial" w:cs="Arial"/>
          <w:sz w:val="22"/>
          <w:szCs w:val="22"/>
        </w:rPr>
        <w:t>Restaurants by Market, year-end 2025</w:t>
      </w:r>
      <w:r w:rsidRPr="00A54F11">
        <w:rPr>
          <w:rFonts w:ascii="Arial" w:hAnsi="Arial" w:cs="Arial"/>
          <w:sz w:val="22"/>
          <w:szCs w:val="22"/>
        </w:rPr>
        <w:t xml:space="preserve">. Available at: </w:t>
      </w:r>
      <w:hyperlink r:id="rId55" w:tgtFrame="_new" w:history="1">
        <w:r w:rsidRPr="00A54F11">
          <w:rPr>
            <w:rStyle w:val="Hyperlink"/>
            <w:rFonts w:ascii="Arial" w:hAnsi="Arial" w:cs="Arial"/>
            <w:sz w:val="22"/>
            <w:szCs w:val="22"/>
          </w:rPr>
          <w:t>https://corporate.mcdonalds.com</w:t>
        </w:r>
      </w:hyperlink>
      <w:r w:rsidRPr="00A54F11">
        <w:rPr>
          <w:rFonts w:ascii="Arial" w:hAnsi="Arial" w:cs="Arial"/>
          <w:sz w:val="22"/>
          <w:szCs w:val="22"/>
        </w:rPr>
        <w:t xml:space="preserve"> (Accessed: 12 July 2026).</w:t>
      </w:r>
    </w:p>
    <w:p w14:paraId="615956B6"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Newswire (2024) </w:t>
      </w:r>
      <w:r w:rsidRPr="00A54F11">
        <w:rPr>
          <w:rStyle w:val="Emphasis"/>
          <w:rFonts w:ascii="Arial" w:hAnsi="Arial" w:cs="Arial"/>
          <w:sz w:val="22"/>
          <w:szCs w:val="22"/>
        </w:rPr>
        <w:t>McDonald’s dispute: New update</w:t>
      </w:r>
      <w:r w:rsidRPr="00A54F11">
        <w:rPr>
          <w:rFonts w:ascii="Arial" w:hAnsi="Arial" w:cs="Arial"/>
          <w:sz w:val="22"/>
          <w:szCs w:val="22"/>
        </w:rPr>
        <w:t xml:space="preserve">. Available at: </w:t>
      </w:r>
      <w:hyperlink r:id="rId56" w:tgtFrame="_new" w:history="1">
        <w:r w:rsidRPr="00A54F11">
          <w:rPr>
            <w:rStyle w:val="Hyperlink"/>
            <w:rFonts w:ascii="Arial" w:hAnsi="Arial" w:cs="Arial"/>
            <w:sz w:val="22"/>
            <w:szCs w:val="22"/>
          </w:rPr>
          <w:t>https://www.newswire.lk/2024/10/26/mcdonalds-dispute-new-update/</w:t>
        </w:r>
      </w:hyperlink>
      <w:r w:rsidRPr="00A54F11">
        <w:rPr>
          <w:rFonts w:ascii="Arial" w:hAnsi="Arial" w:cs="Arial"/>
          <w:sz w:val="22"/>
          <w:szCs w:val="22"/>
        </w:rPr>
        <w:t xml:space="preserve"> (Accessed: 12 July 2026).</w:t>
      </w:r>
    </w:p>
    <w:p w14:paraId="3B606DD7"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Quartz (2019) </w:t>
      </w:r>
      <w:r w:rsidRPr="00A54F11">
        <w:rPr>
          <w:rStyle w:val="Emphasis"/>
          <w:rFonts w:ascii="Arial" w:hAnsi="Arial" w:cs="Arial"/>
          <w:sz w:val="22"/>
          <w:szCs w:val="22"/>
        </w:rPr>
        <w:t>The entrepreneur who first led McDonald’s in India—then fought it</w:t>
      </w:r>
      <w:r w:rsidRPr="00A54F11">
        <w:rPr>
          <w:rFonts w:ascii="Arial" w:hAnsi="Arial" w:cs="Arial"/>
          <w:sz w:val="22"/>
          <w:szCs w:val="22"/>
        </w:rPr>
        <w:t xml:space="preserve">. Available at: </w:t>
      </w:r>
      <w:hyperlink r:id="rId57" w:tgtFrame="_new" w:history="1">
        <w:r w:rsidRPr="00A54F11">
          <w:rPr>
            <w:rStyle w:val="Hyperlink"/>
            <w:rFonts w:ascii="Arial" w:hAnsi="Arial" w:cs="Arial"/>
            <w:sz w:val="22"/>
            <w:szCs w:val="22"/>
          </w:rPr>
          <w:t>https://qz.com/india/1617603/how-mcdonalds-lost-its-first-india-partner-vikram-bakshi</w:t>
        </w:r>
      </w:hyperlink>
      <w:r w:rsidRPr="00A54F11">
        <w:rPr>
          <w:rFonts w:ascii="Arial" w:hAnsi="Arial" w:cs="Arial"/>
          <w:sz w:val="22"/>
          <w:szCs w:val="22"/>
        </w:rPr>
        <w:t xml:space="preserve"> (Accessed: 12 July 2026).</w:t>
      </w:r>
    </w:p>
    <w:p w14:paraId="7D62B641"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Schooler, C. (1983) 'Culture’s Consequences: International Differences in Work-Related Values', </w:t>
      </w:r>
      <w:r w:rsidRPr="00A54F11">
        <w:rPr>
          <w:rStyle w:val="Emphasis"/>
          <w:rFonts w:ascii="Arial" w:hAnsi="Arial" w:cs="Arial"/>
          <w:sz w:val="22"/>
          <w:szCs w:val="22"/>
        </w:rPr>
        <w:t>Contemporary Sociology</w:t>
      </w:r>
      <w:r w:rsidRPr="00A54F11">
        <w:rPr>
          <w:rFonts w:ascii="Arial" w:hAnsi="Arial" w:cs="Arial"/>
          <w:sz w:val="22"/>
          <w:szCs w:val="22"/>
        </w:rPr>
        <w:t xml:space="preserve">, 12(2), p. 167. Available at: </w:t>
      </w:r>
      <w:hyperlink r:id="rId58" w:tgtFrame="_new" w:history="1">
        <w:r w:rsidRPr="00A54F11">
          <w:rPr>
            <w:rStyle w:val="Hyperlink"/>
            <w:rFonts w:ascii="Arial" w:hAnsi="Arial" w:cs="Arial"/>
            <w:sz w:val="22"/>
            <w:szCs w:val="22"/>
          </w:rPr>
          <w:t>https://doi.org/10.2307/2066725</w:t>
        </w:r>
      </w:hyperlink>
      <w:r w:rsidRPr="00A54F11">
        <w:rPr>
          <w:rFonts w:ascii="Arial" w:hAnsi="Arial" w:cs="Arial"/>
          <w:sz w:val="22"/>
          <w:szCs w:val="22"/>
        </w:rPr>
        <w:t xml:space="preserve"> (Accessed: 12 July 2026).</w:t>
      </w:r>
    </w:p>
    <w:p w14:paraId="4EF6E40F"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Scroll.in (2019) </w:t>
      </w:r>
      <w:r w:rsidRPr="00A54F11">
        <w:rPr>
          <w:rStyle w:val="Emphasis"/>
          <w:rFonts w:ascii="Arial" w:hAnsi="Arial" w:cs="Arial"/>
          <w:sz w:val="22"/>
          <w:szCs w:val="22"/>
        </w:rPr>
        <w:t xml:space="preserve">Vikram Bakshi: How the man who helped </w:t>
      </w:r>
      <w:proofErr w:type="spellStart"/>
      <w:r w:rsidRPr="00A54F11">
        <w:rPr>
          <w:rStyle w:val="Emphasis"/>
          <w:rFonts w:ascii="Arial" w:hAnsi="Arial" w:cs="Arial"/>
          <w:sz w:val="22"/>
          <w:szCs w:val="22"/>
        </w:rPr>
        <w:t>Indianise</w:t>
      </w:r>
      <w:proofErr w:type="spellEnd"/>
      <w:r w:rsidRPr="00A54F11">
        <w:rPr>
          <w:rStyle w:val="Emphasis"/>
          <w:rFonts w:ascii="Arial" w:hAnsi="Arial" w:cs="Arial"/>
          <w:sz w:val="22"/>
          <w:szCs w:val="22"/>
        </w:rPr>
        <w:t xml:space="preserve"> McDonald’s ended up exiting the burger chain</w:t>
      </w:r>
      <w:r w:rsidRPr="00A54F11">
        <w:rPr>
          <w:rFonts w:ascii="Arial" w:hAnsi="Arial" w:cs="Arial"/>
          <w:sz w:val="22"/>
          <w:szCs w:val="22"/>
        </w:rPr>
        <w:t xml:space="preserve">. Available at: </w:t>
      </w:r>
      <w:hyperlink r:id="rId59" w:tgtFrame="_new" w:history="1">
        <w:r w:rsidRPr="00A54F11">
          <w:rPr>
            <w:rStyle w:val="Hyperlink"/>
            <w:rFonts w:ascii="Arial" w:hAnsi="Arial" w:cs="Arial"/>
            <w:sz w:val="22"/>
            <w:szCs w:val="22"/>
          </w:rPr>
          <w:t>https://scroll.in/article/923298/how-the-delhi-realtor-who-helped-indianise-mcdonalds-ended-up-exiting-the-burger-chain</w:t>
        </w:r>
      </w:hyperlink>
      <w:r w:rsidRPr="00A54F11">
        <w:rPr>
          <w:rFonts w:ascii="Arial" w:hAnsi="Arial" w:cs="Arial"/>
          <w:sz w:val="22"/>
          <w:szCs w:val="22"/>
        </w:rPr>
        <w:t xml:space="preserve"> (Accessed: 12 July 2026).</w:t>
      </w:r>
    </w:p>
    <w:p w14:paraId="7097E472"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Sri Lanka Law (n.d.) </w:t>
      </w:r>
      <w:r w:rsidRPr="00A54F11">
        <w:rPr>
          <w:rStyle w:val="Emphasis"/>
          <w:rFonts w:ascii="Arial" w:hAnsi="Arial" w:cs="Arial"/>
          <w:sz w:val="22"/>
          <w:szCs w:val="22"/>
        </w:rPr>
        <w:t>Food Act, No. 26 of 1980</w:t>
      </w:r>
      <w:r w:rsidRPr="00A54F11">
        <w:rPr>
          <w:rFonts w:ascii="Arial" w:hAnsi="Arial" w:cs="Arial"/>
          <w:sz w:val="22"/>
          <w:szCs w:val="22"/>
        </w:rPr>
        <w:t xml:space="preserve">. Available at: </w:t>
      </w:r>
      <w:hyperlink r:id="rId60" w:tgtFrame="_new" w:history="1">
        <w:r w:rsidRPr="00A54F11">
          <w:rPr>
            <w:rStyle w:val="Hyperlink"/>
            <w:rFonts w:ascii="Arial" w:hAnsi="Arial" w:cs="Arial"/>
            <w:sz w:val="22"/>
            <w:szCs w:val="22"/>
          </w:rPr>
          <w:t>https://www.srilankalaw.lk/revised-statutes/volume-iii/393-food-act.html</w:t>
        </w:r>
      </w:hyperlink>
      <w:r w:rsidRPr="00A54F11">
        <w:rPr>
          <w:rFonts w:ascii="Arial" w:hAnsi="Arial" w:cs="Arial"/>
          <w:sz w:val="22"/>
          <w:szCs w:val="22"/>
        </w:rPr>
        <w:t xml:space="preserve"> (Accessed: 12 July 2026).</w:t>
      </w:r>
    </w:p>
    <w:p w14:paraId="0E23D0D2"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Sri Lanka Tourism Development Authority (2026) </w:t>
      </w:r>
      <w:r w:rsidRPr="00A54F11">
        <w:rPr>
          <w:rStyle w:val="Emphasis"/>
          <w:rFonts w:ascii="Arial" w:hAnsi="Arial" w:cs="Arial"/>
          <w:sz w:val="22"/>
          <w:szCs w:val="22"/>
        </w:rPr>
        <w:t>Year in Review 2025</w:t>
      </w:r>
      <w:r w:rsidRPr="00A54F11">
        <w:rPr>
          <w:rFonts w:ascii="Arial" w:hAnsi="Arial" w:cs="Arial"/>
          <w:sz w:val="22"/>
          <w:szCs w:val="22"/>
        </w:rPr>
        <w:t xml:space="preserve">. Available at: </w:t>
      </w:r>
      <w:hyperlink r:id="rId61" w:tgtFrame="_new" w:history="1">
        <w:r w:rsidRPr="00A54F11">
          <w:rPr>
            <w:rStyle w:val="Hyperlink"/>
            <w:rFonts w:ascii="Arial" w:hAnsi="Arial" w:cs="Arial"/>
            <w:sz w:val="22"/>
            <w:szCs w:val="22"/>
          </w:rPr>
          <w:t>https://www.sltda.gov.lk/storage/</w:t>
        </w:r>
        <w:r w:rsidRPr="00A54F11">
          <w:rPr>
            <w:rStyle w:val="Hyperlink"/>
            <w:rFonts w:ascii="Arial" w:hAnsi="Arial" w:cs="Arial"/>
            <w:sz w:val="22"/>
            <w:szCs w:val="22"/>
          </w:rPr>
          <w:t>c</w:t>
        </w:r>
        <w:r w:rsidRPr="00A54F11">
          <w:rPr>
            <w:rStyle w:val="Hyperlink"/>
            <w:rFonts w:ascii="Arial" w:hAnsi="Arial" w:cs="Arial"/>
            <w:sz w:val="22"/>
            <w:szCs w:val="22"/>
          </w:rPr>
          <w:t>ommon_media/Year_in_Review_2025_Final_updated_Report_2026_04_02-1.pdf</w:t>
        </w:r>
      </w:hyperlink>
      <w:r w:rsidRPr="00A54F11">
        <w:rPr>
          <w:rFonts w:ascii="Arial" w:hAnsi="Arial" w:cs="Arial"/>
          <w:sz w:val="22"/>
          <w:szCs w:val="22"/>
        </w:rPr>
        <w:t xml:space="preserve"> (Accessed: 12 July 2026).</w:t>
      </w:r>
    </w:p>
    <w:p w14:paraId="0F0EAEE1" w14:textId="77777777" w:rsidR="003763C7" w:rsidRPr="00A54F11" w:rsidRDefault="003763C7" w:rsidP="003763C7">
      <w:pPr>
        <w:pStyle w:val="NormalWeb"/>
        <w:rPr>
          <w:rFonts w:ascii="Arial" w:hAnsi="Arial" w:cs="Arial"/>
          <w:sz w:val="22"/>
          <w:szCs w:val="22"/>
        </w:rPr>
      </w:pPr>
      <w:r w:rsidRPr="00A54F11">
        <w:rPr>
          <w:rFonts w:ascii="Arial" w:hAnsi="Arial" w:cs="Arial"/>
          <w:sz w:val="22"/>
          <w:szCs w:val="22"/>
        </w:rPr>
        <w:t xml:space="preserve">Sunday Times (2024) </w:t>
      </w:r>
      <w:r w:rsidRPr="00A54F11">
        <w:rPr>
          <w:rStyle w:val="Emphasis"/>
          <w:rFonts w:ascii="Arial" w:hAnsi="Arial" w:cs="Arial"/>
          <w:sz w:val="22"/>
          <w:szCs w:val="22"/>
        </w:rPr>
        <w:t>McDonald’s formally ends franchisee operations in Sri Lanka</w:t>
      </w:r>
      <w:r w:rsidRPr="00A54F11">
        <w:rPr>
          <w:rFonts w:ascii="Arial" w:hAnsi="Arial" w:cs="Arial"/>
          <w:sz w:val="22"/>
          <w:szCs w:val="22"/>
        </w:rPr>
        <w:t xml:space="preserve">. Available at: </w:t>
      </w:r>
      <w:hyperlink r:id="rId62" w:tgtFrame="_new" w:history="1">
        <w:r w:rsidRPr="00A54F11">
          <w:rPr>
            <w:rStyle w:val="Hyperlink"/>
            <w:rFonts w:ascii="Arial" w:hAnsi="Arial" w:cs="Arial"/>
            <w:sz w:val="22"/>
            <w:szCs w:val="22"/>
          </w:rPr>
          <w:t>https://sundaytimes.lk/online/news-online/McDonalds-formally-ends-franchisee-operations-in-Sri-Lanka/2-1147229</w:t>
        </w:r>
      </w:hyperlink>
      <w:r w:rsidRPr="00A54F11">
        <w:rPr>
          <w:rFonts w:ascii="Arial" w:hAnsi="Arial" w:cs="Arial"/>
          <w:sz w:val="22"/>
          <w:szCs w:val="22"/>
        </w:rPr>
        <w:t xml:space="preserve"> (Accessed: 12 July 2026).</w:t>
      </w:r>
    </w:p>
    <w:p w14:paraId="4157B61F" w14:textId="4336524D" w:rsidR="003763C7" w:rsidRPr="00A54F11" w:rsidRDefault="002C7331" w:rsidP="00E706D6">
      <w:pPr>
        <w:spacing w:after="0"/>
        <w:rPr>
          <w:rFonts w:ascii="Arial" w:eastAsia="Times New Roman" w:hAnsi="Arial" w:cs="Arial"/>
          <w:sz w:val="22"/>
          <w:szCs w:val="22"/>
          <w:lang w:val="en-GB" w:eastAsia="en-GB" w:bidi="si-LK"/>
        </w:rPr>
      </w:pPr>
      <w:r w:rsidRPr="002C7331">
        <w:rPr>
          <w:rFonts w:ascii="Arial" w:eastAsia="Times New Roman" w:hAnsi="Arial" w:cs="Arial"/>
          <w:sz w:val="22"/>
          <w:szCs w:val="22"/>
          <w:lang w:val="en-GB" w:eastAsia="en-GB" w:bidi="si-LK"/>
        </w:rPr>
        <w:t xml:space="preserve">Verbeke, A., Dunning, J. and </w:t>
      </w:r>
      <w:proofErr w:type="spellStart"/>
      <w:r w:rsidRPr="002C7331">
        <w:rPr>
          <w:rFonts w:ascii="Arial" w:eastAsia="Times New Roman" w:hAnsi="Arial" w:cs="Arial"/>
          <w:sz w:val="22"/>
          <w:szCs w:val="22"/>
          <w:lang w:val="en-GB" w:eastAsia="en-GB" w:bidi="si-LK"/>
        </w:rPr>
        <w:t>Lundan</w:t>
      </w:r>
      <w:proofErr w:type="spellEnd"/>
      <w:r w:rsidRPr="002C7331">
        <w:rPr>
          <w:rFonts w:ascii="Arial" w:eastAsia="Times New Roman" w:hAnsi="Arial" w:cs="Arial"/>
          <w:sz w:val="22"/>
          <w:szCs w:val="22"/>
          <w:lang w:val="en-GB" w:eastAsia="en-GB" w:bidi="si-LK"/>
        </w:rPr>
        <w:t xml:space="preserve">, S. (2008) “Multinational Enterprises and the Global Economy,” </w:t>
      </w:r>
      <w:r w:rsidRPr="002C7331">
        <w:rPr>
          <w:rFonts w:ascii="Arial" w:eastAsia="Times New Roman" w:hAnsi="Arial" w:cs="Arial"/>
          <w:i/>
          <w:iCs/>
          <w:sz w:val="22"/>
          <w:szCs w:val="22"/>
          <w:lang w:val="en-GB" w:eastAsia="en-GB" w:bidi="si-LK"/>
        </w:rPr>
        <w:t>Journal of international business studies</w:t>
      </w:r>
      <w:r w:rsidRPr="002C7331">
        <w:rPr>
          <w:rFonts w:ascii="Arial" w:eastAsia="Times New Roman" w:hAnsi="Arial" w:cs="Arial"/>
          <w:sz w:val="22"/>
          <w:szCs w:val="22"/>
          <w:lang w:val="en-GB" w:eastAsia="en-GB" w:bidi="si-LK"/>
        </w:rPr>
        <w:t>. London: Palgrave Macmillan, pp. 1236–1238. Available at: https://doi.org/10.1057/palgrave.jibs.8400426</w:t>
      </w:r>
      <w:r w:rsidR="00E706D6" w:rsidRPr="00A54F11">
        <w:rPr>
          <w:rFonts w:ascii="Arial" w:eastAsia="Times New Roman" w:hAnsi="Arial" w:cs="Arial"/>
          <w:sz w:val="22"/>
          <w:szCs w:val="22"/>
          <w:lang w:val="en-GB" w:eastAsia="en-GB" w:bidi="si-LK"/>
        </w:rPr>
        <w:t xml:space="preserve"> </w:t>
      </w:r>
      <w:r w:rsidR="003763C7" w:rsidRPr="00A54F11">
        <w:rPr>
          <w:rFonts w:ascii="Arial" w:hAnsi="Arial" w:cs="Arial"/>
          <w:sz w:val="22"/>
          <w:szCs w:val="22"/>
        </w:rPr>
        <w:t>(Accessed: 12 July 2026).</w:t>
      </w:r>
    </w:p>
    <w:p w14:paraId="74BDC839" w14:textId="42ACB373" w:rsidR="00CB2E36" w:rsidRPr="00A54F11" w:rsidRDefault="00CB2E36" w:rsidP="003763C7">
      <w:pPr>
        <w:pStyle w:val="FirstParagraph"/>
        <w:spacing w:line="360" w:lineRule="auto"/>
        <w:rPr>
          <w:rFonts w:ascii="Arial" w:hAnsi="Arial" w:cs="Arial"/>
          <w:sz w:val="22"/>
          <w:szCs w:val="22"/>
        </w:rPr>
      </w:pPr>
    </w:p>
    <w:sectPr w:rsidR="00CB2E36" w:rsidRPr="00A54F11">
      <w:headerReference w:type="even" r:id="rId63"/>
      <w:headerReference w:type="default" r:id="rId6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77D8D" w14:textId="77777777" w:rsidR="00122F1A" w:rsidRDefault="00122F1A">
      <w:pPr>
        <w:spacing w:after="0"/>
      </w:pPr>
      <w:r>
        <w:separator/>
      </w:r>
    </w:p>
  </w:endnote>
  <w:endnote w:type="continuationSeparator" w:id="0">
    <w:p w14:paraId="29D4B5E8" w14:textId="77777777" w:rsidR="00122F1A" w:rsidRDefault="00122F1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Iskoola Pota">
    <w:panose1 w:val="020B0502040204020203"/>
    <w:charset w:val="4D"/>
    <w:family w:val="swiss"/>
    <w:pitch w:val="variable"/>
    <w:sig w:usb0="00000003" w:usb1="00000000" w:usb2="00000200" w:usb3="00000000" w:csb0="00000001"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4848D" w14:textId="77777777" w:rsidR="00122F1A" w:rsidRDefault="00122F1A">
      <w:r>
        <w:separator/>
      </w:r>
    </w:p>
  </w:footnote>
  <w:footnote w:type="continuationSeparator" w:id="0">
    <w:p w14:paraId="15EEA4DF" w14:textId="77777777" w:rsidR="00122F1A" w:rsidRDefault="00122F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17543574"/>
      <w:docPartObj>
        <w:docPartGallery w:val="Page Numbers (Top of Page)"/>
        <w:docPartUnique/>
      </w:docPartObj>
    </w:sdtPr>
    <w:sdtEndPr>
      <w:rPr>
        <w:rStyle w:val="PageNumber"/>
      </w:rPr>
    </w:sdtEndPr>
    <w:sdtContent>
      <w:p w14:paraId="3C9842A6" w14:textId="48A0A408" w:rsidR="00E86C88" w:rsidRDefault="00E86C88" w:rsidP="005619A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4A89E0" w14:textId="77777777" w:rsidR="00E86C88" w:rsidRDefault="00E86C88" w:rsidP="00E86C8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8074013"/>
      <w:docPartObj>
        <w:docPartGallery w:val="Page Numbers (Top of Page)"/>
        <w:docPartUnique/>
      </w:docPartObj>
    </w:sdtPr>
    <w:sdtEndPr>
      <w:rPr>
        <w:rStyle w:val="PageNumber"/>
      </w:rPr>
    </w:sdtEndPr>
    <w:sdtContent>
      <w:p w14:paraId="4FF21486" w14:textId="3522A07F" w:rsidR="00E86C88" w:rsidRDefault="00E86C88" w:rsidP="005619A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C65686" w14:textId="77777777" w:rsidR="00E86C88" w:rsidRDefault="00E86C88" w:rsidP="00E86C88">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9714B"/>
    <w:multiLevelType w:val="multilevel"/>
    <w:tmpl w:val="53E84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530AC9"/>
    <w:multiLevelType w:val="hybridMultilevel"/>
    <w:tmpl w:val="E6528BEE"/>
    <w:lvl w:ilvl="0" w:tplc="D6041132">
      <w:start w:val="1"/>
      <w:numFmt w:val="bullet"/>
      <w:lvlText w:val="•"/>
      <w:lvlJc w:val="left"/>
      <w:pPr>
        <w:tabs>
          <w:tab w:val="num" w:pos="720"/>
        </w:tabs>
        <w:ind w:left="720" w:hanging="360"/>
      </w:pPr>
      <w:rPr>
        <w:rFonts w:ascii="Times New Roman" w:hAnsi="Times New Roman" w:hint="default"/>
      </w:rPr>
    </w:lvl>
    <w:lvl w:ilvl="1" w:tplc="2348DC34" w:tentative="1">
      <w:start w:val="1"/>
      <w:numFmt w:val="bullet"/>
      <w:lvlText w:val="•"/>
      <w:lvlJc w:val="left"/>
      <w:pPr>
        <w:tabs>
          <w:tab w:val="num" w:pos="1440"/>
        </w:tabs>
        <w:ind w:left="1440" w:hanging="360"/>
      </w:pPr>
      <w:rPr>
        <w:rFonts w:ascii="Times New Roman" w:hAnsi="Times New Roman" w:hint="default"/>
      </w:rPr>
    </w:lvl>
    <w:lvl w:ilvl="2" w:tplc="695EA792" w:tentative="1">
      <w:start w:val="1"/>
      <w:numFmt w:val="bullet"/>
      <w:lvlText w:val="•"/>
      <w:lvlJc w:val="left"/>
      <w:pPr>
        <w:tabs>
          <w:tab w:val="num" w:pos="2160"/>
        </w:tabs>
        <w:ind w:left="2160" w:hanging="360"/>
      </w:pPr>
      <w:rPr>
        <w:rFonts w:ascii="Times New Roman" w:hAnsi="Times New Roman" w:hint="default"/>
      </w:rPr>
    </w:lvl>
    <w:lvl w:ilvl="3" w:tplc="FF2E1598" w:tentative="1">
      <w:start w:val="1"/>
      <w:numFmt w:val="bullet"/>
      <w:lvlText w:val="•"/>
      <w:lvlJc w:val="left"/>
      <w:pPr>
        <w:tabs>
          <w:tab w:val="num" w:pos="2880"/>
        </w:tabs>
        <w:ind w:left="2880" w:hanging="360"/>
      </w:pPr>
      <w:rPr>
        <w:rFonts w:ascii="Times New Roman" w:hAnsi="Times New Roman" w:hint="default"/>
      </w:rPr>
    </w:lvl>
    <w:lvl w:ilvl="4" w:tplc="DC960A38" w:tentative="1">
      <w:start w:val="1"/>
      <w:numFmt w:val="bullet"/>
      <w:lvlText w:val="•"/>
      <w:lvlJc w:val="left"/>
      <w:pPr>
        <w:tabs>
          <w:tab w:val="num" w:pos="3600"/>
        </w:tabs>
        <w:ind w:left="3600" w:hanging="360"/>
      </w:pPr>
      <w:rPr>
        <w:rFonts w:ascii="Times New Roman" w:hAnsi="Times New Roman" w:hint="default"/>
      </w:rPr>
    </w:lvl>
    <w:lvl w:ilvl="5" w:tplc="86669934" w:tentative="1">
      <w:start w:val="1"/>
      <w:numFmt w:val="bullet"/>
      <w:lvlText w:val="•"/>
      <w:lvlJc w:val="left"/>
      <w:pPr>
        <w:tabs>
          <w:tab w:val="num" w:pos="4320"/>
        </w:tabs>
        <w:ind w:left="4320" w:hanging="360"/>
      </w:pPr>
      <w:rPr>
        <w:rFonts w:ascii="Times New Roman" w:hAnsi="Times New Roman" w:hint="default"/>
      </w:rPr>
    </w:lvl>
    <w:lvl w:ilvl="6" w:tplc="0234F776" w:tentative="1">
      <w:start w:val="1"/>
      <w:numFmt w:val="bullet"/>
      <w:lvlText w:val="•"/>
      <w:lvlJc w:val="left"/>
      <w:pPr>
        <w:tabs>
          <w:tab w:val="num" w:pos="5040"/>
        </w:tabs>
        <w:ind w:left="5040" w:hanging="360"/>
      </w:pPr>
      <w:rPr>
        <w:rFonts w:ascii="Times New Roman" w:hAnsi="Times New Roman" w:hint="default"/>
      </w:rPr>
    </w:lvl>
    <w:lvl w:ilvl="7" w:tplc="259050CE" w:tentative="1">
      <w:start w:val="1"/>
      <w:numFmt w:val="bullet"/>
      <w:lvlText w:val="•"/>
      <w:lvlJc w:val="left"/>
      <w:pPr>
        <w:tabs>
          <w:tab w:val="num" w:pos="5760"/>
        </w:tabs>
        <w:ind w:left="5760" w:hanging="360"/>
      </w:pPr>
      <w:rPr>
        <w:rFonts w:ascii="Times New Roman" w:hAnsi="Times New Roman" w:hint="default"/>
      </w:rPr>
    </w:lvl>
    <w:lvl w:ilvl="8" w:tplc="57584A3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C1AE401"/>
    <w:multiLevelType w:val="multilevel"/>
    <w:tmpl w:val="BFDA7F92"/>
    <w:lvl w:ilvl="0">
      <w:numFmt w:val="bullet"/>
      <w:lvlText w:val=" "/>
      <w:lvlJc w:val="left"/>
      <w:pPr>
        <w:tabs>
          <w:tab w:val="num" w:pos="0"/>
        </w:tabs>
        <w:ind w:left="480" w:hanging="480"/>
      </w:pPr>
    </w:lvl>
    <w:lvl w:ilvl="1">
      <w:numFmt w:val="bullet"/>
      <w:lvlText w:val=" "/>
      <w:lvlJc w:val="left"/>
      <w:pPr>
        <w:tabs>
          <w:tab w:val="num" w:pos="720"/>
        </w:tabs>
        <w:ind w:left="1200" w:hanging="480"/>
      </w:pPr>
    </w:lvl>
    <w:lvl w:ilvl="2">
      <w:numFmt w:val="bullet"/>
      <w:lvlText w:val=" "/>
      <w:lvlJc w:val="left"/>
      <w:pPr>
        <w:tabs>
          <w:tab w:val="num" w:pos="1440"/>
        </w:tabs>
        <w:ind w:left="1920" w:hanging="480"/>
      </w:pPr>
    </w:lvl>
    <w:lvl w:ilvl="3">
      <w:numFmt w:val="bullet"/>
      <w:lvlText w:val=" "/>
      <w:lvlJc w:val="left"/>
      <w:pPr>
        <w:tabs>
          <w:tab w:val="num" w:pos="2160"/>
        </w:tabs>
        <w:ind w:left="2640" w:hanging="480"/>
      </w:pPr>
    </w:lvl>
    <w:lvl w:ilvl="4">
      <w:numFmt w:val="bullet"/>
      <w:lvlText w:val=" "/>
      <w:lvlJc w:val="left"/>
      <w:pPr>
        <w:tabs>
          <w:tab w:val="num" w:pos="2880"/>
        </w:tabs>
        <w:ind w:left="3360" w:hanging="480"/>
      </w:pPr>
    </w:lvl>
    <w:lvl w:ilvl="5">
      <w:numFmt w:val="bullet"/>
      <w:lvlText w:val=" "/>
      <w:lvlJc w:val="left"/>
      <w:pPr>
        <w:tabs>
          <w:tab w:val="num" w:pos="3600"/>
        </w:tabs>
        <w:ind w:left="4080" w:hanging="480"/>
      </w:pPr>
    </w:lvl>
    <w:lvl w:ilvl="6">
      <w:numFmt w:val="bullet"/>
      <w:lvlText w:val=" "/>
      <w:lvlJc w:val="left"/>
      <w:pPr>
        <w:tabs>
          <w:tab w:val="num" w:pos="4320"/>
        </w:tabs>
        <w:ind w:left="4800" w:hanging="480"/>
      </w:pPr>
    </w:lvl>
    <w:lvl w:ilvl="7">
      <w:numFmt w:val="bullet"/>
      <w:lvlText w:val=" "/>
      <w:lvlJc w:val="left"/>
      <w:pPr>
        <w:tabs>
          <w:tab w:val="num" w:pos="5040"/>
        </w:tabs>
        <w:ind w:left="5520" w:hanging="480"/>
      </w:pPr>
    </w:lvl>
    <w:lvl w:ilvl="8">
      <w:numFmt w:val="bullet"/>
      <w:lvlText w:val=" "/>
      <w:lvlJc w:val="left"/>
      <w:pPr>
        <w:tabs>
          <w:tab w:val="num" w:pos="5760"/>
        </w:tabs>
        <w:ind w:left="6240" w:hanging="480"/>
      </w:pPr>
    </w:lvl>
  </w:abstractNum>
  <w:abstractNum w:abstractNumId="3" w15:restartNumberingAfterBreak="0">
    <w:nsid w:val="329A007B"/>
    <w:multiLevelType w:val="multilevel"/>
    <w:tmpl w:val="52AAB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7359906">
    <w:abstractNumId w:val="2"/>
  </w:num>
  <w:num w:numId="2" w16cid:durableId="647168182">
    <w:abstractNumId w:val="1"/>
  </w:num>
  <w:num w:numId="3" w16cid:durableId="891693262">
    <w:abstractNumId w:val="0"/>
  </w:num>
  <w:num w:numId="4" w16cid:durableId="14293039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1"/>
  <w:embedSystemFonts/>
  <w:proofState w:spelling="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D07"/>
    <w:rsid w:val="000020AC"/>
    <w:rsid w:val="0000473A"/>
    <w:rsid w:val="0000703C"/>
    <w:rsid w:val="00011C8B"/>
    <w:rsid w:val="00020D9B"/>
    <w:rsid w:val="00021855"/>
    <w:rsid w:val="00030FC0"/>
    <w:rsid w:val="00034DD2"/>
    <w:rsid w:val="0004136A"/>
    <w:rsid w:val="00045835"/>
    <w:rsid w:val="0005683C"/>
    <w:rsid w:val="000569F7"/>
    <w:rsid w:val="000812CC"/>
    <w:rsid w:val="0008315E"/>
    <w:rsid w:val="000932B0"/>
    <w:rsid w:val="00095C17"/>
    <w:rsid w:val="000B4FDC"/>
    <w:rsid w:val="000B646C"/>
    <w:rsid w:val="000C13C9"/>
    <w:rsid w:val="000C6D7A"/>
    <w:rsid w:val="000D13D3"/>
    <w:rsid w:val="000D1A7D"/>
    <w:rsid w:val="000F68BF"/>
    <w:rsid w:val="00121194"/>
    <w:rsid w:val="0012123E"/>
    <w:rsid w:val="00122F1A"/>
    <w:rsid w:val="00125920"/>
    <w:rsid w:val="001356FF"/>
    <w:rsid w:val="00142B69"/>
    <w:rsid w:val="0014451E"/>
    <w:rsid w:val="00153ABE"/>
    <w:rsid w:val="0015566A"/>
    <w:rsid w:val="00155819"/>
    <w:rsid w:val="0017272A"/>
    <w:rsid w:val="00174020"/>
    <w:rsid w:val="00174301"/>
    <w:rsid w:val="0017626F"/>
    <w:rsid w:val="001B2E44"/>
    <w:rsid w:val="001C42F3"/>
    <w:rsid w:val="001C5089"/>
    <w:rsid w:val="001D171A"/>
    <w:rsid w:val="001D3FF0"/>
    <w:rsid w:val="001D42BD"/>
    <w:rsid w:val="001D79D4"/>
    <w:rsid w:val="001E1B91"/>
    <w:rsid w:val="001E3105"/>
    <w:rsid w:val="001E3214"/>
    <w:rsid w:val="001E3B30"/>
    <w:rsid w:val="001E6FDA"/>
    <w:rsid w:val="001F2F0E"/>
    <w:rsid w:val="0020121A"/>
    <w:rsid w:val="00207684"/>
    <w:rsid w:val="00214CC2"/>
    <w:rsid w:val="00216D94"/>
    <w:rsid w:val="00217CFD"/>
    <w:rsid w:val="00220029"/>
    <w:rsid w:val="00222BD0"/>
    <w:rsid w:val="002232F5"/>
    <w:rsid w:val="00230A3B"/>
    <w:rsid w:val="00233004"/>
    <w:rsid w:val="00236C28"/>
    <w:rsid w:val="00242BA6"/>
    <w:rsid w:val="002433F4"/>
    <w:rsid w:val="00256135"/>
    <w:rsid w:val="0026074C"/>
    <w:rsid w:val="00263707"/>
    <w:rsid w:val="00281CF0"/>
    <w:rsid w:val="00284C92"/>
    <w:rsid w:val="00286FC2"/>
    <w:rsid w:val="00290A32"/>
    <w:rsid w:val="002943E0"/>
    <w:rsid w:val="002A2A31"/>
    <w:rsid w:val="002B7083"/>
    <w:rsid w:val="002B7A0E"/>
    <w:rsid w:val="002C7331"/>
    <w:rsid w:val="002F7A05"/>
    <w:rsid w:val="0031011D"/>
    <w:rsid w:val="0031095F"/>
    <w:rsid w:val="003129D6"/>
    <w:rsid w:val="00316880"/>
    <w:rsid w:val="00317932"/>
    <w:rsid w:val="003226F4"/>
    <w:rsid w:val="003361A3"/>
    <w:rsid w:val="00344C72"/>
    <w:rsid w:val="00371EFB"/>
    <w:rsid w:val="003763C7"/>
    <w:rsid w:val="003A7DFC"/>
    <w:rsid w:val="003B1A28"/>
    <w:rsid w:val="003B68AE"/>
    <w:rsid w:val="003D4D42"/>
    <w:rsid w:val="003E77BD"/>
    <w:rsid w:val="003E78B1"/>
    <w:rsid w:val="003F34E5"/>
    <w:rsid w:val="003F4553"/>
    <w:rsid w:val="0041572A"/>
    <w:rsid w:val="00416DF7"/>
    <w:rsid w:val="00431E55"/>
    <w:rsid w:val="00433D45"/>
    <w:rsid w:val="004407F4"/>
    <w:rsid w:val="00442062"/>
    <w:rsid w:val="004547FF"/>
    <w:rsid w:val="00456D11"/>
    <w:rsid w:val="00457002"/>
    <w:rsid w:val="00457D57"/>
    <w:rsid w:val="00463DAC"/>
    <w:rsid w:val="0046413A"/>
    <w:rsid w:val="004709E1"/>
    <w:rsid w:val="0048570C"/>
    <w:rsid w:val="00486078"/>
    <w:rsid w:val="004866BD"/>
    <w:rsid w:val="004A1763"/>
    <w:rsid w:val="004A1A7A"/>
    <w:rsid w:val="004B2B5D"/>
    <w:rsid w:val="004C5917"/>
    <w:rsid w:val="004C64B9"/>
    <w:rsid w:val="004D12A9"/>
    <w:rsid w:val="004E29B3"/>
    <w:rsid w:val="004E602E"/>
    <w:rsid w:val="004F03E2"/>
    <w:rsid w:val="004F4E4B"/>
    <w:rsid w:val="00503D1A"/>
    <w:rsid w:val="00512052"/>
    <w:rsid w:val="00513863"/>
    <w:rsid w:val="00516860"/>
    <w:rsid w:val="0054021B"/>
    <w:rsid w:val="00554D9F"/>
    <w:rsid w:val="005564B6"/>
    <w:rsid w:val="005564BA"/>
    <w:rsid w:val="00560DF0"/>
    <w:rsid w:val="00563CDE"/>
    <w:rsid w:val="00575847"/>
    <w:rsid w:val="00576666"/>
    <w:rsid w:val="00586F99"/>
    <w:rsid w:val="00590D07"/>
    <w:rsid w:val="00591800"/>
    <w:rsid w:val="00597795"/>
    <w:rsid w:val="005B15F9"/>
    <w:rsid w:val="005B2A27"/>
    <w:rsid w:val="005D291F"/>
    <w:rsid w:val="005D42B5"/>
    <w:rsid w:val="005E6A80"/>
    <w:rsid w:val="005F279D"/>
    <w:rsid w:val="005F5118"/>
    <w:rsid w:val="005F5EDF"/>
    <w:rsid w:val="005F6DE7"/>
    <w:rsid w:val="005F726F"/>
    <w:rsid w:val="006062E8"/>
    <w:rsid w:val="006165BC"/>
    <w:rsid w:val="00624327"/>
    <w:rsid w:val="006333EC"/>
    <w:rsid w:val="0064052C"/>
    <w:rsid w:val="00641F7C"/>
    <w:rsid w:val="006453E0"/>
    <w:rsid w:val="0065179B"/>
    <w:rsid w:val="006610CD"/>
    <w:rsid w:val="00663834"/>
    <w:rsid w:val="00674DC4"/>
    <w:rsid w:val="006826E7"/>
    <w:rsid w:val="00692D30"/>
    <w:rsid w:val="00693CB0"/>
    <w:rsid w:val="006953C2"/>
    <w:rsid w:val="006B2A51"/>
    <w:rsid w:val="006B4C4A"/>
    <w:rsid w:val="006C44D9"/>
    <w:rsid w:val="006C47BF"/>
    <w:rsid w:val="006C7400"/>
    <w:rsid w:val="006D558E"/>
    <w:rsid w:val="006F54B5"/>
    <w:rsid w:val="006F7156"/>
    <w:rsid w:val="006F747D"/>
    <w:rsid w:val="006F7BF7"/>
    <w:rsid w:val="00713495"/>
    <w:rsid w:val="007158CB"/>
    <w:rsid w:val="00723F46"/>
    <w:rsid w:val="00744913"/>
    <w:rsid w:val="0074714D"/>
    <w:rsid w:val="00752671"/>
    <w:rsid w:val="00767234"/>
    <w:rsid w:val="0077027E"/>
    <w:rsid w:val="00770939"/>
    <w:rsid w:val="0078387F"/>
    <w:rsid w:val="00784D58"/>
    <w:rsid w:val="007910B2"/>
    <w:rsid w:val="0079130E"/>
    <w:rsid w:val="00796D52"/>
    <w:rsid w:val="007A0954"/>
    <w:rsid w:val="007A3D43"/>
    <w:rsid w:val="007A78F3"/>
    <w:rsid w:val="007B2D52"/>
    <w:rsid w:val="007B3AED"/>
    <w:rsid w:val="007C1ADE"/>
    <w:rsid w:val="007C5D0E"/>
    <w:rsid w:val="007D05D7"/>
    <w:rsid w:val="007D17D1"/>
    <w:rsid w:val="007D493D"/>
    <w:rsid w:val="007E3DEF"/>
    <w:rsid w:val="007E6987"/>
    <w:rsid w:val="007F4587"/>
    <w:rsid w:val="007F6EBF"/>
    <w:rsid w:val="00800D3E"/>
    <w:rsid w:val="00800EAF"/>
    <w:rsid w:val="00807D7E"/>
    <w:rsid w:val="0081101A"/>
    <w:rsid w:val="00811F93"/>
    <w:rsid w:val="0081518E"/>
    <w:rsid w:val="0082731A"/>
    <w:rsid w:val="008339A3"/>
    <w:rsid w:val="00842DE3"/>
    <w:rsid w:val="008516D6"/>
    <w:rsid w:val="0085767E"/>
    <w:rsid w:val="00861D9C"/>
    <w:rsid w:val="008651E9"/>
    <w:rsid w:val="0087346E"/>
    <w:rsid w:val="00874E64"/>
    <w:rsid w:val="008762D6"/>
    <w:rsid w:val="00883B29"/>
    <w:rsid w:val="0089034B"/>
    <w:rsid w:val="00893176"/>
    <w:rsid w:val="00893EC6"/>
    <w:rsid w:val="008A599E"/>
    <w:rsid w:val="008D6863"/>
    <w:rsid w:val="008D7610"/>
    <w:rsid w:val="008E231F"/>
    <w:rsid w:val="008F3366"/>
    <w:rsid w:val="00906983"/>
    <w:rsid w:val="00920B01"/>
    <w:rsid w:val="00931F5C"/>
    <w:rsid w:val="00950500"/>
    <w:rsid w:val="00965DDD"/>
    <w:rsid w:val="00965F0B"/>
    <w:rsid w:val="009663A9"/>
    <w:rsid w:val="009732F2"/>
    <w:rsid w:val="00986E6E"/>
    <w:rsid w:val="00990A14"/>
    <w:rsid w:val="0099446B"/>
    <w:rsid w:val="009945B9"/>
    <w:rsid w:val="009952E5"/>
    <w:rsid w:val="00996D5B"/>
    <w:rsid w:val="009A01E3"/>
    <w:rsid w:val="009A22E8"/>
    <w:rsid w:val="009A2CE1"/>
    <w:rsid w:val="009A7DBE"/>
    <w:rsid w:val="009B473E"/>
    <w:rsid w:val="009C0AC6"/>
    <w:rsid w:val="009C1252"/>
    <w:rsid w:val="009D338F"/>
    <w:rsid w:val="009D36CE"/>
    <w:rsid w:val="009D621C"/>
    <w:rsid w:val="009D7BDA"/>
    <w:rsid w:val="009E47B2"/>
    <w:rsid w:val="009F600C"/>
    <w:rsid w:val="00A03460"/>
    <w:rsid w:val="00A13BEF"/>
    <w:rsid w:val="00A15CF8"/>
    <w:rsid w:val="00A26512"/>
    <w:rsid w:val="00A326A9"/>
    <w:rsid w:val="00A518F8"/>
    <w:rsid w:val="00A51CFE"/>
    <w:rsid w:val="00A52579"/>
    <w:rsid w:val="00A53BD1"/>
    <w:rsid w:val="00A54040"/>
    <w:rsid w:val="00A54F11"/>
    <w:rsid w:val="00A62FCC"/>
    <w:rsid w:val="00A71933"/>
    <w:rsid w:val="00A7244C"/>
    <w:rsid w:val="00A81B82"/>
    <w:rsid w:val="00A94D1D"/>
    <w:rsid w:val="00A96261"/>
    <w:rsid w:val="00AA0D45"/>
    <w:rsid w:val="00AA4733"/>
    <w:rsid w:val="00AA5191"/>
    <w:rsid w:val="00AB2A51"/>
    <w:rsid w:val="00AB7C7F"/>
    <w:rsid w:val="00AC3BA0"/>
    <w:rsid w:val="00AC59D3"/>
    <w:rsid w:val="00AD0148"/>
    <w:rsid w:val="00AD679A"/>
    <w:rsid w:val="00AE1164"/>
    <w:rsid w:val="00AE2C6A"/>
    <w:rsid w:val="00AE74A5"/>
    <w:rsid w:val="00AF0A95"/>
    <w:rsid w:val="00AF0C99"/>
    <w:rsid w:val="00AF726A"/>
    <w:rsid w:val="00B02242"/>
    <w:rsid w:val="00B02F7E"/>
    <w:rsid w:val="00B154FA"/>
    <w:rsid w:val="00B255F0"/>
    <w:rsid w:val="00B25ED2"/>
    <w:rsid w:val="00B40C3B"/>
    <w:rsid w:val="00B416EF"/>
    <w:rsid w:val="00B544DD"/>
    <w:rsid w:val="00B560F9"/>
    <w:rsid w:val="00B57DC1"/>
    <w:rsid w:val="00B66D89"/>
    <w:rsid w:val="00B706D1"/>
    <w:rsid w:val="00B75841"/>
    <w:rsid w:val="00B77A2D"/>
    <w:rsid w:val="00B86B75"/>
    <w:rsid w:val="00B9240F"/>
    <w:rsid w:val="00B935DB"/>
    <w:rsid w:val="00B94158"/>
    <w:rsid w:val="00B970F5"/>
    <w:rsid w:val="00BC48D5"/>
    <w:rsid w:val="00BC7841"/>
    <w:rsid w:val="00BD079F"/>
    <w:rsid w:val="00BD6BBE"/>
    <w:rsid w:val="00BE3B1E"/>
    <w:rsid w:val="00BF3E7C"/>
    <w:rsid w:val="00BF7CC2"/>
    <w:rsid w:val="00BF7EDA"/>
    <w:rsid w:val="00C023EE"/>
    <w:rsid w:val="00C119B5"/>
    <w:rsid w:val="00C12618"/>
    <w:rsid w:val="00C1374C"/>
    <w:rsid w:val="00C217DA"/>
    <w:rsid w:val="00C253B4"/>
    <w:rsid w:val="00C273E2"/>
    <w:rsid w:val="00C36279"/>
    <w:rsid w:val="00C36860"/>
    <w:rsid w:val="00C46E6D"/>
    <w:rsid w:val="00C50153"/>
    <w:rsid w:val="00C5547A"/>
    <w:rsid w:val="00C5695D"/>
    <w:rsid w:val="00C62F7A"/>
    <w:rsid w:val="00C73F36"/>
    <w:rsid w:val="00C77910"/>
    <w:rsid w:val="00C80DAC"/>
    <w:rsid w:val="00C859C0"/>
    <w:rsid w:val="00C8734F"/>
    <w:rsid w:val="00C8751B"/>
    <w:rsid w:val="00C9366E"/>
    <w:rsid w:val="00C958B7"/>
    <w:rsid w:val="00CA2A46"/>
    <w:rsid w:val="00CB2E36"/>
    <w:rsid w:val="00CB3F91"/>
    <w:rsid w:val="00CC0A3F"/>
    <w:rsid w:val="00CC4CBC"/>
    <w:rsid w:val="00CD45AD"/>
    <w:rsid w:val="00CE16A2"/>
    <w:rsid w:val="00CF139A"/>
    <w:rsid w:val="00D17854"/>
    <w:rsid w:val="00D2575E"/>
    <w:rsid w:val="00D27976"/>
    <w:rsid w:val="00D41388"/>
    <w:rsid w:val="00D4361F"/>
    <w:rsid w:val="00D50978"/>
    <w:rsid w:val="00D513EF"/>
    <w:rsid w:val="00D62096"/>
    <w:rsid w:val="00D649B7"/>
    <w:rsid w:val="00D762EA"/>
    <w:rsid w:val="00D92F7E"/>
    <w:rsid w:val="00D967E1"/>
    <w:rsid w:val="00DA4FC5"/>
    <w:rsid w:val="00DB3E9F"/>
    <w:rsid w:val="00DB4196"/>
    <w:rsid w:val="00DC07EF"/>
    <w:rsid w:val="00DC3ABF"/>
    <w:rsid w:val="00DC3D0A"/>
    <w:rsid w:val="00DD0CB9"/>
    <w:rsid w:val="00DD1100"/>
    <w:rsid w:val="00DE2D70"/>
    <w:rsid w:val="00DE4873"/>
    <w:rsid w:val="00DE7FF7"/>
    <w:rsid w:val="00DF08FA"/>
    <w:rsid w:val="00DF58FD"/>
    <w:rsid w:val="00DF7F4D"/>
    <w:rsid w:val="00E011FF"/>
    <w:rsid w:val="00E04D2B"/>
    <w:rsid w:val="00E07BF6"/>
    <w:rsid w:val="00E179FD"/>
    <w:rsid w:val="00E315A3"/>
    <w:rsid w:val="00E42F02"/>
    <w:rsid w:val="00E461E0"/>
    <w:rsid w:val="00E47789"/>
    <w:rsid w:val="00E62EBE"/>
    <w:rsid w:val="00E63993"/>
    <w:rsid w:val="00E672CA"/>
    <w:rsid w:val="00E706D6"/>
    <w:rsid w:val="00E76073"/>
    <w:rsid w:val="00E761AE"/>
    <w:rsid w:val="00E82899"/>
    <w:rsid w:val="00E86501"/>
    <w:rsid w:val="00E86C88"/>
    <w:rsid w:val="00E87B8B"/>
    <w:rsid w:val="00E918E2"/>
    <w:rsid w:val="00EA3056"/>
    <w:rsid w:val="00EB1414"/>
    <w:rsid w:val="00ED0355"/>
    <w:rsid w:val="00ED226F"/>
    <w:rsid w:val="00EE192C"/>
    <w:rsid w:val="00EE1D8E"/>
    <w:rsid w:val="00EE793A"/>
    <w:rsid w:val="00EF18D2"/>
    <w:rsid w:val="00EF407E"/>
    <w:rsid w:val="00F02DBB"/>
    <w:rsid w:val="00F03C0E"/>
    <w:rsid w:val="00F23EDA"/>
    <w:rsid w:val="00F24D52"/>
    <w:rsid w:val="00F309D7"/>
    <w:rsid w:val="00F35A66"/>
    <w:rsid w:val="00F37069"/>
    <w:rsid w:val="00F42393"/>
    <w:rsid w:val="00F43BEF"/>
    <w:rsid w:val="00F64628"/>
    <w:rsid w:val="00F6698F"/>
    <w:rsid w:val="00F74D49"/>
    <w:rsid w:val="00F750D9"/>
    <w:rsid w:val="00F865B4"/>
    <w:rsid w:val="00F86B02"/>
    <w:rsid w:val="00FA14E9"/>
    <w:rsid w:val="00FB597A"/>
    <w:rsid w:val="00FC03BC"/>
    <w:rsid w:val="00FC16E7"/>
    <w:rsid w:val="00FC3147"/>
    <w:rsid w:val="00FD0774"/>
    <w:rsid w:val="00FD7138"/>
    <w:rsid w:val="00FE1377"/>
    <w:rsid w:val="00FE3631"/>
    <w:rsid w:val="00FE7DE6"/>
    <w:rsid w:val="00FF04CE"/>
    <w:rsid w:val="00FF28A9"/>
    <w:rsid w:val="00FF56AE"/>
    <w:rsid w:val="00FF5981"/>
  </w:rsids>
  <m:mathPr>
    <m:mathFont m:val="Cambria Math"/>
    <m:brkBin m:val="before"/>
    <m:brkBinSub m:val="--"/>
    <m:smallFrac m:val="0"/>
    <m:dispDef m:val="0"/>
    <m:lMargin m:val="0"/>
    <m:rMargin m:val="0"/>
    <m:defJc m:val="centerGroup"/>
    <m:wrapRight/>
    <m:intLim m:val="subSup"/>
    <m:naryLim m:val="subSup"/>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DCEBA"/>
  <w15:docId w15:val="{8523E7BE-E398-D940-AD6E-C3902CA44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Hyperlink" w:uiPriority="99"/>
    <w:lsdException w:name="Strong" w:uiPriority="22"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
    <w:name w:val="Abstract"/>
    <w:basedOn w:val="Normal"/>
    <w:next w:val="BodyText"/>
    <w:qFormat/>
    <w:pPr>
      <w:keepNext/>
      <w:keepLines/>
      <w:spacing w:before="3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TOC2">
    <w:name w:val="toc 2"/>
    <w:basedOn w:val="Normal"/>
    <w:next w:val="Normal"/>
    <w:autoRedefine/>
    <w:uiPriority w:val="39"/>
    <w:rsid w:val="003E78B1"/>
    <w:pPr>
      <w:pBdr>
        <w:between w:val="double" w:sz="6" w:space="0" w:color="auto"/>
      </w:pBdr>
      <w:spacing w:before="120" w:after="120"/>
      <w:jc w:val="center"/>
    </w:pPr>
    <w:rPr>
      <w:rFonts w:cs="Times New Roman"/>
      <w:i/>
      <w:iCs/>
      <w:sz w:val="20"/>
    </w:rPr>
  </w:style>
  <w:style w:type="paragraph" w:styleId="TOC1">
    <w:name w:val="toc 1"/>
    <w:basedOn w:val="Normal"/>
    <w:next w:val="Normal"/>
    <w:autoRedefine/>
    <w:uiPriority w:val="39"/>
    <w:rsid w:val="003E78B1"/>
    <w:pPr>
      <w:pBdr>
        <w:between w:val="double" w:sz="6" w:space="0" w:color="auto"/>
      </w:pBdr>
      <w:spacing w:before="120" w:after="120"/>
      <w:jc w:val="center"/>
    </w:pPr>
    <w:rPr>
      <w:rFonts w:cs="Times New Roman"/>
      <w:b/>
      <w:bCs/>
      <w:i/>
      <w:iCs/>
      <w:szCs w:val="28"/>
    </w:rPr>
  </w:style>
  <w:style w:type="paragraph" w:styleId="NormalWeb">
    <w:name w:val="Normal (Web)"/>
    <w:basedOn w:val="Normal"/>
    <w:uiPriority w:val="99"/>
    <w:unhideWhenUsed/>
    <w:rsid w:val="003E78B1"/>
    <w:pPr>
      <w:spacing w:before="100" w:beforeAutospacing="1" w:after="100" w:afterAutospacing="1"/>
    </w:pPr>
    <w:rPr>
      <w:rFonts w:ascii="Times New Roman" w:eastAsia="Times New Roman" w:hAnsi="Times New Roman" w:cs="Times New Roman"/>
      <w:lang w:val="en-GB" w:eastAsia="en-GB" w:bidi="si-LK"/>
    </w:rPr>
  </w:style>
  <w:style w:type="table" w:styleId="TableGrid">
    <w:name w:val="Table Grid"/>
    <w:basedOn w:val="TableNormal"/>
    <w:rsid w:val="007D17D1"/>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rsid w:val="007D17D1"/>
    <w:pPr>
      <w:spacing w:after="0"/>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rsid w:val="007D17D1"/>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Accent3">
    <w:name w:val="Grid Table 2 Accent 3"/>
    <w:basedOn w:val="TableNormal"/>
    <w:uiPriority w:val="47"/>
    <w:rsid w:val="007D17D1"/>
    <w:pPr>
      <w:spacing w:after="0"/>
    </w:pPr>
    <w:tblPr>
      <w:tblStyleRowBandSize w:val="1"/>
      <w:tblStyleColBandSize w:val="1"/>
      <w:tblBorders>
        <w:top w:val="single" w:sz="2" w:space="0" w:color="C2D69B" w:themeColor="accent3" w:themeTint="99"/>
        <w:bottom w:val="single" w:sz="2" w:space="0" w:color="C2D69B" w:themeColor="accent3" w:themeTint="99"/>
        <w:insideH w:val="single" w:sz="2" w:space="0" w:color="C2D69B" w:themeColor="accent3" w:themeTint="99"/>
        <w:insideV w:val="single" w:sz="2" w:space="0" w:color="C2D69B" w:themeColor="accent3" w:themeTint="99"/>
      </w:tblBorders>
    </w:tblPr>
    <w:tblStylePr w:type="firstRow">
      <w:rPr>
        <w:b/>
        <w:bCs/>
      </w:rPr>
      <w:tblPr/>
      <w:tcPr>
        <w:tcBorders>
          <w:top w:val="nil"/>
          <w:bottom w:val="single" w:sz="12" w:space="0" w:color="C2D69B" w:themeColor="accent3" w:themeTint="99"/>
          <w:insideH w:val="nil"/>
          <w:insideV w:val="nil"/>
        </w:tcBorders>
        <w:shd w:val="clear" w:color="auto" w:fill="FFFFFF" w:themeFill="background1"/>
      </w:tcPr>
    </w:tblStylePr>
    <w:tblStylePr w:type="lastRow">
      <w:rPr>
        <w:b/>
        <w:bCs/>
      </w:rPr>
      <w:tblPr/>
      <w:tcPr>
        <w:tcBorders>
          <w:top w:val="double" w:sz="2" w:space="0" w:color="C2D69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2-Accent2">
    <w:name w:val="Grid Table 2 Accent 2"/>
    <w:basedOn w:val="TableNormal"/>
    <w:uiPriority w:val="47"/>
    <w:rsid w:val="007D17D1"/>
    <w:pPr>
      <w:spacing w:after="0"/>
    </w:pPr>
    <w:tblPr>
      <w:tblStyleRowBandSize w:val="1"/>
      <w:tblStyleColBandSize w:val="1"/>
      <w:tblBorders>
        <w:top w:val="single" w:sz="2" w:space="0" w:color="D99594" w:themeColor="accent2" w:themeTint="99"/>
        <w:bottom w:val="single" w:sz="2" w:space="0" w:color="D99594" w:themeColor="accent2" w:themeTint="99"/>
        <w:insideH w:val="single" w:sz="2" w:space="0" w:color="D99594" w:themeColor="accent2" w:themeTint="99"/>
        <w:insideV w:val="single" w:sz="2" w:space="0" w:color="D99594" w:themeColor="accent2" w:themeTint="99"/>
      </w:tblBorders>
    </w:tblPr>
    <w:tblStylePr w:type="firstRow">
      <w:rPr>
        <w:b/>
        <w:bCs/>
      </w:rPr>
      <w:tblPr/>
      <w:tcPr>
        <w:tcBorders>
          <w:top w:val="nil"/>
          <w:bottom w:val="single" w:sz="12" w:space="0" w:color="D99594" w:themeColor="accent2" w:themeTint="99"/>
          <w:insideH w:val="nil"/>
          <w:insideV w:val="nil"/>
        </w:tcBorders>
        <w:shd w:val="clear" w:color="auto" w:fill="FFFFFF" w:themeFill="background1"/>
      </w:tcPr>
    </w:tblStylePr>
    <w:tblStylePr w:type="lastRow">
      <w:rPr>
        <w:b/>
        <w:bCs/>
      </w:rPr>
      <w:tblPr/>
      <w:tcPr>
        <w:tcBorders>
          <w:top w:val="double" w:sz="2" w:space="0" w:color="D9959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2-Accent1">
    <w:name w:val="Grid Table 2 Accent 1"/>
    <w:basedOn w:val="TableNormal"/>
    <w:uiPriority w:val="47"/>
    <w:rsid w:val="007D17D1"/>
    <w:pPr>
      <w:spacing w:after="0"/>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1LightAccent2">
    <w:name w:val="Grid Table 1 Light Accent 2"/>
    <w:basedOn w:val="TableNormal"/>
    <w:uiPriority w:val="46"/>
    <w:rsid w:val="007D17D1"/>
    <w:pPr>
      <w:spacing w:after="0"/>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7D17D1"/>
    <w:pPr>
      <w:spacing w:after="0"/>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7D17D1"/>
    <w:pPr>
      <w:spacing w:after="0"/>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5Dark-Accent3">
    <w:name w:val="Grid Table 5 Dark Accent 3"/>
    <w:basedOn w:val="TableNormal"/>
    <w:uiPriority w:val="50"/>
    <w:rsid w:val="007D17D1"/>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2">
    <w:name w:val="Grid Table 5 Dark Accent 2"/>
    <w:basedOn w:val="TableNormal"/>
    <w:uiPriority w:val="50"/>
    <w:rsid w:val="007D17D1"/>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Accent1">
    <w:name w:val="Grid Table 5 Dark Accent 1"/>
    <w:basedOn w:val="TableNormal"/>
    <w:uiPriority w:val="50"/>
    <w:rsid w:val="007D17D1"/>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4">
    <w:name w:val="Grid Table 5 Dark Accent 4"/>
    <w:basedOn w:val="TableNormal"/>
    <w:uiPriority w:val="50"/>
    <w:rsid w:val="007D17D1"/>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5">
    <w:name w:val="Grid Table 5 Dark Accent 5"/>
    <w:basedOn w:val="TableNormal"/>
    <w:uiPriority w:val="50"/>
    <w:rsid w:val="007D17D1"/>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5">
    <w:name w:val="Grid Table 4 Accent 5"/>
    <w:basedOn w:val="TableNormal"/>
    <w:uiPriority w:val="49"/>
    <w:rsid w:val="00A15CF8"/>
    <w:pPr>
      <w:spacing w:after="0"/>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styleId="UnresolvedMention">
    <w:name w:val="Unresolved Mention"/>
    <w:basedOn w:val="DefaultParagraphFont"/>
    <w:uiPriority w:val="99"/>
    <w:semiHidden/>
    <w:unhideWhenUsed/>
    <w:rsid w:val="001D42BD"/>
    <w:rPr>
      <w:color w:val="605E5C"/>
      <w:shd w:val="clear" w:color="auto" w:fill="E1DFDD"/>
    </w:rPr>
  </w:style>
  <w:style w:type="character" w:customStyle="1" w:styleId="TitleChar">
    <w:name w:val="Title Char"/>
    <w:basedOn w:val="DefaultParagraphFont"/>
    <w:link w:val="Title"/>
    <w:rsid w:val="00641F7C"/>
    <w:rPr>
      <w:rFonts w:asciiTheme="majorHAnsi" w:eastAsiaTheme="majorEastAsia" w:hAnsiTheme="majorHAnsi" w:cstheme="majorBidi"/>
      <w:b/>
      <w:bCs/>
      <w:color w:val="345A8A" w:themeColor="accent1" w:themeShade="B5"/>
      <w:sz w:val="36"/>
      <w:szCs w:val="36"/>
    </w:rPr>
  </w:style>
  <w:style w:type="paragraph" w:styleId="TOC3">
    <w:name w:val="toc 3"/>
    <w:basedOn w:val="Normal"/>
    <w:next w:val="Normal"/>
    <w:autoRedefine/>
    <w:uiPriority w:val="39"/>
    <w:unhideWhenUsed/>
    <w:rsid w:val="00512052"/>
    <w:pPr>
      <w:pBdr>
        <w:between w:val="double" w:sz="6" w:space="0" w:color="auto"/>
      </w:pBdr>
      <w:spacing w:before="120" w:after="120"/>
      <w:ind w:left="240"/>
      <w:jc w:val="center"/>
    </w:pPr>
    <w:rPr>
      <w:rFonts w:cs="Times New Roman"/>
      <w:sz w:val="20"/>
    </w:rPr>
  </w:style>
  <w:style w:type="character" w:customStyle="1" w:styleId="BodyTextChar">
    <w:name w:val="Body Text Char"/>
    <w:basedOn w:val="DefaultParagraphFont"/>
    <w:link w:val="BodyText"/>
    <w:rsid w:val="00EF407E"/>
  </w:style>
  <w:style w:type="table" w:styleId="GridTable5Dark">
    <w:name w:val="Grid Table 5 Dark"/>
    <w:basedOn w:val="TableNormal"/>
    <w:uiPriority w:val="50"/>
    <w:rsid w:val="001D3FF0"/>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6">
    <w:name w:val="Grid Table 4 Accent 6"/>
    <w:basedOn w:val="TableNormal"/>
    <w:uiPriority w:val="49"/>
    <w:rsid w:val="001D3FF0"/>
    <w:pPr>
      <w:spacing w:after="0"/>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2-Accent4">
    <w:name w:val="Grid Table 2 Accent 4"/>
    <w:basedOn w:val="TableNormal"/>
    <w:uiPriority w:val="47"/>
    <w:rsid w:val="00C119B5"/>
    <w:pPr>
      <w:spacing w:after="0"/>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3-Accent6">
    <w:name w:val="Grid Table 3 Accent 6"/>
    <w:basedOn w:val="TableNormal"/>
    <w:uiPriority w:val="48"/>
    <w:rsid w:val="007C5D0E"/>
    <w:pPr>
      <w:spacing w:after="0"/>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GridTable3-Accent5">
    <w:name w:val="Grid Table 3 Accent 5"/>
    <w:basedOn w:val="TableNormal"/>
    <w:uiPriority w:val="48"/>
    <w:rsid w:val="007C5D0E"/>
    <w:pPr>
      <w:spacing w:after="0"/>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GridTable3-Accent4">
    <w:name w:val="Grid Table 3 Accent 4"/>
    <w:basedOn w:val="TableNormal"/>
    <w:uiPriority w:val="48"/>
    <w:rsid w:val="007C5D0E"/>
    <w:pPr>
      <w:spacing w:after="0"/>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GridTable3-Accent3">
    <w:name w:val="Grid Table 3 Accent 3"/>
    <w:basedOn w:val="TableNormal"/>
    <w:uiPriority w:val="48"/>
    <w:rsid w:val="007C5D0E"/>
    <w:pPr>
      <w:spacing w:after="0"/>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table" w:styleId="GridTable3-Accent2">
    <w:name w:val="Grid Table 3 Accent 2"/>
    <w:basedOn w:val="TableNormal"/>
    <w:uiPriority w:val="48"/>
    <w:rsid w:val="007C5D0E"/>
    <w:pPr>
      <w:spacing w:after="0"/>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 w:type="table" w:styleId="GridTable3-Accent1">
    <w:name w:val="Grid Table 3 Accent 1"/>
    <w:basedOn w:val="TableNormal"/>
    <w:uiPriority w:val="48"/>
    <w:rsid w:val="007C5D0E"/>
    <w:pPr>
      <w:spacing w:after="0"/>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ridTable6ColourfulAccent6">
    <w:name w:val="Grid Table 6 Colorful Accent 6"/>
    <w:basedOn w:val="TableNormal"/>
    <w:uiPriority w:val="51"/>
    <w:rsid w:val="007C5D0E"/>
    <w:pPr>
      <w:spacing w:after="0"/>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7Colourful">
    <w:name w:val="Grid Table 7 Colorful"/>
    <w:basedOn w:val="TableNormal"/>
    <w:uiPriority w:val="52"/>
    <w:rsid w:val="007C5D0E"/>
    <w:pPr>
      <w:spacing w:after="0"/>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1Light">
    <w:name w:val="List Table 1 Light"/>
    <w:basedOn w:val="TableNormal"/>
    <w:uiPriority w:val="46"/>
    <w:rsid w:val="007C5D0E"/>
    <w:pPr>
      <w:spacing w:after="0"/>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7C5D0E"/>
    <w:pPr>
      <w:spacing w:after="0"/>
    </w:pPr>
    <w:tblPr>
      <w:tblStyleRowBandSize w:val="1"/>
      <w:tblStyleColBandSize w:val="1"/>
    </w:tblPr>
    <w:tblStylePr w:type="firstRow">
      <w:rPr>
        <w:b/>
        <w:bCs/>
      </w:rPr>
      <w:tblPr/>
      <w:tcPr>
        <w:tcBorders>
          <w:bottom w:val="single" w:sz="4" w:space="0" w:color="95B3D7" w:themeColor="accent1" w:themeTint="99"/>
        </w:tcBorders>
      </w:tcPr>
    </w:tblStylePr>
    <w:tblStylePr w:type="lastRow">
      <w:rPr>
        <w:b/>
        <w:bCs/>
      </w:rPr>
      <w:tblPr/>
      <w:tcPr>
        <w:tcBorders>
          <w:top w:val="sing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ListTable1Light-Accent2">
    <w:name w:val="List Table 1 Light Accent 2"/>
    <w:basedOn w:val="TableNormal"/>
    <w:uiPriority w:val="46"/>
    <w:rsid w:val="00F23EDA"/>
    <w:pPr>
      <w:spacing w:after="0"/>
    </w:pPr>
    <w:tblPr>
      <w:tblStyleRowBandSize w:val="1"/>
      <w:tblStyleColBandSize w:val="1"/>
    </w:tblPr>
    <w:tblStylePr w:type="firstRow">
      <w:rPr>
        <w:b/>
        <w:bCs/>
      </w:rPr>
      <w:tblPr/>
      <w:tcPr>
        <w:tcBorders>
          <w:bottom w:val="single" w:sz="4" w:space="0" w:color="D99594" w:themeColor="accent2" w:themeTint="99"/>
        </w:tcBorders>
      </w:tcPr>
    </w:tblStylePr>
    <w:tblStylePr w:type="lastRow">
      <w:rPr>
        <w:b/>
        <w:bCs/>
      </w:rPr>
      <w:tblPr/>
      <w:tcPr>
        <w:tcBorders>
          <w:top w:val="sing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Header">
    <w:name w:val="header"/>
    <w:basedOn w:val="Normal"/>
    <w:link w:val="HeaderChar"/>
    <w:rsid w:val="00E86C88"/>
    <w:pPr>
      <w:tabs>
        <w:tab w:val="center" w:pos="4513"/>
        <w:tab w:val="right" w:pos="9026"/>
      </w:tabs>
      <w:spacing w:after="0"/>
    </w:pPr>
  </w:style>
  <w:style w:type="character" w:customStyle="1" w:styleId="HeaderChar">
    <w:name w:val="Header Char"/>
    <w:basedOn w:val="DefaultParagraphFont"/>
    <w:link w:val="Header"/>
    <w:rsid w:val="00E86C88"/>
  </w:style>
  <w:style w:type="character" w:styleId="PageNumber">
    <w:name w:val="page number"/>
    <w:basedOn w:val="DefaultParagraphFont"/>
    <w:rsid w:val="00E86C88"/>
  </w:style>
  <w:style w:type="paragraph" w:styleId="TOC4">
    <w:name w:val="toc 4"/>
    <w:basedOn w:val="Normal"/>
    <w:next w:val="Normal"/>
    <w:autoRedefine/>
    <w:rsid w:val="006C44D9"/>
    <w:pPr>
      <w:pBdr>
        <w:between w:val="double" w:sz="6" w:space="0" w:color="auto"/>
      </w:pBdr>
      <w:spacing w:before="120" w:after="120"/>
      <w:ind w:left="480"/>
      <w:jc w:val="center"/>
    </w:pPr>
    <w:rPr>
      <w:rFonts w:cs="Times New Roman"/>
      <w:sz w:val="20"/>
    </w:rPr>
  </w:style>
  <w:style w:type="paragraph" w:styleId="TOC5">
    <w:name w:val="toc 5"/>
    <w:basedOn w:val="Normal"/>
    <w:next w:val="Normal"/>
    <w:autoRedefine/>
    <w:rsid w:val="006C44D9"/>
    <w:pPr>
      <w:pBdr>
        <w:between w:val="double" w:sz="6" w:space="0" w:color="auto"/>
      </w:pBdr>
      <w:spacing w:before="120" w:after="120"/>
      <w:ind w:left="720"/>
      <w:jc w:val="center"/>
    </w:pPr>
    <w:rPr>
      <w:rFonts w:cs="Times New Roman"/>
      <w:sz w:val="20"/>
    </w:rPr>
  </w:style>
  <w:style w:type="paragraph" w:styleId="TOC6">
    <w:name w:val="toc 6"/>
    <w:basedOn w:val="Normal"/>
    <w:next w:val="Normal"/>
    <w:autoRedefine/>
    <w:rsid w:val="006C44D9"/>
    <w:pPr>
      <w:pBdr>
        <w:between w:val="double" w:sz="6" w:space="0" w:color="auto"/>
      </w:pBdr>
      <w:spacing w:before="120" w:after="120"/>
      <w:ind w:left="960"/>
      <w:jc w:val="center"/>
    </w:pPr>
    <w:rPr>
      <w:rFonts w:cs="Times New Roman"/>
      <w:sz w:val="20"/>
    </w:rPr>
  </w:style>
  <w:style w:type="paragraph" w:styleId="TOC7">
    <w:name w:val="toc 7"/>
    <w:basedOn w:val="Normal"/>
    <w:next w:val="Normal"/>
    <w:autoRedefine/>
    <w:rsid w:val="006C44D9"/>
    <w:pPr>
      <w:pBdr>
        <w:between w:val="double" w:sz="6" w:space="0" w:color="auto"/>
      </w:pBdr>
      <w:spacing w:before="120" w:after="120"/>
      <w:ind w:left="1200"/>
      <w:jc w:val="center"/>
    </w:pPr>
    <w:rPr>
      <w:rFonts w:cs="Times New Roman"/>
      <w:sz w:val="20"/>
    </w:rPr>
  </w:style>
  <w:style w:type="paragraph" w:styleId="TOC8">
    <w:name w:val="toc 8"/>
    <w:basedOn w:val="Normal"/>
    <w:next w:val="Normal"/>
    <w:autoRedefine/>
    <w:rsid w:val="006C44D9"/>
    <w:pPr>
      <w:pBdr>
        <w:between w:val="double" w:sz="6" w:space="0" w:color="auto"/>
      </w:pBdr>
      <w:spacing w:before="120" w:after="120"/>
      <w:ind w:left="1440"/>
      <w:jc w:val="center"/>
    </w:pPr>
    <w:rPr>
      <w:rFonts w:cs="Times New Roman"/>
      <w:sz w:val="20"/>
    </w:rPr>
  </w:style>
  <w:style w:type="paragraph" w:styleId="TOC9">
    <w:name w:val="toc 9"/>
    <w:basedOn w:val="Normal"/>
    <w:next w:val="Normal"/>
    <w:autoRedefine/>
    <w:rsid w:val="006C44D9"/>
    <w:pPr>
      <w:pBdr>
        <w:between w:val="double" w:sz="6" w:space="0" w:color="auto"/>
      </w:pBdr>
      <w:spacing w:before="120" w:after="120"/>
      <w:ind w:left="1680"/>
      <w:jc w:val="center"/>
    </w:pPr>
    <w:rPr>
      <w:rFonts w:cs="Times New Roman"/>
      <w:sz w:val="20"/>
    </w:rPr>
  </w:style>
  <w:style w:type="character" w:styleId="Strong">
    <w:name w:val="Strong"/>
    <w:basedOn w:val="DefaultParagraphFont"/>
    <w:uiPriority w:val="22"/>
    <w:qFormat/>
    <w:rsid w:val="0031011D"/>
    <w:rPr>
      <w:b/>
      <w:bCs/>
    </w:rPr>
  </w:style>
  <w:style w:type="character" w:styleId="Emphasis">
    <w:name w:val="Emphasis"/>
    <w:basedOn w:val="DefaultParagraphFont"/>
    <w:uiPriority w:val="20"/>
    <w:qFormat/>
    <w:rsid w:val="0031011D"/>
    <w:rPr>
      <w:i/>
      <w:iCs/>
    </w:rPr>
  </w:style>
  <w:style w:type="paragraph" w:customStyle="1" w:styleId="pdq2pgselectionanchorcontainer">
    <w:name w:val="pdq2pg_selectionanchorcontainer"/>
    <w:basedOn w:val="Normal"/>
    <w:rsid w:val="00C62F7A"/>
    <w:pPr>
      <w:spacing w:before="100" w:beforeAutospacing="1" w:after="100" w:afterAutospacing="1"/>
    </w:pPr>
    <w:rPr>
      <w:rFonts w:ascii="Times New Roman" w:eastAsia="Times New Roman" w:hAnsi="Times New Roman" w:cs="Times New Roman"/>
      <w:lang w:val="en-GB" w:eastAsia="en-GB" w:bidi="si-LK"/>
    </w:rPr>
  </w:style>
  <w:style w:type="character" w:styleId="FollowedHyperlink">
    <w:name w:val="FollowedHyperlink"/>
    <w:basedOn w:val="DefaultParagraphFont"/>
    <w:rsid w:val="00E8289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microsoft.com/office/2007/relationships/diagramDrawing" Target="diagrams/drawing1.xml"/><Relationship Id="rId39" Type="http://schemas.openxmlformats.org/officeDocument/2006/relationships/hyperlink" Target="https://www.dnaindia.com/business" TargetMode="External"/><Relationship Id="rId21" Type="http://schemas.openxmlformats.org/officeDocument/2006/relationships/chart" Target="charts/chart3.xml"/><Relationship Id="rId34" Type="http://schemas.microsoft.com/office/2007/relationships/diagramDrawing" Target="diagrams/drawing2.xml"/><Relationship Id="rId42" Type="http://schemas.openxmlformats.org/officeDocument/2006/relationships/hyperlink" Target="https://eastasiaforum.org/2026/02/23/reforms-stall-in-akds-sri-lanka/" TargetMode="External"/><Relationship Id="rId47" Type="http://schemas.openxmlformats.org/officeDocument/2006/relationships/hyperlink" Target="https://groundviews.org/2026/02/19/sri-lankas-comeback-story/" TargetMode="External"/><Relationship Id="rId50" Type="http://schemas.openxmlformats.org/officeDocument/2006/relationships/hyperlink" Target="https://www.imf.org/en/news/articles/2026/05/27/pr26172-sri-lanka-imf-completes-combined-5th-and-6th-reviews-under-eff" TargetMode="External"/><Relationship Id="rId55" Type="http://schemas.openxmlformats.org/officeDocument/2006/relationships/hyperlink" Target="https://corporate.mcdonalds.com" TargetMode="External"/><Relationship Id="rId63"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image" Target="media/image6.png"/><Relationship Id="rId11" Type="http://schemas.openxmlformats.org/officeDocument/2006/relationships/hyperlink" Target="https://creativecommons.org/licenses/by-sa/3.0/" TargetMode="External"/><Relationship Id="rId32" Type="http://schemas.openxmlformats.org/officeDocument/2006/relationships/diagramQuickStyle" Target="diagrams/quickStyle2.xml"/><Relationship Id="rId37" Type="http://schemas.openxmlformats.org/officeDocument/2006/relationships/hyperlink" Target="https://www.adb.org/sites/default/files/publication/1135881/sri-ado-april-2026.pdf" TargetMode="External"/><Relationship Id="rId40" Type="http://schemas.openxmlformats.org/officeDocument/2006/relationships/hyperlink" Target="https://www.jstor.org/stable/154984" TargetMode="External"/><Relationship Id="rId45" Type="http://schemas.openxmlformats.org/officeDocument/2006/relationships/hyperlink" Target="https://fourweekmba.com/mcdonalds-business-model/" TargetMode="External"/><Relationship Id="rId53" Type="http://schemas.openxmlformats.org/officeDocument/2006/relationships/hyperlink" Target="https://www.lexmundi.com/guides/foreign-investment-restrictions-guide/jurisdictions/asia-pacific/sri-lanka/" TargetMode="External"/><Relationship Id="rId58" Type="http://schemas.openxmlformats.org/officeDocument/2006/relationships/hyperlink" Target="https://doi.org/10.2307/2066725"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sltda.gov.lk/storage/common_media/Year_in_Review_2025_Final_updated_Report_2026_04_02-1.pdf" TargetMode="External"/><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customXml" Target="ink/ink1.xml"/><Relationship Id="rId30" Type="http://schemas.openxmlformats.org/officeDocument/2006/relationships/diagramData" Target="diagrams/data2.xml"/><Relationship Id="rId35" Type="http://schemas.openxmlformats.org/officeDocument/2006/relationships/hyperlink" Target="https://www.adaderana.lk/news/102942/mcdonalds-formally-ends-franchise-operations-in-sri-lanka" TargetMode="External"/><Relationship Id="rId43" Type="http://schemas.openxmlformats.org/officeDocument/2006/relationships/hyperlink" Target="https://enterslice.com/learning/lk/foreign-ownership-rules-in-sri-lanka/" TargetMode="External"/><Relationship Id="rId48" Type="http://schemas.openxmlformats.org/officeDocument/2006/relationships/hyperlink" Target="https://www.hofstede-insights.com/country-comparison-tool?countries=the-usa" TargetMode="External"/><Relationship Id="rId56" Type="http://schemas.openxmlformats.org/officeDocument/2006/relationships/hyperlink" Target="https://www.newswire.lk/2024/10/26/mcdonalds-dispute-new-update/" TargetMode="External"/><Relationship Id="rId64" Type="http://schemas.openxmlformats.org/officeDocument/2006/relationships/header" Target="header2.xml"/><Relationship Id="rId8" Type="http://schemas.openxmlformats.org/officeDocument/2006/relationships/image" Target="media/image1.png"/><Relationship Id="rId51" Type="http://schemas.openxmlformats.org/officeDocument/2006/relationships/hyperlink" Target="https://www.researchgate.net/publication/308335168_Cultural_Dimensions_of_Hofstede_and_Their_Impact_on_Organizational_Performance_in_Sri_Lanka"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diagramColors" Target="diagrams/colors1.xml"/><Relationship Id="rId33" Type="http://schemas.openxmlformats.org/officeDocument/2006/relationships/diagramColors" Target="diagrams/colors2.xml"/><Relationship Id="rId38" Type="http://schemas.openxmlformats.org/officeDocument/2006/relationships/hyperlink" Target="https://doi.org/10.5465/amr.1991.4279037" TargetMode="External"/><Relationship Id="rId46" Type="http://schemas.openxmlformats.org/officeDocument/2006/relationships/hyperlink" Target="https://www.scribd.com/document/396189261/Learning-by-Doing-Graham-Gibbs" TargetMode="External"/><Relationship Id="rId59" Type="http://schemas.openxmlformats.org/officeDocument/2006/relationships/hyperlink" Target="https://scroll.in/article/923298/how-the-delhi-realtor-who-helped-indianise-mcdonalds-ended-up-exiting-the-burger-chain" TargetMode="External"/><Relationship Id="rId20" Type="http://schemas.openxmlformats.org/officeDocument/2006/relationships/chart" Target="charts/chart2.xml"/><Relationship Id="rId41" Type="http://schemas.openxmlformats.org/officeDocument/2006/relationships/hyperlink" Target="https://economynext.com/sri-lanka-abans-says-mcdonalds-local-franchisee-mainly-owned-by-its-md-not-subsidiary-156486/" TargetMode="External"/><Relationship Id="rId54" Type="http://schemas.openxmlformats.org/officeDocument/2006/relationships/hyperlink" Target="https://matrixbcg.com/blogs/competitors/sapphirefoods" TargetMode="External"/><Relationship Id="rId62" Type="http://schemas.openxmlformats.org/officeDocument/2006/relationships/hyperlink" Target="https://sundaytimes.lk/online/news-online/McDonalds-formally-ends-franchisee-operations-in-Sri-Lanka/2-114722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xml"/><Relationship Id="rId36" Type="http://schemas.openxmlformats.org/officeDocument/2006/relationships/hyperlink" Target="https://english.alarabiya.net/News/world/2024/03/24/McDonald-s-stores-close-down-across-Sri-Lanka-over-poor-hygiene-case-" TargetMode="External"/><Relationship Id="rId49" Type="http://schemas.openxmlformats.org/officeDocument/2006/relationships/hyperlink" Target="https://www.crisisgroup.org/rpt/asia-pacific/sri-lanka/356-sri-lankas-bumpy-road-political-reset" TargetMode="External"/><Relationship Id="rId57" Type="http://schemas.openxmlformats.org/officeDocument/2006/relationships/hyperlink" Target="https://qz.com/india/1617603/how-mcdonalds-lost-its-first-india-partner-vikram-bakshi" TargetMode="External"/><Relationship Id="rId10" Type="http://schemas.openxmlformats.org/officeDocument/2006/relationships/hyperlink" Target="https://sl.wikipedia.org/wiki/McDonald's" TargetMode="External"/><Relationship Id="rId31" Type="http://schemas.openxmlformats.org/officeDocument/2006/relationships/diagramLayout" Target="diagrams/layout2.xml"/><Relationship Id="rId44" Type="http://schemas.openxmlformats.org/officeDocument/2006/relationships/hyperlink" Target="https://doi.org/10.1108/03090561011079873" TargetMode="External"/><Relationship Id="rId52" Type="http://schemas.openxmlformats.org/officeDocument/2006/relationships/hyperlink" Target="https://www.khaleejtimes.com/supplements/sri-lanka-targets-6-gdp-growth-in-2026-amid-post-cyclone-recovery" TargetMode="External"/><Relationship Id="rId60" Type="http://schemas.openxmlformats.org/officeDocument/2006/relationships/hyperlink" Target="https://www.srilankalaw.lk/revised-statutes/volume-iii/393-food-act.html" TargetMode="External"/><Relationship Id="rId65"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oleObject" Target="file:////Users/concy/Library/Application%20Support/Claude/local-agent-mode-sessions/00fbfa40-cf20-4a70-8f88-8ca49524ddf5/a30cb09a-efaf-4676-a0b8-9697e7c0a06f/local_6476eac0-03f2-410c-9975-f0241350b586/outputs/Sri_Lanka_Macroeconomic_Recovery.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Users/concy/Library/Application%20Support/Claude/local-agent-mode-sessions/00fbfa40-cf20-4a70-8f88-8ca49524ddf5/a30cb09a-efaf-4676-a0b8-9697e7c0a06f/local_6476eac0-03f2-410c-9975-f0241350b586/outputs/Sri_Lanka_Macroeconomic_Recovery.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Restaurants</c:v>
                </c:pt>
              </c:strCache>
            </c:strRef>
          </c:tx>
          <c:spPr>
            <a:solidFill>
              <a:srgbClr val="DA291C"/>
            </a:solidFill>
            <a:effectLst/>
          </c:spPr>
          <c:invertIfNegative val="0"/>
          <c:dLbls>
            <c:numFmt formatCode="#,##0" sourceLinked="0"/>
            <c:spPr>
              <a:noFill/>
              <a:ln>
                <a:noFill/>
              </a:ln>
              <a:effectLst/>
            </c:spPr>
            <c:txPr>
              <a:bodyPr/>
              <a:lstStyle/>
              <a:p>
                <a:pPr>
                  <a:defRPr sz="1100" b="0" i="0" u="none" strike="noStrike">
                    <a:solidFill>
                      <a:srgbClr val="27251F"/>
                    </a:solidFill>
                    <a:latin typeface="Calibri"/>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Sheet1!$A$2:$A$7</c:f>
              <c:strCache>
                <c:ptCount val="6"/>
                <c:pt idx="0">
                  <c:v>US</c:v>
                </c:pt>
                <c:pt idx="1">
                  <c:v>China</c:v>
                </c:pt>
                <c:pt idx="2">
                  <c:v>Japan</c:v>
                </c:pt>
                <c:pt idx="3">
                  <c:v>France</c:v>
                </c:pt>
                <c:pt idx="4">
                  <c:v>Canada</c:v>
                </c:pt>
                <c:pt idx="5">
                  <c:v>UK</c:v>
                </c:pt>
              </c:strCache>
            </c:strRef>
          </c:cat>
          <c:val>
            <c:numRef>
              <c:f>Sheet1!$B$2:$B$7</c:f>
              <c:numCache>
                <c:formatCode>General</c:formatCode>
                <c:ptCount val="6"/>
                <c:pt idx="0">
                  <c:v>13706</c:v>
                </c:pt>
                <c:pt idx="1">
                  <c:v>7740</c:v>
                </c:pt>
                <c:pt idx="2">
                  <c:v>3025</c:v>
                </c:pt>
                <c:pt idx="3">
                  <c:v>1630</c:v>
                </c:pt>
                <c:pt idx="4">
                  <c:v>1520</c:v>
                </c:pt>
                <c:pt idx="5">
                  <c:v>1507</c:v>
                </c:pt>
              </c:numCache>
            </c:numRef>
          </c:val>
          <c:extLst>
            <c:ext xmlns:c16="http://schemas.microsoft.com/office/drawing/2014/chart" uri="{C3380CC4-5D6E-409C-BE32-E72D297353CC}">
              <c16:uniqueId val="{00000000-C3CE-4C4A-B689-73FAEE64EFF3}"/>
            </c:ext>
          </c:extLst>
        </c:ser>
        <c:dLbls>
          <c:showLegendKey val="0"/>
          <c:showVal val="1"/>
          <c:showCatName val="0"/>
          <c:showSerName val="0"/>
          <c:showPercent val="0"/>
          <c:showBubbleSize val="0"/>
        </c:dLbls>
        <c:gapWidth val="150"/>
        <c:axId val="2094734554"/>
        <c:axId val="2094734552"/>
      </c:barChart>
      <c:catAx>
        <c:axId val="2094734554"/>
        <c:scaling>
          <c:orientation val="minMax"/>
        </c:scaling>
        <c:delete val="0"/>
        <c:axPos val="b"/>
        <c:numFmt formatCode="General" sourceLinked="1"/>
        <c:majorTickMark val="out"/>
        <c:minorTickMark val="none"/>
        <c:tickLblPos val="low"/>
        <c:spPr>
          <a:ln w="12700" cap="flat">
            <a:solidFill>
              <a:srgbClr val="D9D2C9"/>
            </a:solidFill>
            <a:prstDash val="solid"/>
            <a:round/>
          </a:ln>
        </c:spPr>
        <c:txPr>
          <a:bodyPr/>
          <a:lstStyle/>
          <a:p>
            <a:pPr>
              <a:defRPr sz="1200" b="0" i="0" u="none" strike="noStrike">
                <a:solidFill>
                  <a:srgbClr val="27251F"/>
                </a:solidFill>
                <a:latin typeface="Calibri"/>
              </a:defRPr>
            </a:pPr>
            <a:endParaRPr lang="en-US"/>
          </a:p>
        </c:txPr>
        <c:crossAx val="2094734552"/>
        <c:crosses val="autoZero"/>
        <c:auto val="1"/>
        <c:lblAlgn val="ctr"/>
        <c:lblOffset val="100"/>
        <c:noMultiLvlLbl val="1"/>
      </c:catAx>
      <c:valAx>
        <c:axId val="2094734552"/>
        <c:scaling>
          <c:orientation val="minMax"/>
        </c:scaling>
        <c:delete val="1"/>
        <c:axPos val="l"/>
        <c:numFmt formatCode="General" sourceLinked="0"/>
        <c:majorTickMark val="out"/>
        <c:minorTickMark val="none"/>
        <c:tickLblPos val="nextTo"/>
        <c:crossAx val="2094734554"/>
        <c:crosses val="autoZero"/>
        <c:crossBetween val="between"/>
      </c:valAx>
      <c:spPr>
        <a:noFill/>
        <a:ln w="12700" cap="flat">
          <a:solidFill>
            <a:srgbClr val="FFFFFF"/>
          </a:solidFill>
        </a:ln>
        <a:effectLst/>
      </c:spPr>
    </c:plotArea>
    <c:plotVisOnly val="1"/>
    <c:dispBlanksAs val="span"/>
    <c:showDLblsOverMax val="1"/>
  </c:chart>
  <c:spPr>
    <a:noFill/>
    <a:ln>
      <a:noFill/>
    </a:ln>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a:lstStyle/>
          <a:p>
            <a:pPr>
              <a:defRPr sz="1300" b="0" u="none" strike="noStrike">
                <a:uFillTx/>
                <a:latin typeface="Arial"/>
              </a:defRPr>
            </a:pPr>
            <a:r>
              <a:rPr lang="en-GB" sz="1800" b="1" u="none" strike="noStrike">
                <a:solidFill>
                  <a:srgbClr val="000000"/>
                </a:solidFill>
                <a:uFillTx/>
                <a:latin typeface="Calibri"/>
              </a:rPr>
              <a:t>Tourist Arrivals</a:t>
            </a:r>
          </a:p>
        </c:rich>
      </c:tx>
      <c:overlay val="0"/>
      <c:spPr>
        <a:noFill/>
        <a:ln w="0">
          <a:noFill/>
        </a:ln>
      </c:spPr>
    </c:title>
    <c:autoTitleDeleted val="0"/>
    <c:plotArea>
      <c:layout/>
      <c:barChart>
        <c:barDir val="col"/>
        <c:grouping val="clustered"/>
        <c:varyColors val="0"/>
        <c:ser>
          <c:idx val="0"/>
          <c:order val="0"/>
          <c:tx>
            <c:strRef>
              <c:f>Data!$B$1</c:f>
              <c:strCache>
                <c:ptCount val="1"/>
                <c:pt idx="0">
                  <c:v>Tourist arrivals (millions)</c:v>
                </c:pt>
              </c:strCache>
            </c:strRef>
          </c:tx>
          <c:spPr>
            <a:solidFill>
              <a:srgbClr val="2E8B84"/>
            </a:solidFill>
            <a:ln w="12600">
              <a:solidFill>
                <a:srgbClr val="F9F9F9"/>
              </a:solidFill>
              <a:round/>
            </a:ln>
          </c:spPr>
          <c:invertIfNegative val="0"/>
          <c:dLbls>
            <c:spPr>
              <a:noFill/>
              <a:ln>
                <a:noFill/>
              </a:ln>
              <a:effectLst/>
            </c:spPr>
            <c:txPr>
              <a:bodyPr wrap="square"/>
              <a:lstStyle/>
              <a:p>
                <a:pPr>
                  <a:defRPr sz="1000" b="0" u="none" strike="noStrike">
                    <a:solidFill>
                      <a:srgbClr val="000000"/>
                    </a:solidFill>
                    <a:uFillTx/>
                    <a:latin typeface="Calibri"/>
                  </a:defRPr>
                </a:pPr>
                <a:endParaRPr lang="en-US"/>
              </a:p>
            </c:txPr>
            <c:dLblPos val="outEnd"/>
            <c:showLegendKey val="1"/>
            <c:showVal val="1"/>
            <c:showCatName val="1"/>
            <c:showSerName val="1"/>
            <c:showPercent val="0"/>
            <c:showBubbleSize val="1"/>
            <c:separator>; </c:separator>
            <c:showLeaderLines val="0"/>
            <c:extLst>
              <c:ext xmlns:c15="http://schemas.microsoft.com/office/drawing/2012/chart" uri="{CE6537A1-D6FC-4f65-9D91-7224C49458BB}">
                <c15:showLeaderLines val="1"/>
                <c15:leaderLines>
                  <c:spPr>
                    <a:ln w="0">
                      <a:solidFill>
                        <a:srgbClr val="F9F9F9"/>
                      </a:solidFill>
                    </a:ln>
                  </c:spPr>
                </c15:leaderLines>
              </c:ext>
            </c:extLst>
          </c:dLbls>
          <c:cat>
            <c:strRef>
              <c:f>Data!$A$2:$A$6</c:f>
              <c:strCache>
                <c:ptCount val="5"/>
                <c:pt idx="0">
                  <c:v>2022</c:v>
                </c:pt>
                <c:pt idx="1">
                  <c:v>2023</c:v>
                </c:pt>
                <c:pt idx="2">
                  <c:v>2024</c:v>
                </c:pt>
                <c:pt idx="3">
                  <c:v>2025</c:v>
                </c:pt>
                <c:pt idx="4">
                  <c:v>2026f</c:v>
                </c:pt>
              </c:strCache>
            </c:strRef>
          </c:cat>
          <c:val>
            <c:numRef>
              <c:f>Data!$B$2:$B$6</c:f>
              <c:numCache>
                <c:formatCode>0.00</c:formatCode>
                <c:ptCount val="5"/>
                <c:pt idx="0">
                  <c:v>0.72</c:v>
                </c:pt>
                <c:pt idx="1">
                  <c:v>1.49</c:v>
                </c:pt>
                <c:pt idx="2">
                  <c:v>2.0499999999999998</c:v>
                </c:pt>
                <c:pt idx="3">
                  <c:v>2.36</c:v>
                </c:pt>
                <c:pt idx="4">
                  <c:v>3</c:v>
                </c:pt>
              </c:numCache>
            </c:numRef>
          </c:val>
          <c:extLst>
            <c:ext xmlns:c16="http://schemas.microsoft.com/office/drawing/2014/chart" uri="{C3380CC4-5D6E-409C-BE32-E72D297353CC}">
              <c16:uniqueId val="{00000000-0811-2448-97BD-D0B5DACAB81B}"/>
            </c:ext>
          </c:extLst>
        </c:ser>
        <c:dLbls>
          <c:showLegendKey val="0"/>
          <c:showVal val="0"/>
          <c:showCatName val="0"/>
          <c:showSerName val="0"/>
          <c:showPercent val="0"/>
          <c:showBubbleSize val="0"/>
        </c:dLbls>
        <c:gapWidth val="150"/>
        <c:axId val="61121818"/>
        <c:axId val="94169369"/>
      </c:barChart>
      <c:catAx>
        <c:axId val="61121818"/>
        <c:scaling>
          <c:orientation val="minMax"/>
        </c:scaling>
        <c:delete val="0"/>
        <c:axPos val="b"/>
        <c:numFmt formatCode="General" sourceLinked="1"/>
        <c:majorTickMark val="none"/>
        <c:minorTickMark val="none"/>
        <c:tickLblPos val="nextTo"/>
        <c:spPr>
          <a:ln w="9360">
            <a:solidFill>
              <a:srgbClr val="878787"/>
            </a:solidFill>
            <a:round/>
          </a:ln>
        </c:spPr>
        <c:txPr>
          <a:bodyPr/>
          <a:lstStyle/>
          <a:p>
            <a:pPr>
              <a:defRPr sz="1000" b="0" u="none" strike="noStrike">
                <a:solidFill>
                  <a:srgbClr val="000000"/>
                </a:solidFill>
                <a:uFillTx/>
                <a:latin typeface="Calibri"/>
              </a:defRPr>
            </a:pPr>
            <a:endParaRPr lang="en-US"/>
          </a:p>
        </c:txPr>
        <c:crossAx val="94169369"/>
        <c:crosses val="autoZero"/>
        <c:auto val="1"/>
        <c:lblAlgn val="ctr"/>
        <c:lblOffset val="100"/>
        <c:noMultiLvlLbl val="0"/>
      </c:catAx>
      <c:valAx>
        <c:axId val="94169369"/>
        <c:scaling>
          <c:orientation val="minMax"/>
        </c:scaling>
        <c:delete val="0"/>
        <c:axPos val="l"/>
        <c:majorGridlines>
          <c:spPr>
            <a:ln w="9360">
              <a:solidFill>
                <a:srgbClr val="878787"/>
              </a:solidFill>
              <a:round/>
            </a:ln>
          </c:spPr>
        </c:majorGridlines>
        <c:title>
          <c:tx>
            <c:rich>
              <a:bodyPr rot="-5400000"/>
              <a:lstStyle/>
              <a:p>
                <a:pPr>
                  <a:defRPr sz="1300" b="0" u="none" strike="noStrike">
                    <a:uFillTx/>
                    <a:latin typeface="Arial"/>
                  </a:defRPr>
                </a:pPr>
                <a:r>
                  <a:rPr lang="en-GB" sz="1000" b="1" u="none" strike="noStrike">
                    <a:solidFill>
                      <a:srgbClr val="000000"/>
                    </a:solidFill>
                    <a:uFillTx/>
                    <a:latin typeface="Calibri"/>
                  </a:rPr>
                  <a:t>Tourist arrivals (millions)</a:t>
                </a:r>
              </a:p>
            </c:rich>
          </c:tx>
          <c:overlay val="0"/>
          <c:spPr>
            <a:noFill/>
            <a:ln w="0">
              <a:noFill/>
            </a:ln>
          </c:spPr>
        </c:title>
        <c:numFmt formatCode="0.00" sourceLinked="1"/>
        <c:majorTickMark val="none"/>
        <c:minorTickMark val="none"/>
        <c:tickLblPos val="nextTo"/>
        <c:spPr>
          <a:ln w="9360">
            <a:solidFill>
              <a:srgbClr val="878787"/>
            </a:solidFill>
            <a:round/>
          </a:ln>
        </c:spPr>
        <c:txPr>
          <a:bodyPr/>
          <a:lstStyle/>
          <a:p>
            <a:pPr>
              <a:defRPr sz="1000" b="0" u="none" strike="noStrike">
                <a:solidFill>
                  <a:srgbClr val="000000"/>
                </a:solidFill>
                <a:uFillTx/>
                <a:latin typeface="Calibri"/>
              </a:defRPr>
            </a:pPr>
            <a:endParaRPr lang="en-US"/>
          </a:p>
        </c:txPr>
        <c:crossAx val="61121818"/>
        <c:crosses val="autoZero"/>
        <c:crossBetween val="between"/>
      </c:valAx>
      <c:spPr>
        <a:solidFill>
          <a:srgbClr val="FFFFFF"/>
        </a:solidFill>
        <a:ln w="0">
          <a:noFill/>
        </a:ln>
      </c:spPr>
    </c:plotArea>
    <c:plotVisOnly val="1"/>
    <c:dispBlanksAs val="gap"/>
    <c:showDLblsOverMax val="1"/>
  </c:chart>
  <c:spPr>
    <a:solidFill>
      <a:srgbClr val="FFFFFF"/>
    </a:solidFill>
    <a:ln w="9360">
      <a:solidFill>
        <a:srgbClr val="D9D9D9"/>
      </a:solidFill>
      <a:round/>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300" b="0" u="none" strike="noStrike">
                <a:uFillTx/>
                <a:latin typeface="Arial"/>
              </a:defRPr>
            </a:pPr>
            <a:r>
              <a:rPr lang="en-GB" sz="1800" b="1" u="none" strike="noStrike">
                <a:solidFill>
                  <a:srgbClr val="000000"/>
                </a:solidFill>
                <a:uFillTx/>
                <a:latin typeface="Calibri"/>
              </a:rPr>
              <a:t>GDP Growth &amp; Inflation</a:t>
            </a:r>
          </a:p>
        </c:rich>
      </c:tx>
      <c:overlay val="0"/>
      <c:spPr>
        <a:noFill/>
        <a:ln w="0">
          <a:noFill/>
        </a:ln>
      </c:spPr>
    </c:title>
    <c:autoTitleDeleted val="0"/>
    <c:plotArea>
      <c:layout/>
      <c:lineChart>
        <c:grouping val="standard"/>
        <c:varyColors val="0"/>
        <c:ser>
          <c:idx val="0"/>
          <c:order val="0"/>
          <c:tx>
            <c:strRef>
              <c:f>Data!$C$1</c:f>
              <c:strCache>
                <c:ptCount val="1"/>
                <c:pt idx="0">
                  <c:v>Real GDP growth (%)</c:v>
                </c:pt>
              </c:strCache>
            </c:strRef>
          </c:tx>
          <c:spPr>
            <a:ln w="20160">
              <a:solidFill>
                <a:srgbClr val="1F3864"/>
              </a:solidFill>
              <a:round/>
            </a:ln>
          </c:spPr>
          <c:marker>
            <c:symbol val="circle"/>
            <c:size val="7"/>
            <c:spPr>
              <a:solidFill>
                <a:srgbClr val="1F3864"/>
              </a:solidFill>
            </c:spPr>
          </c:marker>
          <c:dLbls>
            <c:spPr>
              <a:noFill/>
              <a:ln>
                <a:noFill/>
              </a:ln>
              <a:effectLst/>
            </c:spPr>
            <c:txPr>
              <a:bodyPr wrap="none"/>
              <a:lstStyle/>
              <a:p>
                <a:pPr>
                  <a:defRPr sz="1000" b="0" u="none" strike="noStrike">
                    <a:uFillTx/>
                    <a:latin typeface="Arial"/>
                  </a:defRPr>
                </a:pPr>
                <a:endParaRPr lang="en-US"/>
              </a:p>
            </c:txP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15:leaderLines>
                  <c:spPr>
                    <a:ln w="20160">
                      <a:solidFill>
                        <a:srgbClr val="000000"/>
                      </a:solidFill>
                    </a:ln>
                  </c:spPr>
                </c15:leaderLines>
              </c:ext>
            </c:extLst>
          </c:dLbls>
          <c:cat>
            <c:strRef>
              <c:f>Data!$A$2:$A$6</c:f>
              <c:strCache>
                <c:ptCount val="5"/>
                <c:pt idx="0">
                  <c:v>2022</c:v>
                </c:pt>
                <c:pt idx="1">
                  <c:v>2023</c:v>
                </c:pt>
                <c:pt idx="2">
                  <c:v>2024</c:v>
                </c:pt>
                <c:pt idx="3">
                  <c:v>2025</c:v>
                </c:pt>
                <c:pt idx="4">
                  <c:v>2026f</c:v>
                </c:pt>
              </c:strCache>
            </c:strRef>
          </c:cat>
          <c:val>
            <c:numRef>
              <c:f>Data!$C$2:$C$6</c:f>
              <c:numCache>
                <c:formatCode>0.0</c:formatCode>
                <c:ptCount val="5"/>
                <c:pt idx="0">
                  <c:v>-7.3</c:v>
                </c:pt>
                <c:pt idx="1">
                  <c:v>4.5</c:v>
                </c:pt>
                <c:pt idx="2">
                  <c:v>5</c:v>
                </c:pt>
                <c:pt idx="3">
                  <c:v>5</c:v>
                </c:pt>
                <c:pt idx="4">
                  <c:v>3</c:v>
                </c:pt>
              </c:numCache>
            </c:numRef>
          </c:val>
          <c:smooth val="0"/>
          <c:extLst>
            <c:ext xmlns:c16="http://schemas.microsoft.com/office/drawing/2014/chart" uri="{C3380CC4-5D6E-409C-BE32-E72D297353CC}">
              <c16:uniqueId val="{00000000-115B-1F4B-BDE3-8B025F6387EB}"/>
            </c:ext>
          </c:extLst>
        </c:ser>
        <c:ser>
          <c:idx val="1"/>
          <c:order val="1"/>
          <c:tx>
            <c:strRef>
              <c:f>Data!$D$1</c:f>
              <c:strCache>
                <c:ptCount val="1"/>
                <c:pt idx="0">
                  <c:v>Inflation, avg (%)</c:v>
                </c:pt>
              </c:strCache>
            </c:strRef>
          </c:tx>
          <c:spPr>
            <a:ln w="20160">
              <a:solidFill>
                <a:srgbClr val="B22222"/>
              </a:solidFill>
              <a:round/>
            </a:ln>
          </c:spPr>
          <c:marker>
            <c:symbol val="square"/>
            <c:size val="7"/>
            <c:spPr>
              <a:solidFill>
                <a:srgbClr val="B22222"/>
              </a:solidFill>
            </c:spPr>
          </c:marker>
          <c:dLbls>
            <c:spPr>
              <a:noFill/>
              <a:ln>
                <a:noFill/>
              </a:ln>
              <a:effectLst/>
            </c:spPr>
            <c:txPr>
              <a:bodyPr wrap="none"/>
              <a:lstStyle/>
              <a:p>
                <a:pPr>
                  <a:defRPr sz="1000" b="0" u="none" strike="noStrike">
                    <a:uFillTx/>
                    <a:latin typeface="Arial"/>
                  </a:defRPr>
                </a:pPr>
                <a:endParaRPr lang="en-US"/>
              </a:p>
            </c:txP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15:leaderLines>
                  <c:spPr>
                    <a:ln w="20160">
                      <a:solidFill>
                        <a:srgbClr val="000000"/>
                      </a:solidFill>
                    </a:ln>
                  </c:spPr>
                </c15:leaderLines>
              </c:ext>
            </c:extLst>
          </c:dLbls>
          <c:cat>
            <c:strRef>
              <c:f>Data!$A$2:$A$6</c:f>
              <c:strCache>
                <c:ptCount val="5"/>
                <c:pt idx="0">
                  <c:v>2022</c:v>
                </c:pt>
                <c:pt idx="1">
                  <c:v>2023</c:v>
                </c:pt>
                <c:pt idx="2">
                  <c:v>2024</c:v>
                </c:pt>
                <c:pt idx="3">
                  <c:v>2025</c:v>
                </c:pt>
                <c:pt idx="4">
                  <c:v>2026f</c:v>
                </c:pt>
              </c:strCache>
            </c:strRef>
          </c:cat>
          <c:val>
            <c:numRef>
              <c:f>Data!$D$2:$D$6</c:f>
              <c:numCache>
                <c:formatCode>0.0</c:formatCode>
                <c:ptCount val="5"/>
                <c:pt idx="0">
                  <c:v>49.7</c:v>
                </c:pt>
                <c:pt idx="1">
                  <c:v>1.2</c:v>
                </c:pt>
                <c:pt idx="2">
                  <c:v>0.8</c:v>
                </c:pt>
                <c:pt idx="3">
                  <c:v>2.2999999999999998</c:v>
                </c:pt>
                <c:pt idx="4">
                  <c:v>5.5</c:v>
                </c:pt>
              </c:numCache>
            </c:numRef>
          </c:val>
          <c:smooth val="0"/>
          <c:extLst>
            <c:ext xmlns:c16="http://schemas.microsoft.com/office/drawing/2014/chart" uri="{C3380CC4-5D6E-409C-BE32-E72D297353CC}">
              <c16:uniqueId val="{00000001-115B-1F4B-BDE3-8B025F6387EB}"/>
            </c:ext>
          </c:extLst>
        </c:ser>
        <c:dLbls>
          <c:showLegendKey val="0"/>
          <c:showVal val="0"/>
          <c:showCatName val="0"/>
          <c:showSerName val="0"/>
          <c:showPercent val="0"/>
          <c:showBubbleSize val="0"/>
        </c:dLbls>
        <c:hiLowLines>
          <c:spPr>
            <a:ln w="0">
              <a:noFill/>
            </a:ln>
          </c:spPr>
        </c:hiLowLines>
        <c:marker val="1"/>
        <c:smooth val="0"/>
        <c:axId val="55677514"/>
        <c:axId val="62989766"/>
      </c:lineChart>
      <c:catAx>
        <c:axId val="55677514"/>
        <c:scaling>
          <c:orientation val="minMax"/>
        </c:scaling>
        <c:delete val="0"/>
        <c:axPos val="b"/>
        <c:numFmt formatCode="General" sourceLinked="1"/>
        <c:majorTickMark val="none"/>
        <c:minorTickMark val="none"/>
        <c:tickLblPos val="nextTo"/>
        <c:spPr>
          <a:ln w="9360">
            <a:solidFill>
              <a:srgbClr val="878787"/>
            </a:solidFill>
            <a:round/>
          </a:ln>
        </c:spPr>
        <c:txPr>
          <a:bodyPr/>
          <a:lstStyle/>
          <a:p>
            <a:pPr>
              <a:defRPr sz="1000" b="0" u="none" strike="noStrike">
                <a:solidFill>
                  <a:srgbClr val="000000"/>
                </a:solidFill>
                <a:uFillTx/>
                <a:latin typeface="Calibri"/>
              </a:defRPr>
            </a:pPr>
            <a:endParaRPr lang="en-US"/>
          </a:p>
        </c:txPr>
        <c:crossAx val="62989766"/>
        <c:crosses val="autoZero"/>
        <c:auto val="1"/>
        <c:lblAlgn val="ctr"/>
        <c:lblOffset val="100"/>
        <c:noMultiLvlLbl val="0"/>
      </c:catAx>
      <c:valAx>
        <c:axId val="62989766"/>
        <c:scaling>
          <c:orientation val="minMax"/>
          <c:max val="50"/>
          <c:min val="-10"/>
        </c:scaling>
        <c:delete val="0"/>
        <c:axPos val="l"/>
        <c:majorGridlines>
          <c:spPr>
            <a:ln w="9360">
              <a:solidFill>
                <a:srgbClr val="878787"/>
              </a:solidFill>
              <a:round/>
            </a:ln>
          </c:spPr>
        </c:majorGridlines>
        <c:title>
          <c:tx>
            <c:rich>
              <a:bodyPr rot="-5400000"/>
              <a:lstStyle/>
              <a:p>
                <a:pPr>
                  <a:defRPr sz="1300" b="0" u="none" strike="noStrike">
                    <a:uFillTx/>
                    <a:latin typeface="Arial"/>
                  </a:defRPr>
                </a:pPr>
                <a:r>
                  <a:rPr lang="en-GB" sz="1000" b="1" u="none" strike="noStrike">
                    <a:solidFill>
                      <a:srgbClr val="000000"/>
                    </a:solidFill>
                    <a:uFillTx/>
                    <a:latin typeface="Calibri"/>
                  </a:rPr>
                  <a:t>%</a:t>
                </a:r>
              </a:p>
            </c:rich>
          </c:tx>
          <c:overlay val="0"/>
          <c:spPr>
            <a:noFill/>
            <a:ln w="0">
              <a:noFill/>
            </a:ln>
          </c:spPr>
        </c:title>
        <c:numFmt formatCode="0.0" sourceLinked="1"/>
        <c:majorTickMark val="none"/>
        <c:minorTickMark val="none"/>
        <c:tickLblPos val="nextTo"/>
        <c:spPr>
          <a:ln w="9360">
            <a:solidFill>
              <a:srgbClr val="878787"/>
            </a:solidFill>
            <a:round/>
          </a:ln>
        </c:spPr>
        <c:txPr>
          <a:bodyPr/>
          <a:lstStyle/>
          <a:p>
            <a:pPr>
              <a:defRPr sz="1000" b="0" u="none" strike="noStrike">
                <a:solidFill>
                  <a:srgbClr val="000000"/>
                </a:solidFill>
                <a:uFillTx/>
                <a:latin typeface="Calibri"/>
              </a:defRPr>
            </a:pPr>
            <a:endParaRPr lang="en-US"/>
          </a:p>
        </c:txPr>
        <c:crossAx val="55677514"/>
        <c:crosses val="autoZero"/>
        <c:crossBetween val="between"/>
      </c:valAx>
      <c:spPr>
        <a:solidFill>
          <a:srgbClr val="FFFFFF"/>
        </a:solidFill>
        <a:ln w="0">
          <a:noFill/>
        </a:ln>
      </c:spPr>
    </c:plotArea>
    <c:legend>
      <c:legendPos val="r"/>
      <c:overlay val="0"/>
      <c:spPr>
        <a:noFill/>
        <a:ln w="0">
          <a:noFill/>
        </a:ln>
      </c:spPr>
      <c:txPr>
        <a:bodyPr/>
        <a:lstStyle/>
        <a:p>
          <a:pPr>
            <a:defRPr sz="1000" b="0" u="none" strike="noStrike">
              <a:solidFill>
                <a:srgbClr val="000000"/>
              </a:solidFill>
              <a:uFillTx/>
              <a:latin typeface="Calibri"/>
            </a:defRPr>
          </a:pPr>
          <a:endParaRPr lang="en-US"/>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8831FC-7800-4AB9-AD48-9F4EE38A954C}" type="doc">
      <dgm:prSet loTypeId="urn:microsoft.com/office/officeart/2005/8/layout/matrix1" loCatId="matrix" qsTypeId="urn:microsoft.com/office/officeart/2005/8/quickstyle/simple1" qsCatId="simple" csTypeId="urn:microsoft.com/office/officeart/2005/8/colors/colorful2" csCatId="colorful" phldr="1"/>
      <dgm:spPr/>
      <dgm:t>
        <a:bodyPr/>
        <a:lstStyle/>
        <a:p>
          <a:endParaRPr lang="LID4096"/>
        </a:p>
      </dgm:t>
    </dgm:pt>
    <dgm:pt modelId="{50D6640E-7979-449D-A58C-FDB6A4C183C0}">
      <dgm:prSet phldrT="[Text]" custT="1"/>
      <dgm:spPr/>
      <dgm:t>
        <a:bodyPr/>
        <a:lstStyle/>
        <a:p>
          <a:r>
            <a:rPr lang="en-GB" sz="900"/>
            <a:t>Bartlett and Ghoshal(1989)Integration-Responsiveness Matrix</a:t>
          </a:r>
          <a:endParaRPr lang="LID4096" sz="900"/>
        </a:p>
      </dgm:t>
    </dgm:pt>
    <dgm:pt modelId="{9A12B00C-1F1E-42D9-B420-D027436701CA}" type="parTrans" cxnId="{4DF39175-503D-4801-ADA5-4993822DC7CE}">
      <dgm:prSet/>
      <dgm:spPr/>
      <dgm:t>
        <a:bodyPr/>
        <a:lstStyle/>
        <a:p>
          <a:endParaRPr lang="LID4096"/>
        </a:p>
      </dgm:t>
    </dgm:pt>
    <dgm:pt modelId="{1EB94581-471C-412D-B2DF-55C8D27C1E21}" type="sibTrans" cxnId="{4DF39175-503D-4801-ADA5-4993822DC7CE}">
      <dgm:prSet/>
      <dgm:spPr/>
      <dgm:t>
        <a:bodyPr/>
        <a:lstStyle/>
        <a:p>
          <a:endParaRPr lang="LID4096"/>
        </a:p>
      </dgm:t>
    </dgm:pt>
    <dgm:pt modelId="{D101201D-897F-4498-8288-CF883906D251}">
      <dgm:prSet phldrT="[Text]" custT="1"/>
      <dgm:spPr/>
      <dgm:t>
        <a:bodyPr/>
        <a:lstStyle/>
        <a:p>
          <a:r>
            <a:rPr lang="en-GB" sz="1200">
              <a:latin typeface="+mj-lt"/>
            </a:rPr>
            <a:t>Multinational (high local responsiveness,low intergration)</a:t>
          </a:r>
          <a:endParaRPr lang="LID4096" sz="1200">
            <a:latin typeface="+mj-lt"/>
          </a:endParaRPr>
        </a:p>
      </dgm:t>
    </dgm:pt>
    <dgm:pt modelId="{A8AF710D-EFA9-4759-943B-BBF4688198AA}" type="parTrans" cxnId="{15680BD6-65E0-4B2B-8022-710B6496574F}">
      <dgm:prSet/>
      <dgm:spPr/>
      <dgm:t>
        <a:bodyPr/>
        <a:lstStyle/>
        <a:p>
          <a:endParaRPr lang="LID4096"/>
        </a:p>
      </dgm:t>
    </dgm:pt>
    <dgm:pt modelId="{445E5100-6268-4BC2-A9DE-9BFE77E4C317}" type="sibTrans" cxnId="{15680BD6-65E0-4B2B-8022-710B6496574F}">
      <dgm:prSet/>
      <dgm:spPr/>
      <dgm:t>
        <a:bodyPr/>
        <a:lstStyle/>
        <a:p>
          <a:endParaRPr lang="LID4096"/>
        </a:p>
      </dgm:t>
    </dgm:pt>
    <dgm:pt modelId="{9B08E9C1-D9D1-4151-BB96-27476B8171B9}">
      <dgm:prSet phldrT="[Text]" custT="1"/>
      <dgm:spPr/>
      <dgm:t>
        <a:bodyPr/>
        <a:lstStyle/>
        <a:p>
          <a:r>
            <a:rPr lang="en-GB" sz="1200"/>
            <a:t>Transnational (high integration high responsiveness)</a:t>
          </a:r>
          <a:endParaRPr lang="LID4096" sz="1200"/>
        </a:p>
      </dgm:t>
    </dgm:pt>
    <dgm:pt modelId="{48637AD5-9A92-4854-A404-D63EA5119793}" type="sibTrans" cxnId="{FB6FBEE5-6186-44D5-B476-30BD002ABF84}">
      <dgm:prSet/>
      <dgm:spPr/>
      <dgm:t>
        <a:bodyPr/>
        <a:lstStyle/>
        <a:p>
          <a:endParaRPr lang="LID4096"/>
        </a:p>
      </dgm:t>
    </dgm:pt>
    <dgm:pt modelId="{6136B1CC-B575-4DD9-A21B-EF6E2D4AC43A}" type="parTrans" cxnId="{FB6FBEE5-6186-44D5-B476-30BD002ABF84}">
      <dgm:prSet/>
      <dgm:spPr/>
      <dgm:t>
        <a:bodyPr/>
        <a:lstStyle/>
        <a:p>
          <a:endParaRPr lang="LID4096"/>
        </a:p>
      </dgm:t>
    </dgm:pt>
    <dgm:pt modelId="{F7D9CA44-52CA-465E-9C0C-C088C1505CA8}">
      <dgm:prSet custT="1"/>
      <dgm:spPr/>
      <dgm:t>
        <a:bodyPr/>
        <a:lstStyle/>
        <a:p>
          <a:r>
            <a:rPr lang="en-GB" sz="1200"/>
            <a:t>International(low integration low responsiveness)</a:t>
          </a:r>
          <a:endParaRPr lang="LID4096" sz="1200"/>
        </a:p>
      </dgm:t>
    </dgm:pt>
    <dgm:pt modelId="{DB4E4912-421F-4E6D-AAC1-9B2882502447}" type="parTrans" cxnId="{48449D49-2863-4ADF-82FF-65208023FE31}">
      <dgm:prSet/>
      <dgm:spPr/>
      <dgm:t>
        <a:bodyPr/>
        <a:lstStyle/>
        <a:p>
          <a:endParaRPr lang="en-GB"/>
        </a:p>
      </dgm:t>
    </dgm:pt>
    <dgm:pt modelId="{BBA71258-EE3B-4996-B7DC-A9D82D1CEEB4}" type="sibTrans" cxnId="{48449D49-2863-4ADF-82FF-65208023FE31}">
      <dgm:prSet/>
      <dgm:spPr/>
      <dgm:t>
        <a:bodyPr/>
        <a:lstStyle/>
        <a:p>
          <a:endParaRPr lang="en-GB"/>
        </a:p>
      </dgm:t>
    </dgm:pt>
    <dgm:pt modelId="{4B859FBB-EF53-4A48-879C-989CF52C3C7D}">
      <dgm:prSet custT="1"/>
      <dgm:spPr/>
      <dgm:t>
        <a:bodyPr/>
        <a:lstStyle/>
        <a:p>
          <a:r>
            <a:rPr lang="en-GB" sz="1200"/>
            <a:t>Global</a:t>
          </a:r>
          <a:endParaRPr lang="LID4096" sz="1200"/>
        </a:p>
      </dgm:t>
    </dgm:pt>
    <dgm:pt modelId="{D91744D8-C079-4192-96D8-69F96419D428}" type="parTrans" cxnId="{B7062492-5299-4CF1-A0BE-11A70A3EBE6C}">
      <dgm:prSet/>
      <dgm:spPr/>
      <dgm:t>
        <a:bodyPr/>
        <a:lstStyle/>
        <a:p>
          <a:endParaRPr lang="en-GB"/>
        </a:p>
      </dgm:t>
    </dgm:pt>
    <dgm:pt modelId="{54126E3D-4ABB-440D-81CE-FB8778B86E6E}" type="sibTrans" cxnId="{B7062492-5299-4CF1-A0BE-11A70A3EBE6C}">
      <dgm:prSet/>
      <dgm:spPr/>
      <dgm:t>
        <a:bodyPr/>
        <a:lstStyle/>
        <a:p>
          <a:endParaRPr lang="en-GB"/>
        </a:p>
      </dgm:t>
    </dgm:pt>
    <dgm:pt modelId="{55BCDFFB-B0BC-4D1E-B2CE-DA5F1E21E1CF}" type="pres">
      <dgm:prSet presAssocID="{708831FC-7800-4AB9-AD48-9F4EE38A954C}" presName="diagram" presStyleCnt="0">
        <dgm:presLayoutVars>
          <dgm:chMax val="1"/>
          <dgm:dir/>
          <dgm:animLvl val="ctr"/>
          <dgm:resizeHandles val="exact"/>
        </dgm:presLayoutVars>
      </dgm:prSet>
      <dgm:spPr/>
    </dgm:pt>
    <dgm:pt modelId="{C7CA093A-7E19-4CC7-BAB8-C55B6404EA2B}" type="pres">
      <dgm:prSet presAssocID="{708831FC-7800-4AB9-AD48-9F4EE38A954C}" presName="matrix" presStyleCnt="0"/>
      <dgm:spPr/>
    </dgm:pt>
    <dgm:pt modelId="{18B313B4-9CDD-48DE-830E-6EEE9D7137B0}" type="pres">
      <dgm:prSet presAssocID="{708831FC-7800-4AB9-AD48-9F4EE38A954C}" presName="tile1" presStyleLbl="node1" presStyleIdx="0" presStyleCnt="4" custLinFactNeighborY="1021"/>
      <dgm:spPr/>
    </dgm:pt>
    <dgm:pt modelId="{F5C42F1B-9D83-4CFF-ABC4-E8A1BDC923DD}" type="pres">
      <dgm:prSet presAssocID="{708831FC-7800-4AB9-AD48-9F4EE38A954C}" presName="tile1text" presStyleLbl="node1" presStyleIdx="0" presStyleCnt="4">
        <dgm:presLayoutVars>
          <dgm:chMax val="0"/>
          <dgm:chPref val="0"/>
          <dgm:bulletEnabled val="1"/>
        </dgm:presLayoutVars>
      </dgm:prSet>
      <dgm:spPr/>
    </dgm:pt>
    <dgm:pt modelId="{CC517850-A41C-48E2-8656-79898FE95D1E}" type="pres">
      <dgm:prSet presAssocID="{708831FC-7800-4AB9-AD48-9F4EE38A954C}" presName="tile2" presStyleLbl="node1" presStyleIdx="1" presStyleCnt="4"/>
      <dgm:spPr/>
    </dgm:pt>
    <dgm:pt modelId="{8185A65B-271A-47D6-BA6C-CFEBAB03D5CE}" type="pres">
      <dgm:prSet presAssocID="{708831FC-7800-4AB9-AD48-9F4EE38A954C}" presName="tile2text" presStyleLbl="node1" presStyleIdx="1" presStyleCnt="4">
        <dgm:presLayoutVars>
          <dgm:chMax val="0"/>
          <dgm:chPref val="0"/>
          <dgm:bulletEnabled val="1"/>
        </dgm:presLayoutVars>
      </dgm:prSet>
      <dgm:spPr/>
    </dgm:pt>
    <dgm:pt modelId="{C57D7547-8D25-45D9-9920-8D415F0ABA1F}" type="pres">
      <dgm:prSet presAssocID="{708831FC-7800-4AB9-AD48-9F4EE38A954C}" presName="tile3" presStyleLbl="node1" presStyleIdx="2" presStyleCnt="4" custScaleY="110000"/>
      <dgm:spPr/>
    </dgm:pt>
    <dgm:pt modelId="{3F55EDFB-8DAD-4CFB-B16B-B4BA54EAC5BE}" type="pres">
      <dgm:prSet presAssocID="{708831FC-7800-4AB9-AD48-9F4EE38A954C}" presName="tile3text" presStyleLbl="node1" presStyleIdx="2" presStyleCnt="4">
        <dgm:presLayoutVars>
          <dgm:chMax val="0"/>
          <dgm:chPref val="0"/>
          <dgm:bulletEnabled val="1"/>
        </dgm:presLayoutVars>
      </dgm:prSet>
      <dgm:spPr/>
    </dgm:pt>
    <dgm:pt modelId="{4162502C-AFEB-43D0-8592-4C10AAC21C45}" type="pres">
      <dgm:prSet presAssocID="{708831FC-7800-4AB9-AD48-9F4EE38A954C}" presName="tile4" presStyleLbl="node1" presStyleIdx="3" presStyleCnt="4" custScaleY="109886" custLinFactNeighborY="0"/>
      <dgm:spPr/>
    </dgm:pt>
    <dgm:pt modelId="{AD994AD7-FE14-444A-BB01-C198C4AFA59F}" type="pres">
      <dgm:prSet presAssocID="{708831FC-7800-4AB9-AD48-9F4EE38A954C}" presName="tile4text" presStyleLbl="node1" presStyleIdx="3" presStyleCnt="4">
        <dgm:presLayoutVars>
          <dgm:chMax val="0"/>
          <dgm:chPref val="0"/>
          <dgm:bulletEnabled val="1"/>
        </dgm:presLayoutVars>
      </dgm:prSet>
      <dgm:spPr/>
    </dgm:pt>
    <dgm:pt modelId="{F57EEE42-6543-42DA-AE55-938146237FB2}" type="pres">
      <dgm:prSet presAssocID="{708831FC-7800-4AB9-AD48-9F4EE38A954C}" presName="centerTile" presStyleLbl="fgShp" presStyleIdx="0" presStyleCnt="1">
        <dgm:presLayoutVars>
          <dgm:chMax val="0"/>
          <dgm:chPref val="0"/>
        </dgm:presLayoutVars>
      </dgm:prSet>
      <dgm:spPr/>
    </dgm:pt>
  </dgm:ptLst>
  <dgm:cxnLst>
    <dgm:cxn modelId="{7D117E0A-0DF1-4BAB-AB84-34F6AA1EDFB6}" type="presOf" srcId="{F7D9CA44-52CA-465E-9C0C-C088C1505CA8}" destId="{C57D7547-8D25-45D9-9920-8D415F0ABA1F}" srcOrd="0" destOrd="0" presId="urn:microsoft.com/office/officeart/2005/8/layout/matrix1"/>
    <dgm:cxn modelId="{DFAADC28-EF6A-447D-A414-2B35F03BAA21}" type="presOf" srcId="{4B859FBB-EF53-4A48-879C-989CF52C3C7D}" destId="{4162502C-AFEB-43D0-8592-4C10AAC21C45}" srcOrd="0" destOrd="0" presId="urn:microsoft.com/office/officeart/2005/8/layout/matrix1"/>
    <dgm:cxn modelId="{4904CF3E-39B0-4233-832D-A8BE25FAEA9A}" type="presOf" srcId="{708831FC-7800-4AB9-AD48-9F4EE38A954C}" destId="{55BCDFFB-B0BC-4D1E-B2CE-DA5F1E21E1CF}" srcOrd="0" destOrd="0" presId="urn:microsoft.com/office/officeart/2005/8/layout/matrix1"/>
    <dgm:cxn modelId="{48449D49-2863-4ADF-82FF-65208023FE31}" srcId="{50D6640E-7979-449D-A58C-FDB6A4C183C0}" destId="{F7D9CA44-52CA-465E-9C0C-C088C1505CA8}" srcOrd="2" destOrd="0" parTransId="{DB4E4912-421F-4E6D-AAC1-9B2882502447}" sibTransId="{BBA71258-EE3B-4996-B7DC-A9D82D1CEEB4}"/>
    <dgm:cxn modelId="{1822DF5F-A451-4497-9DA2-8028BEFEA005}" type="presOf" srcId="{4B859FBB-EF53-4A48-879C-989CF52C3C7D}" destId="{AD994AD7-FE14-444A-BB01-C198C4AFA59F}" srcOrd="1" destOrd="0" presId="urn:microsoft.com/office/officeart/2005/8/layout/matrix1"/>
    <dgm:cxn modelId="{4DF39175-503D-4801-ADA5-4993822DC7CE}" srcId="{708831FC-7800-4AB9-AD48-9F4EE38A954C}" destId="{50D6640E-7979-449D-A58C-FDB6A4C183C0}" srcOrd="0" destOrd="0" parTransId="{9A12B00C-1F1E-42D9-B420-D027436701CA}" sibTransId="{1EB94581-471C-412D-B2DF-55C8D27C1E21}"/>
    <dgm:cxn modelId="{764EDB75-9C3C-4D1E-B438-B2071482FC98}" type="presOf" srcId="{D101201D-897F-4498-8288-CF883906D251}" destId="{F5C42F1B-9D83-4CFF-ABC4-E8A1BDC923DD}" srcOrd="1" destOrd="0" presId="urn:microsoft.com/office/officeart/2005/8/layout/matrix1"/>
    <dgm:cxn modelId="{8172DA8B-1DEA-4AFF-A481-720E279C9380}" type="presOf" srcId="{9B08E9C1-D9D1-4151-BB96-27476B8171B9}" destId="{CC517850-A41C-48E2-8656-79898FE95D1E}" srcOrd="0" destOrd="0" presId="urn:microsoft.com/office/officeart/2005/8/layout/matrix1"/>
    <dgm:cxn modelId="{B7062492-5299-4CF1-A0BE-11A70A3EBE6C}" srcId="{50D6640E-7979-449D-A58C-FDB6A4C183C0}" destId="{4B859FBB-EF53-4A48-879C-989CF52C3C7D}" srcOrd="3" destOrd="0" parTransId="{D91744D8-C079-4192-96D8-69F96419D428}" sibTransId="{54126E3D-4ABB-440D-81CE-FB8778B86E6E}"/>
    <dgm:cxn modelId="{CBF5ABC0-0512-487D-87F5-5CDD5A15E921}" type="presOf" srcId="{D101201D-897F-4498-8288-CF883906D251}" destId="{18B313B4-9CDD-48DE-830E-6EEE9D7137B0}" srcOrd="0" destOrd="0" presId="urn:microsoft.com/office/officeart/2005/8/layout/matrix1"/>
    <dgm:cxn modelId="{139E56C4-A610-4D18-AAA1-73AEA077C3B5}" type="presOf" srcId="{9B08E9C1-D9D1-4151-BB96-27476B8171B9}" destId="{8185A65B-271A-47D6-BA6C-CFEBAB03D5CE}" srcOrd="1" destOrd="0" presId="urn:microsoft.com/office/officeart/2005/8/layout/matrix1"/>
    <dgm:cxn modelId="{15680BD6-65E0-4B2B-8022-710B6496574F}" srcId="{50D6640E-7979-449D-A58C-FDB6A4C183C0}" destId="{D101201D-897F-4498-8288-CF883906D251}" srcOrd="0" destOrd="0" parTransId="{A8AF710D-EFA9-4759-943B-BBF4688198AA}" sibTransId="{445E5100-6268-4BC2-A9DE-9BFE77E4C317}"/>
    <dgm:cxn modelId="{973B90DB-73ED-42C4-AE71-C22FE684FBFB}" type="presOf" srcId="{50D6640E-7979-449D-A58C-FDB6A4C183C0}" destId="{F57EEE42-6543-42DA-AE55-938146237FB2}" srcOrd="0" destOrd="0" presId="urn:microsoft.com/office/officeart/2005/8/layout/matrix1"/>
    <dgm:cxn modelId="{FB6FBEE5-6186-44D5-B476-30BD002ABF84}" srcId="{50D6640E-7979-449D-A58C-FDB6A4C183C0}" destId="{9B08E9C1-D9D1-4151-BB96-27476B8171B9}" srcOrd="1" destOrd="0" parTransId="{6136B1CC-B575-4DD9-A21B-EF6E2D4AC43A}" sibTransId="{48637AD5-9A92-4854-A404-D63EA5119793}"/>
    <dgm:cxn modelId="{BB16A9F5-A0D3-45A5-B94E-C3E31C20E925}" type="presOf" srcId="{F7D9CA44-52CA-465E-9C0C-C088C1505CA8}" destId="{3F55EDFB-8DAD-4CFB-B16B-B4BA54EAC5BE}" srcOrd="1" destOrd="0" presId="urn:microsoft.com/office/officeart/2005/8/layout/matrix1"/>
    <dgm:cxn modelId="{48081F9D-7B15-436B-9965-94930EF24C42}" type="presParOf" srcId="{55BCDFFB-B0BC-4D1E-B2CE-DA5F1E21E1CF}" destId="{C7CA093A-7E19-4CC7-BAB8-C55B6404EA2B}" srcOrd="0" destOrd="0" presId="urn:microsoft.com/office/officeart/2005/8/layout/matrix1"/>
    <dgm:cxn modelId="{8790F0EA-95F6-4CDB-A45D-F41EB95144FA}" type="presParOf" srcId="{C7CA093A-7E19-4CC7-BAB8-C55B6404EA2B}" destId="{18B313B4-9CDD-48DE-830E-6EEE9D7137B0}" srcOrd="0" destOrd="0" presId="urn:microsoft.com/office/officeart/2005/8/layout/matrix1"/>
    <dgm:cxn modelId="{F8B5C0DD-BB04-4E85-B907-00F8F210A111}" type="presParOf" srcId="{C7CA093A-7E19-4CC7-BAB8-C55B6404EA2B}" destId="{F5C42F1B-9D83-4CFF-ABC4-E8A1BDC923DD}" srcOrd="1" destOrd="0" presId="urn:microsoft.com/office/officeart/2005/8/layout/matrix1"/>
    <dgm:cxn modelId="{7BC4BED2-DE71-4370-B404-C67D46A9C5B5}" type="presParOf" srcId="{C7CA093A-7E19-4CC7-BAB8-C55B6404EA2B}" destId="{CC517850-A41C-48E2-8656-79898FE95D1E}" srcOrd="2" destOrd="0" presId="urn:microsoft.com/office/officeart/2005/8/layout/matrix1"/>
    <dgm:cxn modelId="{95980890-CC63-4B06-9446-99D4F83A8FD1}" type="presParOf" srcId="{C7CA093A-7E19-4CC7-BAB8-C55B6404EA2B}" destId="{8185A65B-271A-47D6-BA6C-CFEBAB03D5CE}" srcOrd="3" destOrd="0" presId="urn:microsoft.com/office/officeart/2005/8/layout/matrix1"/>
    <dgm:cxn modelId="{38FEA6E8-7E59-4FA4-BB68-D63E716A6C15}" type="presParOf" srcId="{C7CA093A-7E19-4CC7-BAB8-C55B6404EA2B}" destId="{C57D7547-8D25-45D9-9920-8D415F0ABA1F}" srcOrd="4" destOrd="0" presId="urn:microsoft.com/office/officeart/2005/8/layout/matrix1"/>
    <dgm:cxn modelId="{ADE520D5-9D2F-4E91-8F55-F18F694FF3EA}" type="presParOf" srcId="{C7CA093A-7E19-4CC7-BAB8-C55B6404EA2B}" destId="{3F55EDFB-8DAD-4CFB-B16B-B4BA54EAC5BE}" srcOrd="5" destOrd="0" presId="urn:microsoft.com/office/officeart/2005/8/layout/matrix1"/>
    <dgm:cxn modelId="{010E4220-61F2-482B-9AFF-173832000034}" type="presParOf" srcId="{C7CA093A-7E19-4CC7-BAB8-C55B6404EA2B}" destId="{4162502C-AFEB-43D0-8592-4C10AAC21C45}" srcOrd="6" destOrd="0" presId="urn:microsoft.com/office/officeart/2005/8/layout/matrix1"/>
    <dgm:cxn modelId="{E18A6758-3578-4140-AA57-4C9C221B13CD}" type="presParOf" srcId="{C7CA093A-7E19-4CC7-BAB8-C55B6404EA2B}" destId="{AD994AD7-FE14-444A-BB01-C198C4AFA59F}" srcOrd="7" destOrd="0" presId="urn:microsoft.com/office/officeart/2005/8/layout/matrix1"/>
    <dgm:cxn modelId="{34D2B9CA-2D24-437A-8003-4BBAC2CDD832}" type="presParOf" srcId="{55BCDFFB-B0BC-4D1E-B2CE-DA5F1E21E1CF}" destId="{F57EEE42-6543-42DA-AE55-938146237FB2}" srcOrd="1" destOrd="0" presId="urn:microsoft.com/office/officeart/2005/8/layout/matrix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D0FEFE0-791E-7947-8982-3571EA27BA80}" type="doc">
      <dgm:prSet loTypeId="urn:microsoft.com/office/officeart/2005/8/layout/cycle5" loCatId="" qsTypeId="urn:microsoft.com/office/officeart/2005/8/quickstyle/3d6" qsCatId="3D" csTypeId="urn:microsoft.com/office/officeart/2005/8/colors/colorful1" csCatId="colorful" phldr="1"/>
      <dgm:spPr/>
      <dgm:t>
        <a:bodyPr/>
        <a:lstStyle/>
        <a:p>
          <a:endParaRPr lang="en-GB"/>
        </a:p>
      </dgm:t>
    </dgm:pt>
    <dgm:pt modelId="{1FF99DC0-DECF-ED4F-9E0F-9CA732ECF074}">
      <dgm:prSet phldrT="[Text]"/>
      <dgm:spPr/>
      <dgm:t>
        <a:bodyPr/>
        <a:lstStyle/>
        <a:p>
          <a:r>
            <a:rPr lang="en-GB"/>
            <a:t>Action Plan</a:t>
          </a:r>
        </a:p>
      </dgm:t>
    </dgm:pt>
    <dgm:pt modelId="{5389EC6A-2B43-2E46-BE46-C8006D25D98A}" type="parTrans" cxnId="{2B182B8E-6E3C-2447-BDFA-A39D6192CFA1}">
      <dgm:prSet/>
      <dgm:spPr/>
      <dgm:t>
        <a:bodyPr/>
        <a:lstStyle/>
        <a:p>
          <a:endParaRPr lang="en-GB"/>
        </a:p>
      </dgm:t>
    </dgm:pt>
    <dgm:pt modelId="{AED3C4A4-5701-E843-96DE-D7ABF0A81D1E}" type="sibTrans" cxnId="{2B182B8E-6E3C-2447-BDFA-A39D6192CFA1}">
      <dgm:prSet/>
      <dgm:spPr/>
      <dgm:t>
        <a:bodyPr/>
        <a:lstStyle/>
        <a:p>
          <a:endParaRPr lang="en-GB"/>
        </a:p>
      </dgm:t>
    </dgm:pt>
    <dgm:pt modelId="{5ED86B30-5E7B-AF48-9DA0-D1539AD1F09F}">
      <dgm:prSet phldrT="[Text]"/>
      <dgm:spPr/>
      <dgm:t>
        <a:bodyPr/>
        <a:lstStyle/>
        <a:p>
          <a:r>
            <a:rPr lang="en-GB"/>
            <a:t>Feelings</a:t>
          </a:r>
        </a:p>
      </dgm:t>
    </dgm:pt>
    <dgm:pt modelId="{BCFEF063-3950-C64F-9A11-C18914D5962C}" type="parTrans" cxnId="{07174281-3694-C04F-A161-CD656A4431DA}">
      <dgm:prSet/>
      <dgm:spPr/>
      <dgm:t>
        <a:bodyPr/>
        <a:lstStyle/>
        <a:p>
          <a:endParaRPr lang="en-GB"/>
        </a:p>
      </dgm:t>
    </dgm:pt>
    <dgm:pt modelId="{D6D32A62-F430-2345-8FD4-62FB96BE1AB5}" type="sibTrans" cxnId="{07174281-3694-C04F-A161-CD656A4431DA}">
      <dgm:prSet/>
      <dgm:spPr/>
      <dgm:t>
        <a:bodyPr/>
        <a:lstStyle/>
        <a:p>
          <a:endParaRPr lang="en-GB"/>
        </a:p>
      </dgm:t>
    </dgm:pt>
    <dgm:pt modelId="{E502BDD3-10C4-1043-9E9A-77E411CB756C}">
      <dgm:prSet phldrT="[Text]"/>
      <dgm:spPr/>
      <dgm:t>
        <a:bodyPr/>
        <a:lstStyle/>
        <a:p>
          <a:r>
            <a:rPr lang="en-GB"/>
            <a:t>evaluation</a:t>
          </a:r>
        </a:p>
      </dgm:t>
    </dgm:pt>
    <dgm:pt modelId="{7A25090B-EEA8-094C-BE74-4F48611761C7}" type="parTrans" cxnId="{98AF7E46-CFBB-C34C-B813-898912421B81}">
      <dgm:prSet/>
      <dgm:spPr/>
      <dgm:t>
        <a:bodyPr/>
        <a:lstStyle/>
        <a:p>
          <a:endParaRPr lang="en-GB"/>
        </a:p>
      </dgm:t>
    </dgm:pt>
    <dgm:pt modelId="{428868FC-996E-8C40-86ED-97CFA9F0D1BB}" type="sibTrans" cxnId="{98AF7E46-CFBB-C34C-B813-898912421B81}">
      <dgm:prSet/>
      <dgm:spPr/>
      <dgm:t>
        <a:bodyPr/>
        <a:lstStyle/>
        <a:p>
          <a:endParaRPr lang="en-GB"/>
        </a:p>
      </dgm:t>
    </dgm:pt>
    <dgm:pt modelId="{85291613-73A1-1040-9173-32AF5ED0F735}">
      <dgm:prSet phldrT="[Text]"/>
      <dgm:spPr/>
      <dgm:t>
        <a:bodyPr/>
        <a:lstStyle/>
        <a:p>
          <a:r>
            <a:rPr lang="en-GB"/>
            <a:t>Analysis</a:t>
          </a:r>
        </a:p>
      </dgm:t>
    </dgm:pt>
    <dgm:pt modelId="{9A6A1779-FE23-FF48-98CE-1EE4A5E6CECF}" type="parTrans" cxnId="{189FFE7A-B1FA-BB4A-A44C-C054589EF695}">
      <dgm:prSet/>
      <dgm:spPr/>
      <dgm:t>
        <a:bodyPr/>
        <a:lstStyle/>
        <a:p>
          <a:endParaRPr lang="en-GB"/>
        </a:p>
      </dgm:t>
    </dgm:pt>
    <dgm:pt modelId="{8A7DBEAD-9CD4-C246-AD5B-56F7BF8A2100}" type="sibTrans" cxnId="{189FFE7A-B1FA-BB4A-A44C-C054589EF695}">
      <dgm:prSet/>
      <dgm:spPr/>
      <dgm:t>
        <a:bodyPr/>
        <a:lstStyle/>
        <a:p>
          <a:endParaRPr lang="en-GB"/>
        </a:p>
      </dgm:t>
    </dgm:pt>
    <dgm:pt modelId="{6AEC89A2-79F1-264F-A5F2-F2E98C6AB1C7}">
      <dgm:prSet phldrT="[Text]"/>
      <dgm:spPr/>
      <dgm:t>
        <a:bodyPr/>
        <a:lstStyle/>
        <a:p>
          <a:r>
            <a:rPr lang="en-GB"/>
            <a:t>Conclusion</a:t>
          </a:r>
        </a:p>
      </dgm:t>
    </dgm:pt>
    <dgm:pt modelId="{F82D72D5-B9FD-014E-BC85-CBADDC4151F9}" type="parTrans" cxnId="{DA5C0026-56AD-A546-A491-E0FA53517F1C}">
      <dgm:prSet/>
      <dgm:spPr/>
      <dgm:t>
        <a:bodyPr/>
        <a:lstStyle/>
        <a:p>
          <a:endParaRPr lang="en-GB"/>
        </a:p>
      </dgm:t>
    </dgm:pt>
    <dgm:pt modelId="{5DA4901F-70AC-3140-B55E-474EE794DB55}" type="sibTrans" cxnId="{DA5C0026-56AD-A546-A491-E0FA53517F1C}">
      <dgm:prSet/>
      <dgm:spPr/>
      <dgm:t>
        <a:bodyPr/>
        <a:lstStyle/>
        <a:p>
          <a:endParaRPr lang="en-GB"/>
        </a:p>
      </dgm:t>
    </dgm:pt>
    <dgm:pt modelId="{897A1A5B-58DC-FD4C-9073-E71F0BA4F21F}">
      <dgm:prSet/>
      <dgm:spPr/>
      <dgm:t>
        <a:bodyPr/>
        <a:lstStyle/>
        <a:p>
          <a:r>
            <a:rPr lang="en-GB"/>
            <a:t>Description</a:t>
          </a:r>
        </a:p>
      </dgm:t>
    </dgm:pt>
    <dgm:pt modelId="{FB8AFB14-BA28-0249-AED3-0D50EE9949FE}" type="parTrans" cxnId="{67FC56B8-FA44-9245-A1D4-FB3A94753EB4}">
      <dgm:prSet/>
      <dgm:spPr/>
      <dgm:t>
        <a:bodyPr/>
        <a:lstStyle/>
        <a:p>
          <a:endParaRPr lang="en-GB"/>
        </a:p>
      </dgm:t>
    </dgm:pt>
    <dgm:pt modelId="{994856F2-DA99-9046-9E13-1EF75C6438F5}" type="sibTrans" cxnId="{67FC56B8-FA44-9245-A1D4-FB3A94753EB4}">
      <dgm:prSet/>
      <dgm:spPr/>
      <dgm:t>
        <a:bodyPr/>
        <a:lstStyle/>
        <a:p>
          <a:endParaRPr lang="en-GB"/>
        </a:p>
      </dgm:t>
    </dgm:pt>
    <dgm:pt modelId="{21EA8F5F-DEF1-424F-9421-C51F9D615660}" type="pres">
      <dgm:prSet presAssocID="{7D0FEFE0-791E-7947-8982-3571EA27BA80}" presName="cycle" presStyleCnt="0">
        <dgm:presLayoutVars>
          <dgm:dir/>
          <dgm:resizeHandles val="exact"/>
        </dgm:presLayoutVars>
      </dgm:prSet>
      <dgm:spPr/>
    </dgm:pt>
    <dgm:pt modelId="{CD9BFCF3-B9A6-BE43-85BF-82F8C32991F1}" type="pres">
      <dgm:prSet presAssocID="{1FF99DC0-DECF-ED4F-9E0F-9CA732ECF074}" presName="node" presStyleLbl="node1" presStyleIdx="0" presStyleCnt="6">
        <dgm:presLayoutVars>
          <dgm:bulletEnabled val="1"/>
        </dgm:presLayoutVars>
      </dgm:prSet>
      <dgm:spPr/>
    </dgm:pt>
    <dgm:pt modelId="{389C1AC6-6651-C94B-A407-86E657CDAC3E}" type="pres">
      <dgm:prSet presAssocID="{1FF99DC0-DECF-ED4F-9E0F-9CA732ECF074}" presName="spNode" presStyleCnt="0"/>
      <dgm:spPr/>
    </dgm:pt>
    <dgm:pt modelId="{D039DD28-87F6-004F-86EE-11953E9C5F3C}" type="pres">
      <dgm:prSet presAssocID="{AED3C4A4-5701-E843-96DE-D7ABF0A81D1E}" presName="sibTrans" presStyleLbl="sibTrans1D1" presStyleIdx="0" presStyleCnt="6"/>
      <dgm:spPr/>
    </dgm:pt>
    <dgm:pt modelId="{D0EB4AC5-4F8B-BF41-BFA6-53042AB74954}" type="pres">
      <dgm:prSet presAssocID="{897A1A5B-58DC-FD4C-9073-E71F0BA4F21F}" presName="node" presStyleLbl="node1" presStyleIdx="1" presStyleCnt="6">
        <dgm:presLayoutVars>
          <dgm:bulletEnabled val="1"/>
        </dgm:presLayoutVars>
      </dgm:prSet>
      <dgm:spPr/>
    </dgm:pt>
    <dgm:pt modelId="{8CA89E84-8196-2848-BAB0-067B26CBBCDF}" type="pres">
      <dgm:prSet presAssocID="{897A1A5B-58DC-FD4C-9073-E71F0BA4F21F}" presName="spNode" presStyleCnt="0"/>
      <dgm:spPr/>
    </dgm:pt>
    <dgm:pt modelId="{64866AFC-7484-7140-BB9F-338811CF3070}" type="pres">
      <dgm:prSet presAssocID="{994856F2-DA99-9046-9E13-1EF75C6438F5}" presName="sibTrans" presStyleLbl="sibTrans1D1" presStyleIdx="1" presStyleCnt="6"/>
      <dgm:spPr/>
    </dgm:pt>
    <dgm:pt modelId="{F847A0B9-ED09-1041-A60F-9C2941F6C744}" type="pres">
      <dgm:prSet presAssocID="{5ED86B30-5E7B-AF48-9DA0-D1539AD1F09F}" presName="node" presStyleLbl="node1" presStyleIdx="2" presStyleCnt="6">
        <dgm:presLayoutVars>
          <dgm:bulletEnabled val="1"/>
        </dgm:presLayoutVars>
      </dgm:prSet>
      <dgm:spPr/>
    </dgm:pt>
    <dgm:pt modelId="{C3E54ACC-0A49-1949-AE8C-1840037D75EE}" type="pres">
      <dgm:prSet presAssocID="{5ED86B30-5E7B-AF48-9DA0-D1539AD1F09F}" presName="spNode" presStyleCnt="0"/>
      <dgm:spPr/>
    </dgm:pt>
    <dgm:pt modelId="{A813B5D0-8B33-ED47-960E-BB1230D9BE93}" type="pres">
      <dgm:prSet presAssocID="{D6D32A62-F430-2345-8FD4-62FB96BE1AB5}" presName="sibTrans" presStyleLbl="sibTrans1D1" presStyleIdx="2" presStyleCnt="6"/>
      <dgm:spPr/>
    </dgm:pt>
    <dgm:pt modelId="{E00532D2-2FE5-0548-8AC0-90BCFB58E090}" type="pres">
      <dgm:prSet presAssocID="{E502BDD3-10C4-1043-9E9A-77E411CB756C}" presName="node" presStyleLbl="node1" presStyleIdx="3" presStyleCnt="6">
        <dgm:presLayoutVars>
          <dgm:bulletEnabled val="1"/>
        </dgm:presLayoutVars>
      </dgm:prSet>
      <dgm:spPr/>
    </dgm:pt>
    <dgm:pt modelId="{3F2E744E-5FCD-5247-A47D-7EFC14BB85B1}" type="pres">
      <dgm:prSet presAssocID="{E502BDD3-10C4-1043-9E9A-77E411CB756C}" presName="spNode" presStyleCnt="0"/>
      <dgm:spPr/>
    </dgm:pt>
    <dgm:pt modelId="{557E5EC4-E995-F54D-8CE6-D104E57C00F1}" type="pres">
      <dgm:prSet presAssocID="{428868FC-996E-8C40-86ED-97CFA9F0D1BB}" presName="sibTrans" presStyleLbl="sibTrans1D1" presStyleIdx="3" presStyleCnt="6"/>
      <dgm:spPr/>
    </dgm:pt>
    <dgm:pt modelId="{34B8B162-CDBC-5E4F-81C4-831F3A7F3306}" type="pres">
      <dgm:prSet presAssocID="{85291613-73A1-1040-9173-32AF5ED0F735}" presName="node" presStyleLbl="node1" presStyleIdx="4" presStyleCnt="6">
        <dgm:presLayoutVars>
          <dgm:bulletEnabled val="1"/>
        </dgm:presLayoutVars>
      </dgm:prSet>
      <dgm:spPr/>
    </dgm:pt>
    <dgm:pt modelId="{FF39C4EF-33BA-4F41-A85B-D20C5763CD4E}" type="pres">
      <dgm:prSet presAssocID="{85291613-73A1-1040-9173-32AF5ED0F735}" presName="spNode" presStyleCnt="0"/>
      <dgm:spPr/>
    </dgm:pt>
    <dgm:pt modelId="{37213BE0-42F1-DA4F-8681-D9D0FDCC3EEC}" type="pres">
      <dgm:prSet presAssocID="{8A7DBEAD-9CD4-C246-AD5B-56F7BF8A2100}" presName="sibTrans" presStyleLbl="sibTrans1D1" presStyleIdx="4" presStyleCnt="6"/>
      <dgm:spPr/>
    </dgm:pt>
    <dgm:pt modelId="{E1F1D1E6-6B96-234A-A1E2-155FB14004BD}" type="pres">
      <dgm:prSet presAssocID="{6AEC89A2-79F1-264F-A5F2-F2E98C6AB1C7}" presName="node" presStyleLbl="node1" presStyleIdx="5" presStyleCnt="6">
        <dgm:presLayoutVars>
          <dgm:bulletEnabled val="1"/>
        </dgm:presLayoutVars>
      </dgm:prSet>
      <dgm:spPr/>
    </dgm:pt>
    <dgm:pt modelId="{7D6AF39C-B08D-FA48-B3B4-AC275B3F9AFB}" type="pres">
      <dgm:prSet presAssocID="{6AEC89A2-79F1-264F-A5F2-F2E98C6AB1C7}" presName="spNode" presStyleCnt="0"/>
      <dgm:spPr/>
    </dgm:pt>
    <dgm:pt modelId="{AA7EBB84-DC84-934C-8452-56BCD6710605}" type="pres">
      <dgm:prSet presAssocID="{5DA4901F-70AC-3140-B55E-474EE794DB55}" presName="sibTrans" presStyleLbl="sibTrans1D1" presStyleIdx="5" presStyleCnt="6"/>
      <dgm:spPr/>
    </dgm:pt>
  </dgm:ptLst>
  <dgm:cxnLst>
    <dgm:cxn modelId="{8654DD11-13CB-024F-AF60-5B8307FEE9D4}" type="presOf" srcId="{5DA4901F-70AC-3140-B55E-474EE794DB55}" destId="{AA7EBB84-DC84-934C-8452-56BCD6710605}" srcOrd="0" destOrd="0" presId="urn:microsoft.com/office/officeart/2005/8/layout/cycle5"/>
    <dgm:cxn modelId="{7337FB18-FCDE-1E42-9235-3460F2F8D6FF}" type="presOf" srcId="{7D0FEFE0-791E-7947-8982-3571EA27BA80}" destId="{21EA8F5F-DEF1-424F-9421-C51F9D615660}" srcOrd="0" destOrd="0" presId="urn:microsoft.com/office/officeart/2005/8/layout/cycle5"/>
    <dgm:cxn modelId="{AA7EA822-F7F1-5149-8976-E8EBCE7845A8}" type="presOf" srcId="{D6D32A62-F430-2345-8FD4-62FB96BE1AB5}" destId="{A813B5D0-8B33-ED47-960E-BB1230D9BE93}" srcOrd="0" destOrd="0" presId="urn:microsoft.com/office/officeart/2005/8/layout/cycle5"/>
    <dgm:cxn modelId="{DA5C0026-56AD-A546-A491-E0FA53517F1C}" srcId="{7D0FEFE0-791E-7947-8982-3571EA27BA80}" destId="{6AEC89A2-79F1-264F-A5F2-F2E98C6AB1C7}" srcOrd="5" destOrd="0" parTransId="{F82D72D5-B9FD-014E-BC85-CBADDC4151F9}" sibTransId="{5DA4901F-70AC-3140-B55E-474EE794DB55}"/>
    <dgm:cxn modelId="{98AF7E46-CFBB-C34C-B813-898912421B81}" srcId="{7D0FEFE0-791E-7947-8982-3571EA27BA80}" destId="{E502BDD3-10C4-1043-9E9A-77E411CB756C}" srcOrd="3" destOrd="0" parTransId="{7A25090B-EEA8-094C-BE74-4F48611761C7}" sibTransId="{428868FC-996E-8C40-86ED-97CFA9F0D1BB}"/>
    <dgm:cxn modelId="{08C3F85F-F380-8740-8FCB-7B7FCCAF5E78}" type="presOf" srcId="{897A1A5B-58DC-FD4C-9073-E71F0BA4F21F}" destId="{D0EB4AC5-4F8B-BF41-BFA6-53042AB74954}" srcOrd="0" destOrd="0" presId="urn:microsoft.com/office/officeart/2005/8/layout/cycle5"/>
    <dgm:cxn modelId="{189FFE7A-B1FA-BB4A-A44C-C054589EF695}" srcId="{7D0FEFE0-791E-7947-8982-3571EA27BA80}" destId="{85291613-73A1-1040-9173-32AF5ED0F735}" srcOrd="4" destOrd="0" parTransId="{9A6A1779-FE23-FF48-98CE-1EE4A5E6CECF}" sibTransId="{8A7DBEAD-9CD4-C246-AD5B-56F7BF8A2100}"/>
    <dgm:cxn modelId="{07174281-3694-C04F-A161-CD656A4431DA}" srcId="{7D0FEFE0-791E-7947-8982-3571EA27BA80}" destId="{5ED86B30-5E7B-AF48-9DA0-D1539AD1F09F}" srcOrd="2" destOrd="0" parTransId="{BCFEF063-3950-C64F-9A11-C18914D5962C}" sibTransId="{D6D32A62-F430-2345-8FD4-62FB96BE1AB5}"/>
    <dgm:cxn modelId="{A944038B-FBA4-9643-9117-309E3782CACE}" type="presOf" srcId="{6AEC89A2-79F1-264F-A5F2-F2E98C6AB1C7}" destId="{E1F1D1E6-6B96-234A-A1E2-155FB14004BD}" srcOrd="0" destOrd="0" presId="urn:microsoft.com/office/officeart/2005/8/layout/cycle5"/>
    <dgm:cxn modelId="{0DC15D8C-AB8D-7B45-A129-E7934DCC490E}" type="presOf" srcId="{428868FC-996E-8C40-86ED-97CFA9F0D1BB}" destId="{557E5EC4-E995-F54D-8CE6-D104E57C00F1}" srcOrd="0" destOrd="0" presId="urn:microsoft.com/office/officeart/2005/8/layout/cycle5"/>
    <dgm:cxn modelId="{2B182B8E-6E3C-2447-BDFA-A39D6192CFA1}" srcId="{7D0FEFE0-791E-7947-8982-3571EA27BA80}" destId="{1FF99DC0-DECF-ED4F-9E0F-9CA732ECF074}" srcOrd="0" destOrd="0" parTransId="{5389EC6A-2B43-2E46-BE46-C8006D25D98A}" sibTransId="{AED3C4A4-5701-E843-96DE-D7ABF0A81D1E}"/>
    <dgm:cxn modelId="{E10694A7-2BA4-4344-8C39-C94B24B6A399}" type="presOf" srcId="{85291613-73A1-1040-9173-32AF5ED0F735}" destId="{34B8B162-CDBC-5E4F-81C4-831F3A7F3306}" srcOrd="0" destOrd="0" presId="urn:microsoft.com/office/officeart/2005/8/layout/cycle5"/>
    <dgm:cxn modelId="{67FC56B8-FA44-9245-A1D4-FB3A94753EB4}" srcId="{7D0FEFE0-791E-7947-8982-3571EA27BA80}" destId="{897A1A5B-58DC-FD4C-9073-E71F0BA4F21F}" srcOrd="1" destOrd="0" parTransId="{FB8AFB14-BA28-0249-AED3-0D50EE9949FE}" sibTransId="{994856F2-DA99-9046-9E13-1EF75C6438F5}"/>
    <dgm:cxn modelId="{EFEA2ABB-6823-7D4B-8C4B-457741A7EEE0}" type="presOf" srcId="{994856F2-DA99-9046-9E13-1EF75C6438F5}" destId="{64866AFC-7484-7140-BB9F-338811CF3070}" srcOrd="0" destOrd="0" presId="urn:microsoft.com/office/officeart/2005/8/layout/cycle5"/>
    <dgm:cxn modelId="{91619FCD-D0A5-4B47-BDE8-79652D8D6A30}" type="presOf" srcId="{AED3C4A4-5701-E843-96DE-D7ABF0A81D1E}" destId="{D039DD28-87F6-004F-86EE-11953E9C5F3C}" srcOrd="0" destOrd="0" presId="urn:microsoft.com/office/officeart/2005/8/layout/cycle5"/>
    <dgm:cxn modelId="{0A2689D5-2B3F-8E4C-A0BF-3F9C9B309131}" type="presOf" srcId="{8A7DBEAD-9CD4-C246-AD5B-56F7BF8A2100}" destId="{37213BE0-42F1-DA4F-8681-D9D0FDCC3EEC}" srcOrd="0" destOrd="0" presId="urn:microsoft.com/office/officeart/2005/8/layout/cycle5"/>
    <dgm:cxn modelId="{D0578DE4-9A2A-1C48-AD04-59E7C41B2893}" type="presOf" srcId="{1FF99DC0-DECF-ED4F-9E0F-9CA732ECF074}" destId="{CD9BFCF3-B9A6-BE43-85BF-82F8C32991F1}" srcOrd="0" destOrd="0" presId="urn:microsoft.com/office/officeart/2005/8/layout/cycle5"/>
    <dgm:cxn modelId="{80DEB8F0-0AE2-854E-9552-C40EAEBE474F}" type="presOf" srcId="{E502BDD3-10C4-1043-9E9A-77E411CB756C}" destId="{E00532D2-2FE5-0548-8AC0-90BCFB58E090}" srcOrd="0" destOrd="0" presId="urn:microsoft.com/office/officeart/2005/8/layout/cycle5"/>
    <dgm:cxn modelId="{A94B67FC-C081-B945-B751-F9372426B576}" type="presOf" srcId="{5ED86B30-5E7B-AF48-9DA0-D1539AD1F09F}" destId="{F847A0B9-ED09-1041-A60F-9C2941F6C744}" srcOrd="0" destOrd="0" presId="urn:microsoft.com/office/officeart/2005/8/layout/cycle5"/>
    <dgm:cxn modelId="{405C8BE5-EACF-304E-A643-DD4C72AB5A0B}" type="presParOf" srcId="{21EA8F5F-DEF1-424F-9421-C51F9D615660}" destId="{CD9BFCF3-B9A6-BE43-85BF-82F8C32991F1}" srcOrd="0" destOrd="0" presId="urn:microsoft.com/office/officeart/2005/8/layout/cycle5"/>
    <dgm:cxn modelId="{1F851DC6-D6B3-834D-B22C-72E06C10C9B4}" type="presParOf" srcId="{21EA8F5F-DEF1-424F-9421-C51F9D615660}" destId="{389C1AC6-6651-C94B-A407-86E657CDAC3E}" srcOrd="1" destOrd="0" presId="urn:microsoft.com/office/officeart/2005/8/layout/cycle5"/>
    <dgm:cxn modelId="{73BB7D4E-F57A-A547-B9BB-B377861AE70B}" type="presParOf" srcId="{21EA8F5F-DEF1-424F-9421-C51F9D615660}" destId="{D039DD28-87F6-004F-86EE-11953E9C5F3C}" srcOrd="2" destOrd="0" presId="urn:microsoft.com/office/officeart/2005/8/layout/cycle5"/>
    <dgm:cxn modelId="{A8E31629-3AC4-D448-AC2B-3640711423B8}" type="presParOf" srcId="{21EA8F5F-DEF1-424F-9421-C51F9D615660}" destId="{D0EB4AC5-4F8B-BF41-BFA6-53042AB74954}" srcOrd="3" destOrd="0" presId="urn:microsoft.com/office/officeart/2005/8/layout/cycle5"/>
    <dgm:cxn modelId="{39CBFAF6-30E6-2E42-B8EB-D8BC85AE4827}" type="presParOf" srcId="{21EA8F5F-DEF1-424F-9421-C51F9D615660}" destId="{8CA89E84-8196-2848-BAB0-067B26CBBCDF}" srcOrd="4" destOrd="0" presId="urn:microsoft.com/office/officeart/2005/8/layout/cycle5"/>
    <dgm:cxn modelId="{013AA084-5AF8-DF46-9AE8-D64BC1B5943D}" type="presParOf" srcId="{21EA8F5F-DEF1-424F-9421-C51F9D615660}" destId="{64866AFC-7484-7140-BB9F-338811CF3070}" srcOrd="5" destOrd="0" presId="urn:microsoft.com/office/officeart/2005/8/layout/cycle5"/>
    <dgm:cxn modelId="{FA200409-7C42-2F4E-87C4-6F329AE28AC2}" type="presParOf" srcId="{21EA8F5F-DEF1-424F-9421-C51F9D615660}" destId="{F847A0B9-ED09-1041-A60F-9C2941F6C744}" srcOrd="6" destOrd="0" presId="urn:microsoft.com/office/officeart/2005/8/layout/cycle5"/>
    <dgm:cxn modelId="{1BE9C7AA-9905-2847-B4DD-517C97E86B28}" type="presParOf" srcId="{21EA8F5F-DEF1-424F-9421-C51F9D615660}" destId="{C3E54ACC-0A49-1949-AE8C-1840037D75EE}" srcOrd="7" destOrd="0" presId="urn:microsoft.com/office/officeart/2005/8/layout/cycle5"/>
    <dgm:cxn modelId="{7A387312-6CBA-AD40-9462-A645AE187D5B}" type="presParOf" srcId="{21EA8F5F-DEF1-424F-9421-C51F9D615660}" destId="{A813B5D0-8B33-ED47-960E-BB1230D9BE93}" srcOrd="8" destOrd="0" presId="urn:microsoft.com/office/officeart/2005/8/layout/cycle5"/>
    <dgm:cxn modelId="{2A9BB51D-730D-9244-A77D-CE7F59ACDE9E}" type="presParOf" srcId="{21EA8F5F-DEF1-424F-9421-C51F9D615660}" destId="{E00532D2-2FE5-0548-8AC0-90BCFB58E090}" srcOrd="9" destOrd="0" presId="urn:microsoft.com/office/officeart/2005/8/layout/cycle5"/>
    <dgm:cxn modelId="{BBF64451-D2DA-294E-9A2D-BCEDF0D7DA52}" type="presParOf" srcId="{21EA8F5F-DEF1-424F-9421-C51F9D615660}" destId="{3F2E744E-5FCD-5247-A47D-7EFC14BB85B1}" srcOrd="10" destOrd="0" presId="urn:microsoft.com/office/officeart/2005/8/layout/cycle5"/>
    <dgm:cxn modelId="{7A6A10DE-DE01-464D-B570-6823216F2A0D}" type="presParOf" srcId="{21EA8F5F-DEF1-424F-9421-C51F9D615660}" destId="{557E5EC4-E995-F54D-8CE6-D104E57C00F1}" srcOrd="11" destOrd="0" presId="urn:microsoft.com/office/officeart/2005/8/layout/cycle5"/>
    <dgm:cxn modelId="{D6E49EAB-172A-1542-80C4-052D9DEBF614}" type="presParOf" srcId="{21EA8F5F-DEF1-424F-9421-C51F9D615660}" destId="{34B8B162-CDBC-5E4F-81C4-831F3A7F3306}" srcOrd="12" destOrd="0" presId="urn:microsoft.com/office/officeart/2005/8/layout/cycle5"/>
    <dgm:cxn modelId="{9B5B3D86-0527-2E4E-B1D2-94A5F3FA96A6}" type="presParOf" srcId="{21EA8F5F-DEF1-424F-9421-C51F9D615660}" destId="{FF39C4EF-33BA-4F41-A85B-D20C5763CD4E}" srcOrd="13" destOrd="0" presId="urn:microsoft.com/office/officeart/2005/8/layout/cycle5"/>
    <dgm:cxn modelId="{27AD8B17-510C-8345-B940-10E499239AD3}" type="presParOf" srcId="{21EA8F5F-DEF1-424F-9421-C51F9D615660}" destId="{37213BE0-42F1-DA4F-8681-D9D0FDCC3EEC}" srcOrd="14" destOrd="0" presId="urn:microsoft.com/office/officeart/2005/8/layout/cycle5"/>
    <dgm:cxn modelId="{D439A972-EE2B-2444-BECB-94AC5A61A03D}" type="presParOf" srcId="{21EA8F5F-DEF1-424F-9421-C51F9D615660}" destId="{E1F1D1E6-6B96-234A-A1E2-155FB14004BD}" srcOrd="15" destOrd="0" presId="urn:microsoft.com/office/officeart/2005/8/layout/cycle5"/>
    <dgm:cxn modelId="{78E10F4A-D50B-D64A-A146-ECF269D2B009}" type="presParOf" srcId="{21EA8F5F-DEF1-424F-9421-C51F9D615660}" destId="{7D6AF39C-B08D-FA48-B3B4-AC275B3F9AFB}" srcOrd="16" destOrd="0" presId="urn:microsoft.com/office/officeart/2005/8/layout/cycle5"/>
    <dgm:cxn modelId="{DC4B1FEE-0A6D-8243-9D39-8E9DFB1AAF2C}" type="presParOf" srcId="{21EA8F5F-DEF1-424F-9421-C51F9D615660}" destId="{AA7EBB84-DC84-934C-8452-56BCD6710605}" srcOrd="17" destOrd="0" presId="urn:microsoft.com/office/officeart/2005/8/layout/cycle5"/>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B313B4-9CDD-48DE-830E-6EEE9D7137B0}">
      <dsp:nvSpPr>
        <dsp:cNvPr id="0" name=""/>
        <dsp:cNvSpPr/>
      </dsp:nvSpPr>
      <dsp:spPr>
        <a:xfrm rot="16200000">
          <a:off x="592364" y="-614152"/>
          <a:ext cx="1473200" cy="2657928"/>
        </a:xfrm>
        <a:prstGeom prst="round1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mj-lt"/>
            </a:rPr>
            <a:t>Multinational (high local responsiveness,low intergration)</a:t>
          </a:r>
          <a:endParaRPr lang="LID4096" sz="1200" kern="1200">
            <a:latin typeface="+mj-lt"/>
          </a:endParaRPr>
        </a:p>
      </dsp:txBody>
      <dsp:txXfrm rot="5400000">
        <a:off x="0" y="-21788"/>
        <a:ext cx="2657928" cy="1104900"/>
      </dsp:txXfrm>
    </dsp:sp>
    <dsp:sp modelId="{CC517850-A41C-48E2-8656-79898FE95D1E}">
      <dsp:nvSpPr>
        <dsp:cNvPr id="0" name=""/>
        <dsp:cNvSpPr/>
      </dsp:nvSpPr>
      <dsp:spPr>
        <a:xfrm>
          <a:off x="2657928" y="-36830"/>
          <a:ext cx="2657928" cy="1473200"/>
        </a:xfrm>
        <a:prstGeom prst="round1Rect">
          <a:avLst/>
        </a:prstGeom>
        <a:solidFill>
          <a:schemeClr val="accent2">
            <a:hueOff val="1560507"/>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Transnational (high integration high responsiveness)</a:t>
          </a:r>
          <a:endParaRPr lang="LID4096" sz="1200" kern="1200"/>
        </a:p>
      </dsp:txBody>
      <dsp:txXfrm>
        <a:off x="2657928" y="-36830"/>
        <a:ext cx="2657928" cy="1104900"/>
      </dsp:txXfrm>
    </dsp:sp>
    <dsp:sp modelId="{C57D7547-8D25-45D9-9920-8D415F0ABA1F}">
      <dsp:nvSpPr>
        <dsp:cNvPr id="0" name=""/>
        <dsp:cNvSpPr/>
      </dsp:nvSpPr>
      <dsp:spPr>
        <a:xfrm rot="10800000">
          <a:off x="0" y="1362710"/>
          <a:ext cx="2657928" cy="1620520"/>
        </a:xfrm>
        <a:prstGeom prst="round1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International(low integration low responsiveness)</a:t>
          </a:r>
          <a:endParaRPr lang="LID4096" sz="1200" kern="1200"/>
        </a:p>
      </dsp:txBody>
      <dsp:txXfrm rot="10800000">
        <a:off x="0" y="1767840"/>
        <a:ext cx="2657928" cy="1215390"/>
      </dsp:txXfrm>
    </dsp:sp>
    <dsp:sp modelId="{4162502C-AFEB-43D0-8592-4C10AAC21C45}">
      <dsp:nvSpPr>
        <dsp:cNvPr id="0" name=""/>
        <dsp:cNvSpPr/>
      </dsp:nvSpPr>
      <dsp:spPr>
        <a:xfrm rot="5400000">
          <a:off x="3177472" y="844005"/>
          <a:ext cx="1618840" cy="2657928"/>
        </a:xfrm>
        <a:prstGeom prst="round1Rect">
          <a:avLst/>
        </a:prstGeom>
        <a:solidFill>
          <a:schemeClr val="accent2">
            <a:hueOff val="4681520"/>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Global</a:t>
          </a:r>
          <a:endParaRPr lang="LID4096" sz="1200" kern="1200"/>
        </a:p>
      </dsp:txBody>
      <dsp:txXfrm rot="-5400000">
        <a:off x="2657928" y="1768259"/>
        <a:ext cx="2657928" cy="1214130"/>
      </dsp:txXfrm>
    </dsp:sp>
    <dsp:sp modelId="{F57EEE42-6543-42DA-AE55-938146237FB2}">
      <dsp:nvSpPr>
        <dsp:cNvPr id="0" name=""/>
        <dsp:cNvSpPr/>
      </dsp:nvSpPr>
      <dsp:spPr>
        <a:xfrm>
          <a:off x="1860549" y="1104900"/>
          <a:ext cx="1594757" cy="736600"/>
        </a:xfrm>
        <a:prstGeom prst="roundRect">
          <a:avLst/>
        </a:prstGeom>
        <a:solidFill>
          <a:schemeClr val="accent2">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Bartlett and Ghoshal(1989)Integration-Responsiveness Matrix</a:t>
          </a:r>
          <a:endParaRPr lang="LID4096" sz="900" kern="1200"/>
        </a:p>
      </dsp:txBody>
      <dsp:txXfrm>
        <a:off x="1896507" y="1140858"/>
        <a:ext cx="1522841" cy="6646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9BFCF3-B9A6-BE43-85BF-82F8C32991F1}">
      <dsp:nvSpPr>
        <dsp:cNvPr id="0" name=""/>
        <dsp:cNvSpPr/>
      </dsp:nvSpPr>
      <dsp:spPr>
        <a:xfrm>
          <a:off x="2033722" y="62"/>
          <a:ext cx="665581" cy="432628"/>
        </a:xfrm>
        <a:prstGeom prst="round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Action Plan</a:t>
          </a:r>
        </a:p>
      </dsp:txBody>
      <dsp:txXfrm>
        <a:off x="2054841" y="21181"/>
        <a:ext cx="623343" cy="390390"/>
      </dsp:txXfrm>
    </dsp:sp>
    <dsp:sp modelId="{D039DD28-87F6-004F-86EE-11953E9C5F3C}">
      <dsp:nvSpPr>
        <dsp:cNvPr id="0" name=""/>
        <dsp:cNvSpPr/>
      </dsp:nvSpPr>
      <dsp:spPr>
        <a:xfrm>
          <a:off x="1347874" y="216376"/>
          <a:ext cx="2037277" cy="2037277"/>
        </a:xfrm>
        <a:custGeom>
          <a:avLst/>
          <a:gdLst/>
          <a:ahLst/>
          <a:cxnLst/>
          <a:rect l="0" t="0" r="0" b="0"/>
          <a:pathLst>
            <a:path>
              <a:moveTo>
                <a:pt x="1435027" y="88990"/>
              </a:moveTo>
              <a:arcTo wR="1018638" hR="1018638" stAng="17647654" swAng="923198"/>
            </a:path>
          </a:pathLst>
        </a:custGeom>
        <a:noFill/>
        <a:ln w="9525" cap="flat" cmpd="sng" algn="ctr">
          <a:solidFill>
            <a:schemeClr val="accent2">
              <a:hueOff val="0"/>
              <a:satOff val="0"/>
              <a:lumOff val="0"/>
              <a:alphaOff val="0"/>
            </a:schemeClr>
          </a:solidFill>
          <a:prstDash val="solid"/>
          <a:tailEnd type="arrow"/>
        </a:ln>
        <a:effectLst/>
        <a:sp3d z="-25400" prstMaterial="plastic"/>
      </dsp:spPr>
      <dsp:style>
        <a:lnRef idx="1">
          <a:scrgbClr r="0" g="0" b="0"/>
        </a:lnRef>
        <a:fillRef idx="0">
          <a:scrgbClr r="0" g="0" b="0"/>
        </a:fillRef>
        <a:effectRef idx="0">
          <a:scrgbClr r="0" g="0" b="0"/>
        </a:effectRef>
        <a:fontRef idx="minor"/>
      </dsp:style>
    </dsp:sp>
    <dsp:sp modelId="{D0EB4AC5-4F8B-BF41-BFA6-53042AB74954}">
      <dsp:nvSpPr>
        <dsp:cNvPr id="0" name=""/>
        <dsp:cNvSpPr/>
      </dsp:nvSpPr>
      <dsp:spPr>
        <a:xfrm>
          <a:off x="2915889" y="509381"/>
          <a:ext cx="665581" cy="432628"/>
        </a:xfrm>
        <a:prstGeom prst="roundRect">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Description</a:t>
          </a:r>
        </a:p>
      </dsp:txBody>
      <dsp:txXfrm>
        <a:off x="2937008" y="530500"/>
        <a:ext cx="623343" cy="390390"/>
      </dsp:txXfrm>
    </dsp:sp>
    <dsp:sp modelId="{64866AFC-7484-7140-BB9F-338811CF3070}">
      <dsp:nvSpPr>
        <dsp:cNvPr id="0" name=""/>
        <dsp:cNvSpPr/>
      </dsp:nvSpPr>
      <dsp:spPr>
        <a:xfrm>
          <a:off x="1347874" y="216376"/>
          <a:ext cx="2037277" cy="2037277"/>
        </a:xfrm>
        <a:custGeom>
          <a:avLst/>
          <a:gdLst/>
          <a:ahLst/>
          <a:cxnLst/>
          <a:rect l="0" t="0" r="0" b="0"/>
          <a:pathLst>
            <a:path>
              <a:moveTo>
                <a:pt x="2021414" y="839572"/>
              </a:moveTo>
              <a:arcTo wR="1018638" hR="1018638" stAng="20992522" swAng="1214957"/>
            </a:path>
          </a:pathLst>
        </a:custGeom>
        <a:noFill/>
        <a:ln w="9525" cap="flat" cmpd="sng" algn="ctr">
          <a:solidFill>
            <a:schemeClr val="accent3">
              <a:hueOff val="0"/>
              <a:satOff val="0"/>
              <a:lumOff val="0"/>
              <a:alphaOff val="0"/>
            </a:schemeClr>
          </a:solidFill>
          <a:prstDash val="solid"/>
          <a:tailEnd type="arrow"/>
        </a:ln>
        <a:effectLst/>
        <a:sp3d z="-25400" prstMaterial="plastic"/>
      </dsp:spPr>
      <dsp:style>
        <a:lnRef idx="1">
          <a:scrgbClr r="0" g="0" b="0"/>
        </a:lnRef>
        <a:fillRef idx="0">
          <a:scrgbClr r="0" g="0" b="0"/>
        </a:fillRef>
        <a:effectRef idx="0">
          <a:scrgbClr r="0" g="0" b="0"/>
        </a:effectRef>
        <a:fontRef idx="minor"/>
      </dsp:style>
    </dsp:sp>
    <dsp:sp modelId="{F847A0B9-ED09-1041-A60F-9C2941F6C744}">
      <dsp:nvSpPr>
        <dsp:cNvPr id="0" name=""/>
        <dsp:cNvSpPr/>
      </dsp:nvSpPr>
      <dsp:spPr>
        <a:xfrm>
          <a:off x="2915889" y="1528020"/>
          <a:ext cx="665581" cy="432628"/>
        </a:xfrm>
        <a:prstGeom prst="round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Feelings</a:t>
          </a:r>
        </a:p>
      </dsp:txBody>
      <dsp:txXfrm>
        <a:off x="2937008" y="1549139"/>
        <a:ext cx="623343" cy="390390"/>
      </dsp:txXfrm>
    </dsp:sp>
    <dsp:sp modelId="{A813B5D0-8B33-ED47-960E-BB1230D9BE93}">
      <dsp:nvSpPr>
        <dsp:cNvPr id="0" name=""/>
        <dsp:cNvSpPr/>
      </dsp:nvSpPr>
      <dsp:spPr>
        <a:xfrm>
          <a:off x="1347874" y="216376"/>
          <a:ext cx="2037277" cy="2037277"/>
        </a:xfrm>
        <a:custGeom>
          <a:avLst/>
          <a:gdLst/>
          <a:ahLst/>
          <a:cxnLst/>
          <a:rect l="0" t="0" r="0" b="0"/>
          <a:pathLst>
            <a:path>
              <a:moveTo>
                <a:pt x="1666767" y="1804484"/>
              </a:moveTo>
              <a:arcTo wR="1018638" hR="1018638" stAng="3029148" swAng="923198"/>
            </a:path>
          </a:pathLst>
        </a:custGeom>
        <a:noFill/>
        <a:ln w="9525" cap="flat" cmpd="sng" algn="ctr">
          <a:solidFill>
            <a:schemeClr val="accent4">
              <a:hueOff val="0"/>
              <a:satOff val="0"/>
              <a:lumOff val="0"/>
              <a:alphaOff val="0"/>
            </a:schemeClr>
          </a:solidFill>
          <a:prstDash val="solid"/>
          <a:tailEnd type="arrow"/>
        </a:ln>
        <a:effectLst/>
        <a:sp3d z="-25400" prstMaterial="plastic"/>
      </dsp:spPr>
      <dsp:style>
        <a:lnRef idx="1">
          <a:scrgbClr r="0" g="0" b="0"/>
        </a:lnRef>
        <a:fillRef idx="0">
          <a:scrgbClr r="0" g="0" b="0"/>
        </a:fillRef>
        <a:effectRef idx="0">
          <a:scrgbClr r="0" g="0" b="0"/>
        </a:effectRef>
        <a:fontRef idx="minor"/>
      </dsp:style>
    </dsp:sp>
    <dsp:sp modelId="{E00532D2-2FE5-0548-8AC0-90BCFB58E090}">
      <dsp:nvSpPr>
        <dsp:cNvPr id="0" name=""/>
        <dsp:cNvSpPr/>
      </dsp:nvSpPr>
      <dsp:spPr>
        <a:xfrm>
          <a:off x="2033722" y="2037339"/>
          <a:ext cx="665581" cy="432628"/>
        </a:xfrm>
        <a:prstGeom prst="round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evaluation</a:t>
          </a:r>
        </a:p>
      </dsp:txBody>
      <dsp:txXfrm>
        <a:off x="2054841" y="2058458"/>
        <a:ext cx="623343" cy="390390"/>
      </dsp:txXfrm>
    </dsp:sp>
    <dsp:sp modelId="{557E5EC4-E995-F54D-8CE6-D104E57C00F1}">
      <dsp:nvSpPr>
        <dsp:cNvPr id="0" name=""/>
        <dsp:cNvSpPr/>
      </dsp:nvSpPr>
      <dsp:spPr>
        <a:xfrm>
          <a:off x="1347874" y="216376"/>
          <a:ext cx="2037277" cy="2037277"/>
        </a:xfrm>
        <a:custGeom>
          <a:avLst/>
          <a:gdLst/>
          <a:ahLst/>
          <a:cxnLst/>
          <a:rect l="0" t="0" r="0" b="0"/>
          <a:pathLst>
            <a:path>
              <a:moveTo>
                <a:pt x="602250" y="1948286"/>
              </a:moveTo>
              <a:arcTo wR="1018638" hR="1018638" stAng="6847654" swAng="923198"/>
            </a:path>
          </a:pathLst>
        </a:custGeom>
        <a:noFill/>
        <a:ln w="9525" cap="flat" cmpd="sng" algn="ctr">
          <a:solidFill>
            <a:schemeClr val="accent5">
              <a:hueOff val="0"/>
              <a:satOff val="0"/>
              <a:lumOff val="0"/>
              <a:alphaOff val="0"/>
            </a:schemeClr>
          </a:solidFill>
          <a:prstDash val="solid"/>
          <a:tailEnd type="arrow"/>
        </a:ln>
        <a:effectLst/>
        <a:sp3d z="-25400" prstMaterial="plastic"/>
      </dsp:spPr>
      <dsp:style>
        <a:lnRef idx="1">
          <a:scrgbClr r="0" g="0" b="0"/>
        </a:lnRef>
        <a:fillRef idx="0">
          <a:scrgbClr r="0" g="0" b="0"/>
        </a:fillRef>
        <a:effectRef idx="0">
          <a:scrgbClr r="0" g="0" b="0"/>
        </a:effectRef>
        <a:fontRef idx="minor"/>
      </dsp:style>
    </dsp:sp>
    <dsp:sp modelId="{34B8B162-CDBC-5E4F-81C4-831F3A7F3306}">
      <dsp:nvSpPr>
        <dsp:cNvPr id="0" name=""/>
        <dsp:cNvSpPr/>
      </dsp:nvSpPr>
      <dsp:spPr>
        <a:xfrm>
          <a:off x="1151555" y="1528020"/>
          <a:ext cx="665581" cy="432628"/>
        </a:xfrm>
        <a:prstGeom prst="roundRect">
          <a:avLst/>
        </a:prstGeom>
        <a:solidFill>
          <a:schemeClr val="accent6">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Analysis</a:t>
          </a:r>
        </a:p>
      </dsp:txBody>
      <dsp:txXfrm>
        <a:off x="1172674" y="1549139"/>
        <a:ext cx="623343" cy="390390"/>
      </dsp:txXfrm>
    </dsp:sp>
    <dsp:sp modelId="{37213BE0-42F1-DA4F-8681-D9D0FDCC3EEC}">
      <dsp:nvSpPr>
        <dsp:cNvPr id="0" name=""/>
        <dsp:cNvSpPr/>
      </dsp:nvSpPr>
      <dsp:spPr>
        <a:xfrm>
          <a:off x="1347874" y="216376"/>
          <a:ext cx="2037277" cy="2037277"/>
        </a:xfrm>
        <a:custGeom>
          <a:avLst/>
          <a:gdLst/>
          <a:ahLst/>
          <a:cxnLst/>
          <a:rect l="0" t="0" r="0" b="0"/>
          <a:pathLst>
            <a:path>
              <a:moveTo>
                <a:pt x="15862" y="1197705"/>
              </a:moveTo>
              <a:arcTo wR="1018638" hR="1018638" stAng="10192522" swAng="1214957"/>
            </a:path>
          </a:pathLst>
        </a:custGeom>
        <a:noFill/>
        <a:ln w="9525" cap="flat" cmpd="sng" algn="ctr">
          <a:solidFill>
            <a:schemeClr val="accent6">
              <a:hueOff val="0"/>
              <a:satOff val="0"/>
              <a:lumOff val="0"/>
              <a:alphaOff val="0"/>
            </a:schemeClr>
          </a:solidFill>
          <a:prstDash val="solid"/>
          <a:tailEnd type="arrow"/>
        </a:ln>
        <a:effectLst/>
        <a:sp3d z="-25400" prstMaterial="plastic"/>
      </dsp:spPr>
      <dsp:style>
        <a:lnRef idx="1">
          <a:scrgbClr r="0" g="0" b="0"/>
        </a:lnRef>
        <a:fillRef idx="0">
          <a:scrgbClr r="0" g="0" b="0"/>
        </a:fillRef>
        <a:effectRef idx="0">
          <a:scrgbClr r="0" g="0" b="0"/>
        </a:effectRef>
        <a:fontRef idx="minor"/>
      </dsp:style>
    </dsp:sp>
    <dsp:sp modelId="{E1F1D1E6-6B96-234A-A1E2-155FB14004BD}">
      <dsp:nvSpPr>
        <dsp:cNvPr id="0" name=""/>
        <dsp:cNvSpPr/>
      </dsp:nvSpPr>
      <dsp:spPr>
        <a:xfrm>
          <a:off x="1151555" y="509381"/>
          <a:ext cx="665581" cy="432628"/>
        </a:xfrm>
        <a:prstGeom prst="round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Conclusion</a:t>
          </a:r>
        </a:p>
      </dsp:txBody>
      <dsp:txXfrm>
        <a:off x="1172674" y="530500"/>
        <a:ext cx="623343" cy="390390"/>
      </dsp:txXfrm>
    </dsp:sp>
    <dsp:sp modelId="{AA7EBB84-DC84-934C-8452-56BCD6710605}">
      <dsp:nvSpPr>
        <dsp:cNvPr id="0" name=""/>
        <dsp:cNvSpPr/>
      </dsp:nvSpPr>
      <dsp:spPr>
        <a:xfrm>
          <a:off x="1347874" y="216376"/>
          <a:ext cx="2037277" cy="2037277"/>
        </a:xfrm>
        <a:custGeom>
          <a:avLst/>
          <a:gdLst/>
          <a:ahLst/>
          <a:cxnLst/>
          <a:rect l="0" t="0" r="0" b="0"/>
          <a:pathLst>
            <a:path>
              <a:moveTo>
                <a:pt x="370509" y="232792"/>
              </a:moveTo>
              <a:arcTo wR="1018638" hR="1018638" stAng="13829148" swAng="923198"/>
            </a:path>
          </a:pathLst>
        </a:custGeom>
        <a:noFill/>
        <a:ln w="9525" cap="flat" cmpd="sng" algn="ctr">
          <a:solidFill>
            <a:schemeClr val="accent2">
              <a:hueOff val="0"/>
              <a:satOff val="0"/>
              <a:lumOff val="0"/>
              <a:alphaOff val="0"/>
            </a:schemeClr>
          </a:solidFill>
          <a:prstDash val="solid"/>
          <a:tailEnd type="arrow"/>
        </a:ln>
        <a:effectLst/>
        <a:sp3d z="-25400" prstMaterial="plastic"/>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6">
  <dgm:title val=""/>
  <dgm:desc val=""/>
  <dgm:catLst>
    <dgm:cat type="3D" pri="11600"/>
  </dgm:catLst>
  <dgm:scene3d>
    <a:camera prst="perspectiveRelaxedModerately" zoom="92000"/>
    <a:lightRig rig="balanced" dir="t">
      <a:rot lat="0" lon="0" rev="12700000"/>
    </a:lightRig>
  </dgm:scene3d>
  <dgm:styleLbl name="node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z="-54000" prstMaterial="plastic">
      <a:bevelT w="50800" h="50800"/>
      <a:bevelB w="50800" h="50800"/>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z="-2540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54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25400" prstMaterial="plastic"/>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75000" prstMaterial="plastic"/>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3">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4">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1D1">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2">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3">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4">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fgAcc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z="50080" prstMaterial="plastic">
      <a:bevelT w="25400" h="25400"/>
      <a:bevelB w="25400" h="25400"/>
    </dgm:sp3d>
    <dgm:txPr/>
    <dgm:style>
      <a:lnRef idx="0">
        <a:scrgbClr r="0" g="0" b="0"/>
      </a:lnRef>
      <a:fillRef idx="1">
        <a:scrgbClr r="0" g="0" b="0"/>
      </a:fillRef>
      <a:effectRef idx="2">
        <a:scrgbClr r="0" g="0" b="0"/>
      </a:effectRef>
      <a:fontRef idx="minor"/>
    </dgm:style>
  </dgm:styleLbl>
  <dgm:styleLbl name="alignAccFollowNode1">
    <dgm:scene3d>
      <a:camera prst="orthographicFront"/>
      <a:lightRig rig="threePt" dir="t"/>
    </dgm:scene3d>
    <dgm:sp3d prstMaterial="plastic">
      <a:bevelT w="25400" h="25400"/>
      <a:bevelB w="25400" h="25400"/>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prstMaterial="plastic">
      <a:bevelT w="25400" h="25400"/>
      <a:bevelB w="25400" h="25400"/>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52400" prstMaterial="plastic">
      <a:bevelT w="25400" h="25400"/>
      <a:bevelB w="25400" h="25400"/>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z="-10400" extrusionH="12700" prstMaterial="plastic"/>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1">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4T21:32:56.726"/>
    </inkml:context>
    <inkml:brush xml:id="br0">
      <inkml:brushProperty name="width" value="0.035" units="cm"/>
      <inkml:brushProperty name="height" value="0.035" units="cm"/>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A0E95-8FC6-4FE2-B464-86644EBC1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25</Pages>
  <Words>7294</Words>
  <Characters>41581</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McDonald’s Corporation and Sri Lanka: A Market Re-Entry Case Study</vt:lpstr>
    </vt:vector>
  </TitlesOfParts>
  <Company/>
  <LinksUpToDate>false</LinksUpToDate>
  <CharactersWithSpaces>48778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McDonald’s Corporation and Sri Lanka: A Market Re-Entry Case Study</dc:title>
  <dc:creator>Concy Jeya Prem Kumar Rasanayagam (2226962)</dc:creator>
  <cp:keywords/>
  <cp:lastModifiedBy>Concy Jeya Prem Kumar Rasanayagam (2226962)</cp:lastModifiedBy>
  <cp:revision>2</cp:revision>
  <dcterms:created xsi:type="dcterms:W3CDTF">2026-07-27T13:11:00Z</dcterms:created>
  <dcterms:modified xsi:type="dcterms:W3CDTF">2026-07-27T13:11:00Z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ate">
    <vt:lpwstr>12 July 2026</vt:lpwstr>
  </property>
  <property fmtid="{D5CDD505-2E9C-101B-9397-08002B2CF9AE}" pid="3" name="subtitle">
    <vt:lpwstr>An Evaluation of Global Strategy, Macro-Environmental Attractiveness, and Entry Mode Strategy</vt:lpwstr>
  </property>
  <property fmtid="{D5CDD505-2E9C-101B-9397-08002B2CF9AE}" pid="4" name="GrammarlyDocumentId">
    <vt:lpwstr>17fe62a0-fe84-4cdc-979e-bf6f001c104e</vt:lpwstr>
  </property>
</Properties>
</file>