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22"/>
          <w:shd w:fill="auto" w:val="clear"/>
        </w:rPr>
      </w:pPr>
      <w:r>
        <w:object w:dxaOrig="8532" w:dyaOrig="3402">
          <v:rect xmlns:o="urn:schemas-microsoft-com:office:office" xmlns:v="urn:schemas-microsoft-com:vml" id="rectole0000000000" style="width:426.600000pt;height:170.1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56"/>
          <w:u w:val="single"/>
          <w:shd w:fill="auto" w:val="clear"/>
        </w:rPr>
      </w:pPr>
      <w:r>
        <w:rPr>
          <w:rFonts w:ascii="Calibri" w:hAnsi="Calibri" w:cs="Calibri" w:eastAsia="Calibri"/>
          <w:color w:val="auto"/>
          <w:spacing w:val="0"/>
          <w:position w:val="0"/>
          <w:sz w:val="56"/>
          <w:u w:val="single"/>
          <w:shd w:fill="auto" w:val="clear"/>
        </w:rPr>
        <w:t xml:space="preserve">Title Page</w:t>
      </w:r>
    </w:p>
    <w:p>
      <w:pPr>
        <w:spacing w:before="0" w:after="160" w:line="259"/>
        <w:ind w:right="0" w:left="0" w:firstLine="0"/>
        <w:jc w:val="left"/>
        <w:rPr>
          <w:rFonts w:ascii="Calibri" w:hAnsi="Calibri" w:cs="Calibri" w:eastAsia="Calibri"/>
          <w:color w:val="auto"/>
          <w:spacing w:val="0"/>
          <w:position w:val="0"/>
          <w:sz w:val="56"/>
          <w:u w:val="single"/>
          <w:shd w:fill="auto" w:val="clear"/>
        </w:rPr>
      </w:pPr>
      <w:r>
        <w:rPr>
          <w:rFonts w:ascii="Calibri" w:hAnsi="Calibri" w:cs="Calibri" w:eastAsia="Calibri"/>
          <w:color w:val="auto"/>
          <w:spacing w:val="0"/>
          <w:position w:val="0"/>
          <w:sz w:val="56"/>
          <w:u w:val="single"/>
          <w:shd w:fill="auto" w:val="clear"/>
        </w:rPr>
        <w:t xml:space="preserve">Name: Cody Patterson Walkingshaw</w:t>
      </w:r>
    </w:p>
    <w:p>
      <w:pPr>
        <w:spacing w:before="0" w:after="160" w:line="259"/>
        <w:ind w:right="0" w:left="0" w:firstLine="0"/>
        <w:jc w:val="left"/>
        <w:rPr>
          <w:rFonts w:ascii="Calibri" w:hAnsi="Calibri" w:cs="Calibri" w:eastAsia="Calibri"/>
          <w:color w:val="auto"/>
          <w:spacing w:val="0"/>
          <w:position w:val="0"/>
          <w:sz w:val="56"/>
          <w:u w:val="single"/>
          <w:shd w:fill="auto" w:val="clear"/>
        </w:rPr>
      </w:pPr>
      <w:r>
        <w:rPr>
          <w:rFonts w:ascii="Calibri" w:hAnsi="Calibri" w:cs="Calibri" w:eastAsia="Calibri"/>
          <w:color w:val="auto"/>
          <w:spacing w:val="0"/>
          <w:position w:val="0"/>
          <w:sz w:val="56"/>
          <w:u w:val="single"/>
          <w:shd w:fill="auto" w:val="clear"/>
        </w:rPr>
        <w:t xml:space="preserve">Student Number: 2004850</w:t>
      </w:r>
    </w:p>
    <w:p>
      <w:pPr>
        <w:spacing w:before="0" w:after="160" w:line="259"/>
        <w:ind w:right="0" w:left="0" w:firstLine="0"/>
        <w:jc w:val="left"/>
        <w:rPr>
          <w:rFonts w:ascii="Calibri" w:hAnsi="Calibri" w:cs="Calibri" w:eastAsia="Calibri"/>
          <w:color w:val="auto"/>
          <w:spacing w:val="0"/>
          <w:position w:val="0"/>
          <w:sz w:val="56"/>
          <w:u w:val="single"/>
          <w:shd w:fill="auto" w:val="clear"/>
        </w:rPr>
      </w:pPr>
      <w:r>
        <w:rPr>
          <w:rFonts w:ascii="Calibri" w:hAnsi="Calibri" w:cs="Calibri" w:eastAsia="Calibri"/>
          <w:color w:val="auto"/>
          <w:spacing w:val="0"/>
          <w:position w:val="0"/>
          <w:sz w:val="56"/>
          <w:u w:val="single"/>
          <w:shd w:fill="auto" w:val="clear"/>
        </w:rPr>
        <w:t xml:space="preserve">Module Code: (ADPB6003)</w:t>
      </w:r>
    </w:p>
    <w:p>
      <w:pPr>
        <w:spacing w:before="0" w:after="160" w:line="259"/>
        <w:ind w:right="0" w:left="0" w:firstLine="0"/>
        <w:jc w:val="left"/>
        <w:rPr>
          <w:rFonts w:ascii="Calibri" w:hAnsi="Calibri" w:cs="Calibri" w:eastAsia="Calibri"/>
          <w:color w:val="auto"/>
          <w:spacing w:val="0"/>
          <w:position w:val="0"/>
          <w:sz w:val="56"/>
          <w:u w:val="single"/>
          <w:shd w:fill="auto" w:val="clear"/>
        </w:rPr>
      </w:pPr>
      <w:r>
        <w:rPr>
          <w:rFonts w:ascii="Calibri" w:hAnsi="Calibri" w:cs="Calibri" w:eastAsia="Calibri"/>
          <w:color w:val="auto"/>
          <w:spacing w:val="0"/>
          <w:position w:val="0"/>
          <w:sz w:val="56"/>
          <w:u w:val="single"/>
          <w:shd w:fill="auto" w:val="clear"/>
        </w:rPr>
        <w:t xml:space="preserve">Module Name: Final Production</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For my next project I am working on the Musical production Crazy for You. This show is a romantic comedy. Originally It was first a book by Ken Ludwig this was this was then developed into a musical. The music is by the legendary composer George Gershwin. Gershwin has composed many songs in Musicals, such as Porgy and Bess, An American in Paris and Someone to Watch Over me. This musical is greatly based of the 1930s musical Girl Crazy which also incorporates songs from many other musicals.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During our first week of rehearsals, we progressed the development of our characters organisation skills using a method called states of tension. This was originally created by the French man Jacques Lecoq a movement and acting coach. Whom was the first to develop an approach to our acting using several levels of tension. This Approach was further developed by many others an Important individual being James Wright, who put his own spin on the approach to acting. After discussion and research of what our individual states of tension were, I have learnt specifically that for my character the use of comedy encourages for big decisions to be made. Also how clashing the states up against each other then revels itself and has an unexpected present effect. Upon my research, “The important thing to remember is that when you’re using tension states, meaning is rarely literal. You can provoke any action you care to think of, simply by changing the tension state.”. The States of tension we focused on were, exhaustion, teenager, Californian, distraction, neutral, Virgin Mary, Ice cream, Evil Mary, ticking bomb, fast bomb and rigor mortis. Throughout our first two weeks of rehearsal, we always began the day with our thoughts. Our Director James Williams put these into three categories. These were our Joys, Anxieties and Needs, we as a cast collaboratively all made input into these discussions. Personally, I learnt that many people have the same anxieties about the show. For example, many people were anxious about the dance side of the show, this is as it is mostly Tap dancing and this could be a struggle for non-dancers. However, we all discussed how we can go to our three allocated dance captains of the cast for help with steps. An eye-opening joy for me was hearing other people's experiences with our progress in our process as a company.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 technique our director used to further expand the awareness and physical development of our characters and their connections with others was Hot seating. During this I learnt further and deeper knowledge of Mrs Lottie Child. Before doing so I had a basic knowledge of the characters plot and meaning for the show. Although it was very enjoyable elaborating and expanding on this, as there were questions asked to me that I had not thought about to a greater degree. This opened up different pathways for me that I could explore with my characters interactions with others. Furthermore, I got different viewpoints for my character and I utilised the ones that suited me and played about with these in the rehearsal room. We incorporated many methods and concepts to help with our speech. As throughout this musical different accents are used, with the majority being Welsh and Royal Posh. During a collaborative discussion we highlighted the fact that both these accents need to be properly dictated and projected in order to have clarity when speaking. At the beginning of some of our rehearsals we started the day of with Tonge twisters and a lengthening projection exercise to get the movement of our mouths warmed up and ready for the correct articulation. These techniques James presented to the group greatly helped to advance my characters vocal quality, and additionally assist in my own connection with my character internally.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Another method I would like to emphasise would be Given Circumstances this is something we have recently been working on in the rehearsal space with our director. In helping to understand that “even small physical movements, when injected into given circumstances, acquire great significance though their influence on emotion” This Is something I have worked on previously in my studies with lecturer Robbert Bowman. Moreover, it helps me “to understand what kinds of dreams and ambitions your character might have, and the constraints under which they might suffer”. I have witnessed first-hand during my studies how essential it is to research and further develop your characters intentions and objectives.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u w:val="single"/>
          <w:shd w:fill="auto" w:val="clear"/>
        </w:rPr>
      </w:pPr>
      <w:r>
        <w:rPr>
          <w:rFonts w:ascii="Calibri" w:hAnsi="Calibri" w:cs="Calibri" w:eastAsia="Calibri"/>
          <w:b/>
          <w:color w:val="auto"/>
          <w:spacing w:val="0"/>
          <w:position w:val="0"/>
          <w:sz w:val="22"/>
          <w:u w:val="single"/>
          <w:shd w:fill="auto" w:val="clear"/>
        </w:rPr>
        <w:t xml:space="preserve">Bibliography</w:t>
      </w:r>
    </w:p>
    <w:p>
      <w:pPr>
        <w:spacing w:before="0" w:after="160" w:line="259"/>
        <w:ind w:right="0" w:left="0" w:firstLine="0"/>
        <w:jc w:val="left"/>
        <w:rPr>
          <w:rFonts w:ascii="Calibri" w:hAnsi="Calibri" w:cs="Calibri" w:eastAsia="Calibri"/>
          <w:b/>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Merlin, B .2016. The Complete Stanislavsky Toolkit. London: Nick Hern Books.</w:t>
      </w: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Wright, J .2015. Why Is That So Funny?: Practical Exploration of Physical Comedy. London : Nick Hern Books.</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