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rPr>
          <w:rFonts w:hint="eastAsia" w:eastAsia="宋体"/>
          <w:lang w:val="en-US" w:eastAsia="zh-CN"/>
        </w:rPr>
      </w:pPr>
      <w:r>
        <w:rPr>
          <w:rFonts w:hint="eastAsia" w:eastAsia="宋体"/>
          <w:lang w:val="en-US" w:eastAsia="zh-CN"/>
        </w:rPr>
        <w:t xml:space="preserve">Student name:JIN CHUSHUAI    student ID:2206276 </w:t>
      </w:r>
    </w:p>
    <w:p>
      <w:pPr>
        <w:pStyle w:val="2"/>
        <w:bidi w:val="0"/>
        <w:rPr>
          <w:rFonts w:hint="eastAsia"/>
        </w:rPr>
      </w:pPr>
      <w:r>
        <w:rPr>
          <w:rFonts w:hint="eastAsia" w:eastAsia="宋体"/>
          <w:lang w:val="en-US" w:eastAsia="zh-CN"/>
        </w:rPr>
        <w:t>Link:</w:t>
      </w:r>
      <w:r>
        <w:rPr>
          <w:rFonts w:hint="eastAsia"/>
        </w:rPr>
        <w:fldChar w:fldCharType="begin"/>
      </w:r>
      <w:r>
        <w:rPr>
          <w:rFonts w:hint="eastAsia"/>
        </w:rPr>
        <w:instrText xml:space="preserve"> HYPERLINK "https://uowtsd.sharepoint.com/:v:/r/teams/Jiale_GRP/Shared%20Documents/General/Recordings/%E2%80%9CGeneral%E2%80%9D%E4%B8%AD%E7%9A%84%E4%BC%9A%E8%AE%AE-20230501_103522-%E4%BC%9A%E8%AE%AE%E8%AE%B0%E5%BD%95.mp4?csf=1&amp;web=1&amp;e=QRTwGw" </w:instrText>
      </w:r>
      <w:r>
        <w:rPr>
          <w:rFonts w:hint="eastAsia"/>
        </w:rPr>
        <w:fldChar w:fldCharType="separate"/>
      </w:r>
      <w:r>
        <w:rPr>
          <w:rStyle w:val="8"/>
          <w:rFonts w:hint="eastAsia"/>
        </w:rPr>
        <w:t>https://uowtsd.sharepoint.com/:v:/r/teams/Jiale_GRP/Shared%20Documents/General/Recordings/%E2%80%9CGeneral%E2%80%9D%E4%B8%AD%E7%9A%84%E4%BC%9A%E8%AE%AE-20230501_103522-%E4%BC%9A%E8%AE%AE%E8%AE%B0%E5%BD%95.mp4?csf=1&amp;web=1&amp;e=QRTwGw</w:t>
      </w:r>
      <w:r>
        <w:rPr>
          <w:rFonts w:hint="eastAsia"/>
        </w:rPr>
        <w:fldChar w:fldCharType="end"/>
      </w:r>
    </w:p>
    <w:p>
      <w:pPr>
        <w:rPr>
          <w:rFonts w:hint="eastAsia"/>
        </w:rPr>
      </w:pPr>
    </w:p>
    <w:p>
      <w:pPr>
        <w:pStyle w:val="2"/>
        <w:bidi w:val="0"/>
        <w:rPr>
          <w:rFonts w:hint="eastAsia"/>
        </w:rPr>
      </w:pPr>
      <w:r>
        <w:rPr>
          <w:rFonts w:hint="eastAsia"/>
        </w:rPr>
        <w:t>1.0 What is included in the Learning and Development Plan?</w:t>
      </w:r>
    </w:p>
    <w:p>
      <w:pPr>
        <w:rPr>
          <w:rFonts w:hint="eastAsia"/>
        </w:rPr>
      </w:pPr>
      <w:r>
        <w:rPr>
          <w:rFonts w:hint="eastAsia"/>
        </w:rPr>
        <w:t>A learning and development (L&amp;D) strategy sets out the workforce capabilities, skills and competencies the organisation needs, and how they can be developed to ensure a sustainable, successful organisation (CIPD, 2022)</w:t>
      </w:r>
    </w:p>
    <w:p>
      <w:pPr>
        <w:rPr>
          <w:rFonts w:hint="eastAsia"/>
        </w:rPr>
      </w:pPr>
    </w:p>
    <w:p>
      <w:pPr>
        <w:rPr>
          <w:rFonts w:hint="eastAsia"/>
        </w:rPr>
      </w:pPr>
      <w:r>
        <w:rPr>
          <w:rFonts w:hint="eastAsia"/>
        </w:rPr>
        <w:t>1.Alignment with business strategy</w:t>
      </w:r>
    </w:p>
    <w:p>
      <w:pPr>
        <w:rPr>
          <w:rFonts w:hint="eastAsia"/>
        </w:rPr>
      </w:pPr>
      <w:r>
        <w:rPr>
          <w:rFonts w:hint="eastAsia"/>
        </w:rPr>
        <w:t>2. Co-ownership between business units and HR</w:t>
      </w:r>
    </w:p>
    <w:p>
      <w:pPr>
        <w:rPr>
          <w:rFonts w:hint="eastAsia"/>
        </w:rPr>
      </w:pPr>
      <w:r>
        <w:rPr>
          <w:rFonts w:hint="eastAsia"/>
        </w:rPr>
        <w:t>3. Assessment of capability gaps and estimated value</w:t>
      </w:r>
    </w:p>
    <w:p>
      <w:pPr>
        <w:rPr>
          <w:rFonts w:hint="eastAsia"/>
        </w:rPr>
      </w:pPr>
      <w:r>
        <w:rPr>
          <w:rFonts w:hint="eastAsia"/>
        </w:rPr>
        <w:t>4. Design of learning journeys</w:t>
      </w:r>
    </w:p>
    <w:p>
      <w:pPr>
        <w:rPr>
          <w:rFonts w:hint="eastAsia"/>
        </w:rPr>
      </w:pPr>
      <w:r>
        <w:rPr>
          <w:rFonts w:hint="eastAsia"/>
        </w:rPr>
        <w:t>5. Execution and scale-up</w:t>
      </w:r>
    </w:p>
    <w:p>
      <w:pPr>
        <w:rPr>
          <w:rFonts w:hint="eastAsia"/>
        </w:rPr>
      </w:pPr>
      <w:r>
        <w:rPr>
          <w:rFonts w:hint="eastAsia"/>
        </w:rPr>
        <w:t>6. Measurement of impact on business performance</w:t>
      </w:r>
    </w:p>
    <w:p>
      <w:pPr>
        <w:rPr>
          <w:rFonts w:hint="eastAsia"/>
        </w:rPr>
      </w:pPr>
      <w:r>
        <w:rPr>
          <w:rFonts w:hint="eastAsia"/>
        </w:rPr>
        <w:t>7. Integration of L&amp;D interventions into HR processes</w:t>
      </w:r>
    </w:p>
    <w:p>
      <w:pPr>
        <w:rPr>
          <w:rFonts w:hint="eastAsia"/>
        </w:rPr>
      </w:pPr>
      <w:r>
        <w:rPr>
          <w:rFonts w:hint="eastAsia"/>
        </w:rPr>
        <w:t>8. Enabling the 70:20:10 learning framework</w:t>
      </w:r>
    </w:p>
    <w:p>
      <w:pPr>
        <w:rPr>
          <w:rFonts w:hint="eastAsia"/>
        </w:rPr>
      </w:pPr>
      <w:r>
        <w:rPr>
          <w:rFonts w:hint="eastAsia"/>
        </w:rPr>
        <w:t>9. Systems and learning technology applications</w:t>
      </w:r>
    </w:p>
    <w:p>
      <w:pPr>
        <w:rPr>
          <w:rFonts w:hint="eastAsia"/>
        </w:rPr>
      </w:pPr>
      <w:r>
        <w:rPr>
          <w:rFonts w:hint="eastAsia"/>
        </w:rPr>
        <w:t>LD stands for Learning and Development. It is a vocational training and development programme within an organisation that aims to enhance the skills and knowledge of employees to help them achieve their career goals and contribute to the long-term objectives of the organisation.LD programmes are usually developed in alignment with the strategic objectives of the organisation and the career goals of employees to ensure that the organisation and employees work together to achieve common goals.</w:t>
      </w:r>
    </w:p>
    <w:p>
      <w:pPr>
        <w:rPr>
          <w:rFonts w:hint="eastAsia"/>
          <w:lang w:val="en-US" w:eastAsia="zh-CN"/>
        </w:rPr>
      </w:pPr>
      <w:r>
        <w:rPr>
          <w:rFonts w:hint="eastAsia"/>
          <w:lang w:val="en-US" w:eastAsia="zh-CN"/>
        </w:rPr>
        <w:t>It can be seen that the L&amp;D programme strategic framework covers a variety of dimensions, including academic, professional skills, leadership and interpersonal skills. Some parts of the L&amp;D programme in glasgow2020 have elements of common L&amp;D. Examples include the following five areas.</w:t>
      </w:r>
    </w:p>
    <w:p>
      <w:pPr>
        <w:rPr>
          <w:rFonts w:hint="eastAsia"/>
        </w:rPr>
      </w:pPr>
      <w:r>
        <w:rPr>
          <w:rFonts w:hint="eastAsia"/>
        </w:rPr>
        <w:t>1. provide skills and knowledge training for employees to improve performance and business competencies</w:t>
      </w:r>
    </w:p>
    <w:p>
      <w:pPr>
        <w:rPr>
          <w:rFonts w:hint="eastAsia"/>
        </w:rPr>
      </w:pPr>
      <w:r>
        <w:rPr>
          <w:rFonts w:hint="eastAsia"/>
        </w:rPr>
        <w:t>2. provide career development opportunities for employees to help them achieve their long-term career goals</w:t>
      </w:r>
    </w:p>
    <w:p>
      <w:pPr>
        <w:rPr>
          <w:rFonts w:hint="eastAsia"/>
        </w:rPr>
      </w:pPr>
      <w:r>
        <w:rPr>
          <w:rFonts w:hint="eastAsia"/>
        </w:rPr>
        <w:t>3. facilitating personal development and learning by providing feedback and guidance to employees</w:t>
      </w:r>
    </w:p>
    <w:p>
      <w:pPr>
        <w:rPr>
          <w:rFonts w:hint="eastAsia"/>
        </w:rPr>
      </w:pPr>
      <w:r>
        <w:rPr>
          <w:rFonts w:hint="eastAsia"/>
        </w:rPr>
        <w:t>4. support employees to participate in external training and learning opportunities to help them acquire a wider range of knowledge and skills</w:t>
      </w:r>
    </w:p>
    <w:p>
      <w:pPr>
        <w:rPr>
          <w:rFonts w:hint="eastAsia"/>
        </w:rPr>
      </w:pPr>
      <w:r>
        <w:rPr>
          <w:rFonts w:hint="eastAsia"/>
        </w:rPr>
        <w:t>5. using online learning resources and e-learning to support employee learning and development</w:t>
      </w:r>
    </w:p>
    <w:p>
      <w:pPr>
        <w:rPr>
          <w:rFonts w:hint="eastAsia"/>
        </w:rPr>
      </w:pPr>
      <w:r>
        <w:rPr>
          <w:rFonts w:hint="eastAsia"/>
        </w:rPr>
        <w:t>As a whole, Glasgow's scheme does not appear to be a typical 'learning and development (L&amp;D)' scheme as it is more focused on developing people rather than directly providing learning and development opportunities. Although staff development and training is mentioned, the scheme appears to be more concerned with providing support and opportunities for staff to motivate and develop their potential rather than providing specific courses or learning opportunities. As a result, the programme appears to be more of a talent management programme, focusing on recruiting, developing and retaining high quality people, rather than a full learning and development programme. It is more focused on providing support and development for staff to ensure that they can contribute to the success of the school. While the programme may include some learning and development elements, it does not focus on training and learning opportunities in the same way as a traditional learning and development programme.</w:t>
      </w:r>
    </w:p>
    <w:p>
      <w:pPr>
        <w:pStyle w:val="2"/>
        <w:bidi w:val="0"/>
        <w:rPr>
          <w:rFonts w:hint="eastAsia"/>
        </w:rPr>
      </w:pPr>
      <w:r>
        <w:rPr>
          <w:rFonts w:hint="eastAsia"/>
        </w:rPr>
        <w:t>2.0 highlights the main objectives of the strategy</w:t>
      </w:r>
    </w:p>
    <w:p>
      <w:pPr>
        <w:rPr>
          <w:rFonts w:hint="eastAsia"/>
          <w:b w:val="0"/>
          <w:bCs w:val="0"/>
        </w:rPr>
      </w:pPr>
      <w:r>
        <w:rPr>
          <w:rFonts w:hint="eastAsia"/>
          <w:b w:val="0"/>
          <w:bCs w:val="0"/>
        </w:rPr>
        <w:t>The strategy has seven key objectives, the most important of which are to attract and retain high quality students and staff, provide high quality academic programmes and support services, continue to enhance the University's reputation and impact, and expand its national and international reach. The strategy also highlights the objectives of promoting research excellence, strengthening community relations and enhancing technological infrastructure and campus culture.</w:t>
      </w:r>
    </w:p>
    <w:p>
      <w:pPr>
        <w:rPr>
          <w:rFonts w:hint="eastAsia"/>
        </w:rPr>
      </w:pPr>
      <w:r>
        <w:rPr>
          <w:rFonts w:hint="eastAsia"/>
        </w:rPr>
        <w:t>1. Attract and retain high quality staff</w:t>
      </w:r>
    </w:p>
    <w:p>
      <w:pPr>
        <w:rPr>
          <w:rFonts w:hint="eastAsia"/>
        </w:rPr>
      </w:pPr>
      <w:r>
        <w:rPr>
          <w:rFonts w:hint="eastAsia"/>
        </w:rPr>
        <w:t>2. Strategically align individual performance &amp; development planning</w:t>
      </w:r>
    </w:p>
    <w:p>
      <w:pPr>
        <w:rPr>
          <w:rFonts w:hint="eastAsia"/>
        </w:rPr>
      </w:pPr>
      <w:r>
        <w:rPr>
          <w:rFonts w:hint="eastAsia"/>
        </w:rPr>
        <w:t>3. Build leadership capacity and ensure capability development</w:t>
      </w:r>
    </w:p>
    <w:p>
      <w:pPr>
        <w:rPr>
          <w:rFonts w:hint="eastAsia"/>
        </w:rPr>
      </w:pPr>
      <w:r>
        <w:rPr>
          <w:rFonts w:hint="eastAsia"/>
        </w:rPr>
        <w:t>4. Reward excellence through equitable &amp; fair pay</w:t>
      </w:r>
    </w:p>
    <w:p>
      <w:pPr>
        <w:rPr>
          <w:rFonts w:hint="eastAsia"/>
        </w:rPr>
      </w:pPr>
      <w:r>
        <w:rPr>
          <w:rFonts w:hint="eastAsia"/>
        </w:rPr>
        <w:t>5. Embed Internationalisation</w:t>
      </w:r>
    </w:p>
    <w:p>
      <w:pPr>
        <w:rPr>
          <w:rFonts w:hint="eastAsia"/>
        </w:rPr>
      </w:pPr>
      <w:r>
        <w:rPr>
          <w:rFonts w:hint="eastAsia"/>
        </w:rPr>
        <w:t>6. Maximise staff engagement</w:t>
      </w:r>
    </w:p>
    <w:p>
      <w:pPr>
        <w:bidi w:val="0"/>
        <w:rPr>
          <w:rFonts w:hint="eastAsia"/>
        </w:rPr>
      </w:pPr>
      <w:r>
        <w:rPr>
          <w:rFonts w:hint="eastAsia"/>
        </w:rPr>
        <w:t xml:space="preserve">7. Support cultural transformation </w:t>
      </w:r>
    </w:p>
    <w:p>
      <w:pPr>
        <w:bidi w:val="0"/>
        <w:rPr>
          <w:rFonts w:hint="eastAsia"/>
        </w:rPr>
      </w:pPr>
      <w:r>
        <w:rPr>
          <w:rFonts w:hint="eastAsia"/>
        </w:rPr>
        <w:t>Attracting highly qualified people is a key objective. Firstly, highly qualified people have a higher level of knowledge and skills, higher quality of teaching and research, and a higher reputation and competitiveness. Secondly, highly qualified people are more innovative and creative, bringing more opportunities for innovation and development to the university and helping it to achieve continuous innovation and progress. Finally, attracting high-calibre talent is also a reflection of the school's pursuit of excellence, helping it to build an excellent brand image and reputation and attract more resources and support.</w:t>
      </w:r>
    </w:p>
    <w:p>
      <w:pPr>
        <w:pStyle w:val="2"/>
        <w:bidi w:val="0"/>
        <w:rPr>
          <w:rFonts w:hint="eastAsia"/>
        </w:rPr>
      </w:pPr>
      <w:r>
        <w:rPr>
          <w:rFonts w:hint="eastAsia"/>
        </w:rPr>
        <w:t>3.0 What is driving this strategy?</w:t>
      </w:r>
    </w:p>
    <w:p>
      <w:pPr>
        <w:rPr>
          <w:rFonts w:hint="eastAsia"/>
        </w:rPr>
      </w:pPr>
      <w:r>
        <w:rPr>
          <w:rFonts w:hint="eastAsia"/>
        </w:rPr>
        <w:t>The vision of the school is to be a school that provides leading education, training and development opportunities for its students. The programme aims to achieve this vision to ensure that students receive high quality training and development during their time at the school and are equipped with the skills and knowledge required for a successful career.</w:t>
      </w:r>
    </w:p>
    <w:p>
      <w:pPr>
        <w:rPr>
          <w:rFonts w:hint="eastAsia"/>
          <w:b/>
          <w:bCs/>
        </w:rPr>
      </w:pPr>
      <w:r>
        <w:rPr>
          <w:rFonts w:hint="eastAsia"/>
          <w:b/>
          <w:bCs/>
        </w:rPr>
        <w:t>4.0 Who wrote the plan?</w:t>
      </w:r>
    </w:p>
    <w:p>
      <w:pPr>
        <w:pStyle w:val="2"/>
        <w:bidi w:val="0"/>
        <w:rPr>
          <w:rFonts w:hint="eastAsia"/>
        </w:rPr>
      </w:pPr>
      <w:r>
        <w:rPr>
          <w:rFonts w:hint="eastAsia"/>
        </w:rPr>
        <w:t>5.0 Think of an example of the learning and development they have demonstrated (e.g. introducing an e-learning package).</w:t>
      </w:r>
    </w:p>
    <w:p>
      <w:pPr>
        <w:rPr>
          <w:rFonts w:hint="eastAsia"/>
          <w:b w:val="0"/>
          <w:bCs w:val="0"/>
        </w:rPr>
      </w:pPr>
      <w:r>
        <w:rPr>
          <w:rFonts w:hint="eastAsia"/>
          <w:b w:val="0"/>
          <w:bCs w:val="0"/>
        </w:rPr>
        <w:t xml:space="preserve">The university's strategic plan refers to a project called Connected University, which aims to provide more flexible learning opportunities and improve students' digital skills through the introduction of digital technology and online learning platforms. This project can be used as an example of how the University can demonstrate learning and development. By introducing e-learning packages and an online learning platform, the school can better meet the learning needs of students and improve their learning outcomes. </w:t>
      </w:r>
    </w:p>
    <w:p>
      <w:pPr>
        <w:pStyle w:val="2"/>
        <w:bidi w:val="0"/>
        <w:rPr>
          <w:rFonts w:hint="eastAsia"/>
          <w:lang w:val="en-GB" w:eastAsia="en-US"/>
        </w:rPr>
      </w:pPr>
      <w:r>
        <w:rPr>
          <w:rFonts w:hint="eastAsia"/>
          <w:lang w:val="en-GB" w:eastAsia="en-US"/>
        </w:rPr>
        <w:t>6.0 The sixth point of the question is whether the learning and development plan is in line with the company's vision and asks to see their vision/mission statement.</w:t>
      </w:r>
    </w:p>
    <w:p>
      <w:pPr>
        <w:bidi w:val="0"/>
        <w:jc w:val="left"/>
        <w:rPr>
          <w:rFonts w:hint="eastAsia" w:asciiTheme="minorAscii" w:hAnsiTheme="minorAscii" w:eastAsiaTheme="minorAscii" w:cstheme="minorBidi"/>
          <w:kern w:val="2"/>
          <w:sz w:val="24"/>
          <w:szCs w:val="24"/>
          <w:lang w:val="en-GB" w:eastAsia="en-US" w:bidi="ar-SA"/>
          <w14:ligatures w14:val="standardContextual"/>
        </w:rPr>
      </w:pPr>
      <w:r>
        <w:rPr>
          <w:rFonts w:hint="eastAsia" w:asciiTheme="minorAscii" w:hAnsiTheme="minorAscii" w:eastAsiaTheme="minorAscii" w:cstheme="minorBidi"/>
          <w:kern w:val="2"/>
          <w:sz w:val="24"/>
          <w:szCs w:val="24"/>
          <w:lang w:val="en-GB" w:eastAsia="en-US" w:bidi="ar-SA"/>
          <w14:ligatures w14:val="standardContextual"/>
        </w:rPr>
        <w:t>The School's vision is "to provide excellence in education on a global scale and to provide the best learning and development opportunities for students and teachers in order to create a global community with a positive impact". It is clear from this vision that the school aspires to be a leader in providing excellence in education on a global scale and to provide the best learning and development opportunities for students and teachers. The Learning and Development Programme is therefore aligned with the company's vision.</w:t>
      </w:r>
    </w:p>
    <w:p>
      <w:pPr>
        <w:pStyle w:val="2"/>
        <w:bidi w:val="0"/>
        <w:rPr>
          <w:rFonts w:hint="eastAsia"/>
          <w:lang w:val="en-GB" w:eastAsia="en-US"/>
        </w:rPr>
      </w:pPr>
      <w:r>
        <w:rPr>
          <w:rFonts w:hint="eastAsia"/>
          <w:lang w:val="en-GB" w:eastAsia="en-US"/>
        </w:rPr>
        <w:t>7.0 Does the plan take into account all employees?</w:t>
      </w:r>
    </w:p>
    <w:p>
      <w:pPr>
        <w:bidi w:val="0"/>
        <w:jc w:val="left"/>
        <w:rPr>
          <w:rFonts w:hint="eastAsia" w:asciiTheme="minorAscii" w:hAnsiTheme="minorAscii" w:eastAsiaTheme="minorAscii" w:cstheme="minorBidi"/>
          <w:kern w:val="2"/>
          <w:sz w:val="24"/>
          <w:szCs w:val="24"/>
          <w:lang w:val="en-GB" w:eastAsia="en-US" w:bidi="ar-SA"/>
          <w14:ligatures w14:val="standardContextual"/>
        </w:rPr>
      </w:pPr>
      <w:r>
        <w:rPr>
          <w:rFonts w:hint="eastAsia" w:asciiTheme="minorAscii" w:hAnsiTheme="minorAscii" w:eastAsiaTheme="minorAscii" w:cstheme="minorBidi"/>
          <w:kern w:val="2"/>
          <w:sz w:val="24"/>
          <w:szCs w:val="24"/>
          <w:lang w:val="en-GB" w:eastAsia="en-US" w:bidi="ar-SA"/>
          <w14:ligatures w14:val="standardContextual"/>
        </w:rPr>
        <w:t>It is important that the needs of all employees are considered in learning and development programmes. This includes employees of different ages, abilities and learning styles. However, it appears that the scheme only applies to a small group of employees, i.e. those who have a desire to attend specific courses and activities. For those employees who need additional support or have different learning needs, the scheme does not provide sufficient assistance.</w:t>
      </w:r>
    </w:p>
    <w:p>
      <w:pPr>
        <w:pStyle w:val="2"/>
        <w:bidi w:val="0"/>
        <w:rPr>
          <w:rFonts w:hint="eastAsia"/>
          <w:lang w:val="en-GB" w:eastAsia="en-US"/>
        </w:rPr>
      </w:pPr>
      <w:r>
        <w:rPr>
          <w:rFonts w:hint="eastAsia"/>
          <w:lang w:val="en-GB" w:eastAsia="en-US"/>
        </w:rPr>
        <w:t>8.0 Is there a clear timeline for completion or review?</w:t>
      </w:r>
    </w:p>
    <w:p>
      <w:pPr>
        <w:bidi w:val="0"/>
        <w:jc w:val="left"/>
        <w:rPr>
          <w:rFonts w:hint="eastAsia" w:asciiTheme="minorAscii" w:hAnsiTheme="minorAscii" w:eastAsiaTheme="minorAscii" w:cstheme="minorBidi"/>
          <w:kern w:val="2"/>
          <w:sz w:val="24"/>
          <w:szCs w:val="24"/>
          <w:lang w:val="en-GB" w:eastAsia="en-US" w:bidi="ar-SA"/>
          <w14:ligatures w14:val="standardContextual"/>
        </w:rPr>
      </w:pPr>
      <w:r>
        <w:rPr>
          <w:rFonts w:hint="eastAsia" w:asciiTheme="minorAscii" w:hAnsiTheme="minorAscii" w:eastAsiaTheme="minorAscii" w:cstheme="minorBidi"/>
          <w:kern w:val="2"/>
          <w:sz w:val="24"/>
          <w:szCs w:val="24"/>
          <w:lang w:val="en-GB" w:eastAsia="en-US" w:bidi="ar-SA"/>
          <w14:ligatures w14:val="standardContextual"/>
        </w:rPr>
        <w:t>There are some specific timescales and timelines in this plan, but not all objectives have clear timescales for completion or review. For example, under the objective of 'Leading world class innovation in learning and education', the Plan will introduce a number of new programmes in the coming years, but does not specify when these will be introduced or when they will be achieved. Similarly, under the objective of 'empowering people', the plan refers to the provision of a variety of training and development opportunities, but does not give a specific timeframe. Overall, there is no clear timeline for completion or review in the plan, but some objectives have specific timelines.</w:t>
      </w:r>
    </w:p>
    <w:p>
      <w:pPr>
        <w:bidi w:val="0"/>
        <w:jc w:val="left"/>
        <w:rPr>
          <w:rFonts w:hint="eastAsia" w:asciiTheme="minorAscii" w:hAnsiTheme="minorAscii" w:eastAsiaTheme="minorAscii" w:cstheme="minorBidi"/>
          <w:kern w:val="2"/>
          <w:sz w:val="24"/>
          <w:szCs w:val="24"/>
          <w:lang w:val="en-GB" w:eastAsia="en-US" w:bidi="ar-SA"/>
          <w14:ligatures w14:val="standardContextual"/>
        </w:rPr>
      </w:pPr>
    </w:p>
    <w:p>
      <w:pPr>
        <w:pStyle w:val="2"/>
        <w:bidi w:val="0"/>
        <w:rPr>
          <w:rFonts w:hint="eastAsia"/>
          <w:lang w:val="en-US" w:eastAsia="zh-CN"/>
        </w:rPr>
      </w:pPr>
      <w:r>
        <w:rPr>
          <w:rFonts w:hint="eastAsia"/>
          <w:lang w:val="en-US" w:eastAsia="zh-CN"/>
        </w:rPr>
        <w:t>Reference</w:t>
      </w:r>
    </w:p>
    <w:p>
      <w:pPr>
        <w:numPr>
          <w:ilvl w:val="0"/>
          <w:numId w:val="1"/>
        </w:numPr>
        <w:ind w:left="425" w:leftChars="0" w:hanging="425" w:firstLineChars="0"/>
        <w:rPr>
          <w:rFonts w:hint="default"/>
          <w:lang w:val="en-US" w:eastAsia="zh-CN"/>
        </w:rPr>
      </w:pPr>
      <w:r>
        <w:rPr>
          <w:rFonts w:hint="default"/>
          <w:lang w:val="en-US" w:eastAsia="zh-CN"/>
        </w:rPr>
        <w:t>Harrison, R. (2005). Learning and development. CIPD publishing.</w:t>
      </w:r>
    </w:p>
    <w:p>
      <w:pPr>
        <w:numPr>
          <w:ilvl w:val="0"/>
          <w:numId w:val="1"/>
        </w:numPr>
        <w:ind w:left="425" w:leftChars="0" w:hanging="425" w:firstLineChars="0"/>
        <w:rPr>
          <w:rFonts w:hint="default"/>
          <w:lang w:val="en-US" w:eastAsia="zh-CN"/>
        </w:rPr>
      </w:pPr>
      <w:r>
        <w:rPr>
          <w:rFonts w:hint="default"/>
          <w:lang w:val="en-US" w:eastAsia="zh-CN"/>
        </w:rPr>
        <w:t xml:space="preserve">Stewart, J., &amp; Rigg, C. (2011). Learning and talent development. Kogan Page </w:t>
      </w:r>
      <w:bookmarkStart w:id="0" w:name="_GoBack"/>
      <w:bookmarkEnd w:id="0"/>
      <w:r>
        <w:rPr>
          <w:rFonts w:hint="default"/>
          <w:lang w:val="en-US" w:eastAsia="zh-CN"/>
        </w:rPr>
        <w:t>Publishers.</w:t>
      </w:r>
    </w:p>
    <w:p>
      <w:pPr>
        <w:numPr>
          <w:ilvl w:val="0"/>
          <w:numId w:val="1"/>
        </w:numPr>
        <w:ind w:left="425" w:leftChars="0" w:hanging="425" w:firstLineChars="0"/>
        <w:rPr>
          <w:rFonts w:hint="default"/>
          <w:lang w:val="en-US" w:eastAsia="zh-CN"/>
        </w:rPr>
      </w:pPr>
      <w:r>
        <w:rPr>
          <w:rFonts w:hint="default"/>
          <w:lang w:val="en-US" w:eastAsia="zh-CN"/>
        </w:rPr>
        <w:t>Johnson, S. J., Blackman, D. A., &amp; Buick, F. (2018). The 70: 20: 10 framework and the transfer of learning. Human Resource Development Quarterly, 29(4), 383-402.</w:t>
      </w:r>
    </w:p>
    <w:p>
      <w:pPr>
        <w:numPr>
          <w:ilvl w:val="0"/>
          <w:numId w:val="1"/>
        </w:numPr>
        <w:ind w:left="425" w:leftChars="0" w:hanging="425" w:firstLineChars="0"/>
        <w:rPr>
          <w:rFonts w:hint="default"/>
          <w:lang w:val="en-US" w:eastAsia="zh-CN"/>
        </w:rPr>
      </w:pPr>
      <w:r>
        <w:rPr>
          <w:rFonts w:hint="default"/>
          <w:lang w:val="en-US" w:eastAsia="zh-CN"/>
        </w:rPr>
        <w:t>Brassey, J., Christensen, L., &amp; van Dam, N. (2019). The essential components of a successful L&amp;D strategy. Mode of access: https://www. mckinsey. com/business-functions/organization/our-insights/the-essential-components-of-a-successful-l-and-d-strategy.</w:t>
      </w:r>
    </w:p>
    <w:p>
      <w:pPr>
        <w:numPr>
          <w:ilvl w:val="0"/>
          <w:numId w:val="1"/>
        </w:numPr>
        <w:ind w:left="425" w:leftChars="0" w:hanging="425" w:firstLineChars="0"/>
        <w:rPr>
          <w:rFonts w:hint="default"/>
          <w:lang w:val="en-US" w:eastAsia="zh-CN"/>
        </w:rPr>
      </w:pPr>
      <w:r>
        <w:rPr>
          <w:rFonts w:hint="default"/>
          <w:lang w:val="en-US" w:eastAsia="zh-CN"/>
        </w:rPr>
        <w:t>Garavan, T. N., O’Brien, F., Duggan, J., Gubbins, C., Lai, Y., Carbery, R., ... &amp; Grant, K. (2020). Learning and development effectiveness in Organisations. Springer International Publishing.</w:t>
      </w:r>
    </w:p>
    <w:p>
      <w:pPr>
        <w:numPr>
          <w:ilvl w:val="0"/>
          <w:numId w:val="1"/>
        </w:numPr>
        <w:ind w:left="425" w:leftChars="0" w:hanging="425" w:firstLineChars="0"/>
        <w:rPr>
          <w:rFonts w:hint="default"/>
          <w:lang w:val="en-US" w:eastAsia="zh-CN"/>
        </w:rPr>
      </w:pPr>
      <w:r>
        <w:rPr>
          <w:rFonts w:hint="default"/>
          <w:lang w:val="en-US" w:eastAsia="zh-CN"/>
        </w:rPr>
        <w:t>Cunningham, I. (2008). The future of learning and development functions: a new era for L&amp;D. Development and Learning in Organizations: An International Journal, 22(6), 5-6.</w:t>
      </w:r>
    </w:p>
    <w:p>
      <w:pPr>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169302"/>
    <w:multiLevelType w:val="singleLevel"/>
    <w:tmpl w:val="33169302"/>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M4OTQ4MmNhYjRlOGNmMjJmNDIxNGMyOTA4ZTMyZjQifQ=="/>
  </w:docVars>
  <w:rsids>
    <w:rsidRoot w:val="77FF3799"/>
    <w:rsid w:val="05E24F2C"/>
    <w:rsid w:val="06F46D87"/>
    <w:rsid w:val="0C541CC6"/>
    <w:rsid w:val="0F603EC7"/>
    <w:rsid w:val="133F6421"/>
    <w:rsid w:val="1F3025BA"/>
    <w:rsid w:val="22DB4B29"/>
    <w:rsid w:val="25E863C9"/>
    <w:rsid w:val="270411FB"/>
    <w:rsid w:val="2A6D37AC"/>
    <w:rsid w:val="2E5D3BE9"/>
    <w:rsid w:val="32B32D1A"/>
    <w:rsid w:val="352011B6"/>
    <w:rsid w:val="35AE120C"/>
    <w:rsid w:val="38BB796B"/>
    <w:rsid w:val="42D9753D"/>
    <w:rsid w:val="46936C54"/>
    <w:rsid w:val="49695393"/>
    <w:rsid w:val="4BF7069A"/>
    <w:rsid w:val="4C983FC5"/>
    <w:rsid w:val="4D8C0371"/>
    <w:rsid w:val="4F523B44"/>
    <w:rsid w:val="508323A3"/>
    <w:rsid w:val="515E3230"/>
    <w:rsid w:val="516D3625"/>
    <w:rsid w:val="51D07439"/>
    <w:rsid w:val="548D52EF"/>
    <w:rsid w:val="56114643"/>
    <w:rsid w:val="5ACA5092"/>
    <w:rsid w:val="5ECA2293"/>
    <w:rsid w:val="5FC56FAE"/>
    <w:rsid w:val="69CE10F3"/>
    <w:rsid w:val="6A4F758A"/>
    <w:rsid w:val="6C7034F3"/>
    <w:rsid w:val="71423A1C"/>
    <w:rsid w:val="74BA7912"/>
    <w:rsid w:val="76EF4095"/>
    <w:rsid w:val="77FF3799"/>
    <w:rsid w:val="7A773B77"/>
    <w:rsid w:val="7AC5146A"/>
    <w:rsid w:val="7B4F58E7"/>
    <w:rsid w:val="7CC64877"/>
    <w:rsid w:val="7E1A7B4C"/>
    <w:rsid w:val="7EA84D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Ascii" w:hAnsiTheme="minorAscii" w:eastAsiaTheme="minorAscii" w:cstheme="minorBidi"/>
      <w:kern w:val="2"/>
      <w:sz w:val="24"/>
      <w:szCs w:val="24"/>
      <w:lang w:val="en-GB" w:eastAsia="en-US" w:bidi="ar-SA"/>
      <w14:ligatures w14:val="standardContextual"/>
    </w:rPr>
  </w:style>
  <w:style w:type="paragraph" w:styleId="2">
    <w:name w:val="heading 1"/>
    <w:basedOn w:val="3"/>
    <w:next w:val="1"/>
    <w:link w:val="9"/>
    <w:qFormat/>
    <w:uiPriority w:val="0"/>
    <w:pPr>
      <w:spacing w:before="0" w:beforeAutospacing="1" w:after="0" w:afterAutospacing="1"/>
      <w:jc w:val="left"/>
      <w:outlineLvl w:val="0"/>
    </w:pPr>
    <w:rPr>
      <w:rFonts w:ascii="Times New Roman" w:hAnsi="Times New Roman" w:eastAsia="Times New Roman" w:cs="Times New Roman"/>
      <w:bCs/>
      <w:color w:val="000000" w:themeColor="text1"/>
      <w:kern w:val="2"/>
      <w:sz w:val="28"/>
      <w:szCs w:val="28"/>
      <w:lang w:val="en-US" w:eastAsia="zh-CN" w:bidi="ar"/>
      <w14:textFill>
        <w14:solidFill>
          <w14:schemeClr w14:val="tx1"/>
        </w14:solidFill>
      </w14:textFill>
      <w14:ligatures w14:val="standardContextual"/>
    </w:rPr>
  </w:style>
  <w:style w:type="paragraph" w:styleId="4">
    <w:name w:val="heading 2"/>
    <w:basedOn w:val="1"/>
    <w:next w:val="1"/>
    <w:link w:val="10"/>
    <w:semiHidden/>
    <w:unhideWhenUsed/>
    <w:qFormat/>
    <w:uiPriority w:val="0"/>
    <w:pPr>
      <w:keepNext/>
      <w:keepLines/>
      <w:spacing w:before="40" w:after="0"/>
      <w:outlineLvl w:val="1"/>
    </w:pPr>
    <w:rPr>
      <w:rFonts w:ascii="Arial" w:hAnsi="Arial" w:cs="Arial" w:eastAsiaTheme="majorAscii"/>
      <w:b/>
      <w:color w:val="000000" w:themeColor="text1"/>
      <w:szCs w:val="24"/>
      <w14:textFill>
        <w14:solidFill>
          <w14:schemeClr w14:val="tx1"/>
        </w14:solidFill>
      </w14:textFill>
    </w:rPr>
  </w:style>
  <w:style w:type="paragraph" w:styleId="5">
    <w:name w:val="heading 3"/>
    <w:basedOn w:val="1"/>
    <w:next w:val="1"/>
    <w:link w:val="11"/>
    <w:semiHidden/>
    <w:unhideWhenUsed/>
    <w:qFormat/>
    <w:uiPriority w:val="0"/>
    <w:pPr>
      <w:keepNext/>
      <w:keepLines/>
      <w:spacing w:before="260" w:after="260" w:line="416" w:lineRule="auto"/>
      <w:outlineLvl w:val="2"/>
    </w:pPr>
    <w:rPr>
      <w:rFonts w:ascii="Arial" w:hAnsi="Arial" w:cs="Arial" w:eastAsiaTheme="majorAscii"/>
      <w:b/>
      <w:bCs/>
      <w:sz w:val="22"/>
      <w:szCs w:val="22"/>
      <w:lang w:eastAsia="zh-CN"/>
    </w:rPr>
  </w:style>
  <w:style w:type="character" w:default="1" w:styleId="7">
    <w:name w:val="Default Paragraph Font"/>
    <w:semiHidden/>
    <w:unhideWhenUsed/>
    <w:qFormat/>
    <w:uiPriority w:val="1"/>
  </w:style>
  <w:style w:type="table" w:default="1" w:styleId="6">
    <w:name w:val="Normal Table"/>
    <w:semiHidden/>
    <w:qFormat/>
    <w:uiPriority w:val="0"/>
    <w:tblPr>
      <w:tblCellMar>
        <w:top w:w="0" w:type="dxa"/>
        <w:left w:w="108" w:type="dxa"/>
        <w:bottom w:w="0" w:type="dxa"/>
        <w:right w:w="108" w:type="dxa"/>
      </w:tblCellMar>
    </w:tblPr>
  </w:style>
  <w:style w:type="paragraph" w:styleId="3">
    <w:name w:val="Title"/>
    <w:basedOn w:val="1"/>
    <w:qFormat/>
    <w:uiPriority w:val="0"/>
    <w:pPr>
      <w:spacing w:before="240" w:beforeLines="0" w:beforeAutospacing="0" w:after="60" w:afterLines="0" w:afterAutospacing="0"/>
      <w:jc w:val="center"/>
      <w:outlineLvl w:val="0"/>
    </w:pPr>
    <w:rPr>
      <w:rFonts w:ascii="Arial" w:hAnsi="Arial"/>
      <w:b/>
      <w:sz w:val="32"/>
    </w:rPr>
  </w:style>
  <w:style w:type="character" w:styleId="8">
    <w:name w:val="Hyperlink"/>
    <w:basedOn w:val="7"/>
    <w:uiPriority w:val="0"/>
    <w:rPr>
      <w:color w:val="0000FF"/>
      <w:u w:val="single"/>
    </w:rPr>
  </w:style>
  <w:style w:type="character" w:customStyle="1" w:styleId="9">
    <w:name w:val="Heading 1 Char"/>
    <w:basedOn w:val="7"/>
    <w:link w:val="2"/>
    <w:qFormat/>
    <w:uiPriority w:val="9"/>
    <w:rPr>
      <w:rFonts w:ascii="Times New Roman" w:hAnsi="Times New Roman" w:eastAsia="Times New Roman" w:cs="Times New Roman"/>
      <w:b/>
      <w:color w:val="000000" w:themeColor="text1"/>
      <w:kern w:val="2"/>
      <w:sz w:val="28"/>
      <w:szCs w:val="28"/>
      <w14:textFill>
        <w14:solidFill>
          <w14:schemeClr w14:val="tx1"/>
        </w14:solidFill>
      </w14:textFill>
      <w14:ligatures w14:val="standardContextual"/>
    </w:rPr>
  </w:style>
  <w:style w:type="character" w:customStyle="1" w:styleId="10">
    <w:name w:val="Heading 2 Char"/>
    <w:basedOn w:val="7"/>
    <w:link w:val="4"/>
    <w:qFormat/>
    <w:uiPriority w:val="9"/>
    <w:rPr>
      <w:rFonts w:ascii="Arial" w:hAnsi="Arial" w:cs="Arial" w:eastAsiaTheme="majorAscii"/>
      <w:b/>
      <w:color w:val="000000" w:themeColor="text1"/>
      <w:sz w:val="24"/>
      <w:szCs w:val="24"/>
      <w14:textFill>
        <w14:solidFill>
          <w14:schemeClr w14:val="tx1"/>
        </w14:solidFill>
      </w14:textFill>
    </w:rPr>
  </w:style>
  <w:style w:type="character" w:customStyle="1" w:styleId="11">
    <w:name w:val="标题 3 Char"/>
    <w:link w:val="5"/>
    <w:qFormat/>
    <w:uiPriority w:val="0"/>
    <w:rPr>
      <w:rFonts w:ascii="Arial" w:hAnsi="Arial" w:cs="Arial" w:eastAsiaTheme="majorAscii"/>
      <w:b/>
      <w:bCs/>
      <w:sz w:val="22"/>
      <w:szCs w:val="22"/>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1126</Words>
  <Characters>6627</Characters>
  <Lines>0</Lines>
  <Paragraphs>0</Paragraphs>
  <TotalTime>3</TotalTime>
  <ScaleCrop>false</ScaleCrop>
  <LinksUpToDate>false</LinksUpToDate>
  <CharactersWithSpaces>7717</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2023-05-01T10:14:00Z</dcterms:created>
  <dc:creator>套中人</dc:creator>
  <cp:lastModifiedBy>套中人</cp:lastModifiedBy>
  <dcterms:modified xsi:type="dcterms:W3CDTF">2023-05-01T10:38:10Z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FA06F5170BD444C19B439A8E86641EF4_11</vt:lpwstr>
  </property>
</Properties>
</file>