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51F380" w14:textId="77777777" w:rsidR="00C558B0" w:rsidRPr="00594FAC" w:rsidRDefault="00C558B0" w:rsidP="00594FAC">
      <w:pPr>
        <w:spacing w:line="360" w:lineRule="auto"/>
        <w:rPr>
          <w:rFonts w:ascii="Arial" w:hAnsi="Arial" w:cs="Arial"/>
          <w:szCs w:val="24"/>
        </w:rPr>
      </w:pPr>
      <w:r w:rsidRPr="00594FAC">
        <w:rPr>
          <w:rFonts w:ascii="Arial" w:hAnsi="Arial" w:cs="Arial"/>
          <w:noProof/>
          <w:lang w:eastAsia="en-GB"/>
        </w:rPr>
        <w:drawing>
          <wp:anchor distT="0" distB="0" distL="114300" distR="114300" simplePos="0" relativeHeight="251659264" behindDoc="0" locked="0" layoutInCell="1" allowOverlap="1" wp14:anchorId="6E2B314A" wp14:editId="0A0ED21B">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06F776C1" w14:textId="77777777" w:rsidR="00C558B0" w:rsidRPr="00594FAC" w:rsidRDefault="00C558B0" w:rsidP="00594FAC">
      <w:pPr>
        <w:spacing w:line="360" w:lineRule="auto"/>
        <w:rPr>
          <w:rFonts w:ascii="Arial" w:hAnsi="Arial" w:cs="Arial"/>
          <w:szCs w:val="24"/>
        </w:rPr>
      </w:pPr>
    </w:p>
    <w:p w14:paraId="5E938A53" w14:textId="77777777" w:rsidR="00C558B0" w:rsidRPr="00594FAC" w:rsidRDefault="00C558B0" w:rsidP="00594FAC">
      <w:pPr>
        <w:spacing w:line="360" w:lineRule="auto"/>
        <w:rPr>
          <w:rFonts w:ascii="Arial" w:hAnsi="Arial" w:cs="Arial"/>
          <w:szCs w:val="24"/>
        </w:rPr>
      </w:pPr>
    </w:p>
    <w:p w14:paraId="5D2E858A" w14:textId="77777777" w:rsidR="00C558B0" w:rsidRPr="00594FAC" w:rsidRDefault="00C558B0" w:rsidP="00594FAC">
      <w:pPr>
        <w:spacing w:line="360" w:lineRule="auto"/>
        <w:rPr>
          <w:rFonts w:ascii="Arial" w:hAnsi="Arial" w:cs="Arial"/>
          <w:szCs w:val="24"/>
        </w:rPr>
      </w:pPr>
    </w:p>
    <w:p w14:paraId="5CC5F4D8" w14:textId="77777777" w:rsidR="00C558B0" w:rsidRPr="00594FAC" w:rsidRDefault="00C558B0" w:rsidP="00594FAC">
      <w:pPr>
        <w:tabs>
          <w:tab w:val="left" w:pos="6540"/>
        </w:tabs>
        <w:spacing w:line="360" w:lineRule="auto"/>
        <w:rPr>
          <w:rFonts w:ascii="Arial" w:hAnsi="Arial" w:cs="Arial"/>
          <w:sz w:val="28"/>
          <w:szCs w:val="28"/>
        </w:rPr>
      </w:pPr>
    </w:p>
    <w:p w14:paraId="6086E050" w14:textId="77777777" w:rsidR="004B1DC1" w:rsidRPr="00A86EE0" w:rsidRDefault="00000000" w:rsidP="004B1DC1">
      <w:pPr>
        <w:rPr>
          <w:rFonts w:eastAsia="Times New Roman" w:cs="Times New Roman"/>
          <w:szCs w:val="24"/>
          <w:lang w:eastAsia="en-GB"/>
        </w:rPr>
      </w:pPr>
      <w:r>
        <w:rPr>
          <w:rFonts w:ascii="Arial" w:hAnsi="Arial" w:cs="Arial"/>
          <w:b/>
          <w:bCs/>
          <w:szCs w:val="24"/>
        </w:rPr>
        <w:t>Student name:</w:t>
      </w:r>
      <w:r>
        <w:rPr>
          <w:rFonts w:ascii="Arial" w:hAnsi="Arial" w:cs="Arial"/>
          <w:szCs w:val="24"/>
        </w:rPr>
        <w:t xml:space="preserve"> </w:t>
      </w:r>
      <w:r w:rsidR="004B1DC1" w:rsidRPr="00A86EE0">
        <w:rPr>
          <w:rFonts w:eastAsia="Times New Roman" w:cs="Times New Roman"/>
          <w:szCs w:val="24"/>
          <w:lang w:eastAsia="en-GB"/>
        </w:rPr>
        <w:t>Stephane Laurette</w:t>
      </w:r>
      <w:r w:rsidR="004B1DC1">
        <w:rPr>
          <w:rFonts w:eastAsia="Times New Roman" w:cs="Times New Roman"/>
          <w:szCs w:val="24"/>
          <w:lang w:eastAsia="en-GB"/>
        </w:rPr>
        <w:t xml:space="preserve"> </w:t>
      </w:r>
      <w:proofErr w:type="spellStart"/>
      <w:r w:rsidR="004B1DC1" w:rsidRPr="00A86EE0">
        <w:rPr>
          <w:rFonts w:eastAsia="Times New Roman" w:cs="Times New Roman"/>
          <w:szCs w:val="24"/>
          <w:lang w:eastAsia="en-GB"/>
        </w:rPr>
        <w:t>Magbi</w:t>
      </w:r>
      <w:proofErr w:type="spellEnd"/>
    </w:p>
    <w:p w14:paraId="314EEA05" w14:textId="315842F7" w:rsidR="00EF7CBB" w:rsidRDefault="00EF7CBB">
      <w:pPr>
        <w:spacing w:after="60" w:line="360" w:lineRule="auto"/>
      </w:pPr>
    </w:p>
    <w:p w14:paraId="3B749CB4" w14:textId="3CED0BE2" w:rsidR="00EF7CBB" w:rsidRDefault="00000000">
      <w:pPr>
        <w:spacing w:after="60" w:line="360" w:lineRule="auto"/>
      </w:pPr>
      <w:r>
        <w:rPr>
          <w:rFonts w:ascii="Arial" w:hAnsi="Arial" w:cs="Arial"/>
          <w:b/>
          <w:bCs/>
          <w:szCs w:val="24"/>
        </w:rPr>
        <w:t>Student ID:</w:t>
      </w:r>
      <w:r>
        <w:rPr>
          <w:rFonts w:ascii="Arial" w:hAnsi="Arial" w:cs="Arial"/>
          <w:szCs w:val="24"/>
        </w:rPr>
        <w:t xml:space="preserve"> </w:t>
      </w:r>
      <w:r w:rsidR="004B1DC1" w:rsidRPr="00A86EE0">
        <w:rPr>
          <w:rFonts w:eastAsia="Times New Roman" w:cs="Times New Roman"/>
          <w:szCs w:val="24"/>
          <w:lang w:eastAsia="en-GB"/>
        </w:rPr>
        <w:t>2413325</w:t>
      </w:r>
    </w:p>
    <w:p w14:paraId="03AC8BE6" w14:textId="77777777" w:rsidR="00EF7CBB" w:rsidRDefault="00000000">
      <w:pPr>
        <w:spacing w:after="60" w:line="360" w:lineRule="auto"/>
      </w:pPr>
      <w:r>
        <w:rPr>
          <w:rFonts w:ascii="Arial" w:hAnsi="Arial" w:cs="Arial"/>
          <w:b/>
          <w:bCs/>
          <w:szCs w:val="24"/>
        </w:rPr>
        <w:t>Module name:</w:t>
      </w:r>
      <w:r>
        <w:rPr>
          <w:rFonts w:ascii="Arial" w:hAnsi="Arial" w:cs="Arial"/>
          <w:szCs w:val="24"/>
        </w:rPr>
        <w:t xml:space="preserve"> Principles of Health and Social Care Practice</w:t>
      </w:r>
    </w:p>
    <w:p w14:paraId="0D7F9641" w14:textId="77777777" w:rsidR="00EF7CBB" w:rsidRDefault="00000000">
      <w:pPr>
        <w:spacing w:after="60" w:line="360" w:lineRule="auto"/>
      </w:pPr>
      <w:r>
        <w:rPr>
          <w:rFonts w:ascii="Arial" w:hAnsi="Arial" w:cs="Arial"/>
          <w:b/>
          <w:bCs/>
          <w:szCs w:val="24"/>
        </w:rPr>
        <w:t>Component:</w:t>
      </w:r>
      <w:r>
        <w:rPr>
          <w:rFonts w:ascii="Arial" w:hAnsi="Arial" w:cs="Arial"/>
          <w:szCs w:val="24"/>
        </w:rPr>
        <w:t xml:space="preserve"> 1 – Written Assignment (Reflective Report)</w:t>
      </w:r>
    </w:p>
    <w:p w14:paraId="72B3E8B8" w14:textId="77777777" w:rsidR="00EF7CBB" w:rsidRDefault="00000000">
      <w:pPr>
        <w:spacing w:after="60" w:line="360" w:lineRule="auto"/>
      </w:pPr>
      <w:r>
        <w:rPr>
          <w:rFonts w:ascii="Arial" w:hAnsi="Arial" w:cs="Arial"/>
          <w:b/>
          <w:bCs/>
          <w:szCs w:val="24"/>
        </w:rPr>
        <w:t>Module code:</w:t>
      </w:r>
      <w:r>
        <w:rPr>
          <w:rFonts w:ascii="Arial" w:hAnsi="Arial" w:cs="Arial"/>
          <w:szCs w:val="24"/>
        </w:rPr>
        <w:t xml:space="preserve"> BMHP5016</w:t>
      </w:r>
    </w:p>
    <w:p w14:paraId="7AF3C204" w14:textId="77777777" w:rsidR="00EF7CBB" w:rsidRDefault="00000000">
      <w:pPr>
        <w:spacing w:after="60" w:line="360" w:lineRule="auto"/>
      </w:pPr>
      <w:r>
        <w:rPr>
          <w:rFonts w:ascii="Arial" w:hAnsi="Arial" w:cs="Arial"/>
          <w:b/>
          <w:bCs/>
          <w:szCs w:val="24"/>
        </w:rPr>
        <w:t>Lecturer name:</w:t>
      </w:r>
      <w:r>
        <w:rPr>
          <w:rFonts w:ascii="Arial" w:hAnsi="Arial" w:cs="Arial"/>
          <w:szCs w:val="24"/>
        </w:rPr>
        <w:t xml:space="preserve"> Bianca Sanfilippo</w:t>
      </w:r>
    </w:p>
    <w:p w14:paraId="71C89436" w14:textId="77777777" w:rsidR="00EF7CBB" w:rsidRDefault="00000000">
      <w:pPr>
        <w:pageBreakBefore/>
        <w:spacing w:after="240" w:line="360" w:lineRule="auto"/>
      </w:pPr>
      <w:r>
        <w:rPr>
          <w:rFonts w:ascii="Arial" w:hAnsi="Arial" w:cs="Arial"/>
          <w:b/>
          <w:bCs/>
          <w:sz w:val="28"/>
          <w:szCs w:val="28"/>
        </w:rPr>
        <w:lastRenderedPageBreak/>
        <w:t>Table of contents</w:t>
      </w:r>
    </w:p>
    <w:p w14:paraId="36EAD5D3" w14:textId="77777777" w:rsidR="00EF7CBB" w:rsidRDefault="00000000">
      <w:pPr>
        <w:spacing w:after="60" w:line="300" w:lineRule="auto"/>
      </w:pPr>
      <w:r>
        <w:rPr>
          <w:rFonts w:ascii="Arial" w:hAnsi="Arial" w:cs="Arial"/>
          <w:sz w:val="22"/>
        </w:rPr>
        <w:t>Part 1: Reflection on the Importance of Principles of Health and Social Care</w:t>
      </w:r>
    </w:p>
    <w:p w14:paraId="6A19E361" w14:textId="77777777" w:rsidR="00EF7CBB" w:rsidRDefault="00000000">
      <w:pPr>
        <w:spacing w:after="40" w:line="300" w:lineRule="auto"/>
        <w:ind w:left="360"/>
      </w:pPr>
      <w:r>
        <w:rPr>
          <w:rFonts w:ascii="Arial" w:hAnsi="Arial" w:cs="Arial"/>
          <w:sz w:val="22"/>
        </w:rPr>
        <w:t>Person-centred care</w:t>
      </w:r>
    </w:p>
    <w:p w14:paraId="7E34F75F" w14:textId="77777777" w:rsidR="00EF7CBB" w:rsidRDefault="00000000">
      <w:pPr>
        <w:spacing w:after="40" w:line="300" w:lineRule="auto"/>
        <w:ind w:left="360"/>
      </w:pPr>
      <w:r>
        <w:rPr>
          <w:rFonts w:ascii="Arial" w:hAnsi="Arial" w:cs="Arial"/>
          <w:sz w:val="22"/>
        </w:rPr>
        <w:t>Partnership working</w:t>
      </w:r>
    </w:p>
    <w:p w14:paraId="5102F05F" w14:textId="77777777" w:rsidR="00EF7CBB" w:rsidRDefault="00000000">
      <w:pPr>
        <w:spacing w:after="40" w:line="300" w:lineRule="auto"/>
        <w:ind w:left="360"/>
      </w:pPr>
      <w:r>
        <w:rPr>
          <w:rFonts w:ascii="Arial" w:hAnsi="Arial" w:cs="Arial"/>
          <w:sz w:val="22"/>
        </w:rPr>
        <w:t>Ethics</w:t>
      </w:r>
    </w:p>
    <w:p w14:paraId="78CC45E6" w14:textId="77777777" w:rsidR="00EF7CBB" w:rsidRDefault="00000000">
      <w:pPr>
        <w:spacing w:after="60" w:line="300" w:lineRule="auto"/>
      </w:pPr>
      <w:r>
        <w:rPr>
          <w:rFonts w:ascii="Arial" w:hAnsi="Arial" w:cs="Arial"/>
          <w:sz w:val="22"/>
        </w:rPr>
        <w:t>Part 2: Practical Examples of Concepts in Practice</w:t>
      </w:r>
    </w:p>
    <w:p w14:paraId="4FA27D24" w14:textId="77777777" w:rsidR="00EF7CBB" w:rsidRDefault="00000000">
      <w:pPr>
        <w:spacing w:after="40" w:line="300" w:lineRule="auto"/>
        <w:ind w:left="360"/>
      </w:pPr>
      <w:r>
        <w:rPr>
          <w:rFonts w:ascii="Arial" w:hAnsi="Arial" w:cs="Arial"/>
          <w:sz w:val="22"/>
        </w:rPr>
        <w:t>Person-centred care in practice</w:t>
      </w:r>
    </w:p>
    <w:p w14:paraId="27A7C032" w14:textId="77777777" w:rsidR="00EF7CBB" w:rsidRDefault="00000000">
      <w:pPr>
        <w:spacing w:after="40" w:line="300" w:lineRule="auto"/>
        <w:ind w:left="360"/>
      </w:pPr>
      <w:r>
        <w:rPr>
          <w:rFonts w:ascii="Arial" w:hAnsi="Arial" w:cs="Arial"/>
          <w:sz w:val="22"/>
        </w:rPr>
        <w:t>Partnership working in practice</w:t>
      </w:r>
    </w:p>
    <w:p w14:paraId="69850A24" w14:textId="77777777" w:rsidR="00EF7CBB" w:rsidRDefault="00000000">
      <w:pPr>
        <w:spacing w:after="40" w:line="300" w:lineRule="auto"/>
        <w:ind w:left="360"/>
      </w:pPr>
      <w:r>
        <w:rPr>
          <w:rFonts w:ascii="Arial" w:hAnsi="Arial" w:cs="Arial"/>
          <w:sz w:val="22"/>
        </w:rPr>
        <w:t>Ethics in practice</w:t>
      </w:r>
    </w:p>
    <w:p w14:paraId="2FE2E7F6" w14:textId="77777777" w:rsidR="00EF7CBB" w:rsidRDefault="00000000">
      <w:pPr>
        <w:spacing w:after="40" w:line="300" w:lineRule="auto"/>
        <w:ind w:left="360"/>
      </w:pPr>
      <w:r>
        <w:rPr>
          <w:rFonts w:ascii="Arial" w:hAnsi="Arial" w:cs="Arial"/>
          <w:sz w:val="22"/>
        </w:rPr>
        <w:t>Improving care and addressing challenges</w:t>
      </w:r>
    </w:p>
    <w:p w14:paraId="2EE99CE3" w14:textId="77777777" w:rsidR="00EF7CBB" w:rsidRDefault="00000000">
      <w:pPr>
        <w:spacing w:after="60" w:line="300" w:lineRule="auto"/>
      </w:pPr>
      <w:r>
        <w:rPr>
          <w:rFonts w:ascii="Arial" w:hAnsi="Arial" w:cs="Arial"/>
          <w:sz w:val="22"/>
        </w:rPr>
        <w:t>Part 3: Self-Reflection as a Health and Social Care Professional</w:t>
      </w:r>
    </w:p>
    <w:p w14:paraId="5334861B" w14:textId="77777777" w:rsidR="00EF7CBB" w:rsidRDefault="00000000">
      <w:pPr>
        <w:spacing w:after="40" w:line="300" w:lineRule="auto"/>
        <w:ind w:left="360"/>
      </w:pPr>
      <w:r>
        <w:rPr>
          <w:rFonts w:ascii="Arial" w:hAnsi="Arial" w:cs="Arial"/>
          <w:sz w:val="22"/>
        </w:rPr>
        <w:t>Applying the principles in my day-to-day work</w:t>
      </w:r>
    </w:p>
    <w:p w14:paraId="2109AB41" w14:textId="77777777" w:rsidR="00EF7CBB" w:rsidRDefault="00000000">
      <w:pPr>
        <w:spacing w:after="60" w:line="300" w:lineRule="auto"/>
      </w:pPr>
      <w:r>
        <w:rPr>
          <w:rFonts w:ascii="Arial" w:hAnsi="Arial" w:cs="Arial"/>
          <w:sz w:val="22"/>
        </w:rPr>
        <w:t>Conclusion</w:t>
      </w:r>
    </w:p>
    <w:p w14:paraId="0AFB903E" w14:textId="77777777" w:rsidR="00EF7CBB" w:rsidRDefault="00000000">
      <w:pPr>
        <w:spacing w:after="60" w:line="300" w:lineRule="auto"/>
      </w:pPr>
      <w:r>
        <w:rPr>
          <w:rFonts w:ascii="Arial" w:hAnsi="Arial" w:cs="Arial"/>
          <w:sz w:val="22"/>
        </w:rPr>
        <w:t>References</w:t>
      </w:r>
    </w:p>
    <w:p w14:paraId="6FD953C4" w14:textId="77777777" w:rsidR="00EF7CBB" w:rsidRDefault="00000000">
      <w:pPr>
        <w:keepNext/>
        <w:pageBreakBefore/>
        <w:spacing w:before="240" w:after="120" w:line="360" w:lineRule="auto"/>
      </w:pPr>
      <w:r>
        <w:rPr>
          <w:rFonts w:ascii="Arial" w:hAnsi="Arial" w:cs="Arial"/>
          <w:b/>
          <w:bCs/>
          <w:sz w:val="26"/>
          <w:szCs w:val="26"/>
        </w:rPr>
        <w:lastRenderedPageBreak/>
        <w:t>Part 1: Reflection on the Importance of Principles of Health and Social Care</w:t>
      </w:r>
    </w:p>
    <w:p w14:paraId="7F6F7DB6" w14:textId="77777777" w:rsidR="00EF7CBB" w:rsidRDefault="00000000">
      <w:pPr>
        <w:spacing w:line="360" w:lineRule="auto"/>
        <w:jc w:val="both"/>
      </w:pPr>
      <w:r>
        <w:rPr>
          <w:rFonts w:ascii="Arial" w:hAnsi="Arial" w:cs="Arial"/>
          <w:sz w:val="22"/>
        </w:rPr>
        <w:t>This report reflects on three principles that underpin UK health and social care: person-centred care, partnership working and ethics. Part 1 explains why they matter, Part 2 applies them to an anonymised example from a care home placement, and Part 3 reflects on how they will shape my own practice.</w:t>
      </w:r>
    </w:p>
    <w:p w14:paraId="7336A487" w14:textId="77777777" w:rsidR="00EF7CBB" w:rsidRDefault="00000000">
      <w:pPr>
        <w:keepNext/>
        <w:spacing w:before="120" w:after="80" w:line="360" w:lineRule="auto"/>
      </w:pPr>
      <w:r>
        <w:rPr>
          <w:rFonts w:ascii="Arial" w:hAnsi="Arial" w:cs="Arial"/>
          <w:b/>
          <w:bCs/>
          <w:sz w:val="22"/>
        </w:rPr>
        <w:t>Person-centred care</w:t>
      </w:r>
    </w:p>
    <w:p w14:paraId="1252C129" w14:textId="77777777" w:rsidR="00EF7CBB" w:rsidRDefault="00000000">
      <w:pPr>
        <w:spacing w:line="360" w:lineRule="auto"/>
        <w:jc w:val="both"/>
      </w:pPr>
      <w:r>
        <w:rPr>
          <w:rFonts w:ascii="Arial" w:hAnsi="Arial" w:cs="Arial"/>
          <w:sz w:val="22"/>
        </w:rPr>
        <w:t xml:space="preserve">Person-centred care means seeing the whole person rather than only their condition or the task, and planning support around what matters to them. The Health Foundation (2014) describes four elements: collaboration, empowerment, individualised and coordinated care, and respect, so that people are treated with dignity and compassion. </w:t>
      </w:r>
      <w:proofErr w:type="spellStart"/>
      <w:r>
        <w:rPr>
          <w:rFonts w:ascii="Arial" w:hAnsi="Arial" w:cs="Arial"/>
          <w:sz w:val="22"/>
        </w:rPr>
        <w:t>Kitwood</w:t>
      </w:r>
      <w:proofErr w:type="spellEnd"/>
      <w:r>
        <w:rPr>
          <w:rFonts w:ascii="Arial" w:hAnsi="Arial" w:cs="Arial"/>
          <w:sz w:val="22"/>
        </w:rPr>
        <w:t xml:space="preserve"> (1997) argued, in the context of dementia, that care should protect personhood, the standing a person is given by others through relationships, recognition and respect. Maslow’s (1943) hierarchy of needs adds that physical care and safety are not enough, because belonging, esteem and self-fulfilment also shape wellbeing. In law, the Care Act 2014 requires local authorities to promote individual wellbeing, starting from the assumption that the person is best placed to judge their own wellbeing and giving regard to their views, wishes, feelings and beliefs. Person-centred care therefore supports quality because support fits the person, although in busy services it can be reduced to paperwork rather than practice, and choice means little if the resources to act on it are missing.</w:t>
      </w:r>
    </w:p>
    <w:p w14:paraId="0BC90DF3" w14:textId="77777777" w:rsidR="00EF7CBB" w:rsidRDefault="00000000">
      <w:pPr>
        <w:keepNext/>
        <w:spacing w:before="120" w:after="80" w:line="360" w:lineRule="auto"/>
      </w:pPr>
      <w:r>
        <w:rPr>
          <w:rFonts w:ascii="Arial" w:hAnsi="Arial" w:cs="Arial"/>
          <w:b/>
          <w:bCs/>
          <w:sz w:val="22"/>
        </w:rPr>
        <w:t>Partnership working</w:t>
      </w:r>
    </w:p>
    <w:p w14:paraId="3B28E4C4" w14:textId="77777777" w:rsidR="00EF7CBB" w:rsidRDefault="00000000">
      <w:pPr>
        <w:spacing w:line="360" w:lineRule="auto"/>
        <w:jc w:val="both"/>
      </w:pPr>
      <w:r>
        <w:rPr>
          <w:rFonts w:ascii="Arial" w:hAnsi="Arial" w:cs="Arial"/>
          <w:sz w:val="22"/>
        </w:rPr>
        <w:t>Partnership working is collaboration between professionals, organisations, people who use services and their families to deliver joined-up care. Glasby and Dickinson (2014) caution that partnership is a means rather than an end: it matters only if it improves outcomes for people. The Health and Care Act 2022 made integrated care systems statutory from 1 July 2022, requiring integrated care boards and local authorities to form partnerships that plan health, social care and public health together (NHS Providers, 2022). For individuals, partnership can reduce repeated assessments and gaps between services. However, different professional cultures, budgets and information systems still make collaboration difficult (Glasby and Dickinson, 2014).</w:t>
      </w:r>
    </w:p>
    <w:p w14:paraId="2ADD039A" w14:textId="77777777" w:rsidR="00EF7CBB" w:rsidRDefault="00000000">
      <w:pPr>
        <w:keepNext/>
        <w:spacing w:before="120" w:after="80" w:line="360" w:lineRule="auto"/>
      </w:pPr>
      <w:r>
        <w:rPr>
          <w:rFonts w:ascii="Arial" w:hAnsi="Arial" w:cs="Arial"/>
          <w:b/>
          <w:bCs/>
          <w:sz w:val="22"/>
        </w:rPr>
        <w:t>Ethics</w:t>
      </w:r>
    </w:p>
    <w:p w14:paraId="7BE000F6" w14:textId="77777777" w:rsidR="00EF7CBB" w:rsidRDefault="00000000">
      <w:pPr>
        <w:spacing w:line="360" w:lineRule="auto"/>
        <w:jc w:val="both"/>
      </w:pPr>
      <w:r>
        <w:rPr>
          <w:rFonts w:ascii="Arial" w:hAnsi="Arial" w:cs="Arial"/>
          <w:sz w:val="22"/>
        </w:rPr>
        <w:t xml:space="preserve">Ethics guides decisions when values conflict. Beauchamp and Childress (2019) propose four principles: respect for autonomy, beneficence, non-maleficence and justice. These principles are built into UK practice. The Mental Capacity Act 2005 requires staff to assume capacity, </w:t>
      </w:r>
      <w:r>
        <w:rPr>
          <w:rFonts w:ascii="Arial" w:hAnsi="Arial" w:cs="Arial"/>
          <w:sz w:val="22"/>
        </w:rPr>
        <w:lastRenderedPageBreak/>
        <w:t>take all practicable steps to help people decide, accept unwise decisions, and act in a person’s best interests by the least restrictive means when capacity is lacking. The Code of Conduct for support workers requires staff to promote and uphold the privacy, dignity, rights, health and wellbeing of people who use services (Skills for Care and Skills for Health, 2013). Ethical decision-making protects rights and builds trust, but principles can conflict, for example when respecting a choice increases risk. Justice also matters, because staff time and budgets must be shared fairly between everyone who needs support.</w:t>
      </w:r>
    </w:p>
    <w:p w14:paraId="5B91CB49" w14:textId="77777777" w:rsidR="00EF7CBB" w:rsidRDefault="00000000">
      <w:pPr>
        <w:spacing w:line="360" w:lineRule="auto"/>
        <w:jc w:val="both"/>
      </w:pPr>
      <w:r>
        <w:rPr>
          <w:rFonts w:ascii="Arial" w:hAnsi="Arial" w:cs="Arial"/>
          <w:sz w:val="22"/>
        </w:rPr>
        <w:t>These three principles are interdependent. Person-centred care defines what good care looks like, partnership working makes it possible across services, and ethics guides decisions when interests compete.</w:t>
      </w:r>
    </w:p>
    <w:p w14:paraId="03309B58" w14:textId="77777777" w:rsidR="00EF7CBB" w:rsidRDefault="00000000">
      <w:pPr>
        <w:keepNext/>
        <w:spacing w:before="240" w:after="120" w:line="360" w:lineRule="auto"/>
      </w:pPr>
      <w:r>
        <w:rPr>
          <w:rFonts w:ascii="Arial" w:hAnsi="Arial" w:cs="Arial"/>
          <w:b/>
          <w:bCs/>
          <w:sz w:val="26"/>
          <w:szCs w:val="26"/>
        </w:rPr>
        <w:t>Part 2: Practical Examples of Concepts in Practice</w:t>
      </w:r>
    </w:p>
    <w:p w14:paraId="560097DE" w14:textId="77777777" w:rsidR="00EF7CBB" w:rsidRDefault="00000000">
      <w:pPr>
        <w:spacing w:line="360" w:lineRule="auto"/>
        <w:jc w:val="both"/>
      </w:pPr>
      <w:r>
        <w:rPr>
          <w:rFonts w:ascii="Arial" w:hAnsi="Arial" w:cs="Arial"/>
          <w:sz w:val="22"/>
        </w:rPr>
        <w:t>During a placement in a residential care home, I supported Mrs A (a pseudonym), aged 84, who lives with moderate dementia. Mrs A had fallen twice while walking alone in the garden, and staff proposed that she should stay indoors unless accompanied. She became distressed and repeatedly asked to go outside.</w:t>
      </w:r>
    </w:p>
    <w:p w14:paraId="6FCF1210" w14:textId="77777777" w:rsidR="00EF7CBB" w:rsidRDefault="00000000">
      <w:pPr>
        <w:keepNext/>
        <w:spacing w:before="120" w:after="80" w:line="360" w:lineRule="auto"/>
      </w:pPr>
      <w:r>
        <w:rPr>
          <w:rFonts w:ascii="Arial" w:hAnsi="Arial" w:cs="Arial"/>
          <w:b/>
          <w:bCs/>
          <w:sz w:val="22"/>
        </w:rPr>
        <w:t>Person-centred care in practice</w:t>
      </w:r>
    </w:p>
    <w:p w14:paraId="75F4D7A9" w14:textId="77777777" w:rsidR="00EF7CBB" w:rsidRDefault="00000000">
      <w:pPr>
        <w:spacing w:line="360" w:lineRule="auto"/>
        <w:jc w:val="both"/>
      </w:pPr>
      <w:r>
        <w:rPr>
          <w:rFonts w:ascii="Arial" w:hAnsi="Arial" w:cs="Arial"/>
          <w:sz w:val="22"/>
        </w:rPr>
        <w:t xml:space="preserve">Mrs A’s ‘This is me’ document, completed with her daughter, recorded that she had been a keen gardener and that being outdoors calmed her. Alzheimer’s Society (no date) describes ‘This is me’ as a tool that records a person’s background, preferences and routines so that staff can tailor care. Using it changed the question from ‘how do we stop her going out?’ to ‘how can she go out safely?’. This reflects </w:t>
      </w:r>
      <w:proofErr w:type="spellStart"/>
      <w:r>
        <w:rPr>
          <w:rFonts w:ascii="Arial" w:hAnsi="Arial" w:cs="Arial"/>
          <w:sz w:val="22"/>
        </w:rPr>
        <w:t>Kitwood’s</w:t>
      </w:r>
      <w:proofErr w:type="spellEnd"/>
      <w:r>
        <w:rPr>
          <w:rFonts w:ascii="Arial" w:hAnsi="Arial" w:cs="Arial"/>
          <w:sz w:val="22"/>
        </w:rPr>
        <w:t xml:space="preserve"> (1997) view that distress may signal unmet psychological needs rather than ‘difficult’ behaviour, and Maslow’s (1943) point that esteem and self-fulfilment matter alongside safety.</w:t>
      </w:r>
    </w:p>
    <w:p w14:paraId="4D026528" w14:textId="77777777" w:rsidR="00EF7CBB" w:rsidRDefault="00000000">
      <w:pPr>
        <w:keepNext/>
        <w:spacing w:before="120" w:after="80" w:line="360" w:lineRule="auto"/>
      </w:pPr>
      <w:r>
        <w:rPr>
          <w:rFonts w:ascii="Arial" w:hAnsi="Arial" w:cs="Arial"/>
          <w:b/>
          <w:bCs/>
          <w:sz w:val="22"/>
        </w:rPr>
        <w:t>Partnership working in practice</w:t>
      </w:r>
    </w:p>
    <w:p w14:paraId="6FEF859F" w14:textId="77777777" w:rsidR="00EF7CBB" w:rsidRDefault="00000000">
      <w:pPr>
        <w:spacing w:line="360" w:lineRule="auto"/>
        <w:jc w:val="both"/>
      </w:pPr>
      <w:r>
        <w:rPr>
          <w:rFonts w:ascii="Arial" w:hAnsi="Arial" w:cs="Arial"/>
          <w:sz w:val="22"/>
        </w:rPr>
        <w:t>The senior carer arranged a review with Mrs A, her daughter, the GP, an occupational therapist from the community falls service and the care home manager. The occupational therapist suggested better-fitting footwear, a handrail along the path and a bench halfway round, and the GP reviewed medicines that might affect her balance. NICE (2018) guidance on dementia aims to improve care by training staff and helping carers to support people living with dementia, and the review put this into practice by treating Mrs A’s daughter as a partner.</w:t>
      </w:r>
    </w:p>
    <w:p w14:paraId="52E619A6" w14:textId="77777777" w:rsidR="00EF7CBB" w:rsidRDefault="00000000">
      <w:pPr>
        <w:keepNext/>
        <w:spacing w:before="120" w:after="80" w:line="360" w:lineRule="auto"/>
      </w:pPr>
      <w:r>
        <w:rPr>
          <w:rFonts w:ascii="Arial" w:hAnsi="Arial" w:cs="Arial"/>
          <w:b/>
          <w:bCs/>
          <w:sz w:val="22"/>
        </w:rPr>
        <w:t>Ethics in practice</w:t>
      </w:r>
    </w:p>
    <w:p w14:paraId="6072DCEE" w14:textId="77777777" w:rsidR="00EF7CBB" w:rsidRDefault="00000000">
      <w:pPr>
        <w:spacing w:line="360" w:lineRule="auto"/>
        <w:jc w:val="both"/>
      </w:pPr>
      <w:r>
        <w:rPr>
          <w:rFonts w:ascii="Arial" w:hAnsi="Arial" w:cs="Arial"/>
          <w:sz w:val="22"/>
        </w:rPr>
        <w:t xml:space="preserve">The situation involved a tension between autonomy and non-maleficence (Beauchamp and Childress, 2019). Staff first assessed whether Mrs A had capacity to make this specific </w:t>
      </w:r>
      <w:r>
        <w:rPr>
          <w:rFonts w:ascii="Arial" w:hAnsi="Arial" w:cs="Arial"/>
          <w:sz w:val="22"/>
        </w:rPr>
        <w:lastRenderedPageBreak/>
        <w:t>decision. Because she could not retain information about her falls, a best-interests decision was made with her daughter, choosing the least restrictive option, as the Mental Capacity Act 2005 requires: Mrs A walked in the garden at agreed times with a member of staff nearby, rather than being kept indoors.</w:t>
      </w:r>
    </w:p>
    <w:p w14:paraId="31927852" w14:textId="77777777" w:rsidR="00EF7CBB" w:rsidRDefault="00000000">
      <w:pPr>
        <w:keepNext/>
        <w:spacing w:before="120" w:after="80" w:line="360" w:lineRule="auto"/>
      </w:pPr>
      <w:r>
        <w:rPr>
          <w:rFonts w:ascii="Arial" w:hAnsi="Arial" w:cs="Arial"/>
          <w:b/>
          <w:bCs/>
          <w:sz w:val="22"/>
        </w:rPr>
        <w:t>Improving care and addressing challenges</w:t>
      </w:r>
    </w:p>
    <w:p w14:paraId="5B1E9DCE" w14:textId="77777777" w:rsidR="00EF7CBB" w:rsidRDefault="00000000">
      <w:pPr>
        <w:spacing w:line="360" w:lineRule="auto"/>
        <w:jc w:val="both"/>
      </w:pPr>
      <w:r>
        <w:rPr>
          <w:rFonts w:ascii="Arial" w:hAnsi="Arial" w:cs="Arial"/>
          <w:sz w:val="22"/>
        </w:rPr>
        <w:t>During the rest of the placement, Mrs A was less distressed and had no further falls. Current policy supports this approach. The Care Act 2014 places dignity, control over daily life and protection from abuse and neglect side by side within wellbeing, and the Health and Care Act 2022 encourages health and social care to plan together. However, the example also shows challenges. Staffing levels limited how often Mrs A could go out, the review took three weeks to arrange because services used different systems, and staff initially chose a risk-averse response. NICE (2021) recommends that organisations embed shared decision making through leadership and training, which could make this approach routine rather than dependent on individual staff. Recording falls and episodes of distress before and after the change would also help the home judge whether the plan worked and share the learning with other residents’ care plans.</w:t>
      </w:r>
    </w:p>
    <w:p w14:paraId="4098D4A2" w14:textId="77777777" w:rsidR="00EF7CBB" w:rsidRDefault="00000000">
      <w:pPr>
        <w:keepNext/>
        <w:spacing w:before="240" w:after="120" w:line="360" w:lineRule="auto"/>
      </w:pPr>
      <w:r>
        <w:rPr>
          <w:rFonts w:ascii="Arial" w:hAnsi="Arial" w:cs="Arial"/>
          <w:b/>
          <w:bCs/>
          <w:sz w:val="26"/>
          <w:szCs w:val="26"/>
        </w:rPr>
        <w:t>Part 3: Self-Reflection as a Health and Social Care Professional</w:t>
      </w:r>
    </w:p>
    <w:p w14:paraId="42221ACD" w14:textId="77777777" w:rsidR="00EF7CBB" w:rsidRDefault="00000000">
      <w:pPr>
        <w:spacing w:line="360" w:lineRule="auto"/>
        <w:jc w:val="both"/>
      </w:pPr>
      <w:r>
        <w:rPr>
          <w:rFonts w:ascii="Arial" w:hAnsi="Arial" w:cs="Arial"/>
          <w:sz w:val="22"/>
        </w:rPr>
        <w:t>I have used Gibbs’ (1988) reflective cycle to reflect on my role in the example above, because it moves from description to a clear action plan.</w:t>
      </w:r>
    </w:p>
    <w:p w14:paraId="316AFD0B" w14:textId="77777777" w:rsidR="00EF7CBB" w:rsidRDefault="00000000">
      <w:pPr>
        <w:spacing w:line="360" w:lineRule="auto"/>
        <w:jc w:val="both"/>
      </w:pPr>
      <w:r>
        <w:rPr>
          <w:rFonts w:ascii="Arial" w:hAnsi="Arial" w:cs="Arial"/>
          <w:b/>
          <w:bCs/>
          <w:sz w:val="22"/>
        </w:rPr>
        <w:t xml:space="preserve">Description. </w:t>
      </w:r>
      <w:r>
        <w:rPr>
          <w:rFonts w:ascii="Arial" w:hAnsi="Arial" w:cs="Arial"/>
          <w:sz w:val="22"/>
        </w:rPr>
        <w:t>As a student support worker, I was asked to accompany Mrs A in the garden and to record her mood and mobility for the review. I also helped her daughter complete sections of ‘This is me’, and I attended the review meeting, where I shared my observations.</w:t>
      </w:r>
    </w:p>
    <w:p w14:paraId="707A6F47" w14:textId="77777777" w:rsidR="00EF7CBB" w:rsidRDefault="00000000">
      <w:pPr>
        <w:spacing w:line="360" w:lineRule="auto"/>
        <w:jc w:val="both"/>
      </w:pPr>
      <w:r>
        <w:rPr>
          <w:rFonts w:ascii="Arial" w:hAnsi="Arial" w:cs="Arial"/>
          <w:b/>
          <w:bCs/>
          <w:sz w:val="22"/>
        </w:rPr>
        <w:t xml:space="preserve">Feelings. </w:t>
      </w:r>
      <w:r>
        <w:rPr>
          <w:rFonts w:ascii="Arial" w:hAnsi="Arial" w:cs="Arial"/>
          <w:sz w:val="22"/>
        </w:rPr>
        <w:t xml:space="preserve">At </w:t>
      </w:r>
      <w:proofErr w:type="gramStart"/>
      <w:r>
        <w:rPr>
          <w:rFonts w:ascii="Arial" w:hAnsi="Arial" w:cs="Arial"/>
          <w:sz w:val="22"/>
        </w:rPr>
        <w:t>first</w:t>
      </w:r>
      <w:proofErr w:type="gramEnd"/>
      <w:r>
        <w:rPr>
          <w:rFonts w:ascii="Arial" w:hAnsi="Arial" w:cs="Arial"/>
          <w:sz w:val="22"/>
        </w:rPr>
        <w:t xml:space="preserve"> I agreed with keeping Mrs A indoors because I was anxious about being blamed if she fell. When she cried and asked to go outside, I felt uncomfortable, as though we were protecting ourselves rather than her. Speaking in a meeting with a GP and an occupational therapist made me nervous, and I almost did not share my notes.</w:t>
      </w:r>
    </w:p>
    <w:p w14:paraId="240BE04B" w14:textId="77777777" w:rsidR="00EF7CBB" w:rsidRDefault="00000000">
      <w:pPr>
        <w:spacing w:line="360" w:lineRule="auto"/>
        <w:jc w:val="both"/>
      </w:pPr>
      <w:r>
        <w:rPr>
          <w:rFonts w:ascii="Arial" w:hAnsi="Arial" w:cs="Arial"/>
          <w:b/>
          <w:bCs/>
          <w:sz w:val="22"/>
        </w:rPr>
        <w:t xml:space="preserve">Evaluation. </w:t>
      </w:r>
      <w:r>
        <w:rPr>
          <w:rFonts w:ascii="Arial" w:hAnsi="Arial" w:cs="Arial"/>
          <w:sz w:val="22"/>
        </w:rPr>
        <w:t>What went well was that the plan changed because people listened to Mrs A’s life history and to frontline observations, including mine. My notes showed that her distress reduced after time outdoors, which helped the team agree a less restrictive option. Her daughter said she felt listened to for the first time since her mother moved in, which showed me that partnership with families is part of person-centred care rather than an extra. What went less well was my understanding of capacity. I had assumed that, because Mrs A has dementia, she could not make any decisions, which contradicts the first principle of the Mental Capacity Act 2005 that capacity must be assumed unless it is established otherwise.</w:t>
      </w:r>
    </w:p>
    <w:p w14:paraId="76A86D7E" w14:textId="77777777" w:rsidR="00EF7CBB" w:rsidRDefault="00000000">
      <w:pPr>
        <w:spacing w:line="360" w:lineRule="auto"/>
        <w:jc w:val="both"/>
      </w:pPr>
      <w:r>
        <w:rPr>
          <w:rFonts w:ascii="Arial" w:hAnsi="Arial" w:cs="Arial"/>
          <w:b/>
          <w:bCs/>
          <w:sz w:val="22"/>
        </w:rPr>
        <w:lastRenderedPageBreak/>
        <w:t xml:space="preserve">Analysis. </w:t>
      </w:r>
      <w:r>
        <w:rPr>
          <w:rFonts w:ascii="Arial" w:hAnsi="Arial" w:cs="Arial"/>
          <w:sz w:val="22"/>
        </w:rPr>
        <w:t xml:space="preserve">Looking back, my first response reflected a risk-averse culture in which safety is treated as the only goal. Maslow’s (1943) hierarchy helps to explain why this failed Mrs A: her physical needs were met, but her distress came from unmet needs for esteem and purpose that gardening had provided. </w:t>
      </w:r>
      <w:proofErr w:type="spellStart"/>
      <w:r>
        <w:rPr>
          <w:rFonts w:ascii="Arial" w:hAnsi="Arial" w:cs="Arial"/>
          <w:sz w:val="22"/>
        </w:rPr>
        <w:t>Kitwood</w:t>
      </w:r>
      <w:proofErr w:type="spellEnd"/>
      <w:r>
        <w:rPr>
          <w:rFonts w:ascii="Arial" w:hAnsi="Arial" w:cs="Arial"/>
          <w:sz w:val="22"/>
        </w:rPr>
        <w:t xml:space="preserve"> (1997) argued that well-meaning care can still undermine </w:t>
      </w:r>
      <w:proofErr w:type="gramStart"/>
      <w:r>
        <w:rPr>
          <w:rFonts w:ascii="Arial" w:hAnsi="Arial" w:cs="Arial"/>
          <w:sz w:val="22"/>
        </w:rPr>
        <w:t>personhood, and</w:t>
      </w:r>
      <w:proofErr w:type="gramEnd"/>
      <w:r>
        <w:rPr>
          <w:rFonts w:ascii="Arial" w:hAnsi="Arial" w:cs="Arial"/>
          <w:sz w:val="22"/>
        </w:rPr>
        <w:t xml:space="preserve"> keeping Mrs A indoors without exploring alternatives risked doing exactly that. The ethical tension was real. Non-maleficence pointed towards restriction, while respect for autonomy and the Care Act 2014 duty to promote control over daily life pointed the other way. The Mental Capacity Act 2005 gave the team a structured way to resolve this through a decision-specific assessment and the least restrictive option.</w:t>
      </w:r>
    </w:p>
    <w:p w14:paraId="367D6938" w14:textId="77777777" w:rsidR="00EF7CBB" w:rsidRDefault="00000000">
      <w:pPr>
        <w:spacing w:line="360" w:lineRule="auto"/>
        <w:jc w:val="both"/>
      </w:pPr>
      <w:r>
        <w:rPr>
          <w:rFonts w:ascii="Arial" w:hAnsi="Arial" w:cs="Arial"/>
          <w:sz w:val="22"/>
        </w:rPr>
        <w:t xml:space="preserve">The experience also showed me that partnership working depends on everyone’s contribution. The Code of Conduct expects support workers to work in collaboration with colleagues and to communicate in an open and effective way (Skills for Care and Skills for Health, 2013), and my observations were valued because I raised them. I also recognise the limits of my role: I could inform the decision but not make it. Good intentions cannot overcome staff </w:t>
      </w:r>
      <w:proofErr w:type="gramStart"/>
      <w:r>
        <w:rPr>
          <w:rFonts w:ascii="Arial" w:hAnsi="Arial" w:cs="Arial"/>
          <w:sz w:val="22"/>
        </w:rPr>
        <w:t>shortages</w:t>
      </w:r>
      <w:proofErr w:type="gramEnd"/>
      <w:r>
        <w:rPr>
          <w:rFonts w:ascii="Arial" w:hAnsi="Arial" w:cs="Arial"/>
          <w:sz w:val="22"/>
        </w:rPr>
        <w:t xml:space="preserve"> or the delays caused by separate systems, which Glasby and Dickinson (2014) identify as common barriers to partnership. Shared decision making (NICE, 2021) also depends on time, which is often the scarcest resource in care settings.</w:t>
      </w:r>
    </w:p>
    <w:p w14:paraId="043A5925" w14:textId="77777777" w:rsidR="00EF7CBB" w:rsidRDefault="00000000">
      <w:pPr>
        <w:keepNext/>
        <w:spacing w:before="120" w:after="80" w:line="360" w:lineRule="auto"/>
      </w:pPr>
      <w:r>
        <w:rPr>
          <w:rFonts w:ascii="Arial" w:hAnsi="Arial" w:cs="Arial"/>
          <w:b/>
          <w:bCs/>
          <w:sz w:val="22"/>
        </w:rPr>
        <w:t>Applying the principles in my day-to-day work</w:t>
      </w:r>
    </w:p>
    <w:p w14:paraId="4D7AA513" w14:textId="77777777" w:rsidR="00EF7CBB" w:rsidRDefault="00000000">
      <w:pPr>
        <w:spacing w:line="360" w:lineRule="auto"/>
        <w:jc w:val="both"/>
      </w:pPr>
      <w:r>
        <w:rPr>
          <w:rFonts w:ascii="Arial" w:hAnsi="Arial" w:cs="Arial"/>
          <w:sz w:val="22"/>
        </w:rPr>
        <w:t>These principles also apply to small, everyday decisions. Person-centred care means offering real choices about clothes, food and routines, and knocking before entering a room, which supports the dignity and control over daily life that the Care Act 2014 places at the heart of wellbeing. Partnership working means passing on accurate information at handovers and recording what people tell me, so that colleagues and families can build on it. Ethics shapes how I protect confidentiality, share information only with those who need it and challenge practice that seems unsafe or disrespectful, as the Code of Conduct requires (Skills for Care and Skills for Health, 2013). Maslow’s (1943) hierarchy reminds me to notice when someone is lonely or bored, not only when they are hungry or in pain. In future, I will treat these everyday moments as the place where principles become practice.</w:t>
      </w:r>
    </w:p>
    <w:p w14:paraId="751BB26D" w14:textId="77777777" w:rsidR="00EF7CBB" w:rsidRDefault="00000000">
      <w:pPr>
        <w:spacing w:line="360" w:lineRule="auto"/>
        <w:jc w:val="both"/>
      </w:pPr>
      <w:r>
        <w:rPr>
          <w:rFonts w:ascii="Arial" w:hAnsi="Arial" w:cs="Arial"/>
          <w:b/>
          <w:bCs/>
          <w:sz w:val="22"/>
        </w:rPr>
        <w:t xml:space="preserve">Conclusion. </w:t>
      </w:r>
      <w:r>
        <w:rPr>
          <w:rFonts w:ascii="Arial" w:hAnsi="Arial" w:cs="Arial"/>
          <w:sz w:val="22"/>
        </w:rPr>
        <w:t xml:space="preserve">I learned that person-centred care, partnership </w:t>
      </w:r>
      <w:proofErr w:type="gramStart"/>
      <w:r>
        <w:rPr>
          <w:rFonts w:ascii="Arial" w:hAnsi="Arial" w:cs="Arial"/>
          <w:sz w:val="22"/>
        </w:rPr>
        <w:t>working</w:t>
      </w:r>
      <w:proofErr w:type="gramEnd"/>
      <w:r>
        <w:rPr>
          <w:rFonts w:ascii="Arial" w:hAnsi="Arial" w:cs="Arial"/>
          <w:sz w:val="22"/>
        </w:rPr>
        <w:t xml:space="preserve"> and ethics are not separate topics but parts of the same decision. My strengths are careful observation, building rapport with residents and families, and accurate record keeping. My areas for improvement are confidence in speaking up in multidisciplinary meetings, knowledge of mental capacity law and an over-cautious approach to risk.</w:t>
      </w:r>
    </w:p>
    <w:p w14:paraId="4298E859" w14:textId="77777777" w:rsidR="00EF7CBB" w:rsidRDefault="00000000">
      <w:pPr>
        <w:spacing w:line="360" w:lineRule="auto"/>
        <w:jc w:val="both"/>
      </w:pPr>
      <w:r>
        <w:rPr>
          <w:rFonts w:ascii="Arial" w:hAnsi="Arial" w:cs="Arial"/>
          <w:b/>
          <w:bCs/>
          <w:sz w:val="22"/>
        </w:rPr>
        <w:t xml:space="preserve">Action plan. </w:t>
      </w:r>
      <w:r>
        <w:rPr>
          <w:rFonts w:ascii="Arial" w:hAnsi="Arial" w:cs="Arial"/>
          <w:sz w:val="22"/>
        </w:rPr>
        <w:t>Table 1 sets out specific actions to build on these strengths and address my areas for improvement.</w:t>
      </w:r>
    </w:p>
    <w:p w14:paraId="7F16759F" w14:textId="77777777" w:rsidR="00EF7CBB" w:rsidRDefault="00000000">
      <w:pPr>
        <w:keepNext/>
        <w:spacing w:after="80" w:line="276" w:lineRule="auto"/>
      </w:pPr>
      <w:r>
        <w:rPr>
          <w:rFonts w:ascii="Arial" w:hAnsi="Arial" w:cs="Arial"/>
          <w:b/>
          <w:bCs/>
          <w:sz w:val="20"/>
          <w:szCs w:val="20"/>
        </w:rPr>
        <w:lastRenderedPageBreak/>
        <w:t>Table 1: Personal and professional development plan</w:t>
      </w:r>
    </w:p>
    <w:tbl>
      <w:tblPr>
        <w:tblW w:w="9026"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top w:w="60" w:type="dxa"/>
          <w:left w:w="100" w:type="dxa"/>
          <w:bottom w:w="60" w:type="dxa"/>
          <w:right w:w="100" w:type="dxa"/>
        </w:tblCellMar>
        <w:tblLook w:val="04A0" w:firstRow="1" w:lastRow="0" w:firstColumn="1" w:lastColumn="0" w:noHBand="0" w:noVBand="1"/>
      </w:tblPr>
      <w:tblGrid>
        <w:gridCol w:w="1900"/>
        <w:gridCol w:w="3300"/>
        <w:gridCol w:w="1500"/>
        <w:gridCol w:w="2326"/>
      </w:tblGrid>
      <w:tr w:rsidR="00EF7CBB" w14:paraId="41BCA2EC" w14:textId="77777777">
        <w:trPr>
          <w:cantSplit/>
          <w:tblHeader/>
        </w:trPr>
        <w:tc>
          <w:tcPr>
            <w:tcW w:w="1900" w:type="dxa"/>
            <w:shd w:val="clear" w:color="auto" w:fill="DCE6F2"/>
          </w:tcPr>
          <w:p w14:paraId="1BAB460E" w14:textId="77777777" w:rsidR="00EF7CBB" w:rsidRDefault="00000000">
            <w:pPr>
              <w:spacing w:after="0" w:line="276" w:lineRule="auto"/>
            </w:pPr>
            <w:r>
              <w:rPr>
                <w:rFonts w:ascii="Arial" w:hAnsi="Arial" w:cs="Arial"/>
                <w:b/>
                <w:bCs/>
                <w:sz w:val="20"/>
                <w:szCs w:val="20"/>
              </w:rPr>
              <w:t>Area for development</w:t>
            </w:r>
          </w:p>
        </w:tc>
        <w:tc>
          <w:tcPr>
            <w:tcW w:w="3300" w:type="dxa"/>
            <w:shd w:val="clear" w:color="auto" w:fill="DCE6F2"/>
          </w:tcPr>
          <w:p w14:paraId="14AB5324" w14:textId="77777777" w:rsidR="00EF7CBB" w:rsidRDefault="00000000">
            <w:pPr>
              <w:spacing w:after="0" w:line="276" w:lineRule="auto"/>
            </w:pPr>
            <w:r>
              <w:rPr>
                <w:rFonts w:ascii="Arial" w:hAnsi="Arial" w:cs="Arial"/>
                <w:b/>
                <w:bCs/>
                <w:sz w:val="20"/>
                <w:szCs w:val="20"/>
              </w:rPr>
              <w:t>Action</w:t>
            </w:r>
          </w:p>
        </w:tc>
        <w:tc>
          <w:tcPr>
            <w:tcW w:w="1500" w:type="dxa"/>
            <w:shd w:val="clear" w:color="auto" w:fill="DCE6F2"/>
          </w:tcPr>
          <w:p w14:paraId="0BA14D92" w14:textId="77777777" w:rsidR="00EF7CBB" w:rsidRDefault="00000000">
            <w:pPr>
              <w:spacing w:after="0" w:line="276" w:lineRule="auto"/>
            </w:pPr>
            <w:r>
              <w:rPr>
                <w:rFonts w:ascii="Arial" w:hAnsi="Arial" w:cs="Arial"/>
                <w:b/>
                <w:bCs/>
                <w:sz w:val="20"/>
                <w:szCs w:val="20"/>
              </w:rPr>
              <w:t>Timescale</w:t>
            </w:r>
          </w:p>
        </w:tc>
        <w:tc>
          <w:tcPr>
            <w:tcW w:w="2326" w:type="dxa"/>
            <w:shd w:val="clear" w:color="auto" w:fill="DCE6F2"/>
          </w:tcPr>
          <w:p w14:paraId="46298413" w14:textId="77777777" w:rsidR="00EF7CBB" w:rsidRDefault="00000000">
            <w:pPr>
              <w:spacing w:after="0" w:line="276" w:lineRule="auto"/>
            </w:pPr>
            <w:r>
              <w:rPr>
                <w:rFonts w:ascii="Arial" w:hAnsi="Arial" w:cs="Arial"/>
                <w:b/>
                <w:bCs/>
                <w:sz w:val="20"/>
                <w:szCs w:val="20"/>
              </w:rPr>
              <w:t>Evidence of success</w:t>
            </w:r>
          </w:p>
        </w:tc>
      </w:tr>
      <w:tr w:rsidR="00EF7CBB" w14:paraId="6A3A86AC" w14:textId="77777777">
        <w:trPr>
          <w:cantSplit/>
        </w:trPr>
        <w:tc>
          <w:tcPr>
            <w:tcW w:w="1900" w:type="dxa"/>
          </w:tcPr>
          <w:p w14:paraId="7CC2FF4A" w14:textId="77777777" w:rsidR="00EF7CBB" w:rsidRDefault="00000000">
            <w:pPr>
              <w:spacing w:after="0" w:line="276" w:lineRule="auto"/>
            </w:pPr>
            <w:r>
              <w:rPr>
                <w:rFonts w:ascii="Arial" w:hAnsi="Arial" w:cs="Arial"/>
                <w:b/>
                <w:bCs/>
                <w:sz w:val="20"/>
                <w:szCs w:val="20"/>
              </w:rPr>
              <w:t>Mental capacity law</w:t>
            </w:r>
          </w:p>
        </w:tc>
        <w:tc>
          <w:tcPr>
            <w:tcW w:w="3300" w:type="dxa"/>
          </w:tcPr>
          <w:p w14:paraId="5FC8A5A1" w14:textId="77777777" w:rsidR="00EF7CBB" w:rsidRDefault="00000000">
            <w:pPr>
              <w:spacing w:after="0" w:line="276" w:lineRule="auto"/>
            </w:pPr>
            <w:r>
              <w:rPr>
                <w:rFonts w:ascii="Arial" w:hAnsi="Arial" w:cs="Arial"/>
                <w:sz w:val="20"/>
                <w:szCs w:val="20"/>
              </w:rPr>
              <w:t>Complete Mental Capacity Act training and apply the five principles in my next placement</w:t>
            </w:r>
          </w:p>
        </w:tc>
        <w:tc>
          <w:tcPr>
            <w:tcW w:w="1500" w:type="dxa"/>
          </w:tcPr>
          <w:p w14:paraId="2F86F2F9" w14:textId="77777777" w:rsidR="00EF7CBB" w:rsidRDefault="00000000">
            <w:pPr>
              <w:spacing w:after="0" w:line="276" w:lineRule="auto"/>
            </w:pPr>
            <w:r>
              <w:rPr>
                <w:rFonts w:ascii="Arial" w:hAnsi="Arial" w:cs="Arial"/>
                <w:sz w:val="20"/>
                <w:szCs w:val="20"/>
              </w:rPr>
              <w:t>Within 3 months</w:t>
            </w:r>
          </w:p>
        </w:tc>
        <w:tc>
          <w:tcPr>
            <w:tcW w:w="2326" w:type="dxa"/>
          </w:tcPr>
          <w:p w14:paraId="6723F9FF" w14:textId="77777777" w:rsidR="00EF7CBB" w:rsidRDefault="00000000">
            <w:pPr>
              <w:spacing w:after="0" w:line="276" w:lineRule="auto"/>
            </w:pPr>
            <w:r>
              <w:rPr>
                <w:rFonts w:ascii="Arial" w:hAnsi="Arial" w:cs="Arial"/>
                <w:sz w:val="20"/>
                <w:szCs w:val="20"/>
              </w:rPr>
              <w:t>Discuss one capacity-related decision with my supervisor</w:t>
            </w:r>
          </w:p>
        </w:tc>
      </w:tr>
      <w:tr w:rsidR="00EF7CBB" w14:paraId="68DF4D73" w14:textId="77777777">
        <w:trPr>
          <w:cantSplit/>
        </w:trPr>
        <w:tc>
          <w:tcPr>
            <w:tcW w:w="1900" w:type="dxa"/>
          </w:tcPr>
          <w:p w14:paraId="624D68EC" w14:textId="77777777" w:rsidR="00EF7CBB" w:rsidRDefault="00000000">
            <w:pPr>
              <w:spacing w:after="0" w:line="276" w:lineRule="auto"/>
            </w:pPr>
            <w:r>
              <w:rPr>
                <w:rFonts w:ascii="Arial" w:hAnsi="Arial" w:cs="Arial"/>
                <w:b/>
                <w:bCs/>
                <w:sz w:val="20"/>
                <w:szCs w:val="20"/>
              </w:rPr>
              <w:t>Positive risk-taking</w:t>
            </w:r>
          </w:p>
        </w:tc>
        <w:tc>
          <w:tcPr>
            <w:tcW w:w="3300" w:type="dxa"/>
          </w:tcPr>
          <w:p w14:paraId="4EBF09EA" w14:textId="77777777" w:rsidR="00EF7CBB" w:rsidRDefault="00000000">
            <w:pPr>
              <w:spacing w:after="0" w:line="276" w:lineRule="auto"/>
            </w:pPr>
            <w:r>
              <w:rPr>
                <w:rFonts w:ascii="Arial" w:hAnsi="Arial" w:cs="Arial"/>
                <w:sz w:val="20"/>
                <w:szCs w:val="20"/>
              </w:rPr>
              <w:t>Shadow an occupational therapist or falls practitioner to learn how risk assessment can enable people</w:t>
            </w:r>
          </w:p>
        </w:tc>
        <w:tc>
          <w:tcPr>
            <w:tcW w:w="1500" w:type="dxa"/>
          </w:tcPr>
          <w:p w14:paraId="11EC2A3B" w14:textId="77777777" w:rsidR="00EF7CBB" w:rsidRDefault="00000000">
            <w:pPr>
              <w:spacing w:after="0" w:line="276" w:lineRule="auto"/>
            </w:pPr>
            <w:r>
              <w:rPr>
                <w:rFonts w:ascii="Arial" w:hAnsi="Arial" w:cs="Arial"/>
                <w:sz w:val="20"/>
                <w:szCs w:val="20"/>
              </w:rPr>
              <w:t>Next placement</w:t>
            </w:r>
          </w:p>
        </w:tc>
        <w:tc>
          <w:tcPr>
            <w:tcW w:w="2326" w:type="dxa"/>
          </w:tcPr>
          <w:p w14:paraId="2C1CD334" w14:textId="77777777" w:rsidR="00EF7CBB" w:rsidRDefault="00000000">
            <w:pPr>
              <w:spacing w:after="0" w:line="276" w:lineRule="auto"/>
            </w:pPr>
            <w:r>
              <w:rPr>
                <w:rFonts w:ascii="Arial" w:hAnsi="Arial" w:cs="Arial"/>
                <w:sz w:val="20"/>
                <w:szCs w:val="20"/>
              </w:rPr>
              <w:t>A person-centred risk assessment I have contributed to</w:t>
            </w:r>
          </w:p>
        </w:tc>
      </w:tr>
      <w:tr w:rsidR="00EF7CBB" w14:paraId="64FC67F9" w14:textId="77777777">
        <w:trPr>
          <w:cantSplit/>
        </w:trPr>
        <w:tc>
          <w:tcPr>
            <w:tcW w:w="1900" w:type="dxa"/>
          </w:tcPr>
          <w:p w14:paraId="59AB33A1" w14:textId="77777777" w:rsidR="00EF7CBB" w:rsidRDefault="00000000">
            <w:pPr>
              <w:spacing w:after="0" w:line="276" w:lineRule="auto"/>
            </w:pPr>
            <w:r>
              <w:rPr>
                <w:rFonts w:ascii="Arial" w:hAnsi="Arial" w:cs="Arial"/>
                <w:b/>
                <w:bCs/>
                <w:sz w:val="20"/>
                <w:szCs w:val="20"/>
              </w:rPr>
              <w:t>Confidence in partnership working</w:t>
            </w:r>
          </w:p>
        </w:tc>
        <w:tc>
          <w:tcPr>
            <w:tcW w:w="3300" w:type="dxa"/>
          </w:tcPr>
          <w:p w14:paraId="17E89530" w14:textId="77777777" w:rsidR="00EF7CBB" w:rsidRDefault="00000000">
            <w:pPr>
              <w:spacing w:after="0" w:line="276" w:lineRule="auto"/>
            </w:pPr>
            <w:r>
              <w:rPr>
                <w:rFonts w:ascii="Arial" w:hAnsi="Arial" w:cs="Arial"/>
                <w:sz w:val="20"/>
                <w:szCs w:val="20"/>
              </w:rPr>
              <w:t xml:space="preserve">Prepare brief, structured notes before meetings and contribute </w:t>
            </w:r>
            <w:proofErr w:type="gramStart"/>
            <w:r>
              <w:rPr>
                <w:rFonts w:ascii="Arial" w:hAnsi="Arial" w:cs="Arial"/>
                <w:sz w:val="20"/>
                <w:szCs w:val="20"/>
              </w:rPr>
              <w:t>in</w:t>
            </w:r>
            <w:proofErr w:type="gramEnd"/>
            <w:r>
              <w:rPr>
                <w:rFonts w:ascii="Arial" w:hAnsi="Arial" w:cs="Arial"/>
                <w:sz w:val="20"/>
                <w:szCs w:val="20"/>
              </w:rPr>
              <w:t xml:space="preserve"> every review I attend</w:t>
            </w:r>
          </w:p>
        </w:tc>
        <w:tc>
          <w:tcPr>
            <w:tcW w:w="1500" w:type="dxa"/>
          </w:tcPr>
          <w:p w14:paraId="50B002EA" w14:textId="77777777" w:rsidR="00EF7CBB" w:rsidRDefault="00000000">
            <w:pPr>
              <w:spacing w:after="0" w:line="276" w:lineRule="auto"/>
            </w:pPr>
            <w:r>
              <w:rPr>
                <w:rFonts w:ascii="Arial" w:hAnsi="Arial" w:cs="Arial"/>
                <w:sz w:val="20"/>
                <w:szCs w:val="20"/>
              </w:rPr>
              <w:t>Ongoing</w:t>
            </w:r>
          </w:p>
        </w:tc>
        <w:tc>
          <w:tcPr>
            <w:tcW w:w="2326" w:type="dxa"/>
          </w:tcPr>
          <w:p w14:paraId="0B6CB8DB" w14:textId="77777777" w:rsidR="00EF7CBB" w:rsidRDefault="00000000">
            <w:pPr>
              <w:spacing w:after="0" w:line="276" w:lineRule="auto"/>
            </w:pPr>
            <w:r>
              <w:rPr>
                <w:rFonts w:ascii="Arial" w:hAnsi="Arial" w:cs="Arial"/>
                <w:sz w:val="20"/>
                <w:szCs w:val="20"/>
              </w:rPr>
              <w:t>Feedback from my mentor</w:t>
            </w:r>
          </w:p>
        </w:tc>
      </w:tr>
      <w:tr w:rsidR="00EF7CBB" w14:paraId="7EC0DAC0" w14:textId="77777777">
        <w:trPr>
          <w:cantSplit/>
        </w:trPr>
        <w:tc>
          <w:tcPr>
            <w:tcW w:w="1900" w:type="dxa"/>
          </w:tcPr>
          <w:p w14:paraId="422DA10F" w14:textId="77777777" w:rsidR="00EF7CBB" w:rsidRDefault="00000000">
            <w:pPr>
              <w:spacing w:after="0" w:line="276" w:lineRule="auto"/>
            </w:pPr>
            <w:r>
              <w:rPr>
                <w:rFonts w:ascii="Arial" w:hAnsi="Arial" w:cs="Arial"/>
                <w:b/>
                <w:bCs/>
                <w:sz w:val="20"/>
                <w:szCs w:val="20"/>
              </w:rPr>
              <w:t>Person-centred tools</w:t>
            </w:r>
          </w:p>
        </w:tc>
        <w:tc>
          <w:tcPr>
            <w:tcW w:w="3300" w:type="dxa"/>
          </w:tcPr>
          <w:p w14:paraId="6B88A1FA" w14:textId="77777777" w:rsidR="00EF7CBB" w:rsidRDefault="00000000">
            <w:pPr>
              <w:spacing w:after="0" w:line="276" w:lineRule="auto"/>
            </w:pPr>
            <w:r>
              <w:rPr>
                <w:rFonts w:ascii="Arial" w:hAnsi="Arial" w:cs="Arial"/>
                <w:sz w:val="20"/>
                <w:szCs w:val="20"/>
              </w:rPr>
              <w:t>Use ‘This is me’ or a similar life-story tool with each new person I support</w:t>
            </w:r>
          </w:p>
        </w:tc>
        <w:tc>
          <w:tcPr>
            <w:tcW w:w="1500" w:type="dxa"/>
          </w:tcPr>
          <w:p w14:paraId="73BAD261" w14:textId="77777777" w:rsidR="00EF7CBB" w:rsidRDefault="00000000">
            <w:pPr>
              <w:spacing w:after="0" w:line="276" w:lineRule="auto"/>
            </w:pPr>
            <w:r>
              <w:rPr>
                <w:rFonts w:ascii="Arial" w:hAnsi="Arial" w:cs="Arial"/>
                <w:sz w:val="20"/>
                <w:szCs w:val="20"/>
              </w:rPr>
              <w:t>From now</w:t>
            </w:r>
          </w:p>
        </w:tc>
        <w:tc>
          <w:tcPr>
            <w:tcW w:w="2326" w:type="dxa"/>
          </w:tcPr>
          <w:p w14:paraId="6125B5EB" w14:textId="77777777" w:rsidR="00EF7CBB" w:rsidRDefault="00000000">
            <w:pPr>
              <w:spacing w:after="0" w:line="276" w:lineRule="auto"/>
            </w:pPr>
            <w:r>
              <w:rPr>
                <w:rFonts w:ascii="Arial" w:hAnsi="Arial" w:cs="Arial"/>
                <w:sz w:val="20"/>
                <w:szCs w:val="20"/>
              </w:rPr>
              <w:t>Care plans that reflect people’s histories</w:t>
            </w:r>
          </w:p>
        </w:tc>
      </w:tr>
      <w:tr w:rsidR="00EF7CBB" w14:paraId="247C0455" w14:textId="77777777">
        <w:trPr>
          <w:cantSplit/>
        </w:trPr>
        <w:tc>
          <w:tcPr>
            <w:tcW w:w="1900" w:type="dxa"/>
          </w:tcPr>
          <w:p w14:paraId="4794E48C" w14:textId="77777777" w:rsidR="00EF7CBB" w:rsidRDefault="00000000">
            <w:pPr>
              <w:spacing w:after="0" w:line="276" w:lineRule="auto"/>
            </w:pPr>
            <w:r>
              <w:rPr>
                <w:rFonts w:ascii="Arial" w:hAnsi="Arial" w:cs="Arial"/>
                <w:b/>
                <w:bCs/>
                <w:sz w:val="20"/>
                <w:szCs w:val="20"/>
              </w:rPr>
              <w:t>Reflective practice</w:t>
            </w:r>
          </w:p>
        </w:tc>
        <w:tc>
          <w:tcPr>
            <w:tcW w:w="3300" w:type="dxa"/>
          </w:tcPr>
          <w:p w14:paraId="36109ECF" w14:textId="77777777" w:rsidR="00EF7CBB" w:rsidRDefault="00000000">
            <w:pPr>
              <w:spacing w:after="0" w:line="276" w:lineRule="auto"/>
            </w:pPr>
            <w:r>
              <w:rPr>
                <w:rFonts w:ascii="Arial" w:hAnsi="Arial" w:cs="Arial"/>
                <w:sz w:val="20"/>
                <w:szCs w:val="20"/>
              </w:rPr>
              <w:t>Keep a monthly reflective log using Gibbs’ cycle and review it with my personal tutor</w:t>
            </w:r>
          </w:p>
        </w:tc>
        <w:tc>
          <w:tcPr>
            <w:tcW w:w="1500" w:type="dxa"/>
          </w:tcPr>
          <w:p w14:paraId="36A93DC5" w14:textId="77777777" w:rsidR="00EF7CBB" w:rsidRDefault="00000000">
            <w:pPr>
              <w:spacing w:after="0" w:line="276" w:lineRule="auto"/>
            </w:pPr>
            <w:r>
              <w:rPr>
                <w:rFonts w:ascii="Arial" w:hAnsi="Arial" w:cs="Arial"/>
                <w:sz w:val="20"/>
                <w:szCs w:val="20"/>
              </w:rPr>
              <w:t>Each term</w:t>
            </w:r>
          </w:p>
        </w:tc>
        <w:tc>
          <w:tcPr>
            <w:tcW w:w="2326" w:type="dxa"/>
          </w:tcPr>
          <w:p w14:paraId="15B38EDA" w14:textId="77777777" w:rsidR="00EF7CBB" w:rsidRDefault="00000000">
            <w:pPr>
              <w:spacing w:after="0" w:line="276" w:lineRule="auto"/>
            </w:pPr>
            <w:r>
              <w:rPr>
                <w:rFonts w:ascii="Arial" w:hAnsi="Arial" w:cs="Arial"/>
                <w:sz w:val="20"/>
                <w:szCs w:val="20"/>
              </w:rPr>
              <w:t>Completed log and tutor feedback</w:t>
            </w:r>
          </w:p>
        </w:tc>
      </w:tr>
    </w:tbl>
    <w:p w14:paraId="44BF0121" w14:textId="77777777" w:rsidR="00EF7CBB" w:rsidRDefault="00EF7CBB">
      <w:pPr>
        <w:spacing w:after="120" w:line="240" w:lineRule="auto"/>
      </w:pPr>
    </w:p>
    <w:p w14:paraId="6E9B1711" w14:textId="77777777" w:rsidR="00EF7CBB" w:rsidRDefault="00000000">
      <w:pPr>
        <w:spacing w:line="360" w:lineRule="auto"/>
        <w:jc w:val="both"/>
      </w:pPr>
      <w:r>
        <w:rPr>
          <w:rFonts w:ascii="Arial" w:hAnsi="Arial" w:cs="Arial"/>
          <w:sz w:val="22"/>
        </w:rPr>
        <w:t>These actions match the Code of Conduct’s expectation that workers strive to improve the quality of care through continuing professional development (Skills for Care and Skills for Health, 2013). In the longer term, I hope to work in older people’s services, where integrated care under the Health and Care Act 2022 will increasingly require me to work across health and social care. Keeping up to date with legislation and guidance will therefore be part of my everyday practice, not just my studies.</w:t>
      </w:r>
    </w:p>
    <w:p w14:paraId="4ED0DD56" w14:textId="77777777" w:rsidR="00EF7CBB" w:rsidRDefault="00000000">
      <w:pPr>
        <w:keepNext/>
        <w:spacing w:before="240" w:after="120" w:line="360" w:lineRule="auto"/>
      </w:pPr>
      <w:r>
        <w:rPr>
          <w:rFonts w:ascii="Arial" w:hAnsi="Arial" w:cs="Arial"/>
          <w:b/>
          <w:bCs/>
          <w:sz w:val="26"/>
          <w:szCs w:val="26"/>
        </w:rPr>
        <w:t>Conclusion</w:t>
      </w:r>
    </w:p>
    <w:p w14:paraId="3DC81751" w14:textId="77777777" w:rsidR="00EF7CBB" w:rsidRDefault="00000000">
      <w:pPr>
        <w:spacing w:line="360" w:lineRule="auto"/>
        <w:jc w:val="both"/>
      </w:pPr>
      <w:r>
        <w:rPr>
          <w:rFonts w:ascii="Arial" w:hAnsi="Arial" w:cs="Arial"/>
          <w:sz w:val="22"/>
        </w:rPr>
        <w:t xml:space="preserve">Person-centred care, partnership </w:t>
      </w:r>
      <w:proofErr w:type="gramStart"/>
      <w:r>
        <w:rPr>
          <w:rFonts w:ascii="Arial" w:hAnsi="Arial" w:cs="Arial"/>
          <w:sz w:val="22"/>
        </w:rPr>
        <w:t>working</w:t>
      </w:r>
      <w:proofErr w:type="gramEnd"/>
      <w:r>
        <w:rPr>
          <w:rFonts w:ascii="Arial" w:hAnsi="Arial" w:cs="Arial"/>
          <w:sz w:val="22"/>
        </w:rPr>
        <w:t xml:space="preserve"> and ethics together underpin good-quality care in the UK. They are supported by legislation such as the Care Act 2014, the Mental Capacity Act 2005 and the Health and Care Act 2022, and by theories including Maslow’s hierarchy of needs and </w:t>
      </w:r>
      <w:proofErr w:type="spellStart"/>
      <w:r>
        <w:rPr>
          <w:rFonts w:ascii="Arial" w:hAnsi="Arial" w:cs="Arial"/>
          <w:sz w:val="22"/>
        </w:rPr>
        <w:t>Kitwood’s</w:t>
      </w:r>
      <w:proofErr w:type="spellEnd"/>
      <w:r>
        <w:rPr>
          <w:rFonts w:ascii="Arial" w:hAnsi="Arial" w:cs="Arial"/>
          <w:sz w:val="22"/>
        </w:rPr>
        <w:t xml:space="preserve"> concept of personhood. The example of Mrs A showed that applying these principles can turn a restrictive decision into one that protects both safety and dignity, although staffing, systems and risk-averse cultures remain real challenges. Reflecting on my role has identified clear strengths and specific actions that will guide my development as a health and social care professional.</w:t>
      </w:r>
    </w:p>
    <w:p w14:paraId="4033478E" w14:textId="77777777" w:rsidR="00EF7CBB" w:rsidRDefault="00000000">
      <w:pPr>
        <w:pageBreakBefore/>
        <w:spacing w:before="240" w:after="120" w:line="360" w:lineRule="auto"/>
      </w:pPr>
      <w:r>
        <w:rPr>
          <w:rFonts w:ascii="Arial" w:hAnsi="Arial" w:cs="Arial"/>
          <w:b/>
          <w:bCs/>
          <w:sz w:val="26"/>
          <w:szCs w:val="26"/>
        </w:rPr>
        <w:lastRenderedPageBreak/>
        <w:t>References</w:t>
      </w:r>
    </w:p>
    <w:p w14:paraId="0A4CF738" w14:textId="77777777" w:rsidR="00EF7CBB" w:rsidRDefault="00000000">
      <w:pPr>
        <w:keepLines/>
        <w:spacing w:line="360" w:lineRule="auto"/>
      </w:pPr>
      <w:r>
        <w:rPr>
          <w:rFonts w:ascii="Arial" w:hAnsi="Arial" w:cs="Arial"/>
          <w:sz w:val="22"/>
        </w:rPr>
        <w:t xml:space="preserve">Alzheimer’s Society (no date) </w:t>
      </w:r>
      <w:r>
        <w:rPr>
          <w:rFonts w:ascii="Arial" w:hAnsi="Arial" w:cs="Arial"/>
          <w:i/>
          <w:iCs/>
          <w:sz w:val="22"/>
        </w:rPr>
        <w:t>This is me</w:t>
      </w:r>
      <w:r>
        <w:rPr>
          <w:rFonts w:ascii="Arial" w:hAnsi="Arial" w:cs="Arial"/>
          <w:sz w:val="22"/>
        </w:rPr>
        <w:t xml:space="preserve">. Available at: </w:t>
      </w:r>
      <w:hyperlink r:id="rId9" w:history="1">
        <w:r>
          <w:rPr>
            <w:rFonts w:ascii="Arial" w:hAnsi="Arial" w:cs="Arial"/>
            <w:color w:val="0563C1"/>
            <w:sz w:val="22"/>
            <w:u w:val="single"/>
          </w:rPr>
          <w:t>https://www.alzheimers.org.uk/get-support/publications-factsheets/this-is-me</w:t>
        </w:r>
      </w:hyperlink>
      <w:r>
        <w:rPr>
          <w:rFonts w:ascii="Arial" w:hAnsi="Arial" w:cs="Arial"/>
          <w:sz w:val="22"/>
        </w:rPr>
        <w:t xml:space="preserve"> (Accessed: 15 October 2026).</w:t>
      </w:r>
    </w:p>
    <w:p w14:paraId="45B4D0A6" w14:textId="77777777" w:rsidR="00EF7CBB" w:rsidRDefault="00000000">
      <w:pPr>
        <w:keepLines/>
        <w:spacing w:line="360" w:lineRule="auto"/>
      </w:pPr>
      <w:r>
        <w:rPr>
          <w:rFonts w:ascii="Arial" w:hAnsi="Arial" w:cs="Arial"/>
          <w:sz w:val="22"/>
        </w:rPr>
        <w:t xml:space="preserve">Beauchamp, T.L. and Childress, J.F. (2019) </w:t>
      </w:r>
      <w:r>
        <w:rPr>
          <w:rFonts w:ascii="Arial" w:hAnsi="Arial" w:cs="Arial"/>
          <w:i/>
          <w:iCs/>
          <w:sz w:val="22"/>
        </w:rPr>
        <w:t>Principles of biomedical ethics</w:t>
      </w:r>
      <w:r>
        <w:rPr>
          <w:rFonts w:ascii="Arial" w:hAnsi="Arial" w:cs="Arial"/>
          <w:sz w:val="22"/>
        </w:rPr>
        <w:t xml:space="preserve">. 8th </w:t>
      </w:r>
      <w:proofErr w:type="spellStart"/>
      <w:r>
        <w:rPr>
          <w:rFonts w:ascii="Arial" w:hAnsi="Arial" w:cs="Arial"/>
          <w:sz w:val="22"/>
        </w:rPr>
        <w:t>edn</w:t>
      </w:r>
      <w:proofErr w:type="spellEnd"/>
      <w:r>
        <w:rPr>
          <w:rFonts w:ascii="Arial" w:hAnsi="Arial" w:cs="Arial"/>
          <w:sz w:val="22"/>
        </w:rPr>
        <w:t>. New York: Oxford University Press.</w:t>
      </w:r>
    </w:p>
    <w:p w14:paraId="44B537B6" w14:textId="77777777" w:rsidR="00EF7CBB" w:rsidRDefault="00000000">
      <w:pPr>
        <w:keepLines/>
        <w:spacing w:line="360" w:lineRule="auto"/>
      </w:pPr>
      <w:r>
        <w:rPr>
          <w:rFonts w:ascii="Arial" w:hAnsi="Arial" w:cs="Arial"/>
          <w:sz w:val="22"/>
        </w:rPr>
        <w:t xml:space="preserve">Care Act 2014, c. 23. Available at: </w:t>
      </w:r>
      <w:hyperlink r:id="rId10" w:history="1">
        <w:r>
          <w:rPr>
            <w:rFonts w:ascii="Arial" w:hAnsi="Arial" w:cs="Arial"/>
            <w:color w:val="0563C1"/>
            <w:sz w:val="22"/>
            <w:u w:val="single"/>
          </w:rPr>
          <w:t>https://www.legislation.gov.uk/ukpga/2014/23/section/1</w:t>
        </w:r>
      </w:hyperlink>
      <w:r>
        <w:rPr>
          <w:rFonts w:ascii="Arial" w:hAnsi="Arial" w:cs="Arial"/>
          <w:sz w:val="22"/>
        </w:rPr>
        <w:t xml:space="preserve"> (Accessed: 15 October 2026).</w:t>
      </w:r>
    </w:p>
    <w:p w14:paraId="77271EED" w14:textId="77777777" w:rsidR="00EF7CBB" w:rsidRDefault="00000000">
      <w:pPr>
        <w:keepLines/>
        <w:spacing w:line="360" w:lineRule="auto"/>
      </w:pPr>
      <w:r>
        <w:rPr>
          <w:rFonts w:ascii="Arial" w:hAnsi="Arial" w:cs="Arial"/>
          <w:sz w:val="22"/>
        </w:rPr>
        <w:t xml:space="preserve">Gibbs, G. (1988) </w:t>
      </w:r>
      <w:r>
        <w:rPr>
          <w:rFonts w:ascii="Arial" w:hAnsi="Arial" w:cs="Arial"/>
          <w:i/>
          <w:iCs/>
          <w:sz w:val="22"/>
        </w:rPr>
        <w:t>Learning by doing: a guide to teaching and learning methods</w:t>
      </w:r>
      <w:r>
        <w:rPr>
          <w:rFonts w:ascii="Arial" w:hAnsi="Arial" w:cs="Arial"/>
          <w:sz w:val="22"/>
        </w:rPr>
        <w:t>. Oxford: Further Education Unit, Oxford Polytechnic.</w:t>
      </w:r>
    </w:p>
    <w:p w14:paraId="32DA53D3" w14:textId="77777777" w:rsidR="00EF7CBB" w:rsidRDefault="00000000">
      <w:pPr>
        <w:keepLines/>
        <w:spacing w:line="360" w:lineRule="auto"/>
      </w:pPr>
      <w:r>
        <w:rPr>
          <w:rFonts w:ascii="Arial" w:hAnsi="Arial" w:cs="Arial"/>
          <w:sz w:val="22"/>
        </w:rPr>
        <w:t xml:space="preserve">Glasby, J. and Dickinson, H. (2014) </w:t>
      </w:r>
      <w:r>
        <w:rPr>
          <w:rFonts w:ascii="Arial" w:hAnsi="Arial" w:cs="Arial"/>
          <w:i/>
          <w:iCs/>
          <w:sz w:val="22"/>
        </w:rPr>
        <w:t>Partnership working in health and social care: what is integrated care and how can we deliver it?</w:t>
      </w:r>
      <w:r>
        <w:rPr>
          <w:rFonts w:ascii="Arial" w:hAnsi="Arial" w:cs="Arial"/>
          <w:sz w:val="22"/>
        </w:rPr>
        <w:t xml:space="preserve"> 2nd </w:t>
      </w:r>
      <w:proofErr w:type="spellStart"/>
      <w:r>
        <w:rPr>
          <w:rFonts w:ascii="Arial" w:hAnsi="Arial" w:cs="Arial"/>
          <w:sz w:val="22"/>
        </w:rPr>
        <w:t>edn</w:t>
      </w:r>
      <w:proofErr w:type="spellEnd"/>
      <w:r>
        <w:rPr>
          <w:rFonts w:ascii="Arial" w:hAnsi="Arial" w:cs="Arial"/>
          <w:sz w:val="22"/>
        </w:rPr>
        <w:t>. Bristol: Policy Press.</w:t>
      </w:r>
    </w:p>
    <w:p w14:paraId="7CCE8484" w14:textId="77777777" w:rsidR="00EF7CBB" w:rsidRDefault="00000000">
      <w:pPr>
        <w:keepLines/>
        <w:spacing w:line="360" w:lineRule="auto"/>
      </w:pPr>
      <w:r>
        <w:rPr>
          <w:rFonts w:ascii="Arial" w:hAnsi="Arial" w:cs="Arial"/>
          <w:sz w:val="22"/>
        </w:rPr>
        <w:t xml:space="preserve">Health and Care Act 2022, c. 31. Available at: </w:t>
      </w:r>
      <w:hyperlink r:id="rId11" w:history="1">
        <w:r>
          <w:rPr>
            <w:rFonts w:ascii="Arial" w:hAnsi="Arial" w:cs="Arial"/>
            <w:color w:val="0563C1"/>
            <w:sz w:val="22"/>
            <w:u w:val="single"/>
          </w:rPr>
          <w:t>https://www.legislation.gov.uk/ukpga/2022/31/contents</w:t>
        </w:r>
      </w:hyperlink>
      <w:r>
        <w:rPr>
          <w:rFonts w:ascii="Arial" w:hAnsi="Arial" w:cs="Arial"/>
          <w:sz w:val="22"/>
        </w:rPr>
        <w:t xml:space="preserve"> (Accessed: 15 October 2026).</w:t>
      </w:r>
    </w:p>
    <w:p w14:paraId="19BEA501" w14:textId="77777777" w:rsidR="00EF7CBB" w:rsidRDefault="00000000">
      <w:pPr>
        <w:keepLines/>
        <w:spacing w:line="360" w:lineRule="auto"/>
      </w:pPr>
      <w:r>
        <w:rPr>
          <w:rFonts w:ascii="Arial" w:hAnsi="Arial" w:cs="Arial"/>
          <w:sz w:val="22"/>
        </w:rPr>
        <w:t xml:space="preserve">Health Foundation (2014) </w:t>
      </w:r>
      <w:r>
        <w:rPr>
          <w:rFonts w:ascii="Arial" w:hAnsi="Arial" w:cs="Arial"/>
          <w:i/>
          <w:iCs/>
          <w:sz w:val="22"/>
        </w:rPr>
        <w:t>Person-centred care made simple: what everyone should know about person-centred care</w:t>
      </w:r>
      <w:r>
        <w:rPr>
          <w:rFonts w:ascii="Arial" w:hAnsi="Arial" w:cs="Arial"/>
          <w:sz w:val="22"/>
        </w:rPr>
        <w:t xml:space="preserve">. London: The Health Foundation. Available at: </w:t>
      </w:r>
      <w:hyperlink r:id="rId12" w:history="1">
        <w:r>
          <w:rPr>
            <w:rFonts w:ascii="Arial" w:hAnsi="Arial" w:cs="Arial"/>
            <w:color w:val="0563C1"/>
            <w:sz w:val="22"/>
            <w:u w:val="single"/>
          </w:rPr>
          <w:t>https://www.health.org.uk/resources-and-toolkits/quick-guides/person-centred-care-made-simple</w:t>
        </w:r>
      </w:hyperlink>
      <w:r>
        <w:rPr>
          <w:rFonts w:ascii="Arial" w:hAnsi="Arial" w:cs="Arial"/>
          <w:sz w:val="22"/>
        </w:rPr>
        <w:t xml:space="preserve"> (Accessed: 15 October 2026).</w:t>
      </w:r>
    </w:p>
    <w:p w14:paraId="41CCE42A" w14:textId="77777777" w:rsidR="00EF7CBB" w:rsidRDefault="00000000">
      <w:pPr>
        <w:keepLines/>
        <w:spacing w:line="360" w:lineRule="auto"/>
      </w:pPr>
      <w:proofErr w:type="spellStart"/>
      <w:r>
        <w:rPr>
          <w:rFonts w:ascii="Arial" w:hAnsi="Arial" w:cs="Arial"/>
          <w:sz w:val="22"/>
        </w:rPr>
        <w:t>Kitwood</w:t>
      </w:r>
      <w:proofErr w:type="spellEnd"/>
      <w:r>
        <w:rPr>
          <w:rFonts w:ascii="Arial" w:hAnsi="Arial" w:cs="Arial"/>
          <w:sz w:val="22"/>
        </w:rPr>
        <w:t xml:space="preserve">, T. (1997) </w:t>
      </w:r>
      <w:r>
        <w:rPr>
          <w:rFonts w:ascii="Arial" w:hAnsi="Arial" w:cs="Arial"/>
          <w:i/>
          <w:iCs/>
          <w:sz w:val="22"/>
        </w:rPr>
        <w:t>Dementia reconsidered: the person comes first</w:t>
      </w:r>
      <w:r>
        <w:rPr>
          <w:rFonts w:ascii="Arial" w:hAnsi="Arial" w:cs="Arial"/>
          <w:sz w:val="22"/>
        </w:rPr>
        <w:t>. Buckingham: Open University Press.</w:t>
      </w:r>
    </w:p>
    <w:p w14:paraId="6C5A0010" w14:textId="77777777" w:rsidR="00EF7CBB" w:rsidRDefault="00000000">
      <w:pPr>
        <w:keepLines/>
        <w:spacing w:line="360" w:lineRule="auto"/>
      </w:pPr>
      <w:r>
        <w:rPr>
          <w:rFonts w:ascii="Arial" w:hAnsi="Arial" w:cs="Arial"/>
          <w:sz w:val="22"/>
        </w:rPr>
        <w:t xml:space="preserve">Maslow, A.H. (1943) ‘A theory of human motivation’, </w:t>
      </w:r>
      <w:r>
        <w:rPr>
          <w:rFonts w:ascii="Arial" w:hAnsi="Arial" w:cs="Arial"/>
          <w:i/>
          <w:iCs/>
          <w:sz w:val="22"/>
        </w:rPr>
        <w:t>Psychological Review</w:t>
      </w:r>
      <w:r>
        <w:rPr>
          <w:rFonts w:ascii="Arial" w:hAnsi="Arial" w:cs="Arial"/>
          <w:sz w:val="22"/>
        </w:rPr>
        <w:t xml:space="preserve">, 50(4), pp. 370-396. Available at: </w:t>
      </w:r>
      <w:hyperlink r:id="rId13" w:history="1">
        <w:r>
          <w:rPr>
            <w:rFonts w:ascii="Arial" w:hAnsi="Arial" w:cs="Arial"/>
            <w:color w:val="0563C1"/>
            <w:sz w:val="22"/>
            <w:u w:val="single"/>
          </w:rPr>
          <w:t>https://doi.org/10.1037/h0054346</w:t>
        </w:r>
      </w:hyperlink>
    </w:p>
    <w:p w14:paraId="53C159BA" w14:textId="77777777" w:rsidR="00EF7CBB" w:rsidRDefault="00000000">
      <w:pPr>
        <w:keepLines/>
        <w:spacing w:line="360" w:lineRule="auto"/>
      </w:pPr>
      <w:r>
        <w:rPr>
          <w:rFonts w:ascii="Arial" w:hAnsi="Arial" w:cs="Arial"/>
          <w:sz w:val="22"/>
        </w:rPr>
        <w:t xml:space="preserve">Mental Capacity Act 2005, c. 9. Available at: </w:t>
      </w:r>
      <w:hyperlink r:id="rId14" w:history="1">
        <w:r>
          <w:rPr>
            <w:rFonts w:ascii="Arial" w:hAnsi="Arial" w:cs="Arial"/>
            <w:color w:val="0563C1"/>
            <w:sz w:val="22"/>
            <w:u w:val="single"/>
          </w:rPr>
          <w:t>https://www.legislation.gov.uk/ukpga/2005/9/section/1</w:t>
        </w:r>
      </w:hyperlink>
      <w:r>
        <w:rPr>
          <w:rFonts w:ascii="Arial" w:hAnsi="Arial" w:cs="Arial"/>
          <w:sz w:val="22"/>
        </w:rPr>
        <w:t xml:space="preserve"> (Accessed: 15 October 2026).</w:t>
      </w:r>
    </w:p>
    <w:p w14:paraId="3B9C0E69" w14:textId="77777777" w:rsidR="00EF7CBB" w:rsidRDefault="00000000">
      <w:pPr>
        <w:keepLines/>
        <w:spacing w:line="360" w:lineRule="auto"/>
      </w:pPr>
      <w:r>
        <w:rPr>
          <w:rFonts w:ascii="Arial" w:hAnsi="Arial" w:cs="Arial"/>
          <w:sz w:val="22"/>
        </w:rPr>
        <w:t xml:space="preserve">National Institute for Health and Care Excellence [NICE] (2018) </w:t>
      </w:r>
      <w:r>
        <w:rPr>
          <w:rFonts w:ascii="Arial" w:hAnsi="Arial" w:cs="Arial"/>
          <w:i/>
          <w:iCs/>
          <w:sz w:val="22"/>
        </w:rPr>
        <w:t xml:space="preserve">Dementia: assessment, management and support for people living with dementia and their </w:t>
      </w:r>
      <w:proofErr w:type="spellStart"/>
      <w:r>
        <w:rPr>
          <w:rFonts w:ascii="Arial" w:hAnsi="Arial" w:cs="Arial"/>
          <w:i/>
          <w:iCs/>
          <w:sz w:val="22"/>
        </w:rPr>
        <w:t>carers</w:t>
      </w:r>
      <w:proofErr w:type="spellEnd"/>
      <w:r>
        <w:rPr>
          <w:rFonts w:ascii="Arial" w:hAnsi="Arial" w:cs="Arial"/>
          <w:sz w:val="22"/>
        </w:rPr>
        <w:t xml:space="preserve">. NG97. Available at: </w:t>
      </w:r>
      <w:hyperlink r:id="rId15" w:history="1">
        <w:r>
          <w:rPr>
            <w:rFonts w:ascii="Arial" w:hAnsi="Arial" w:cs="Arial"/>
            <w:color w:val="0563C1"/>
            <w:sz w:val="22"/>
            <w:u w:val="single"/>
          </w:rPr>
          <w:t>https://www.nice.org.uk/guidance/ng97</w:t>
        </w:r>
      </w:hyperlink>
      <w:r>
        <w:rPr>
          <w:rFonts w:ascii="Arial" w:hAnsi="Arial" w:cs="Arial"/>
          <w:sz w:val="22"/>
        </w:rPr>
        <w:t xml:space="preserve"> (Accessed: 15 October 2026).</w:t>
      </w:r>
    </w:p>
    <w:p w14:paraId="6CE1A3D0" w14:textId="77777777" w:rsidR="00EF7CBB" w:rsidRDefault="00000000">
      <w:pPr>
        <w:keepLines/>
        <w:spacing w:line="360" w:lineRule="auto"/>
      </w:pPr>
      <w:r>
        <w:rPr>
          <w:rFonts w:ascii="Arial" w:hAnsi="Arial" w:cs="Arial"/>
          <w:sz w:val="22"/>
        </w:rPr>
        <w:t xml:space="preserve">National Institute for Health and Care Excellence [NICE] (2021) </w:t>
      </w:r>
      <w:r>
        <w:rPr>
          <w:rFonts w:ascii="Arial" w:hAnsi="Arial" w:cs="Arial"/>
          <w:i/>
          <w:iCs/>
          <w:sz w:val="22"/>
        </w:rPr>
        <w:t>Shared decision making</w:t>
      </w:r>
      <w:r>
        <w:rPr>
          <w:rFonts w:ascii="Arial" w:hAnsi="Arial" w:cs="Arial"/>
          <w:sz w:val="22"/>
        </w:rPr>
        <w:t xml:space="preserve">. NG197. Available at: </w:t>
      </w:r>
      <w:hyperlink r:id="rId16" w:history="1">
        <w:r>
          <w:rPr>
            <w:rFonts w:ascii="Arial" w:hAnsi="Arial" w:cs="Arial"/>
            <w:color w:val="0563C1"/>
            <w:sz w:val="22"/>
            <w:u w:val="single"/>
          </w:rPr>
          <w:t>https://www.nice.org.uk/guidance/ng197</w:t>
        </w:r>
      </w:hyperlink>
      <w:r>
        <w:rPr>
          <w:rFonts w:ascii="Arial" w:hAnsi="Arial" w:cs="Arial"/>
          <w:sz w:val="22"/>
        </w:rPr>
        <w:t xml:space="preserve"> (Accessed: 15 October 2026).</w:t>
      </w:r>
    </w:p>
    <w:p w14:paraId="27566251" w14:textId="77777777" w:rsidR="00EF7CBB" w:rsidRDefault="00000000">
      <w:pPr>
        <w:keepLines/>
        <w:spacing w:line="360" w:lineRule="auto"/>
      </w:pPr>
      <w:r>
        <w:rPr>
          <w:rFonts w:ascii="Arial" w:hAnsi="Arial" w:cs="Arial"/>
          <w:sz w:val="22"/>
        </w:rPr>
        <w:t xml:space="preserve">NHS Providers (2022) </w:t>
      </w:r>
      <w:r>
        <w:rPr>
          <w:rFonts w:ascii="Arial" w:hAnsi="Arial" w:cs="Arial"/>
          <w:i/>
          <w:iCs/>
          <w:sz w:val="22"/>
        </w:rPr>
        <w:t>The Health and Care Act 2022: what does it mean for trusts and foundation trusts?</w:t>
      </w:r>
      <w:r>
        <w:rPr>
          <w:rFonts w:ascii="Arial" w:hAnsi="Arial" w:cs="Arial"/>
          <w:sz w:val="22"/>
        </w:rPr>
        <w:t xml:space="preserve"> Available at: </w:t>
      </w:r>
      <w:hyperlink r:id="rId17" w:history="1">
        <w:r>
          <w:rPr>
            <w:rFonts w:ascii="Arial" w:hAnsi="Arial" w:cs="Arial"/>
            <w:color w:val="0563C1"/>
            <w:sz w:val="22"/>
            <w:u w:val="single"/>
          </w:rPr>
          <w:t>https://thenhsalliance.org/resources/the-health-and-care-act-2022-what-does-it-mean-for-trusts-and-foundation-trusts</w:t>
        </w:r>
      </w:hyperlink>
      <w:r>
        <w:rPr>
          <w:rFonts w:ascii="Arial" w:hAnsi="Arial" w:cs="Arial"/>
          <w:sz w:val="22"/>
        </w:rPr>
        <w:t xml:space="preserve"> (Accessed: 15 October 2026).</w:t>
      </w:r>
    </w:p>
    <w:p w14:paraId="38068BBA" w14:textId="77777777" w:rsidR="00EF7CBB" w:rsidRDefault="00000000">
      <w:pPr>
        <w:keepLines/>
        <w:spacing w:line="360" w:lineRule="auto"/>
      </w:pPr>
      <w:r>
        <w:rPr>
          <w:rFonts w:ascii="Arial" w:hAnsi="Arial" w:cs="Arial"/>
          <w:sz w:val="22"/>
        </w:rPr>
        <w:lastRenderedPageBreak/>
        <w:t xml:space="preserve">Skills for Care and Skills for Health (2013) </w:t>
      </w:r>
      <w:r>
        <w:rPr>
          <w:rFonts w:ascii="Arial" w:hAnsi="Arial" w:cs="Arial"/>
          <w:i/>
          <w:iCs/>
          <w:sz w:val="22"/>
        </w:rPr>
        <w:t>Code of conduct for healthcare support workers and adult social care workers in England</w:t>
      </w:r>
      <w:r>
        <w:rPr>
          <w:rFonts w:ascii="Arial" w:hAnsi="Arial" w:cs="Arial"/>
          <w:sz w:val="22"/>
        </w:rPr>
        <w:t>. Leeds: Skills for Care; Bristol: Skills for Health.</w:t>
      </w:r>
    </w:p>
    <w:sectPr w:rsidR="00EF7CBB">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781D2F" w14:textId="77777777" w:rsidR="00DC54E2" w:rsidRDefault="00DC54E2" w:rsidP="00B21FE6">
      <w:pPr>
        <w:spacing w:after="0" w:line="240" w:lineRule="auto"/>
      </w:pPr>
      <w:r>
        <w:separator/>
      </w:r>
    </w:p>
  </w:endnote>
  <w:endnote w:type="continuationSeparator" w:id="0">
    <w:p w14:paraId="0A04FB2A" w14:textId="77777777" w:rsidR="00DC54E2" w:rsidRDefault="00DC54E2"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1FB4E3" w14:textId="77777777" w:rsidR="00EF7CBB" w:rsidRDefault="00000000">
    <w:pPr>
      <w:jc w:val="center"/>
    </w:pPr>
    <w:r>
      <w:rPr>
        <w:rFonts w:ascii="Arial" w:hAnsi="Arial" w:cs="Arial"/>
        <w:sz w:val="20"/>
        <w:szCs w:val="20"/>
      </w:rPr>
      <w:t xml:space="preserve">Page </w:t>
    </w:r>
    <w:r>
      <w:rPr>
        <w:rFonts w:ascii="Arial" w:hAnsi="Arial" w:cs="Arial"/>
        <w:sz w:val="20"/>
        <w:szCs w:val="20"/>
      </w:rPr>
      <w:fldChar w:fldCharType="begin"/>
    </w:r>
    <w:r>
      <w:rPr>
        <w:rFonts w:ascii="Arial" w:hAnsi="Arial" w:cs="Arial"/>
        <w:sz w:val="20"/>
        <w:szCs w:val="20"/>
      </w:rPr>
      <w:instrText xml:space="preserve"> PAGE </w:instrText>
    </w:r>
    <w:r>
      <w:rPr>
        <w:rFonts w:ascii="Arial" w:hAnsi="Arial" w:cs="Arial"/>
        <w:sz w:val="20"/>
        <w:szCs w:val="20"/>
      </w:rPr>
      <w:fldChar w:fldCharType="separate"/>
    </w:r>
    <w:r>
      <w:rPr>
        <w:rFonts w:ascii="Arial" w:hAnsi="Arial" w:cs="Arial"/>
        <w:sz w:val="20"/>
        <w:szCs w:val="20"/>
      </w:rPr>
      <w:t>1</w:t>
    </w:r>
    <w:r>
      <w:rPr>
        <w:rFonts w:ascii="Arial" w:hAnsi="Arial" w:cs="Arial"/>
        <w:sz w:val="20"/>
        <w:szCs w:val="20"/>
      </w:rPr>
      <w:fldChar w:fldCharType="end"/>
    </w:r>
    <w:r>
      <w:rPr>
        <w:rFonts w:ascii="Arial" w:hAnsi="Arial" w:cs="Arial"/>
        <w:sz w:val="20"/>
        <w:szCs w:val="20"/>
      </w:rPr>
      <w:t xml:space="preserve"> of </w:t>
    </w:r>
    <w:r>
      <w:rPr>
        <w:rFonts w:ascii="Arial" w:hAnsi="Arial" w:cs="Arial"/>
        <w:sz w:val="20"/>
        <w:szCs w:val="20"/>
      </w:rPr>
      <w:fldChar w:fldCharType="begin"/>
    </w:r>
    <w:r>
      <w:rPr>
        <w:rFonts w:ascii="Arial" w:hAnsi="Arial" w:cs="Arial"/>
        <w:sz w:val="20"/>
        <w:szCs w:val="20"/>
      </w:rPr>
      <w:instrText xml:space="preserve"> NUMPAGES </w:instrText>
    </w:r>
    <w:r>
      <w:rPr>
        <w:rFonts w:ascii="Arial" w:hAnsi="Arial" w:cs="Arial"/>
        <w:sz w:val="20"/>
        <w:szCs w:val="20"/>
      </w:rPr>
      <w:fldChar w:fldCharType="separate"/>
    </w:r>
    <w:r>
      <w:rPr>
        <w:rFonts w:ascii="Arial" w:hAnsi="Arial" w:cs="Arial"/>
        <w:sz w:val="20"/>
        <w:szCs w:val="20"/>
      </w:rPr>
      <w:t>1</w:t>
    </w:r>
    <w:r>
      <w:rPr>
        <w:rFonts w:ascii="Arial" w:hAnsi="Arial" w:cs="Arial"/>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837B35" w14:textId="77777777" w:rsidR="00DC54E2" w:rsidRDefault="00DC54E2" w:rsidP="00B21FE6">
      <w:pPr>
        <w:spacing w:after="0" w:line="240" w:lineRule="auto"/>
      </w:pPr>
      <w:r>
        <w:separator/>
      </w:r>
    </w:p>
  </w:footnote>
  <w:footnote w:type="continuationSeparator" w:id="0">
    <w:p w14:paraId="3D32E5C6" w14:textId="77777777" w:rsidR="00DC54E2" w:rsidRDefault="00DC54E2"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B74CA2"/>
    <w:multiLevelType w:val="hybridMultilevel"/>
    <w:tmpl w:val="7564F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5"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1266AD"/>
    <w:multiLevelType w:val="hybridMultilevel"/>
    <w:tmpl w:val="35DA3592"/>
    <w:lvl w:ilvl="0" w:tplc="676E3EF8">
      <w:numFmt w:val="bullet"/>
      <w:lvlText w:val="-"/>
      <w:lvlJc w:val="left"/>
      <w:pPr>
        <w:ind w:left="720" w:hanging="360"/>
      </w:pPr>
      <w:rPr>
        <w:rFonts w:ascii="Arial" w:eastAsia="Arial"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1524703">
    <w:abstractNumId w:val="5"/>
  </w:num>
  <w:num w:numId="2" w16cid:durableId="1830361968">
    <w:abstractNumId w:val="1"/>
  </w:num>
  <w:num w:numId="3" w16cid:durableId="828637324">
    <w:abstractNumId w:val="0"/>
  </w:num>
  <w:num w:numId="4" w16cid:durableId="351421862">
    <w:abstractNumId w:val="2"/>
  </w:num>
  <w:num w:numId="5" w16cid:durableId="1997760981">
    <w:abstractNumId w:val="4"/>
  </w:num>
  <w:num w:numId="6" w16cid:durableId="2144931134">
    <w:abstractNumId w:val="3"/>
  </w:num>
  <w:num w:numId="7" w16cid:durableId="13623234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58B0"/>
    <w:rsid w:val="00052089"/>
    <w:rsid w:val="001333C2"/>
    <w:rsid w:val="00182403"/>
    <w:rsid w:val="001D345E"/>
    <w:rsid w:val="00220640"/>
    <w:rsid w:val="002D39BD"/>
    <w:rsid w:val="00317E3D"/>
    <w:rsid w:val="00350D4F"/>
    <w:rsid w:val="004B1DC1"/>
    <w:rsid w:val="004F5B88"/>
    <w:rsid w:val="0058218C"/>
    <w:rsid w:val="00594FAC"/>
    <w:rsid w:val="00610A5B"/>
    <w:rsid w:val="006524ED"/>
    <w:rsid w:val="006D2F2D"/>
    <w:rsid w:val="006E1FF9"/>
    <w:rsid w:val="006E38AB"/>
    <w:rsid w:val="00785886"/>
    <w:rsid w:val="007D3484"/>
    <w:rsid w:val="007F3A6A"/>
    <w:rsid w:val="00800CF4"/>
    <w:rsid w:val="00887FBB"/>
    <w:rsid w:val="008F6D4B"/>
    <w:rsid w:val="00916B69"/>
    <w:rsid w:val="009839DA"/>
    <w:rsid w:val="009E5C5F"/>
    <w:rsid w:val="00A11336"/>
    <w:rsid w:val="00AE7DDA"/>
    <w:rsid w:val="00B21FE6"/>
    <w:rsid w:val="00BC79FE"/>
    <w:rsid w:val="00C558B0"/>
    <w:rsid w:val="00D00A38"/>
    <w:rsid w:val="00D545BA"/>
    <w:rsid w:val="00D66C96"/>
    <w:rsid w:val="00DC54E2"/>
    <w:rsid w:val="00E81204"/>
    <w:rsid w:val="00EF7CBB"/>
    <w:rsid w:val="00F75836"/>
    <w:rsid w:val="00F81510"/>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03B173"/>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037/h0054346"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health.org.uk/resources-and-toolkits/quick-guides/person-centred-care-made-simple" TargetMode="External"/><Relationship Id="rId17" Type="http://schemas.openxmlformats.org/officeDocument/2006/relationships/hyperlink" Target="https://thenhsalliance.org/resources/the-health-and-care-act-2022-what-does-it-mean-for-trusts-and-foundation-trusts" TargetMode="External"/><Relationship Id="rId2" Type="http://schemas.openxmlformats.org/officeDocument/2006/relationships/styles" Target="styles.xml"/><Relationship Id="rId16" Type="http://schemas.openxmlformats.org/officeDocument/2006/relationships/hyperlink" Target="https://www.nice.org.uk/guidance/ng197"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22/31/contents" TargetMode="External"/><Relationship Id="rId5" Type="http://schemas.openxmlformats.org/officeDocument/2006/relationships/footnotes" Target="footnotes.xml"/><Relationship Id="rId15" Type="http://schemas.openxmlformats.org/officeDocument/2006/relationships/hyperlink" Target="https://www.nice.org.uk/guidance/ng97" TargetMode="External"/><Relationship Id="rId10" Type="http://schemas.openxmlformats.org/officeDocument/2006/relationships/hyperlink" Target="https://www.legislation.gov.uk/ukpga/2014/23/section/1"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lzheimers.org.uk/get-support/publications-factsheets/this-is-me" TargetMode="External"/><Relationship Id="rId14" Type="http://schemas.openxmlformats.org/officeDocument/2006/relationships/hyperlink" Target="https://www.legislation.gov.uk/ukpga/2005/9/section/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1901</Words>
  <Characters>14910</Characters>
  <Application>Microsoft Office Word</Application>
  <DocSecurity>0</DocSecurity>
  <Lines>298</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Bianca Sanfilippo</cp:lastModifiedBy>
  <cp:revision>2</cp:revision>
  <dcterms:created xsi:type="dcterms:W3CDTF">2026-10-15T12:52:00Z</dcterms:created>
  <dcterms:modified xsi:type="dcterms:W3CDTF">2026-10-15T12:52:00Z</dcterms:modified>
</cp:coreProperties>
</file>