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CBCD27" w14:textId="167F72EF" w:rsidR="00472688" w:rsidRDefault="008E2557" w:rsidP="7A308A17">
      <w:pPr>
        <w:rPr>
          <w:rFonts w:ascii="Arial" w:eastAsia="Arial" w:hAnsi="Arial" w:cs="Arial"/>
          <w:color w:val="000000" w:themeColor="text1"/>
          <w:sz w:val="48"/>
          <w:szCs w:val="48"/>
        </w:rPr>
      </w:pPr>
      <w:r>
        <w:rPr>
          <w:noProof/>
        </w:rPr>
        <w:drawing>
          <wp:anchor distT="0" distB="0" distL="114300" distR="114300" simplePos="0" relativeHeight="251663872" behindDoc="0" locked="0" layoutInCell="1" allowOverlap="1" wp14:anchorId="2691BCC0" wp14:editId="1EEB808E">
            <wp:simplePos x="0" y="0"/>
            <wp:positionH relativeFrom="column">
              <wp:posOffset>-124210</wp:posOffset>
            </wp:positionH>
            <wp:positionV relativeFrom="paragraph">
              <wp:posOffset>288062</wp:posOffset>
            </wp:positionV>
            <wp:extent cx="4922843" cy="2621001"/>
            <wp:effectExtent l="0" t="0" r="0" b="8255"/>
            <wp:wrapNone/>
            <wp:docPr id="39241369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9710" cy="2640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F4A337B" w:rsidRPr="7A308A17">
        <w:rPr>
          <w:rFonts w:ascii="Arial" w:eastAsia="Arial" w:hAnsi="Arial" w:cs="Arial"/>
          <w:color w:val="000000" w:themeColor="text1"/>
          <w:sz w:val="40"/>
          <w:szCs w:val="40"/>
        </w:rPr>
        <w:t>Digital Intervention for Hypertension Prevention and Management: PulsePoint</w:t>
      </w:r>
    </w:p>
    <w:p w14:paraId="6A65E625" w14:textId="3268F592" w:rsidR="00472688" w:rsidRDefault="00B34A32" w:rsidP="71F4E9B0">
      <w:r>
        <w:rPr>
          <w:noProof/>
        </w:rPr>
        <w:drawing>
          <wp:anchor distT="0" distB="0" distL="114300" distR="114300" simplePos="0" relativeHeight="251660800" behindDoc="0" locked="0" layoutInCell="1" allowOverlap="1" wp14:anchorId="14631A43" wp14:editId="2AF7312C">
            <wp:simplePos x="0" y="0"/>
            <wp:positionH relativeFrom="page">
              <wp:align>right</wp:align>
            </wp:positionH>
            <wp:positionV relativeFrom="paragraph">
              <wp:posOffset>87418</wp:posOffset>
            </wp:positionV>
            <wp:extent cx="4887788" cy="2234565"/>
            <wp:effectExtent l="0" t="0" r="8255" b="0"/>
            <wp:wrapNone/>
            <wp:docPr id="6949694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7788" cy="2234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6A6C29" w14:textId="7FFEB444" w:rsidR="00472688" w:rsidRDefault="00472688" w:rsidP="50047627">
      <w:pPr>
        <w:rPr>
          <w:rFonts w:ascii="Arial" w:eastAsia="Arial" w:hAnsi="Arial" w:cs="Arial"/>
          <w:b/>
          <w:bCs/>
          <w:color w:val="000000" w:themeColor="text1"/>
        </w:rPr>
      </w:pPr>
    </w:p>
    <w:p w14:paraId="0AA5736E" w14:textId="074EDD4B" w:rsidR="00472688" w:rsidRDefault="00472688" w:rsidP="1AE1CEDF">
      <w:pPr>
        <w:rPr>
          <w:rFonts w:ascii="Arial" w:eastAsia="Arial" w:hAnsi="Arial" w:cs="Arial"/>
          <w:b/>
          <w:bCs/>
          <w:color w:val="000000" w:themeColor="text1"/>
        </w:rPr>
      </w:pPr>
    </w:p>
    <w:p w14:paraId="35F51216" w14:textId="7D11B101" w:rsidR="00472688" w:rsidRDefault="00D742B2" w:rsidP="50047627">
      <w:r>
        <w:rPr>
          <w:noProof/>
        </w:rPr>
        <mc:AlternateContent>
          <mc:Choice Requires="wps">
            <w:drawing>
              <wp:inline distT="0" distB="0" distL="0" distR="0" wp14:anchorId="552F5082" wp14:editId="56F76E38">
                <wp:extent cx="306705" cy="306705"/>
                <wp:effectExtent l="0" t="0" r="0" b="0"/>
                <wp:docPr id="221517515" name="AutoShape 3" descr="Digital health access: barriers and solution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6705" cy="3067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2F209FD" id="AutoShape 3" o:spid="_x0000_s1026" alt="Digital health access: barriers and solutions" style="width:24.15pt;height:24.1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" filled="f" stroked="f">
                <o:lock v:ext="edit" aspectratio="t"/>
                <w10:anchorlock/>
              </v:rect>
            </w:pict>
          </mc:Fallback>
        </mc:AlternateContent>
      </w:r>
    </w:p>
    <w:p w14:paraId="16914FAA" w14:textId="13A098CF" w:rsidR="00472688" w:rsidRDefault="00472688" w:rsidP="1AE1CEDF">
      <w:pPr>
        <w:rPr>
          <w:rFonts w:ascii="Arial" w:eastAsia="Arial" w:hAnsi="Arial" w:cs="Arial"/>
          <w:b/>
          <w:bCs/>
          <w:color w:val="000000" w:themeColor="text1"/>
        </w:rPr>
      </w:pPr>
    </w:p>
    <w:p w14:paraId="44F509CA" w14:textId="2073424E" w:rsidR="00472688" w:rsidRDefault="00472688" w:rsidP="50047627">
      <w:pPr>
        <w:rPr>
          <w:rFonts w:ascii="Arial" w:eastAsia="Arial" w:hAnsi="Arial" w:cs="Arial"/>
          <w:b/>
          <w:bCs/>
          <w:color w:val="000000" w:themeColor="text1"/>
        </w:rPr>
      </w:pPr>
    </w:p>
    <w:p w14:paraId="0D23CA73" w14:textId="79266164" w:rsidR="00472688" w:rsidRDefault="00472688" w:rsidP="50047627">
      <w:pPr>
        <w:rPr>
          <w:rFonts w:ascii="Arial" w:eastAsia="Arial" w:hAnsi="Arial" w:cs="Arial"/>
          <w:b/>
          <w:bCs/>
          <w:color w:val="000000" w:themeColor="text1"/>
        </w:rPr>
      </w:pPr>
    </w:p>
    <w:p w14:paraId="01864FCC" w14:textId="4179A247" w:rsidR="00472688" w:rsidRDefault="00B34A32" w:rsidP="50047627">
      <w:r>
        <w:rPr>
          <w:noProof/>
        </w:rPr>
        <w:drawing>
          <wp:anchor distT="0" distB="0" distL="114300" distR="114300" simplePos="0" relativeHeight="251664896" behindDoc="0" locked="0" layoutInCell="1" allowOverlap="1" wp14:anchorId="46A87171" wp14:editId="02C2EE9D">
            <wp:simplePos x="0" y="0"/>
            <wp:positionH relativeFrom="margin">
              <wp:posOffset>-187637</wp:posOffset>
            </wp:positionH>
            <wp:positionV relativeFrom="paragraph">
              <wp:posOffset>162515</wp:posOffset>
            </wp:positionV>
            <wp:extent cx="4827878" cy="3212979"/>
            <wp:effectExtent l="0" t="0" r="0" b="6985"/>
            <wp:wrapNone/>
            <wp:docPr id="17614380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0863" cy="3214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00BE89" w14:textId="50733A47" w:rsidR="00472688" w:rsidRDefault="00521B67" w:rsidP="53CE1E6C">
      <w:r>
        <w:rPr>
          <w:noProof/>
        </w:rPr>
        <w:drawing>
          <wp:anchor distT="0" distB="0" distL="114300" distR="114300" simplePos="0" relativeHeight="251658752" behindDoc="0" locked="0" layoutInCell="1" allowOverlap="1" wp14:anchorId="00B8C0BB" wp14:editId="6F8FA6DB">
            <wp:simplePos x="0" y="0"/>
            <wp:positionH relativeFrom="page">
              <wp:align>right</wp:align>
            </wp:positionH>
            <wp:positionV relativeFrom="paragraph">
              <wp:posOffset>10160</wp:posOffset>
            </wp:positionV>
            <wp:extent cx="4997198" cy="2176780"/>
            <wp:effectExtent l="0" t="0" r="0" b="0"/>
            <wp:wrapNone/>
            <wp:docPr id="134499260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155298" name="Picture 198715529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7198" cy="2176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7F65C3" w14:textId="195F4B2A" w:rsidR="00472688" w:rsidRDefault="00472688" w:rsidP="53483306">
      <w:pPr>
        <w:rPr>
          <w:rFonts w:ascii="Arial" w:eastAsia="Arial" w:hAnsi="Arial" w:cs="Arial"/>
          <w:b/>
          <w:bCs/>
          <w:color w:val="000000" w:themeColor="text1"/>
        </w:rPr>
      </w:pPr>
    </w:p>
    <w:p w14:paraId="14E06774" w14:textId="332D61B3" w:rsidR="00472688" w:rsidRDefault="00472688" w:rsidP="50047627"/>
    <w:p w14:paraId="32B0D189" w14:textId="1404CBA0" w:rsidR="00472688" w:rsidRDefault="00472688" w:rsidP="50047627"/>
    <w:p w14:paraId="4408D19F" w14:textId="681ECFA4" w:rsidR="00472688" w:rsidRDefault="00472688" w:rsidP="50047627">
      <w:pPr>
        <w:rPr>
          <w:rFonts w:ascii="Arial" w:eastAsia="Arial" w:hAnsi="Arial" w:cs="Arial"/>
          <w:b/>
          <w:bCs/>
          <w:color w:val="000000" w:themeColor="text1"/>
        </w:rPr>
      </w:pPr>
    </w:p>
    <w:p w14:paraId="5BEC4A3F" w14:textId="6346014A" w:rsidR="00472688" w:rsidRDefault="00472688" w:rsidP="53483306">
      <w:pPr>
        <w:rPr>
          <w:rFonts w:ascii="Arial" w:eastAsia="Arial" w:hAnsi="Arial" w:cs="Arial"/>
          <w:b/>
          <w:bCs/>
          <w:color w:val="000000" w:themeColor="text1"/>
        </w:rPr>
      </w:pPr>
    </w:p>
    <w:p w14:paraId="67B72150" w14:textId="6355161C" w:rsidR="1AE1CEDF" w:rsidRDefault="008E2557" w:rsidP="29A79986">
      <w:pPr>
        <w:rPr>
          <w:rFonts w:ascii="Arial" w:eastAsia="Arial" w:hAnsi="Arial" w:cs="Arial"/>
          <w:b/>
          <w:bCs/>
          <w:color w:val="000000" w:themeColor="text1"/>
        </w:rPr>
      </w:pPr>
      <w:r>
        <w:rPr>
          <w:rFonts w:ascii="Arial" w:eastAsia="Arial" w:hAnsi="Arial" w:cs="Arial"/>
          <w:b/>
          <w:bCs/>
          <w:color w:val="000000" w:themeColor="text1"/>
        </w:rPr>
        <w:t xml:space="preserve"> </w:t>
      </w:r>
    </w:p>
    <w:p w14:paraId="0096CB10" w14:textId="0FAC54F5" w:rsidR="00472688" w:rsidRDefault="00521B67" w:rsidP="29A79986">
      <w:pPr>
        <w:rPr>
          <w:rFonts w:ascii="Arial" w:eastAsia="Arial" w:hAnsi="Arial" w:cs="Arial"/>
          <w:b/>
          <w:bCs/>
          <w:color w:val="000000" w:themeColor="text1"/>
          <w:sz w:val="16"/>
          <w:szCs w:val="16"/>
        </w:rPr>
      </w:pPr>
      <w:r>
        <w:rPr>
          <w:noProof/>
        </w:rPr>
        <w:drawing>
          <wp:anchor distT="0" distB="0" distL="114300" distR="114300" simplePos="0" relativeHeight="251662848" behindDoc="0" locked="0" layoutInCell="1" allowOverlap="1" wp14:anchorId="44EC53EF" wp14:editId="6143E75C">
            <wp:simplePos x="0" y="0"/>
            <wp:positionH relativeFrom="page">
              <wp:align>right</wp:align>
            </wp:positionH>
            <wp:positionV relativeFrom="paragraph">
              <wp:posOffset>15663</wp:posOffset>
            </wp:positionV>
            <wp:extent cx="5034974" cy="2488465"/>
            <wp:effectExtent l="0" t="0" r="0" b="7620"/>
            <wp:wrapNone/>
            <wp:docPr id="42776572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974" cy="2488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899C32" w14:textId="5782F9B7" w:rsidR="00472688" w:rsidRDefault="00472688" w:rsidP="75C422E2">
      <w:pPr>
        <w:rPr>
          <w:rFonts w:ascii="Arial" w:eastAsia="Arial" w:hAnsi="Arial" w:cs="Arial"/>
          <w:b/>
          <w:bCs/>
          <w:color w:val="000000" w:themeColor="text1"/>
          <w:sz w:val="16"/>
          <w:szCs w:val="16"/>
        </w:rPr>
      </w:pPr>
    </w:p>
    <w:p w14:paraId="7AE2D0EC" w14:textId="1971AC79" w:rsidR="00472688" w:rsidRDefault="00472688" w:rsidP="7A308A17">
      <w:pPr>
        <w:rPr>
          <w:rFonts w:ascii="Arial" w:eastAsia="Arial" w:hAnsi="Arial" w:cs="Arial"/>
          <w:b/>
          <w:bCs/>
          <w:color w:val="000000" w:themeColor="text1"/>
          <w:sz w:val="16"/>
          <w:szCs w:val="16"/>
        </w:rPr>
      </w:pPr>
    </w:p>
    <w:p w14:paraId="22C44575" w14:textId="77777777" w:rsidR="00B34A32" w:rsidRDefault="00B34A32" w:rsidP="29A79986">
      <w:pPr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</w:pPr>
    </w:p>
    <w:p w14:paraId="69994776" w14:textId="173D391A" w:rsidR="00472688" w:rsidRDefault="418CDDD0" w:rsidP="29A79986">
      <w:pPr>
        <w:rPr>
          <w:rFonts w:ascii="Arial" w:eastAsia="Arial" w:hAnsi="Arial" w:cs="Arial"/>
          <w:color w:val="000000" w:themeColor="text1"/>
          <w:sz w:val="14"/>
          <w:szCs w:val="14"/>
        </w:rPr>
      </w:pP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>student name: Desislava Markova;</w:t>
      </w:r>
      <w:r w:rsidR="40E6638F"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 xml:space="preserve"> </w:t>
      </w: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>student number: 2512936;</w:t>
      </w:r>
    </w:p>
    <w:p w14:paraId="1A110B7C" w14:textId="69FF05B2" w:rsidR="00472688" w:rsidRDefault="5EEF98E7" w:rsidP="29A79986">
      <w:pPr>
        <w:rPr>
          <w:rFonts w:ascii="Arial" w:eastAsia="Arial" w:hAnsi="Arial" w:cs="Arial"/>
          <w:color w:val="000000" w:themeColor="text1"/>
          <w:sz w:val="14"/>
          <w:szCs w:val="14"/>
        </w:rPr>
      </w:pP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>module code and title:</w:t>
      </w:r>
      <w:r w:rsidR="00EA3BDE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 xml:space="preserve"> </w:t>
      </w: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>LCHS7009</w:t>
      </w:r>
      <w:r w:rsidR="1ABF3676"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 xml:space="preserve">; </w:t>
      </w: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  <w:lang w:val="bg-BG"/>
        </w:rPr>
        <w:t>Population Health and Digital Health Promotion</w:t>
      </w:r>
    </w:p>
    <w:p w14:paraId="73D5DA3D" w14:textId="723CF13D" w:rsidR="00472688" w:rsidRDefault="5EEF98E7" w:rsidP="29A79986">
      <w:pPr>
        <w:rPr>
          <w:rFonts w:ascii="Arial" w:eastAsia="Arial" w:hAnsi="Arial" w:cs="Arial"/>
          <w:color w:val="000000" w:themeColor="text1"/>
          <w:sz w:val="14"/>
          <w:szCs w:val="14"/>
        </w:rPr>
      </w:pP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>lecturer’s name: Raheela Shaikh</w:t>
      </w:r>
    </w:p>
    <w:p w14:paraId="26545EA3" w14:textId="37532FF8" w:rsidR="00472688" w:rsidRDefault="5EEF98E7" w:rsidP="29A79986">
      <w:pPr>
        <w:spacing w:before="120" w:after="120"/>
        <w:jc w:val="both"/>
        <w:rPr>
          <w:rFonts w:ascii="Arial" w:eastAsia="Arial" w:hAnsi="Arial" w:cs="Arial"/>
          <w:b/>
          <w:bCs/>
          <w:color w:val="000000" w:themeColor="text1"/>
          <w:sz w:val="16"/>
          <w:szCs w:val="16"/>
          <w:lang w:val="nl"/>
        </w:rPr>
      </w:pP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>assignment title:</w:t>
      </w: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  <w:lang w:val="nl"/>
        </w:rPr>
        <w:t xml:space="preserve"> Component 2 - Poster </w:t>
      </w:r>
      <w:r w:rsidRPr="29A79986">
        <w:rPr>
          <w:rFonts w:ascii="Arial" w:eastAsia="Arial" w:hAnsi="Arial" w:cs="Arial"/>
          <w:b/>
          <w:bCs/>
          <w:color w:val="000000" w:themeColor="text1"/>
          <w:sz w:val="16"/>
          <w:szCs w:val="16"/>
          <w:lang w:val="nl"/>
        </w:rPr>
        <w:t xml:space="preserve"> </w:t>
      </w:r>
    </w:p>
    <w:p w14:paraId="2C078E63" w14:textId="3D76E8C5" w:rsidR="00472688" w:rsidRDefault="008E2557" w:rsidP="71F4E9B0">
      <w:r>
        <w:rPr>
          <w:noProof/>
        </w:rPr>
        <w:lastRenderedPageBreak/>
        <w:drawing>
          <wp:anchor distT="0" distB="0" distL="114300" distR="114300" simplePos="0" relativeHeight="251661824" behindDoc="0" locked="0" layoutInCell="1" allowOverlap="1" wp14:anchorId="3A9D68AA" wp14:editId="75E4B965">
            <wp:simplePos x="0" y="0"/>
            <wp:positionH relativeFrom="column">
              <wp:posOffset>-335915</wp:posOffset>
            </wp:positionH>
            <wp:positionV relativeFrom="paragraph">
              <wp:posOffset>-4831249</wp:posOffset>
            </wp:positionV>
            <wp:extent cx="4872990" cy="2613025"/>
            <wp:effectExtent l="0" t="0" r="3810" b="0"/>
            <wp:wrapNone/>
            <wp:docPr id="129929490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2990" cy="261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A3BDE">
        <w:t xml:space="preserve">Reference list </w:t>
      </w:r>
    </w:p>
    <w:p w14:paraId="163E2CF5" w14:textId="0A60E459" w:rsidR="0006443A" w:rsidRDefault="0006443A" w:rsidP="0006443A">
      <w:pPr>
        <w:pStyle w:val="isselectedend"/>
      </w:pPr>
      <w:r>
        <w:t xml:space="preserve">Bandura, A. (2004) ‘Health promotion by social cognitive means’, </w:t>
      </w:r>
      <w:r>
        <w:rPr>
          <w:rStyle w:val="Emphasis"/>
        </w:rPr>
        <w:t xml:space="preserve">Health Education &amp; </w:t>
      </w:r>
      <w:proofErr w:type="spellStart"/>
      <w:r>
        <w:rPr>
          <w:rStyle w:val="Emphasis"/>
        </w:rPr>
        <w:t>Behavior</w:t>
      </w:r>
      <w:proofErr w:type="spellEnd"/>
      <w:r>
        <w:t xml:space="preserve">, 31(2), pp. 143–164. Available at: </w:t>
      </w:r>
      <w:hyperlink r:id="rId10" w:history="1">
        <w:r>
          <w:rPr>
            <w:rStyle w:val="Hyperlink"/>
          </w:rPr>
          <w:t>https://doi.org/10.1177/1090</w:t>
        </w:r>
        <w:r>
          <w:rPr>
            <w:rStyle w:val="Hyperlink"/>
          </w:rPr>
          <w:t>1</w:t>
        </w:r>
        <w:r>
          <w:rPr>
            <w:rStyle w:val="Hyperlink"/>
          </w:rPr>
          <w:t>9</w:t>
        </w:r>
        <w:r>
          <w:rPr>
            <w:rStyle w:val="Hyperlink"/>
          </w:rPr>
          <w:t>8</w:t>
        </w:r>
        <w:r>
          <w:rPr>
            <w:rStyle w:val="Hyperlink"/>
          </w:rPr>
          <w:t>1</w:t>
        </w:r>
        <w:r>
          <w:rPr>
            <w:rStyle w:val="Hyperlink"/>
          </w:rPr>
          <w:t>04263660</w:t>
        </w:r>
      </w:hyperlink>
      <w:r>
        <w:t xml:space="preserve"> (Accessed: </w:t>
      </w:r>
      <w:r w:rsidR="00B71761">
        <w:t>15</w:t>
      </w:r>
      <w:r>
        <w:t xml:space="preserve"> June 2026).</w:t>
      </w:r>
    </w:p>
    <w:p w14:paraId="0212DA42" w14:textId="71E8D188" w:rsidR="0006443A" w:rsidRDefault="0006443A" w:rsidP="0006443A">
      <w:pPr>
        <w:pStyle w:val="isselectedend"/>
      </w:pPr>
      <w:r>
        <w:t xml:space="preserve">Department of Health and Social Care (2023) </w:t>
      </w:r>
      <w:r>
        <w:rPr>
          <w:rStyle w:val="Emphasis"/>
        </w:rPr>
        <w:t>A plan for digital health and social care</w:t>
      </w:r>
      <w:r>
        <w:t xml:space="preserve">. Available at: </w:t>
      </w:r>
      <w:hyperlink r:id="rId11" w:history="1">
        <w:r w:rsidR="002C5594" w:rsidRPr="009D0DC4">
          <w:rPr>
            <w:rStyle w:val="Hyperlink"/>
          </w:rPr>
          <w:t>https://www.gov.uk/government/publications/a-plan-for-digital-health-and-social-care/a-plan-for-digital-health-and-social-c</w:t>
        </w:r>
        <w:r w:rsidR="002C5594" w:rsidRPr="009D0DC4">
          <w:rPr>
            <w:rStyle w:val="Hyperlink"/>
          </w:rPr>
          <w:t>a</w:t>
        </w:r>
        <w:r w:rsidR="002C5594" w:rsidRPr="009D0DC4">
          <w:rPr>
            <w:rStyle w:val="Hyperlink"/>
          </w:rPr>
          <w:t>re</w:t>
        </w:r>
      </w:hyperlink>
      <w:r w:rsidR="002C5594">
        <w:t xml:space="preserve"> </w:t>
      </w:r>
      <w:r>
        <w:t>Accessed: 26 June 2026).</w:t>
      </w:r>
    </w:p>
    <w:p w14:paraId="284BC482" w14:textId="37A73DB4" w:rsidR="0006443A" w:rsidRDefault="0006443A" w:rsidP="0006443A">
      <w:pPr>
        <w:pStyle w:val="isselectedend"/>
      </w:pPr>
      <w:r>
        <w:t xml:space="preserve">Marmot, M., Allen, J., Boyce, T., Goldblatt, P. and Morrison, J. (2020) </w:t>
      </w:r>
      <w:r>
        <w:rPr>
          <w:rStyle w:val="Emphasis"/>
        </w:rPr>
        <w:t>Health Equity in England: The Marmot Review 10 Years On</w:t>
      </w:r>
      <w:r>
        <w:t xml:space="preserve">. London: Institute of Health Equity. Available at: </w:t>
      </w:r>
      <w:hyperlink r:id="rId12" w:history="1">
        <w:r w:rsidR="0069426D" w:rsidRPr="009D0DC4">
          <w:rPr>
            <w:rStyle w:val="Hyperlink"/>
          </w:rPr>
          <w:t>https://www.heal</w:t>
        </w:r>
        <w:r w:rsidR="0069426D" w:rsidRPr="009D0DC4">
          <w:rPr>
            <w:rStyle w:val="Hyperlink"/>
          </w:rPr>
          <w:t>t</w:t>
        </w:r>
        <w:r w:rsidR="0069426D" w:rsidRPr="009D0DC4">
          <w:rPr>
            <w:rStyle w:val="Hyperlink"/>
          </w:rPr>
          <w:t>h.org.uk/sites/default/files/upload/publications/2020/Health%20Equity%20in%20England_The%20Marmot%20Review%2010%20Years%20On_full%20report.pdf</w:t>
        </w:r>
      </w:hyperlink>
      <w:r w:rsidR="0069426D">
        <w:t xml:space="preserve"> </w:t>
      </w:r>
      <w:r>
        <w:t>Accessed: 26 June 2026).</w:t>
      </w:r>
    </w:p>
    <w:p w14:paraId="7DBE8159" w14:textId="77777777" w:rsidR="0006443A" w:rsidRDefault="0006443A" w:rsidP="0006443A">
      <w:pPr>
        <w:pStyle w:val="isselectedend"/>
      </w:pPr>
      <w:r>
        <w:t xml:space="preserve">McManus, R.J., Little, P., Stuart, B., Morton, K., Raftery, J., Kelly, J., Bradbury, K., Zhang, J., Zhu, S., Michie, S. and Yardley, L. (2021) ‘Home and Online Management and Evaluation of Blood Pressure (HOME BP) using a digital intervention in poorly controlled hypertension: a randomised controlled trial’, </w:t>
      </w:r>
      <w:r>
        <w:rPr>
          <w:rStyle w:val="Emphasis"/>
        </w:rPr>
        <w:t>BMJ</w:t>
      </w:r>
      <w:r>
        <w:t xml:space="preserve">, 372, m4858. Available at: </w:t>
      </w:r>
      <w:hyperlink r:id="rId13" w:history="1">
        <w:r>
          <w:rPr>
            <w:rStyle w:val="Hyperlink"/>
          </w:rPr>
          <w:t>https://doi.org/10.1136/bm</w:t>
        </w:r>
        <w:r>
          <w:rPr>
            <w:rStyle w:val="Hyperlink"/>
          </w:rPr>
          <w:t>j</w:t>
        </w:r>
        <w:r>
          <w:rPr>
            <w:rStyle w:val="Hyperlink"/>
          </w:rPr>
          <w:t>.m4858</w:t>
        </w:r>
      </w:hyperlink>
      <w:r>
        <w:t xml:space="preserve"> (Accessed: 26 June 2026).</w:t>
      </w:r>
    </w:p>
    <w:p w14:paraId="1075272D" w14:textId="77777777" w:rsidR="0006443A" w:rsidRDefault="0006443A" w:rsidP="0006443A">
      <w:pPr>
        <w:pStyle w:val="isselectedend"/>
      </w:pPr>
      <w:r>
        <w:t xml:space="preserve">Naidoo, J. and Wills, J. (2016) </w:t>
      </w:r>
      <w:r>
        <w:rPr>
          <w:rStyle w:val="Emphasis"/>
        </w:rPr>
        <w:t>Foundations for Health Promotion</w:t>
      </w:r>
      <w:r>
        <w:t xml:space="preserve">. 4th </w:t>
      </w:r>
      <w:proofErr w:type="spellStart"/>
      <w:r>
        <w:t>edn</w:t>
      </w:r>
      <w:proofErr w:type="spellEnd"/>
      <w:r>
        <w:t>. London: Elsevier.</w:t>
      </w:r>
    </w:p>
    <w:p w14:paraId="796C95ED" w14:textId="54FC7887" w:rsidR="0006443A" w:rsidRDefault="0006443A" w:rsidP="0006443A">
      <w:pPr>
        <w:pStyle w:val="isselectedend"/>
      </w:pPr>
      <w:r>
        <w:t xml:space="preserve">National Institute for Health and Care Excellence (NICE) (2023) </w:t>
      </w:r>
      <w:r>
        <w:rPr>
          <w:rStyle w:val="Emphasis"/>
        </w:rPr>
        <w:t>Hypertension in adults: diagnosis and management (NG136)</w:t>
      </w:r>
      <w:r>
        <w:t xml:space="preserve">. Available at: </w:t>
      </w:r>
      <w:hyperlink r:id="rId14" w:history="1">
        <w:r>
          <w:rPr>
            <w:rStyle w:val="Hyperlink"/>
          </w:rPr>
          <w:t>https://www.nice.org.uk/guidance</w:t>
        </w:r>
        <w:r>
          <w:rPr>
            <w:rStyle w:val="Hyperlink"/>
          </w:rPr>
          <w:t>/</w:t>
        </w:r>
        <w:r>
          <w:rPr>
            <w:rStyle w:val="Hyperlink"/>
          </w:rPr>
          <w:t>n</w:t>
        </w:r>
        <w:r>
          <w:rPr>
            <w:rStyle w:val="Hyperlink"/>
          </w:rPr>
          <w:t>g</w:t>
        </w:r>
        <w:r>
          <w:rPr>
            <w:rStyle w:val="Hyperlink"/>
          </w:rPr>
          <w:t>136</w:t>
        </w:r>
      </w:hyperlink>
      <w:r>
        <w:t xml:space="preserve"> (Accessed: 26 June 2026).</w:t>
      </w:r>
    </w:p>
    <w:p w14:paraId="1A99A2C7" w14:textId="19B988B6" w:rsidR="00B34A32" w:rsidRDefault="00B34A32" w:rsidP="0006443A">
      <w:pPr>
        <w:pStyle w:val="isselectedend"/>
      </w:pPr>
      <w:r w:rsidRPr="00B34A32">
        <w:rPr>
          <w:rStyle w:val="Strong"/>
          <w:b w:val="0"/>
          <w:bCs w:val="0"/>
        </w:rPr>
        <w:t>NHS England (2023a)</w:t>
      </w:r>
      <w:r>
        <w:t xml:space="preserve"> </w:t>
      </w:r>
      <w:r>
        <w:rPr>
          <w:rStyle w:val="Emphasis"/>
        </w:rPr>
        <w:t>Comprehensive model of personalised care</w:t>
      </w:r>
      <w:r>
        <w:t xml:space="preserve">. Available at: </w:t>
      </w:r>
      <w:hyperlink r:id="rId15" w:tgtFrame="_new" w:history="1">
        <w:r>
          <w:rPr>
            <w:rStyle w:val="Hyperlink"/>
          </w:rPr>
          <w:t>https://www.england.nhs.uk/personalisedcare/comprehensive-model-of-personalised-care/</w:t>
        </w:r>
      </w:hyperlink>
      <w:r>
        <w:t xml:space="preserve"> (Accessed: 26 June 2026).</w:t>
      </w:r>
    </w:p>
    <w:p w14:paraId="68F17121" w14:textId="3D7A8952" w:rsidR="00B34A32" w:rsidRDefault="00B34A32" w:rsidP="0006443A">
      <w:pPr>
        <w:pStyle w:val="isselectedend"/>
      </w:pPr>
      <w:r w:rsidRPr="00B34A32">
        <w:rPr>
          <w:rStyle w:val="Strong"/>
          <w:b w:val="0"/>
          <w:bCs w:val="0"/>
        </w:rPr>
        <w:t>NHS England (2023b)</w:t>
      </w:r>
      <w:r>
        <w:t xml:space="preserve"> </w:t>
      </w:r>
      <w:r>
        <w:rPr>
          <w:rStyle w:val="Emphasis"/>
        </w:rPr>
        <w:t>What is personalised care?</w:t>
      </w:r>
      <w:r>
        <w:t xml:space="preserve"> Available at: </w:t>
      </w:r>
      <w:hyperlink r:id="rId16" w:tgtFrame="_new" w:history="1">
        <w:r>
          <w:rPr>
            <w:rStyle w:val="Hyperlink"/>
          </w:rPr>
          <w:t>https://www.england.nhs.uk/personalisedcare/what-is-personalised-care/</w:t>
        </w:r>
      </w:hyperlink>
      <w:r>
        <w:t xml:space="preserve"> (Accessed: 26 June 2026).</w:t>
      </w:r>
    </w:p>
    <w:p w14:paraId="55C0A839" w14:textId="77777777" w:rsidR="0006443A" w:rsidRDefault="0006443A" w:rsidP="0006443A">
      <w:pPr>
        <w:pStyle w:val="isselectedend"/>
      </w:pPr>
      <w:r>
        <w:t xml:space="preserve">NHS England (2024) </w:t>
      </w:r>
      <w:r>
        <w:rPr>
          <w:rStyle w:val="Emphasis"/>
        </w:rPr>
        <w:t>Blood Pressure @ Home</w:t>
      </w:r>
      <w:r>
        <w:t xml:space="preserve">. Available at: </w:t>
      </w:r>
      <w:hyperlink r:id="rId17" w:history="1">
        <w:r>
          <w:rPr>
            <w:rStyle w:val="Hyperlink"/>
          </w:rPr>
          <w:t>https://www.england.n</w:t>
        </w:r>
        <w:r>
          <w:rPr>
            <w:rStyle w:val="Hyperlink"/>
          </w:rPr>
          <w:t>h</w:t>
        </w:r>
        <w:r>
          <w:rPr>
            <w:rStyle w:val="Hyperlink"/>
          </w:rPr>
          <w:t>s.uk/ourwork/clinical-policy/cvd/home-blood-pressure-monitoring/</w:t>
        </w:r>
      </w:hyperlink>
      <w:r>
        <w:t xml:space="preserve"> (Accessed: 26 June 2026).</w:t>
      </w:r>
    </w:p>
    <w:p w14:paraId="065310D0" w14:textId="615DF3DF" w:rsidR="0006443A" w:rsidRDefault="0006443A" w:rsidP="0006443A">
      <w:pPr>
        <w:pStyle w:val="isselectedend"/>
      </w:pPr>
      <w:r>
        <w:t xml:space="preserve">Ofcom (2023) </w:t>
      </w:r>
      <w:r>
        <w:rPr>
          <w:rStyle w:val="Emphasis"/>
        </w:rPr>
        <w:t>Adults’ media use and attitudes report 2023</w:t>
      </w:r>
      <w:r>
        <w:t xml:space="preserve">. Available at: </w:t>
      </w:r>
      <w:hyperlink r:id="rId18" w:history="1">
        <w:r w:rsidR="00B71761" w:rsidRPr="009D0DC4">
          <w:rPr>
            <w:rStyle w:val="Hyperlink"/>
          </w:rPr>
          <w:t>https://www.ofcom.org.uk/siteassets/resources/documents/research-and-data/media-literacy-research/adults/adults-m</w:t>
        </w:r>
        <w:r w:rsidR="00B71761" w:rsidRPr="009D0DC4">
          <w:rPr>
            <w:rStyle w:val="Hyperlink"/>
          </w:rPr>
          <w:t>e</w:t>
        </w:r>
        <w:r w:rsidR="00B71761" w:rsidRPr="009D0DC4">
          <w:rPr>
            <w:rStyle w:val="Hyperlink"/>
          </w:rPr>
          <w:t>dia-use-and-attitudes-2023/adults-media-use-and-a</w:t>
        </w:r>
        <w:r w:rsidR="00B71761" w:rsidRPr="009D0DC4">
          <w:rPr>
            <w:rStyle w:val="Hyperlink"/>
          </w:rPr>
          <w:t>t</w:t>
        </w:r>
        <w:r w:rsidR="00B71761" w:rsidRPr="009D0DC4">
          <w:rPr>
            <w:rStyle w:val="Hyperlink"/>
          </w:rPr>
          <w:t>titudes-report-2023.pdf?v=329409</w:t>
        </w:r>
      </w:hyperlink>
      <w:r w:rsidR="00B71761">
        <w:t xml:space="preserve"> </w:t>
      </w:r>
      <w:r>
        <w:t>(Accessed: 26 June 2026).</w:t>
      </w:r>
    </w:p>
    <w:p w14:paraId="52ABDABA" w14:textId="27F4B115" w:rsidR="00B34A32" w:rsidRDefault="00B34A32" w:rsidP="0006443A">
      <w:pPr>
        <w:pStyle w:val="isselectedend"/>
      </w:pPr>
      <w:r>
        <w:t xml:space="preserve">Public Health England (2017) </w:t>
      </w:r>
      <w:r>
        <w:rPr>
          <w:rStyle w:val="Emphasis"/>
        </w:rPr>
        <w:t>Health matters: combating high blood pressure</w:t>
      </w:r>
      <w:r>
        <w:t xml:space="preserve">. Available at: </w:t>
      </w:r>
      <w:hyperlink r:id="rId19" w:tgtFrame="_blank" w:history="1">
        <w:r>
          <w:rPr>
            <w:rStyle w:val="Hyperlink"/>
          </w:rPr>
          <w:t>https://www.gov.uk/government/publications/health-matters-combating-high-blood-pressure/health-matters-combating-high-blood-pressure</w:t>
        </w:r>
      </w:hyperlink>
      <w:r>
        <w:t xml:space="preserve"> (Accessed: 26 June 2026).</w:t>
      </w:r>
    </w:p>
    <w:p w14:paraId="3656AD5C" w14:textId="69A73B1F" w:rsidR="0006443A" w:rsidRDefault="0006443A" w:rsidP="0006443A">
      <w:pPr>
        <w:pStyle w:val="isselectedend"/>
      </w:pPr>
      <w:proofErr w:type="spellStart"/>
      <w:r>
        <w:lastRenderedPageBreak/>
        <w:t>Steinhubl</w:t>
      </w:r>
      <w:proofErr w:type="spellEnd"/>
      <w:r>
        <w:t xml:space="preserve">, S.R., Muse, E.D. and Topol, E.J. (2015) ‘The emerging field of mobile health’, </w:t>
      </w:r>
      <w:r>
        <w:rPr>
          <w:rStyle w:val="Emphasis"/>
        </w:rPr>
        <w:t>Science Translational Medicine</w:t>
      </w:r>
      <w:r>
        <w:t xml:space="preserve">, 7(283), 283rv3. Available at: </w:t>
      </w:r>
      <w:hyperlink r:id="rId20" w:history="1">
        <w:r>
          <w:rPr>
            <w:rStyle w:val="Hyperlink"/>
          </w:rPr>
          <w:t>https://doi.org/10.1126</w:t>
        </w:r>
        <w:r>
          <w:rPr>
            <w:rStyle w:val="Hyperlink"/>
          </w:rPr>
          <w:t>/</w:t>
        </w:r>
        <w:r>
          <w:rPr>
            <w:rStyle w:val="Hyperlink"/>
          </w:rPr>
          <w:t>scitranslmed.aaa</w:t>
        </w:r>
        <w:r>
          <w:rPr>
            <w:rStyle w:val="Hyperlink"/>
          </w:rPr>
          <w:t>3</w:t>
        </w:r>
        <w:r>
          <w:rPr>
            <w:rStyle w:val="Hyperlink"/>
          </w:rPr>
          <w:t>487</w:t>
        </w:r>
      </w:hyperlink>
      <w:r>
        <w:t xml:space="preserve"> (Accessed: 26 June 2026).</w:t>
      </w:r>
    </w:p>
    <w:p w14:paraId="36456961" w14:textId="77777777" w:rsidR="0006443A" w:rsidRDefault="0006443A" w:rsidP="0006443A">
      <w:pPr>
        <w:pStyle w:val="isselectedend"/>
      </w:pPr>
      <w:r>
        <w:t xml:space="preserve">Topol, E. (2019) </w:t>
      </w:r>
      <w:r>
        <w:rPr>
          <w:rStyle w:val="Emphasis"/>
        </w:rPr>
        <w:t>Deep Medicine: How Artificial Intelligence Can Make Healthcare Human Again</w:t>
      </w:r>
      <w:r>
        <w:t>. New York: Basic Books.</w:t>
      </w:r>
    </w:p>
    <w:p w14:paraId="1FE8889B" w14:textId="77777777" w:rsidR="0006443A" w:rsidRDefault="0006443A" w:rsidP="0006443A">
      <w:pPr>
        <w:pStyle w:val="isselectedend"/>
      </w:pPr>
      <w:r>
        <w:t xml:space="preserve">Veinot, T.C., Mitchell, H. and Ancker, J.S. (2018) ‘Good intentions are not enough: how informatics interventions can worsen inequality’, </w:t>
      </w:r>
      <w:r>
        <w:rPr>
          <w:rStyle w:val="Emphasis"/>
        </w:rPr>
        <w:t>Journal of the American Medical Informatics Association</w:t>
      </w:r>
      <w:r>
        <w:t xml:space="preserve">, 25(8), pp. 1080–1088. Available at: </w:t>
      </w:r>
      <w:hyperlink r:id="rId21" w:history="1">
        <w:r>
          <w:rPr>
            <w:rStyle w:val="Hyperlink"/>
          </w:rPr>
          <w:t>https://doi.org/10.1093/jamia/ocy</w:t>
        </w:r>
        <w:r>
          <w:rPr>
            <w:rStyle w:val="Hyperlink"/>
          </w:rPr>
          <w:t>0</w:t>
        </w:r>
        <w:r>
          <w:rPr>
            <w:rStyle w:val="Hyperlink"/>
          </w:rPr>
          <w:t>52</w:t>
        </w:r>
      </w:hyperlink>
      <w:r>
        <w:t xml:space="preserve"> (Accessed: 26 June 2026).</w:t>
      </w:r>
    </w:p>
    <w:p w14:paraId="36CD5808" w14:textId="77777777" w:rsidR="0006443A" w:rsidRDefault="0006443A" w:rsidP="0006443A">
      <w:pPr>
        <w:pStyle w:val="isselectedend"/>
      </w:pPr>
      <w:r>
        <w:t xml:space="preserve">Widmer, R.J., Collins, N.M., Collins, C.S., West, C.P., Lerman, L.O. and Lerman, A. (2015) ‘Digital health interventions for the prevention of cardiovascular disease: a systematic review and meta-analysis’, </w:t>
      </w:r>
      <w:r>
        <w:rPr>
          <w:rStyle w:val="Emphasis"/>
        </w:rPr>
        <w:t>Mayo Clinic Proceedings</w:t>
      </w:r>
      <w:r>
        <w:t xml:space="preserve">, 90(4), pp. 469–480. Available at: </w:t>
      </w:r>
      <w:hyperlink r:id="rId22" w:history="1">
        <w:r>
          <w:rPr>
            <w:rStyle w:val="Hyperlink"/>
          </w:rPr>
          <w:t>https://doi.org/10.1016/j.mayocp.2014.12.</w:t>
        </w:r>
        <w:r>
          <w:rPr>
            <w:rStyle w:val="Hyperlink"/>
          </w:rPr>
          <w:t>0</w:t>
        </w:r>
        <w:r>
          <w:rPr>
            <w:rStyle w:val="Hyperlink"/>
          </w:rPr>
          <w:t>26</w:t>
        </w:r>
      </w:hyperlink>
      <w:r>
        <w:t xml:space="preserve"> (Accessed: 26 June 2026).</w:t>
      </w:r>
    </w:p>
    <w:p w14:paraId="7EB70DCF" w14:textId="77777777" w:rsidR="0006443A" w:rsidRDefault="0006443A" w:rsidP="0006443A">
      <w:pPr>
        <w:pStyle w:val="isselectedend"/>
      </w:pPr>
      <w:r>
        <w:t xml:space="preserve">World Health Organization (1986) </w:t>
      </w:r>
      <w:r>
        <w:rPr>
          <w:rStyle w:val="Emphasis"/>
        </w:rPr>
        <w:t>Ottawa Charter for Health Promotion</w:t>
      </w:r>
      <w:r>
        <w:t xml:space="preserve">. Geneva: World Health Organization. Available at: </w:t>
      </w:r>
      <w:hyperlink r:id="rId23" w:history="1">
        <w:r>
          <w:rPr>
            <w:rStyle w:val="Hyperlink"/>
          </w:rPr>
          <w:t>https://www.who.int/teams/health-promotion/enhance</w:t>
        </w:r>
        <w:r>
          <w:rPr>
            <w:rStyle w:val="Hyperlink"/>
          </w:rPr>
          <w:t>d</w:t>
        </w:r>
        <w:r>
          <w:rPr>
            <w:rStyle w:val="Hyperlink"/>
          </w:rPr>
          <w:t>-wellbeing/first-global-conference</w:t>
        </w:r>
      </w:hyperlink>
      <w:r>
        <w:t xml:space="preserve"> (Accessed: 26 June 2026).</w:t>
      </w:r>
    </w:p>
    <w:p w14:paraId="4F99B569" w14:textId="2D1E25EA" w:rsidR="0006443A" w:rsidRDefault="0006443A" w:rsidP="0006443A">
      <w:pPr>
        <w:pStyle w:val="NormalWeb"/>
      </w:pPr>
      <w:r>
        <w:t>World Health Organization (202</w:t>
      </w:r>
      <w:r w:rsidR="00E9029C">
        <w:t>5</w:t>
      </w:r>
      <w:r>
        <w:t xml:space="preserve">) </w:t>
      </w:r>
      <w:r>
        <w:rPr>
          <w:rStyle w:val="Emphasis"/>
        </w:rPr>
        <w:t>Hypertension</w:t>
      </w:r>
      <w:r>
        <w:t xml:space="preserve">. Available at: </w:t>
      </w:r>
      <w:hyperlink r:id="rId24" w:history="1">
        <w:r>
          <w:rPr>
            <w:rStyle w:val="Hyperlink"/>
          </w:rPr>
          <w:t>https://www.who.int/news-room/fact-sheets/de</w:t>
        </w:r>
        <w:r>
          <w:rPr>
            <w:rStyle w:val="Hyperlink"/>
          </w:rPr>
          <w:t>t</w:t>
        </w:r>
        <w:r>
          <w:rPr>
            <w:rStyle w:val="Hyperlink"/>
          </w:rPr>
          <w:t>ail/hypertension</w:t>
        </w:r>
      </w:hyperlink>
      <w:r>
        <w:t xml:space="preserve"> (Accessed: 26 June 2026).</w:t>
      </w:r>
    </w:p>
    <w:p w14:paraId="5AC22276" w14:textId="77777777" w:rsidR="00EA3BDE" w:rsidRDefault="00EA3BDE" w:rsidP="71F4E9B0"/>
    <w:sectPr w:rsidR="00EA3BDE"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3F05A92"/>
    <w:rsid w:val="0006443A"/>
    <w:rsid w:val="002C5594"/>
    <w:rsid w:val="00472688"/>
    <w:rsid w:val="00521B67"/>
    <w:rsid w:val="0069426D"/>
    <w:rsid w:val="00752C17"/>
    <w:rsid w:val="00814D45"/>
    <w:rsid w:val="008E2557"/>
    <w:rsid w:val="00974AB5"/>
    <w:rsid w:val="0097A799"/>
    <w:rsid w:val="00A0030E"/>
    <w:rsid w:val="00B34A32"/>
    <w:rsid w:val="00B70D27"/>
    <w:rsid w:val="00B71761"/>
    <w:rsid w:val="00D742B2"/>
    <w:rsid w:val="00DD46E9"/>
    <w:rsid w:val="00E9029C"/>
    <w:rsid w:val="00EA3BDE"/>
    <w:rsid w:val="044D2B3D"/>
    <w:rsid w:val="05991371"/>
    <w:rsid w:val="07AF7F89"/>
    <w:rsid w:val="091204F2"/>
    <w:rsid w:val="0CADF7A5"/>
    <w:rsid w:val="0D980484"/>
    <w:rsid w:val="0EB418B1"/>
    <w:rsid w:val="0F495F09"/>
    <w:rsid w:val="12A65CD8"/>
    <w:rsid w:val="15442986"/>
    <w:rsid w:val="16720D8F"/>
    <w:rsid w:val="188A3667"/>
    <w:rsid w:val="1ABF3676"/>
    <w:rsid w:val="1AE1CEDF"/>
    <w:rsid w:val="1D8691CC"/>
    <w:rsid w:val="1FDD9948"/>
    <w:rsid w:val="20086D83"/>
    <w:rsid w:val="20DBED11"/>
    <w:rsid w:val="2485CA46"/>
    <w:rsid w:val="253FA669"/>
    <w:rsid w:val="2856141C"/>
    <w:rsid w:val="2907B7BE"/>
    <w:rsid w:val="29A79986"/>
    <w:rsid w:val="2A55DDAA"/>
    <w:rsid w:val="2AF4554A"/>
    <w:rsid w:val="2AF8F32A"/>
    <w:rsid w:val="31D38AB3"/>
    <w:rsid w:val="327603F1"/>
    <w:rsid w:val="33DDC49C"/>
    <w:rsid w:val="35A84DC5"/>
    <w:rsid w:val="36D7E16F"/>
    <w:rsid w:val="36F4F39E"/>
    <w:rsid w:val="3883A40B"/>
    <w:rsid w:val="391C0BD5"/>
    <w:rsid w:val="39B2C818"/>
    <w:rsid w:val="3A207ECF"/>
    <w:rsid w:val="3C45CE1A"/>
    <w:rsid w:val="3CCAB612"/>
    <w:rsid w:val="3DF32817"/>
    <w:rsid w:val="3F4A337B"/>
    <w:rsid w:val="40E6638F"/>
    <w:rsid w:val="418CDDD0"/>
    <w:rsid w:val="41A7DD7D"/>
    <w:rsid w:val="4414EA8B"/>
    <w:rsid w:val="45D4D679"/>
    <w:rsid w:val="4622FBE2"/>
    <w:rsid w:val="47D7A84E"/>
    <w:rsid w:val="48F603C8"/>
    <w:rsid w:val="4CC75548"/>
    <w:rsid w:val="4E4D4186"/>
    <w:rsid w:val="4ED3CCD2"/>
    <w:rsid w:val="4F52A41F"/>
    <w:rsid w:val="50047627"/>
    <w:rsid w:val="53483306"/>
    <w:rsid w:val="53CC94AF"/>
    <w:rsid w:val="53CE1E6C"/>
    <w:rsid w:val="59356525"/>
    <w:rsid w:val="5A3F66E1"/>
    <w:rsid w:val="5BFDAB4A"/>
    <w:rsid w:val="5EEF98E7"/>
    <w:rsid w:val="5FFC5E6D"/>
    <w:rsid w:val="66697A96"/>
    <w:rsid w:val="68573519"/>
    <w:rsid w:val="68D75153"/>
    <w:rsid w:val="69732ED3"/>
    <w:rsid w:val="6B4C74A9"/>
    <w:rsid w:val="6C4B0282"/>
    <w:rsid w:val="6EBE23A4"/>
    <w:rsid w:val="6FE4AD8D"/>
    <w:rsid w:val="71ED4F24"/>
    <w:rsid w:val="71F4E9B0"/>
    <w:rsid w:val="73A3F901"/>
    <w:rsid w:val="73F05A92"/>
    <w:rsid w:val="7576C8BB"/>
    <w:rsid w:val="759558AA"/>
    <w:rsid w:val="75C422E2"/>
    <w:rsid w:val="75EACA61"/>
    <w:rsid w:val="7716FC94"/>
    <w:rsid w:val="793B8CDA"/>
    <w:rsid w:val="79BABE4A"/>
    <w:rsid w:val="7A308A17"/>
    <w:rsid w:val="7A33769C"/>
    <w:rsid w:val="7C9E16C0"/>
    <w:rsid w:val="7E8A67FE"/>
    <w:rsid w:val="7F3EDE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CDA65"/>
  <w15:chartTrackingRefBased/>
  <w15:docId w15:val="{46B61279-FDC6-486C-8992-A67BC74E2D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isselectedend">
    <w:name w:val="isselectedend"/>
    <w:basedOn w:val="Normal"/>
    <w:rsid w:val="000644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character" w:styleId="Emphasis">
    <w:name w:val="Emphasis"/>
    <w:basedOn w:val="DefaultParagraphFont"/>
    <w:uiPriority w:val="20"/>
    <w:qFormat/>
    <w:rsid w:val="0006443A"/>
    <w:rPr>
      <w:i/>
      <w:iCs/>
    </w:rPr>
  </w:style>
  <w:style w:type="character" w:styleId="Hyperlink">
    <w:name w:val="Hyperlink"/>
    <w:basedOn w:val="DefaultParagraphFont"/>
    <w:uiPriority w:val="99"/>
    <w:unhideWhenUsed/>
    <w:rsid w:val="0006443A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0644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7176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71761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B34A3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hyperlink" Target="https://doi.org/10.1136/bmj.m4858" TargetMode="External"/><Relationship Id="rId18" Type="http://schemas.openxmlformats.org/officeDocument/2006/relationships/hyperlink" Target="https://www.ofcom.org.uk/siteassets/resources/documents/research-and-data/media-literacy-research/adults/adults-media-use-and-attitudes-2023/adults-media-use-and-attitudes-report-2023.pdf?v=329409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doi.org/10.1093/jamia/ocy052" TargetMode="External"/><Relationship Id="rId7" Type="http://schemas.openxmlformats.org/officeDocument/2006/relationships/image" Target="media/image4.png"/><Relationship Id="rId12" Type="http://schemas.openxmlformats.org/officeDocument/2006/relationships/hyperlink" Target="https://www.health.org.uk/sites/default/files/upload/publications/2020/Health%20Equity%20in%20England_The%20Marmot%20Review%2010%20Years%20On_full%20report.pdf" TargetMode="External"/><Relationship Id="rId17" Type="http://schemas.openxmlformats.org/officeDocument/2006/relationships/hyperlink" Target="https://www.england.nhs.uk/ourwork/clinical-policy/cvd/home-blood-pressure-monitoring/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england.nhs.uk/personalisedcare/what-is-personalised-care/" TargetMode="External"/><Relationship Id="rId20" Type="http://schemas.openxmlformats.org/officeDocument/2006/relationships/hyperlink" Target="https://doi.org/10.1126/scitranslmed.aaa3487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hyperlink" Target="https://www.gov.uk/government/publications/a-plan-for-digital-health-and-social-care/a-plan-for-digital-health-and-social-care" TargetMode="External"/><Relationship Id="rId24" Type="http://schemas.openxmlformats.org/officeDocument/2006/relationships/hyperlink" Target="https://www.who.int/news-room/fact-sheets/detail/hypertension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www.england.nhs.uk/personalisedcare/comprehensive-model-of-personalised-care/" TargetMode="External"/><Relationship Id="rId23" Type="http://schemas.openxmlformats.org/officeDocument/2006/relationships/hyperlink" Target="https://www.who.int/teams/health-promotion/enhanced-wellbeing/first-global-conference" TargetMode="External"/><Relationship Id="rId10" Type="http://schemas.openxmlformats.org/officeDocument/2006/relationships/hyperlink" Target="https://doi.org/10.1177/1090198104263660" TargetMode="External"/><Relationship Id="rId19" Type="http://schemas.openxmlformats.org/officeDocument/2006/relationships/hyperlink" Target="https://www.gov.uk/government/publications/health-matters-combating-high-blood-pressure/health-matters-combating-high-blood-pressure?utm_source=chatgpt.com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jpeg"/><Relationship Id="rId14" Type="http://schemas.openxmlformats.org/officeDocument/2006/relationships/hyperlink" Target="https://www.nice.org.uk/guidance/ng136" TargetMode="External"/><Relationship Id="rId22" Type="http://schemas.openxmlformats.org/officeDocument/2006/relationships/hyperlink" Target="https://doi.org/10.1016/j.mayocp.2014.12.02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352</TotalTime>
  <Pages>3</Pages>
  <Words>861</Words>
  <Characters>4913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Desislava Markova (2512936)</dc:creator>
  <cp:keywords/>
  <dc:description/>
  <cp:lastModifiedBy>Desi Markova</cp:lastModifiedBy>
  <cp:revision>2</cp:revision>
  <dcterms:created xsi:type="dcterms:W3CDTF">2026-06-24T12:38:00Z</dcterms:created>
  <dcterms:modified xsi:type="dcterms:W3CDTF">2026-06-26T16:00:00Z</dcterms:modified>
</cp:coreProperties>
</file>