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8BEC79" w14:textId="77777777" w:rsidR="00D40E0E" w:rsidRDefault="00D40E0E" w:rsidP="00E47C75">
      <w:pPr>
        <w:jc w:val="center"/>
      </w:pPr>
    </w:p>
    <w:p w14:paraId="54FB9A33" w14:textId="77777777" w:rsidR="00E47C75" w:rsidRDefault="00E47C75" w:rsidP="00E47C75">
      <w:pPr>
        <w:jc w:val="center"/>
      </w:pPr>
    </w:p>
    <w:p w14:paraId="535771DD" w14:textId="77777777" w:rsidR="00E47C75" w:rsidRDefault="00E47C75" w:rsidP="00E47C75">
      <w:pPr>
        <w:jc w:val="center"/>
      </w:pPr>
    </w:p>
    <w:p w14:paraId="5CB8153B" w14:textId="77777777" w:rsidR="00E47C75" w:rsidRDefault="00E47C75" w:rsidP="00E47C75">
      <w:pPr>
        <w:jc w:val="center"/>
      </w:pPr>
    </w:p>
    <w:p w14:paraId="1D13727F" w14:textId="77777777" w:rsidR="00E47C75" w:rsidRDefault="00E47C75" w:rsidP="00E47C75">
      <w:pPr>
        <w:jc w:val="center"/>
      </w:pPr>
    </w:p>
    <w:p w14:paraId="0E1C217F" w14:textId="77777777" w:rsidR="00E47C75" w:rsidRDefault="00E47C75" w:rsidP="00E47C75">
      <w:pPr>
        <w:jc w:val="center"/>
      </w:pPr>
      <w:r>
        <w:t>This is a report based on:</w:t>
      </w:r>
    </w:p>
    <w:p w14:paraId="683DB0D1" w14:textId="77777777" w:rsidR="00E47C75" w:rsidRDefault="00E47C75" w:rsidP="00E47C75">
      <w:pPr>
        <w:jc w:val="center"/>
        <w:rPr>
          <w:b/>
          <w:sz w:val="32"/>
          <w:szCs w:val="32"/>
        </w:rPr>
      </w:pPr>
      <w:r>
        <w:rPr>
          <w:b/>
          <w:sz w:val="32"/>
          <w:szCs w:val="32"/>
        </w:rPr>
        <w:t>Negligence in Construction</w:t>
      </w:r>
    </w:p>
    <w:p w14:paraId="21B53E29" w14:textId="77777777" w:rsidR="00E47C75" w:rsidRDefault="00E47C75" w:rsidP="00E47C75">
      <w:pPr>
        <w:jc w:val="center"/>
        <w:rPr>
          <w:b/>
          <w:sz w:val="32"/>
          <w:szCs w:val="32"/>
        </w:rPr>
      </w:pPr>
    </w:p>
    <w:p w14:paraId="411E6484" w14:textId="77777777" w:rsidR="00E47C75" w:rsidRDefault="00E47C75" w:rsidP="00E47C75">
      <w:pPr>
        <w:jc w:val="center"/>
        <w:rPr>
          <w:b/>
          <w:sz w:val="32"/>
          <w:szCs w:val="32"/>
        </w:rPr>
      </w:pPr>
    </w:p>
    <w:p w14:paraId="4602E994" w14:textId="77777777" w:rsidR="00E47C75" w:rsidRDefault="00E47C75" w:rsidP="00E47C75">
      <w:pPr>
        <w:jc w:val="center"/>
        <w:rPr>
          <w:b/>
          <w:sz w:val="32"/>
          <w:szCs w:val="32"/>
        </w:rPr>
      </w:pPr>
    </w:p>
    <w:p w14:paraId="78C7B37F" w14:textId="77777777" w:rsidR="00E47C75" w:rsidRDefault="00E47C75" w:rsidP="00E47C75">
      <w:pPr>
        <w:jc w:val="center"/>
        <w:rPr>
          <w:b/>
          <w:sz w:val="32"/>
          <w:szCs w:val="32"/>
        </w:rPr>
      </w:pPr>
    </w:p>
    <w:p w14:paraId="203DFC16" w14:textId="77777777" w:rsidR="00E47C75" w:rsidRDefault="00E47C75" w:rsidP="00E47C75">
      <w:pPr>
        <w:jc w:val="center"/>
        <w:rPr>
          <w:b/>
          <w:sz w:val="32"/>
          <w:szCs w:val="32"/>
        </w:rPr>
      </w:pPr>
    </w:p>
    <w:p w14:paraId="04FC8FAB" w14:textId="77777777" w:rsidR="00E47C75" w:rsidRDefault="00E47C75" w:rsidP="00E47C75">
      <w:pPr>
        <w:jc w:val="center"/>
        <w:rPr>
          <w:b/>
          <w:sz w:val="32"/>
          <w:szCs w:val="32"/>
        </w:rPr>
      </w:pPr>
    </w:p>
    <w:p w14:paraId="68204505" w14:textId="77777777" w:rsidR="00E47C75" w:rsidRDefault="00E47C75" w:rsidP="00E47C75">
      <w:pPr>
        <w:jc w:val="center"/>
        <w:rPr>
          <w:b/>
          <w:sz w:val="32"/>
          <w:szCs w:val="32"/>
        </w:rPr>
      </w:pPr>
    </w:p>
    <w:p w14:paraId="3904CFF8" w14:textId="77777777" w:rsidR="00E47C75" w:rsidRDefault="00E47C75" w:rsidP="00E47C75">
      <w:pPr>
        <w:jc w:val="center"/>
        <w:rPr>
          <w:b/>
          <w:sz w:val="32"/>
          <w:szCs w:val="32"/>
        </w:rPr>
      </w:pPr>
    </w:p>
    <w:p w14:paraId="08AB404D" w14:textId="77777777" w:rsidR="00E47C75" w:rsidRPr="00E47C75" w:rsidRDefault="00E47C75" w:rsidP="00E47C75">
      <w:pPr>
        <w:jc w:val="center"/>
        <w:rPr>
          <w:szCs w:val="32"/>
        </w:rPr>
      </w:pPr>
      <w:r w:rsidRPr="00E47C75">
        <w:rPr>
          <w:szCs w:val="32"/>
        </w:rPr>
        <w:t>This report is created by:</w:t>
      </w:r>
    </w:p>
    <w:p w14:paraId="2CCE9055" w14:textId="77777777" w:rsidR="00E47C75" w:rsidRDefault="00E47C75" w:rsidP="00E47C75">
      <w:pPr>
        <w:jc w:val="center"/>
        <w:rPr>
          <w:b/>
          <w:szCs w:val="32"/>
        </w:rPr>
      </w:pPr>
      <w:r>
        <w:rPr>
          <w:b/>
          <w:szCs w:val="32"/>
        </w:rPr>
        <w:t>Aaron Cowley (2119837)</w:t>
      </w:r>
    </w:p>
    <w:p w14:paraId="0B83D5DD" w14:textId="77777777" w:rsidR="00E47C75" w:rsidRDefault="00E47C75" w:rsidP="00E47C75">
      <w:pPr>
        <w:jc w:val="center"/>
        <w:rPr>
          <w:b/>
          <w:szCs w:val="32"/>
        </w:rPr>
      </w:pPr>
    </w:p>
    <w:p w14:paraId="5BB02F9D" w14:textId="77777777" w:rsidR="00E47C75" w:rsidRDefault="00E47C75" w:rsidP="00E47C75">
      <w:pPr>
        <w:jc w:val="center"/>
        <w:rPr>
          <w:b/>
          <w:szCs w:val="32"/>
        </w:rPr>
      </w:pPr>
    </w:p>
    <w:p w14:paraId="111F79F2" w14:textId="77777777" w:rsidR="00785CCC" w:rsidRDefault="00785CCC" w:rsidP="00E47C75">
      <w:pPr>
        <w:jc w:val="center"/>
        <w:rPr>
          <w:szCs w:val="32"/>
        </w:rPr>
      </w:pPr>
    </w:p>
    <w:p w14:paraId="7F95FF91" w14:textId="77777777" w:rsidR="00E47C75" w:rsidRPr="00E47C75" w:rsidRDefault="00E47C75" w:rsidP="00E47C75">
      <w:pPr>
        <w:jc w:val="center"/>
        <w:rPr>
          <w:szCs w:val="32"/>
        </w:rPr>
      </w:pPr>
      <w:r w:rsidRPr="00E47C75">
        <w:rPr>
          <w:szCs w:val="32"/>
        </w:rPr>
        <w:t>This report is created for:</w:t>
      </w:r>
    </w:p>
    <w:p w14:paraId="387A68E5" w14:textId="77777777" w:rsidR="00E47C75" w:rsidRDefault="00E47C75" w:rsidP="00E47C75">
      <w:pPr>
        <w:jc w:val="center"/>
        <w:rPr>
          <w:b/>
          <w:szCs w:val="32"/>
        </w:rPr>
      </w:pPr>
      <w:r>
        <w:rPr>
          <w:b/>
          <w:szCs w:val="32"/>
        </w:rPr>
        <w:t>Lara Hopkinson</w:t>
      </w:r>
    </w:p>
    <w:p w14:paraId="4B16DF8C" w14:textId="77777777" w:rsidR="00E47C75" w:rsidRDefault="00E47C75" w:rsidP="00E47C75">
      <w:pPr>
        <w:jc w:val="center"/>
        <w:rPr>
          <w:b/>
          <w:szCs w:val="32"/>
        </w:rPr>
      </w:pPr>
    </w:p>
    <w:p w14:paraId="478AED34" w14:textId="77777777" w:rsidR="00E47C75" w:rsidRDefault="00E47C75" w:rsidP="00E47C75">
      <w:pPr>
        <w:jc w:val="center"/>
        <w:rPr>
          <w:b/>
          <w:szCs w:val="32"/>
        </w:rPr>
      </w:pPr>
    </w:p>
    <w:p w14:paraId="37BABA95" w14:textId="77777777" w:rsidR="00E47C75" w:rsidRDefault="00E47C75" w:rsidP="00E47C75">
      <w:pPr>
        <w:jc w:val="center"/>
        <w:rPr>
          <w:b/>
          <w:szCs w:val="32"/>
        </w:rPr>
      </w:pPr>
    </w:p>
    <w:p w14:paraId="1194C60A" w14:textId="77777777" w:rsidR="00E47C75" w:rsidRPr="00E47C75" w:rsidRDefault="00E47C75" w:rsidP="00E47C75">
      <w:pPr>
        <w:jc w:val="center"/>
        <w:rPr>
          <w:szCs w:val="32"/>
        </w:rPr>
      </w:pPr>
      <w:r w:rsidRPr="00E47C75">
        <w:rPr>
          <w:szCs w:val="32"/>
        </w:rPr>
        <w:t>This report is due by:</w:t>
      </w:r>
    </w:p>
    <w:p w14:paraId="137E344B" w14:textId="77777777" w:rsidR="00E47C75" w:rsidRDefault="00E47C75" w:rsidP="00E47C75">
      <w:pPr>
        <w:jc w:val="center"/>
        <w:rPr>
          <w:b/>
          <w:szCs w:val="32"/>
        </w:rPr>
      </w:pPr>
      <w:r>
        <w:rPr>
          <w:b/>
          <w:szCs w:val="32"/>
        </w:rPr>
        <w:t>1</w:t>
      </w:r>
      <w:r w:rsidRPr="00E47C75">
        <w:rPr>
          <w:b/>
          <w:szCs w:val="32"/>
          <w:vertAlign w:val="superscript"/>
        </w:rPr>
        <w:t>st</w:t>
      </w:r>
      <w:r>
        <w:rPr>
          <w:b/>
          <w:szCs w:val="32"/>
        </w:rPr>
        <w:t xml:space="preserve"> December 2022</w:t>
      </w:r>
    </w:p>
    <w:p w14:paraId="6BA8DFBC" w14:textId="77777777" w:rsidR="00E47C75" w:rsidRDefault="00E47C75" w:rsidP="00E47C75">
      <w:pPr>
        <w:rPr>
          <w:szCs w:val="32"/>
        </w:rPr>
      </w:pPr>
    </w:p>
    <w:p w14:paraId="489C1BDE" w14:textId="77777777" w:rsidR="00E47C75" w:rsidRDefault="00E47C75" w:rsidP="00E47C75">
      <w:pPr>
        <w:rPr>
          <w:szCs w:val="32"/>
        </w:rPr>
      </w:pPr>
    </w:p>
    <w:sdt>
      <w:sdtPr>
        <w:rPr>
          <w:rFonts w:asciiTheme="minorHAnsi" w:eastAsiaTheme="minorHAnsi" w:hAnsiTheme="minorHAnsi" w:cstheme="minorBidi"/>
          <w:color w:val="auto"/>
          <w:sz w:val="22"/>
          <w:szCs w:val="22"/>
          <w:lang w:val="en-GB"/>
        </w:rPr>
        <w:id w:val="1348295506"/>
        <w:docPartObj>
          <w:docPartGallery w:val="Table of Contents"/>
          <w:docPartUnique/>
        </w:docPartObj>
      </w:sdtPr>
      <w:sdtEndPr>
        <w:rPr>
          <w:b/>
          <w:bCs/>
          <w:noProof/>
        </w:rPr>
      </w:sdtEndPr>
      <w:sdtContent>
        <w:p w14:paraId="27E5F522" w14:textId="77777777" w:rsidR="00E47C75" w:rsidRPr="001E5C86" w:rsidRDefault="00E47C75">
          <w:pPr>
            <w:pStyle w:val="TOCHeading"/>
            <w:rPr>
              <w:b/>
              <w:color w:val="auto"/>
              <w:u w:val="single"/>
            </w:rPr>
          </w:pPr>
          <w:r w:rsidRPr="001E5C86">
            <w:rPr>
              <w:b/>
              <w:color w:val="auto"/>
              <w:u w:val="single"/>
            </w:rPr>
            <w:t>Contents</w:t>
          </w:r>
        </w:p>
        <w:p w14:paraId="79F764FA" w14:textId="6696BFC5" w:rsidR="00BF6CE2" w:rsidRDefault="00E47C7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20729283" w:history="1">
            <w:r w:rsidR="00BF6CE2" w:rsidRPr="003E2688">
              <w:rPr>
                <w:rStyle w:val="Hyperlink"/>
                <w:b/>
                <w:noProof/>
              </w:rPr>
              <w:t>A1.0 - Brief Summary</w:t>
            </w:r>
            <w:r w:rsidR="00BF6CE2">
              <w:rPr>
                <w:noProof/>
                <w:webHidden/>
              </w:rPr>
              <w:tab/>
            </w:r>
            <w:r w:rsidR="00BF6CE2">
              <w:rPr>
                <w:noProof/>
                <w:webHidden/>
              </w:rPr>
              <w:fldChar w:fldCharType="begin"/>
            </w:r>
            <w:r w:rsidR="00BF6CE2">
              <w:rPr>
                <w:noProof/>
                <w:webHidden/>
              </w:rPr>
              <w:instrText xml:space="preserve"> PAGEREF _Toc120729283 \h </w:instrText>
            </w:r>
            <w:r w:rsidR="00BF6CE2">
              <w:rPr>
                <w:noProof/>
                <w:webHidden/>
              </w:rPr>
            </w:r>
            <w:r w:rsidR="00BF6CE2">
              <w:rPr>
                <w:noProof/>
                <w:webHidden/>
              </w:rPr>
              <w:fldChar w:fldCharType="separate"/>
            </w:r>
            <w:r w:rsidR="00BF6CE2">
              <w:rPr>
                <w:noProof/>
                <w:webHidden/>
              </w:rPr>
              <w:t>3</w:t>
            </w:r>
            <w:r w:rsidR="00BF6CE2">
              <w:rPr>
                <w:noProof/>
                <w:webHidden/>
              </w:rPr>
              <w:fldChar w:fldCharType="end"/>
            </w:r>
          </w:hyperlink>
        </w:p>
        <w:p w14:paraId="22E9B48C" w14:textId="4016053F" w:rsidR="00BF6CE2" w:rsidRDefault="00E461F2">
          <w:pPr>
            <w:pStyle w:val="TOC1"/>
            <w:tabs>
              <w:tab w:val="right" w:leader="dot" w:pos="9016"/>
            </w:tabs>
            <w:rPr>
              <w:rFonts w:eastAsiaTheme="minorEastAsia"/>
              <w:noProof/>
              <w:lang w:eastAsia="en-GB"/>
            </w:rPr>
          </w:pPr>
          <w:hyperlink w:anchor="_Toc120729284" w:history="1">
            <w:r w:rsidR="00BF6CE2" w:rsidRPr="003E2688">
              <w:rPr>
                <w:rStyle w:val="Hyperlink"/>
                <w:b/>
                <w:noProof/>
              </w:rPr>
              <w:t>B1.0 - Terms of Reference</w:t>
            </w:r>
            <w:r w:rsidR="00BF6CE2">
              <w:rPr>
                <w:noProof/>
                <w:webHidden/>
              </w:rPr>
              <w:tab/>
            </w:r>
            <w:r w:rsidR="00BF6CE2">
              <w:rPr>
                <w:noProof/>
                <w:webHidden/>
              </w:rPr>
              <w:fldChar w:fldCharType="begin"/>
            </w:r>
            <w:r w:rsidR="00BF6CE2">
              <w:rPr>
                <w:noProof/>
                <w:webHidden/>
              </w:rPr>
              <w:instrText xml:space="preserve"> PAGEREF _Toc120729284 \h </w:instrText>
            </w:r>
            <w:r w:rsidR="00BF6CE2">
              <w:rPr>
                <w:noProof/>
                <w:webHidden/>
              </w:rPr>
            </w:r>
            <w:r w:rsidR="00BF6CE2">
              <w:rPr>
                <w:noProof/>
                <w:webHidden/>
              </w:rPr>
              <w:fldChar w:fldCharType="separate"/>
            </w:r>
            <w:r w:rsidR="00BF6CE2">
              <w:rPr>
                <w:noProof/>
                <w:webHidden/>
              </w:rPr>
              <w:t>3</w:t>
            </w:r>
            <w:r w:rsidR="00BF6CE2">
              <w:rPr>
                <w:noProof/>
                <w:webHidden/>
              </w:rPr>
              <w:fldChar w:fldCharType="end"/>
            </w:r>
          </w:hyperlink>
        </w:p>
        <w:p w14:paraId="7AC01DB9" w14:textId="0D766E63" w:rsidR="00BF6CE2" w:rsidRDefault="00E461F2">
          <w:pPr>
            <w:pStyle w:val="TOC2"/>
            <w:tabs>
              <w:tab w:val="right" w:leader="dot" w:pos="9016"/>
            </w:tabs>
            <w:rPr>
              <w:rFonts w:eastAsiaTheme="minorEastAsia"/>
              <w:noProof/>
              <w:lang w:eastAsia="en-GB"/>
            </w:rPr>
          </w:pPr>
          <w:hyperlink w:anchor="_Toc120729285" w:history="1">
            <w:r w:rsidR="00BF6CE2" w:rsidRPr="003E2688">
              <w:rPr>
                <w:rStyle w:val="Hyperlink"/>
                <w:b/>
                <w:noProof/>
              </w:rPr>
              <w:t>B1.1 – Objective</w:t>
            </w:r>
            <w:r w:rsidR="00BF6CE2">
              <w:rPr>
                <w:noProof/>
                <w:webHidden/>
              </w:rPr>
              <w:tab/>
            </w:r>
            <w:r w:rsidR="00BF6CE2">
              <w:rPr>
                <w:noProof/>
                <w:webHidden/>
              </w:rPr>
              <w:fldChar w:fldCharType="begin"/>
            </w:r>
            <w:r w:rsidR="00BF6CE2">
              <w:rPr>
                <w:noProof/>
                <w:webHidden/>
              </w:rPr>
              <w:instrText xml:space="preserve"> PAGEREF _Toc120729285 \h </w:instrText>
            </w:r>
            <w:r w:rsidR="00BF6CE2">
              <w:rPr>
                <w:noProof/>
                <w:webHidden/>
              </w:rPr>
            </w:r>
            <w:r w:rsidR="00BF6CE2">
              <w:rPr>
                <w:noProof/>
                <w:webHidden/>
              </w:rPr>
              <w:fldChar w:fldCharType="separate"/>
            </w:r>
            <w:r w:rsidR="00BF6CE2">
              <w:rPr>
                <w:noProof/>
                <w:webHidden/>
              </w:rPr>
              <w:t>3</w:t>
            </w:r>
            <w:r w:rsidR="00BF6CE2">
              <w:rPr>
                <w:noProof/>
                <w:webHidden/>
              </w:rPr>
              <w:fldChar w:fldCharType="end"/>
            </w:r>
          </w:hyperlink>
        </w:p>
        <w:p w14:paraId="37412B42" w14:textId="0919E0E5" w:rsidR="00BF6CE2" w:rsidRDefault="00E461F2">
          <w:pPr>
            <w:pStyle w:val="TOC2"/>
            <w:tabs>
              <w:tab w:val="right" w:leader="dot" w:pos="9016"/>
            </w:tabs>
            <w:rPr>
              <w:rFonts w:eastAsiaTheme="minorEastAsia"/>
              <w:noProof/>
              <w:lang w:eastAsia="en-GB"/>
            </w:rPr>
          </w:pPr>
          <w:hyperlink w:anchor="_Toc120729286" w:history="1">
            <w:r w:rsidR="00BF6CE2" w:rsidRPr="003E2688">
              <w:rPr>
                <w:rStyle w:val="Hyperlink"/>
                <w:b/>
                <w:noProof/>
              </w:rPr>
              <w:t>B1.2 – Aims</w:t>
            </w:r>
            <w:r w:rsidR="00BF6CE2">
              <w:rPr>
                <w:noProof/>
                <w:webHidden/>
              </w:rPr>
              <w:tab/>
            </w:r>
            <w:r w:rsidR="00BF6CE2">
              <w:rPr>
                <w:noProof/>
                <w:webHidden/>
              </w:rPr>
              <w:fldChar w:fldCharType="begin"/>
            </w:r>
            <w:r w:rsidR="00BF6CE2">
              <w:rPr>
                <w:noProof/>
                <w:webHidden/>
              </w:rPr>
              <w:instrText xml:space="preserve"> PAGEREF _Toc120729286 \h </w:instrText>
            </w:r>
            <w:r w:rsidR="00BF6CE2">
              <w:rPr>
                <w:noProof/>
                <w:webHidden/>
              </w:rPr>
            </w:r>
            <w:r w:rsidR="00BF6CE2">
              <w:rPr>
                <w:noProof/>
                <w:webHidden/>
              </w:rPr>
              <w:fldChar w:fldCharType="separate"/>
            </w:r>
            <w:r w:rsidR="00BF6CE2">
              <w:rPr>
                <w:noProof/>
                <w:webHidden/>
              </w:rPr>
              <w:t>3</w:t>
            </w:r>
            <w:r w:rsidR="00BF6CE2">
              <w:rPr>
                <w:noProof/>
                <w:webHidden/>
              </w:rPr>
              <w:fldChar w:fldCharType="end"/>
            </w:r>
          </w:hyperlink>
        </w:p>
        <w:p w14:paraId="5A254FED" w14:textId="7093B591" w:rsidR="00BF6CE2" w:rsidRDefault="00E461F2">
          <w:pPr>
            <w:pStyle w:val="TOC2"/>
            <w:tabs>
              <w:tab w:val="right" w:leader="dot" w:pos="9016"/>
            </w:tabs>
            <w:rPr>
              <w:rFonts w:eastAsiaTheme="minorEastAsia"/>
              <w:noProof/>
              <w:lang w:eastAsia="en-GB"/>
            </w:rPr>
          </w:pPr>
          <w:hyperlink w:anchor="_Toc120729287" w:history="1">
            <w:r w:rsidR="00BF6CE2" w:rsidRPr="003E2688">
              <w:rPr>
                <w:rStyle w:val="Hyperlink"/>
                <w:b/>
                <w:noProof/>
              </w:rPr>
              <w:t>B1.3 – Due Date</w:t>
            </w:r>
            <w:r w:rsidR="00BF6CE2">
              <w:rPr>
                <w:noProof/>
                <w:webHidden/>
              </w:rPr>
              <w:tab/>
            </w:r>
            <w:r w:rsidR="00BF6CE2">
              <w:rPr>
                <w:noProof/>
                <w:webHidden/>
              </w:rPr>
              <w:fldChar w:fldCharType="begin"/>
            </w:r>
            <w:r w:rsidR="00BF6CE2">
              <w:rPr>
                <w:noProof/>
                <w:webHidden/>
              </w:rPr>
              <w:instrText xml:space="preserve"> PAGEREF _Toc120729287 \h </w:instrText>
            </w:r>
            <w:r w:rsidR="00BF6CE2">
              <w:rPr>
                <w:noProof/>
                <w:webHidden/>
              </w:rPr>
            </w:r>
            <w:r w:rsidR="00BF6CE2">
              <w:rPr>
                <w:noProof/>
                <w:webHidden/>
              </w:rPr>
              <w:fldChar w:fldCharType="separate"/>
            </w:r>
            <w:r w:rsidR="00BF6CE2">
              <w:rPr>
                <w:noProof/>
                <w:webHidden/>
              </w:rPr>
              <w:t>3</w:t>
            </w:r>
            <w:r w:rsidR="00BF6CE2">
              <w:rPr>
                <w:noProof/>
                <w:webHidden/>
              </w:rPr>
              <w:fldChar w:fldCharType="end"/>
            </w:r>
          </w:hyperlink>
        </w:p>
        <w:p w14:paraId="647825D7" w14:textId="34E7F5C0" w:rsidR="00BF6CE2" w:rsidRDefault="00E461F2">
          <w:pPr>
            <w:pStyle w:val="TOC1"/>
            <w:tabs>
              <w:tab w:val="right" w:leader="dot" w:pos="9016"/>
            </w:tabs>
            <w:rPr>
              <w:rFonts w:eastAsiaTheme="minorEastAsia"/>
              <w:noProof/>
              <w:lang w:eastAsia="en-GB"/>
            </w:rPr>
          </w:pPr>
          <w:hyperlink w:anchor="_Toc120729288" w:history="1">
            <w:r w:rsidR="00BF6CE2" w:rsidRPr="003E2688">
              <w:rPr>
                <w:rStyle w:val="Hyperlink"/>
                <w:b/>
                <w:noProof/>
              </w:rPr>
              <w:t>C1.0 – Procedure</w:t>
            </w:r>
            <w:r w:rsidR="00BF6CE2">
              <w:rPr>
                <w:noProof/>
                <w:webHidden/>
              </w:rPr>
              <w:tab/>
            </w:r>
            <w:r w:rsidR="00BF6CE2">
              <w:rPr>
                <w:noProof/>
                <w:webHidden/>
              </w:rPr>
              <w:fldChar w:fldCharType="begin"/>
            </w:r>
            <w:r w:rsidR="00BF6CE2">
              <w:rPr>
                <w:noProof/>
                <w:webHidden/>
              </w:rPr>
              <w:instrText xml:space="preserve"> PAGEREF _Toc120729288 \h </w:instrText>
            </w:r>
            <w:r w:rsidR="00BF6CE2">
              <w:rPr>
                <w:noProof/>
                <w:webHidden/>
              </w:rPr>
            </w:r>
            <w:r w:rsidR="00BF6CE2">
              <w:rPr>
                <w:noProof/>
                <w:webHidden/>
              </w:rPr>
              <w:fldChar w:fldCharType="separate"/>
            </w:r>
            <w:r w:rsidR="00BF6CE2">
              <w:rPr>
                <w:noProof/>
                <w:webHidden/>
              </w:rPr>
              <w:t>3</w:t>
            </w:r>
            <w:r w:rsidR="00BF6CE2">
              <w:rPr>
                <w:noProof/>
                <w:webHidden/>
              </w:rPr>
              <w:fldChar w:fldCharType="end"/>
            </w:r>
          </w:hyperlink>
        </w:p>
        <w:p w14:paraId="705094C6" w14:textId="0041A1EC" w:rsidR="00BF6CE2" w:rsidRDefault="00E461F2">
          <w:pPr>
            <w:pStyle w:val="TOC2"/>
            <w:tabs>
              <w:tab w:val="right" w:leader="dot" w:pos="9016"/>
            </w:tabs>
            <w:rPr>
              <w:rFonts w:eastAsiaTheme="minorEastAsia"/>
              <w:noProof/>
              <w:lang w:eastAsia="en-GB"/>
            </w:rPr>
          </w:pPr>
          <w:hyperlink w:anchor="_Toc120729289" w:history="1">
            <w:r w:rsidR="00BF6CE2" w:rsidRPr="003E2688">
              <w:rPr>
                <w:rStyle w:val="Hyperlink"/>
                <w:b/>
                <w:noProof/>
              </w:rPr>
              <w:t>C1.1 – Sources of Information</w:t>
            </w:r>
            <w:r w:rsidR="00BF6CE2">
              <w:rPr>
                <w:noProof/>
                <w:webHidden/>
              </w:rPr>
              <w:tab/>
            </w:r>
            <w:r w:rsidR="00BF6CE2">
              <w:rPr>
                <w:noProof/>
                <w:webHidden/>
              </w:rPr>
              <w:fldChar w:fldCharType="begin"/>
            </w:r>
            <w:r w:rsidR="00BF6CE2">
              <w:rPr>
                <w:noProof/>
                <w:webHidden/>
              </w:rPr>
              <w:instrText xml:space="preserve"> PAGEREF _Toc120729289 \h </w:instrText>
            </w:r>
            <w:r w:rsidR="00BF6CE2">
              <w:rPr>
                <w:noProof/>
                <w:webHidden/>
              </w:rPr>
            </w:r>
            <w:r w:rsidR="00BF6CE2">
              <w:rPr>
                <w:noProof/>
                <w:webHidden/>
              </w:rPr>
              <w:fldChar w:fldCharType="separate"/>
            </w:r>
            <w:r w:rsidR="00BF6CE2">
              <w:rPr>
                <w:noProof/>
                <w:webHidden/>
              </w:rPr>
              <w:t>3</w:t>
            </w:r>
            <w:r w:rsidR="00BF6CE2">
              <w:rPr>
                <w:noProof/>
                <w:webHidden/>
              </w:rPr>
              <w:fldChar w:fldCharType="end"/>
            </w:r>
          </w:hyperlink>
        </w:p>
        <w:p w14:paraId="5E6870CE" w14:textId="4FA09608" w:rsidR="00BF6CE2" w:rsidRDefault="00E461F2">
          <w:pPr>
            <w:pStyle w:val="TOC2"/>
            <w:tabs>
              <w:tab w:val="right" w:leader="dot" w:pos="9016"/>
            </w:tabs>
            <w:rPr>
              <w:rFonts w:eastAsiaTheme="minorEastAsia"/>
              <w:noProof/>
              <w:lang w:eastAsia="en-GB"/>
            </w:rPr>
          </w:pPr>
          <w:hyperlink w:anchor="_Toc120729290" w:history="1">
            <w:r w:rsidR="00BF6CE2" w:rsidRPr="003E2688">
              <w:rPr>
                <w:rStyle w:val="Hyperlink"/>
                <w:b/>
                <w:noProof/>
              </w:rPr>
              <w:t>C2.1 – Referencing</w:t>
            </w:r>
            <w:r w:rsidR="00BF6CE2">
              <w:rPr>
                <w:noProof/>
                <w:webHidden/>
              </w:rPr>
              <w:tab/>
            </w:r>
            <w:r w:rsidR="00BF6CE2">
              <w:rPr>
                <w:noProof/>
                <w:webHidden/>
              </w:rPr>
              <w:fldChar w:fldCharType="begin"/>
            </w:r>
            <w:r w:rsidR="00BF6CE2">
              <w:rPr>
                <w:noProof/>
                <w:webHidden/>
              </w:rPr>
              <w:instrText xml:space="preserve"> PAGEREF _Toc120729290 \h </w:instrText>
            </w:r>
            <w:r w:rsidR="00BF6CE2">
              <w:rPr>
                <w:noProof/>
                <w:webHidden/>
              </w:rPr>
            </w:r>
            <w:r w:rsidR="00BF6CE2">
              <w:rPr>
                <w:noProof/>
                <w:webHidden/>
              </w:rPr>
              <w:fldChar w:fldCharType="separate"/>
            </w:r>
            <w:r w:rsidR="00BF6CE2">
              <w:rPr>
                <w:noProof/>
                <w:webHidden/>
              </w:rPr>
              <w:t>3</w:t>
            </w:r>
            <w:r w:rsidR="00BF6CE2">
              <w:rPr>
                <w:noProof/>
                <w:webHidden/>
              </w:rPr>
              <w:fldChar w:fldCharType="end"/>
            </w:r>
          </w:hyperlink>
        </w:p>
        <w:p w14:paraId="67BC78DB" w14:textId="65ADF7AB" w:rsidR="00BF6CE2" w:rsidRDefault="00E461F2">
          <w:pPr>
            <w:pStyle w:val="TOC1"/>
            <w:tabs>
              <w:tab w:val="right" w:leader="dot" w:pos="9016"/>
            </w:tabs>
            <w:rPr>
              <w:rFonts w:eastAsiaTheme="minorEastAsia"/>
              <w:noProof/>
              <w:lang w:eastAsia="en-GB"/>
            </w:rPr>
          </w:pPr>
          <w:hyperlink w:anchor="_Toc120729291" w:history="1">
            <w:r w:rsidR="00BF6CE2" w:rsidRPr="003E2688">
              <w:rPr>
                <w:rStyle w:val="Hyperlink"/>
                <w:b/>
                <w:noProof/>
              </w:rPr>
              <w:t>D1.0 – Findings</w:t>
            </w:r>
            <w:r w:rsidR="00BF6CE2">
              <w:rPr>
                <w:noProof/>
                <w:webHidden/>
              </w:rPr>
              <w:tab/>
            </w:r>
            <w:r w:rsidR="00BF6CE2">
              <w:rPr>
                <w:noProof/>
                <w:webHidden/>
              </w:rPr>
              <w:fldChar w:fldCharType="begin"/>
            </w:r>
            <w:r w:rsidR="00BF6CE2">
              <w:rPr>
                <w:noProof/>
                <w:webHidden/>
              </w:rPr>
              <w:instrText xml:space="preserve"> PAGEREF _Toc120729291 \h </w:instrText>
            </w:r>
            <w:r w:rsidR="00BF6CE2">
              <w:rPr>
                <w:noProof/>
                <w:webHidden/>
              </w:rPr>
            </w:r>
            <w:r w:rsidR="00BF6CE2">
              <w:rPr>
                <w:noProof/>
                <w:webHidden/>
              </w:rPr>
              <w:fldChar w:fldCharType="separate"/>
            </w:r>
            <w:r w:rsidR="00BF6CE2">
              <w:rPr>
                <w:noProof/>
                <w:webHidden/>
              </w:rPr>
              <w:t>4</w:t>
            </w:r>
            <w:r w:rsidR="00BF6CE2">
              <w:rPr>
                <w:noProof/>
                <w:webHidden/>
              </w:rPr>
              <w:fldChar w:fldCharType="end"/>
            </w:r>
          </w:hyperlink>
        </w:p>
        <w:p w14:paraId="44756A96" w14:textId="5F40FA20" w:rsidR="00BF6CE2" w:rsidRDefault="00E461F2">
          <w:pPr>
            <w:pStyle w:val="TOC2"/>
            <w:tabs>
              <w:tab w:val="right" w:leader="dot" w:pos="9016"/>
            </w:tabs>
            <w:rPr>
              <w:rFonts w:eastAsiaTheme="minorEastAsia"/>
              <w:noProof/>
              <w:lang w:eastAsia="en-GB"/>
            </w:rPr>
          </w:pPr>
          <w:hyperlink w:anchor="_Toc120729292" w:history="1">
            <w:r w:rsidR="00BF6CE2" w:rsidRPr="003E2688">
              <w:rPr>
                <w:rStyle w:val="Hyperlink"/>
                <w:b/>
                <w:noProof/>
              </w:rPr>
              <w:t>D1.1 – What is the tort of negligence?</w:t>
            </w:r>
            <w:r w:rsidR="00BF6CE2">
              <w:rPr>
                <w:noProof/>
                <w:webHidden/>
              </w:rPr>
              <w:tab/>
            </w:r>
            <w:r w:rsidR="00BF6CE2">
              <w:rPr>
                <w:noProof/>
                <w:webHidden/>
              </w:rPr>
              <w:fldChar w:fldCharType="begin"/>
            </w:r>
            <w:r w:rsidR="00BF6CE2">
              <w:rPr>
                <w:noProof/>
                <w:webHidden/>
              </w:rPr>
              <w:instrText xml:space="preserve"> PAGEREF _Toc120729292 \h </w:instrText>
            </w:r>
            <w:r w:rsidR="00BF6CE2">
              <w:rPr>
                <w:noProof/>
                <w:webHidden/>
              </w:rPr>
            </w:r>
            <w:r w:rsidR="00BF6CE2">
              <w:rPr>
                <w:noProof/>
                <w:webHidden/>
              </w:rPr>
              <w:fldChar w:fldCharType="separate"/>
            </w:r>
            <w:r w:rsidR="00BF6CE2">
              <w:rPr>
                <w:noProof/>
                <w:webHidden/>
              </w:rPr>
              <w:t>4</w:t>
            </w:r>
            <w:r w:rsidR="00BF6CE2">
              <w:rPr>
                <w:noProof/>
                <w:webHidden/>
              </w:rPr>
              <w:fldChar w:fldCharType="end"/>
            </w:r>
          </w:hyperlink>
        </w:p>
        <w:p w14:paraId="6786CE16" w14:textId="6241A9BE" w:rsidR="00BF6CE2" w:rsidRDefault="00E461F2">
          <w:pPr>
            <w:pStyle w:val="TOC2"/>
            <w:tabs>
              <w:tab w:val="right" w:leader="dot" w:pos="9016"/>
            </w:tabs>
            <w:rPr>
              <w:rFonts w:eastAsiaTheme="minorEastAsia"/>
              <w:noProof/>
              <w:lang w:eastAsia="en-GB"/>
            </w:rPr>
          </w:pPr>
          <w:hyperlink w:anchor="_Toc120729293" w:history="1">
            <w:r w:rsidR="00BF6CE2" w:rsidRPr="003E2688">
              <w:rPr>
                <w:rStyle w:val="Hyperlink"/>
                <w:b/>
                <w:noProof/>
              </w:rPr>
              <w:t>D1.2 – Duty of Care</w:t>
            </w:r>
            <w:r w:rsidR="00BF6CE2">
              <w:rPr>
                <w:noProof/>
                <w:webHidden/>
              </w:rPr>
              <w:tab/>
            </w:r>
            <w:r w:rsidR="00BF6CE2">
              <w:rPr>
                <w:noProof/>
                <w:webHidden/>
              </w:rPr>
              <w:fldChar w:fldCharType="begin"/>
            </w:r>
            <w:r w:rsidR="00BF6CE2">
              <w:rPr>
                <w:noProof/>
                <w:webHidden/>
              </w:rPr>
              <w:instrText xml:space="preserve"> PAGEREF _Toc120729293 \h </w:instrText>
            </w:r>
            <w:r w:rsidR="00BF6CE2">
              <w:rPr>
                <w:noProof/>
                <w:webHidden/>
              </w:rPr>
            </w:r>
            <w:r w:rsidR="00BF6CE2">
              <w:rPr>
                <w:noProof/>
                <w:webHidden/>
              </w:rPr>
              <w:fldChar w:fldCharType="separate"/>
            </w:r>
            <w:r w:rsidR="00BF6CE2">
              <w:rPr>
                <w:noProof/>
                <w:webHidden/>
              </w:rPr>
              <w:t>4</w:t>
            </w:r>
            <w:r w:rsidR="00BF6CE2">
              <w:rPr>
                <w:noProof/>
                <w:webHidden/>
              </w:rPr>
              <w:fldChar w:fldCharType="end"/>
            </w:r>
          </w:hyperlink>
        </w:p>
        <w:p w14:paraId="399D1AC7" w14:textId="76C2E876" w:rsidR="00BF6CE2" w:rsidRDefault="00E461F2">
          <w:pPr>
            <w:pStyle w:val="TOC2"/>
            <w:tabs>
              <w:tab w:val="right" w:leader="dot" w:pos="9016"/>
            </w:tabs>
            <w:rPr>
              <w:rFonts w:eastAsiaTheme="minorEastAsia"/>
              <w:noProof/>
              <w:lang w:eastAsia="en-GB"/>
            </w:rPr>
          </w:pPr>
          <w:hyperlink w:anchor="_Toc120729294" w:history="1">
            <w:r w:rsidR="00BF6CE2" w:rsidRPr="003E2688">
              <w:rPr>
                <w:rStyle w:val="Hyperlink"/>
                <w:b/>
                <w:noProof/>
              </w:rPr>
              <w:t>D1.3 – Breach of Duty of Care</w:t>
            </w:r>
            <w:r w:rsidR="00BF6CE2">
              <w:rPr>
                <w:noProof/>
                <w:webHidden/>
              </w:rPr>
              <w:tab/>
            </w:r>
            <w:r w:rsidR="00BF6CE2">
              <w:rPr>
                <w:noProof/>
                <w:webHidden/>
              </w:rPr>
              <w:fldChar w:fldCharType="begin"/>
            </w:r>
            <w:r w:rsidR="00BF6CE2">
              <w:rPr>
                <w:noProof/>
                <w:webHidden/>
              </w:rPr>
              <w:instrText xml:space="preserve"> PAGEREF _Toc120729294 \h </w:instrText>
            </w:r>
            <w:r w:rsidR="00BF6CE2">
              <w:rPr>
                <w:noProof/>
                <w:webHidden/>
              </w:rPr>
            </w:r>
            <w:r w:rsidR="00BF6CE2">
              <w:rPr>
                <w:noProof/>
                <w:webHidden/>
              </w:rPr>
              <w:fldChar w:fldCharType="separate"/>
            </w:r>
            <w:r w:rsidR="00BF6CE2">
              <w:rPr>
                <w:noProof/>
                <w:webHidden/>
              </w:rPr>
              <w:t>4</w:t>
            </w:r>
            <w:r w:rsidR="00BF6CE2">
              <w:rPr>
                <w:noProof/>
                <w:webHidden/>
              </w:rPr>
              <w:fldChar w:fldCharType="end"/>
            </w:r>
          </w:hyperlink>
        </w:p>
        <w:p w14:paraId="5B1916A3" w14:textId="6AEA5542" w:rsidR="00BF6CE2" w:rsidRDefault="00E461F2">
          <w:pPr>
            <w:pStyle w:val="TOC2"/>
            <w:tabs>
              <w:tab w:val="right" w:leader="dot" w:pos="9016"/>
            </w:tabs>
            <w:rPr>
              <w:rFonts w:eastAsiaTheme="minorEastAsia"/>
              <w:noProof/>
              <w:lang w:eastAsia="en-GB"/>
            </w:rPr>
          </w:pPr>
          <w:hyperlink w:anchor="_Toc120729295" w:history="1">
            <w:r w:rsidR="00BF6CE2" w:rsidRPr="003E2688">
              <w:rPr>
                <w:rStyle w:val="Hyperlink"/>
                <w:b/>
                <w:noProof/>
              </w:rPr>
              <w:t>D1.4 – Damages</w:t>
            </w:r>
            <w:r w:rsidR="00BF6CE2">
              <w:rPr>
                <w:noProof/>
                <w:webHidden/>
              </w:rPr>
              <w:tab/>
            </w:r>
            <w:r w:rsidR="00BF6CE2">
              <w:rPr>
                <w:noProof/>
                <w:webHidden/>
              </w:rPr>
              <w:fldChar w:fldCharType="begin"/>
            </w:r>
            <w:r w:rsidR="00BF6CE2">
              <w:rPr>
                <w:noProof/>
                <w:webHidden/>
              </w:rPr>
              <w:instrText xml:space="preserve"> PAGEREF _Toc120729295 \h </w:instrText>
            </w:r>
            <w:r w:rsidR="00BF6CE2">
              <w:rPr>
                <w:noProof/>
                <w:webHidden/>
              </w:rPr>
            </w:r>
            <w:r w:rsidR="00BF6CE2">
              <w:rPr>
                <w:noProof/>
                <w:webHidden/>
              </w:rPr>
              <w:fldChar w:fldCharType="separate"/>
            </w:r>
            <w:r w:rsidR="00BF6CE2">
              <w:rPr>
                <w:noProof/>
                <w:webHidden/>
              </w:rPr>
              <w:t>4</w:t>
            </w:r>
            <w:r w:rsidR="00BF6CE2">
              <w:rPr>
                <w:noProof/>
                <w:webHidden/>
              </w:rPr>
              <w:fldChar w:fldCharType="end"/>
            </w:r>
          </w:hyperlink>
        </w:p>
        <w:p w14:paraId="6C865CF4" w14:textId="07B4F522" w:rsidR="00BF6CE2" w:rsidRDefault="00E461F2">
          <w:pPr>
            <w:pStyle w:val="TOC1"/>
            <w:tabs>
              <w:tab w:val="right" w:leader="dot" w:pos="9016"/>
            </w:tabs>
            <w:rPr>
              <w:rFonts w:eastAsiaTheme="minorEastAsia"/>
              <w:noProof/>
              <w:lang w:eastAsia="en-GB"/>
            </w:rPr>
          </w:pPr>
          <w:hyperlink w:anchor="_Toc120729296" w:history="1">
            <w:r w:rsidR="00BF6CE2" w:rsidRPr="003E2688">
              <w:rPr>
                <w:rStyle w:val="Hyperlink"/>
                <w:b/>
                <w:noProof/>
              </w:rPr>
              <w:t>D2.0 – Case Law of Choice – Howmet Ltd v Economy Devices Ltd [2016] EWCA Civ. 847</w:t>
            </w:r>
            <w:r w:rsidR="00BF6CE2">
              <w:rPr>
                <w:noProof/>
                <w:webHidden/>
              </w:rPr>
              <w:tab/>
            </w:r>
            <w:r w:rsidR="00BF6CE2">
              <w:rPr>
                <w:noProof/>
                <w:webHidden/>
              </w:rPr>
              <w:fldChar w:fldCharType="begin"/>
            </w:r>
            <w:r w:rsidR="00BF6CE2">
              <w:rPr>
                <w:noProof/>
                <w:webHidden/>
              </w:rPr>
              <w:instrText xml:space="preserve"> PAGEREF _Toc120729296 \h </w:instrText>
            </w:r>
            <w:r w:rsidR="00BF6CE2">
              <w:rPr>
                <w:noProof/>
                <w:webHidden/>
              </w:rPr>
            </w:r>
            <w:r w:rsidR="00BF6CE2">
              <w:rPr>
                <w:noProof/>
                <w:webHidden/>
              </w:rPr>
              <w:fldChar w:fldCharType="separate"/>
            </w:r>
            <w:r w:rsidR="00BF6CE2">
              <w:rPr>
                <w:noProof/>
                <w:webHidden/>
              </w:rPr>
              <w:t>5</w:t>
            </w:r>
            <w:r w:rsidR="00BF6CE2">
              <w:rPr>
                <w:noProof/>
                <w:webHidden/>
              </w:rPr>
              <w:fldChar w:fldCharType="end"/>
            </w:r>
          </w:hyperlink>
        </w:p>
        <w:p w14:paraId="79A8F280" w14:textId="7695ECB1" w:rsidR="00BF6CE2" w:rsidRDefault="00E461F2">
          <w:pPr>
            <w:pStyle w:val="TOC2"/>
            <w:tabs>
              <w:tab w:val="right" w:leader="dot" w:pos="9016"/>
            </w:tabs>
            <w:rPr>
              <w:rFonts w:eastAsiaTheme="minorEastAsia"/>
              <w:noProof/>
              <w:lang w:eastAsia="en-GB"/>
            </w:rPr>
          </w:pPr>
          <w:hyperlink w:anchor="_Toc120729297" w:history="1">
            <w:r w:rsidR="00BF6CE2" w:rsidRPr="003E2688">
              <w:rPr>
                <w:rStyle w:val="Hyperlink"/>
                <w:b/>
                <w:noProof/>
              </w:rPr>
              <w:t>D2.1 – Summary of the Case</w:t>
            </w:r>
            <w:r w:rsidR="00BF6CE2">
              <w:rPr>
                <w:noProof/>
                <w:webHidden/>
              </w:rPr>
              <w:tab/>
            </w:r>
            <w:r w:rsidR="00BF6CE2">
              <w:rPr>
                <w:noProof/>
                <w:webHidden/>
              </w:rPr>
              <w:fldChar w:fldCharType="begin"/>
            </w:r>
            <w:r w:rsidR="00BF6CE2">
              <w:rPr>
                <w:noProof/>
                <w:webHidden/>
              </w:rPr>
              <w:instrText xml:space="preserve"> PAGEREF _Toc120729297 \h </w:instrText>
            </w:r>
            <w:r w:rsidR="00BF6CE2">
              <w:rPr>
                <w:noProof/>
                <w:webHidden/>
              </w:rPr>
            </w:r>
            <w:r w:rsidR="00BF6CE2">
              <w:rPr>
                <w:noProof/>
                <w:webHidden/>
              </w:rPr>
              <w:fldChar w:fldCharType="separate"/>
            </w:r>
            <w:r w:rsidR="00BF6CE2">
              <w:rPr>
                <w:noProof/>
                <w:webHidden/>
              </w:rPr>
              <w:t>5</w:t>
            </w:r>
            <w:r w:rsidR="00BF6CE2">
              <w:rPr>
                <w:noProof/>
                <w:webHidden/>
              </w:rPr>
              <w:fldChar w:fldCharType="end"/>
            </w:r>
          </w:hyperlink>
        </w:p>
        <w:p w14:paraId="616C0E10" w14:textId="5421FB38" w:rsidR="00BF6CE2" w:rsidRDefault="00E461F2">
          <w:pPr>
            <w:pStyle w:val="TOC2"/>
            <w:tabs>
              <w:tab w:val="right" w:leader="dot" w:pos="9016"/>
            </w:tabs>
            <w:rPr>
              <w:rFonts w:eastAsiaTheme="minorEastAsia"/>
              <w:noProof/>
              <w:lang w:eastAsia="en-GB"/>
            </w:rPr>
          </w:pPr>
          <w:hyperlink w:anchor="_Toc120729298" w:history="1">
            <w:r w:rsidR="00BF6CE2" w:rsidRPr="003E2688">
              <w:rPr>
                <w:rStyle w:val="Hyperlink"/>
                <w:b/>
                <w:noProof/>
              </w:rPr>
              <w:t>D2.2 – What is the importance of this case in the Construction Industry?</w:t>
            </w:r>
            <w:r w:rsidR="00BF6CE2">
              <w:rPr>
                <w:noProof/>
                <w:webHidden/>
              </w:rPr>
              <w:tab/>
            </w:r>
            <w:r w:rsidR="00BF6CE2">
              <w:rPr>
                <w:noProof/>
                <w:webHidden/>
              </w:rPr>
              <w:fldChar w:fldCharType="begin"/>
            </w:r>
            <w:r w:rsidR="00BF6CE2">
              <w:rPr>
                <w:noProof/>
                <w:webHidden/>
              </w:rPr>
              <w:instrText xml:space="preserve"> PAGEREF _Toc120729298 \h </w:instrText>
            </w:r>
            <w:r w:rsidR="00BF6CE2">
              <w:rPr>
                <w:noProof/>
                <w:webHidden/>
              </w:rPr>
            </w:r>
            <w:r w:rsidR="00BF6CE2">
              <w:rPr>
                <w:noProof/>
                <w:webHidden/>
              </w:rPr>
              <w:fldChar w:fldCharType="separate"/>
            </w:r>
            <w:r w:rsidR="00BF6CE2">
              <w:rPr>
                <w:noProof/>
                <w:webHidden/>
              </w:rPr>
              <w:t>5</w:t>
            </w:r>
            <w:r w:rsidR="00BF6CE2">
              <w:rPr>
                <w:noProof/>
                <w:webHidden/>
              </w:rPr>
              <w:fldChar w:fldCharType="end"/>
            </w:r>
          </w:hyperlink>
        </w:p>
        <w:p w14:paraId="09645581" w14:textId="655DA282" w:rsidR="00BF6CE2" w:rsidRDefault="00E461F2">
          <w:pPr>
            <w:pStyle w:val="TOC2"/>
            <w:tabs>
              <w:tab w:val="right" w:leader="dot" w:pos="9016"/>
            </w:tabs>
            <w:rPr>
              <w:rFonts w:eastAsiaTheme="minorEastAsia"/>
              <w:noProof/>
              <w:lang w:eastAsia="en-GB"/>
            </w:rPr>
          </w:pPr>
          <w:hyperlink w:anchor="_Toc120729299" w:history="1">
            <w:r w:rsidR="00BF6CE2" w:rsidRPr="003E2688">
              <w:rPr>
                <w:rStyle w:val="Hyperlink"/>
                <w:b/>
                <w:noProof/>
              </w:rPr>
              <w:t>D2.3 – How can this affect a Project’s Progression?</w:t>
            </w:r>
            <w:r w:rsidR="00BF6CE2">
              <w:rPr>
                <w:noProof/>
                <w:webHidden/>
              </w:rPr>
              <w:tab/>
            </w:r>
            <w:r w:rsidR="00BF6CE2">
              <w:rPr>
                <w:noProof/>
                <w:webHidden/>
              </w:rPr>
              <w:fldChar w:fldCharType="begin"/>
            </w:r>
            <w:r w:rsidR="00BF6CE2">
              <w:rPr>
                <w:noProof/>
                <w:webHidden/>
              </w:rPr>
              <w:instrText xml:space="preserve"> PAGEREF _Toc120729299 \h </w:instrText>
            </w:r>
            <w:r w:rsidR="00BF6CE2">
              <w:rPr>
                <w:noProof/>
                <w:webHidden/>
              </w:rPr>
            </w:r>
            <w:r w:rsidR="00BF6CE2">
              <w:rPr>
                <w:noProof/>
                <w:webHidden/>
              </w:rPr>
              <w:fldChar w:fldCharType="separate"/>
            </w:r>
            <w:r w:rsidR="00BF6CE2">
              <w:rPr>
                <w:noProof/>
                <w:webHidden/>
              </w:rPr>
              <w:t>5</w:t>
            </w:r>
            <w:r w:rsidR="00BF6CE2">
              <w:rPr>
                <w:noProof/>
                <w:webHidden/>
              </w:rPr>
              <w:fldChar w:fldCharType="end"/>
            </w:r>
          </w:hyperlink>
        </w:p>
        <w:p w14:paraId="6930F999" w14:textId="685A7D26" w:rsidR="00BF6CE2" w:rsidRDefault="00E461F2">
          <w:pPr>
            <w:pStyle w:val="TOC1"/>
            <w:tabs>
              <w:tab w:val="right" w:leader="dot" w:pos="9016"/>
            </w:tabs>
            <w:rPr>
              <w:rFonts w:eastAsiaTheme="minorEastAsia"/>
              <w:noProof/>
              <w:lang w:eastAsia="en-GB"/>
            </w:rPr>
          </w:pPr>
          <w:hyperlink w:anchor="_Toc120729300" w:history="1">
            <w:r w:rsidR="00BF6CE2" w:rsidRPr="003E2688">
              <w:rPr>
                <w:rStyle w:val="Hyperlink"/>
                <w:b/>
                <w:bCs/>
                <w:noProof/>
              </w:rPr>
              <w:t>D3.0 - Beumer Group UK Ltd v Vinci Construction UK Ltd [2016] EWHC 2283 (TCC)</w:t>
            </w:r>
            <w:r w:rsidR="00BF6CE2">
              <w:rPr>
                <w:noProof/>
                <w:webHidden/>
              </w:rPr>
              <w:tab/>
            </w:r>
            <w:r w:rsidR="00BF6CE2">
              <w:rPr>
                <w:noProof/>
                <w:webHidden/>
              </w:rPr>
              <w:fldChar w:fldCharType="begin"/>
            </w:r>
            <w:r w:rsidR="00BF6CE2">
              <w:rPr>
                <w:noProof/>
                <w:webHidden/>
              </w:rPr>
              <w:instrText xml:space="preserve"> PAGEREF _Toc120729300 \h </w:instrText>
            </w:r>
            <w:r w:rsidR="00BF6CE2">
              <w:rPr>
                <w:noProof/>
                <w:webHidden/>
              </w:rPr>
            </w:r>
            <w:r w:rsidR="00BF6CE2">
              <w:rPr>
                <w:noProof/>
                <w:webHidden/>
              </w:rPr>
              <w:fldChar w:fldCharType="separate"/>
            </w:r>
            <w:r w:rsidR="00BF6CE2">
              <w:rPr>
                <w:noProof/>
                <w:webHidden/>
              </w:rPr>
              <w:t>6</w:t>
            </w:r>
            <w:r w:rsidR="00BF6CE2">
              <w:rPr>
                <w:noProof/>
                <w:webHidden/>
              </w:rPr>
              <w:fldChar w:fldCharType="end"/>
            </w:r>
          </w:hyperlink>
        </w:p>
        <w:p w14:paraId="16E44437" w14:textId="0EA4EC79" w:rsidR="00BF6CE2" w:rsidRDefault="00E461F2">
          <w:pPr>
            <w:pStyle w:val="TOC1"/>
            <w:tabs>
              <w:tab w:val="right" w:leader="dot" w:pos="9016"/>
            </w:tabs>
            <w:rPr>
              <w:rFonts w:eastAsiaTheme="minorEastAsia"/>
              <w:noProof/>
              <w:lang w:eastAsia="en-GB"/>
            </w:rPr>
          </w:pPr>
          <w:hyperlink w:anchor="_Toc120729301" w:history="1">
            <w:r w:rsidR="00BF6CE2" w:rsidRPr="003E2688">
              <w:rPr>
                <w:rStyle w:val="Hyperlink"/>
                <w:b/>
                <w:noProof/>
              </w:rPr>
              <w:t>F1.0 – References</w:t>
            </w:r>
            <w:r w:rsidR="00BF6CE2">
              <w:rPr>
                <w:noProof/>
                <w:webHidden/>
              </w:rPr>
              <w:tab/>
            </w:r>
            <w:r w:rsidR="00BF6CE2">
              <w:rPr>
                <w:noProof/>
                <w:webHidden/>
              </w:rPr>
              <w:fldChar w:fldCharType="begin"/>
            </w:r>
            <w:r w:rsidR="00BF6CE2">
              <w:rPr>
                <w:noProof/>
                <w:webHidden/>
              </w:rPr>
              <w:instrText xml:space="preserve"> PAGEREF _Toc120729301 \h </w:instrText>
            </w:r>
            <w:r w:rsidR="00BF6CE2">
              <w:rPr>
                <w:noProof/>
                <w:webHidden/>
              </w:rPr>
            </w:r>
            <w:r w:rsidR="00BF6CE2">
              <w:rPr>
                <w:noProof/>
                <w:webHidden/>
              </w:rPr>
              <w:fldChar w:fldCharType="separate"/>
            </w:r>
            <w:r w:rsidR="00BF6CE2">
              <w:rPr>
                <w:noProof/>
                <w:webHidden/>
              </w:rPr>
              <w:t>7</w:t>
            </w:r>
            <w:r w:rsidR="00BF6CE2">
              <w:rPr>
                <w:noProof/>
                <w:webHidden/>
              </w:rPr>
              <w:fldChar w:fldCharType="end"/>
            </w:r>
          </w:hyperlink>
        </w:p>
        <w:p w14:paraId="1F65D5DE" w14:textId="4E19BF75" w:rsidR="00E47C75" w:rsidRDefault="00E47C75">
          <w:r>
            <w:rPr>
              <w:b/>
              <w:bCs/>
              <w:noProof/>
            </w:rPr>
            <w:fldChar w:fldCharType="end"/>
          </w:r>
        </w:p>
      </w:sdtContent>
    </w:sdt>
    <w:p w14:paraId="20CA68B6" w14:textId="77777777" w:rsidR="00E47C75" w:rsidRDefault="00E47C75" w:rsidP="00E47C75">
      <w:pPr>
        <w:rPr>
          <w:szCs w:val="32"/>
        </w:rPr>
      </w:pPr>
    </w:p>
    <w:p w14:paraId="101FD766" w14:textId="77777777" w:rsidR="00E47C75" w:rsidRDefault="00E47C75">
      <w:pPr>
        <w:rPr>
          <w:szCs w:val="32"/>
        </w:rPr>
      </w:pPr>
      <w:r>
        <w:rPr>
          <w:szCs w:val="32"/>
        </w:rPr>
        <w:br w:type="page"/>
      </w:r>
    </w:p>
    <w:p w14:paraId="30973042" w14:textId="77777777" w:rsidR="00E47C75" w:rsidRPr="00805D49" w:rsidRDefault="00805D49" w:rsidP="00E47C75">
      <w:pPr>
        <w:pStyle w:val="Heading1"/>
        <w:rPr>
          <w:b/>
          <w:color w:val="auto"/>
          <w:u w:val="single"/>
        </w:rPr>
      </w:pPr>
      <w:bookmarkStart w:id="0" w:name="_Toc120729283"/>
      <w:r w:rsidRPr="00805D49">
        <w:rPr>
          <w:b/>
          <w:color w:val="auto"/>
          <w:u w:val="single"/>
        </w:rPr>
        <w:lastRenderedPageBreak/>
        <w:t>A1.0 - Brief Summary</w:t>
      </w:r>
      <w:bookmarkEnd w:id="0"/>
    </w:p>
    <w:p w14:paraId="33232367" w14:textId="77777777" w:rsidR="00805D49" w:rsidRDefault="00805D49" w:rsidP="00805D49"/>
    <w:p w14:paraId="6611EE92" w14:textId="77777777" w:rsidR="00805D49" w:rsidRDefault="00805D49" w:rsidP="00805D49">
      <w:r>
        <w:t xml:space="preserve">Negligence is the most common form of tort law and can cover a huge variety of disputes in Construction. From </w:t>
      </w:r>
      <w:r w:rsidR="000D68E8">
        <w:t xml:space="preserve">the </w:t>
      </w:r>
      <w:r>
        <w:t xml:space="preserve">poor design of the project to breach of contract. This report will outline the following; </w:t>
      </w:r>
    </w:p>
    <w:p w14:paraId="58FA542B" w14:textId="77777777" w:rsidR="00805D49" w:rsidRDefault="00805D49" w:rsidP="00805D49">
      <w:pPr>
        <w:pStyle w:val="ListParagraph"/>
        <w:numPr>
          <w:ilvl w:val="0"/>
          <w:numId w:val="1"/>
        </w:numPr>
      </w:pPr>
      <w:r>
        <w:t>What is the tort of negligence and what are its essential elements?</w:t>
      </w:r>
    </w:p>
    <w:p w14:paraId="167BDC80" w14:textId="77777777" w:rsidR="00805D49" w:rsidRDefault="00805D49" w:rsidP="00805D49">
      <w:pPr>
        <w:pStyle w:val="ListParagraph"/>
        <w:numPr>
          <w:ilvl w:val="0"/>
          <w:numId w:val="1"/>
        </w:numPr>
      </w:pPr>
      <w:r>
        <w:t xml:space="preserve">Focussing on </w:t>
      </w:r>
      <w:r w:rsidR="000D68E8">
        <w:t xml:space="preserve">the </w:t>
      </w:r>
      <w:r>
        <w:t>case law of choice, outline the importance of this for construction, and how it can impact a project’s progression</w:t>
      </w:r>
    </w:p>
    <w:p w14:paraId="28C6DD0A" w14:textId="77777777" w:rsidR="00805D49" w:rsidRDefault="00805D49" w:rsidP="00805D49">
      <w:pPr>
        <w:pStyle w:val="ListParagraph"/>
        <w:numPr>
          <w:ilvl w:val="0"/>
          <w:numId w:val="1"/>
        </w:numPr>
      </w:pPr>
      <w:r>
        <w:t>Using the case of Vinci Construction UK Ltd v Beumer Group UK Ltd (2018) outline the impact of adjudication upon deciding such a dispute</w:t>
      </w:r>
    </w:p>
    <w:p w14:paraId="701A877F" w14:textId="77777777" w:rsidR="00805D49" w:rsidRDefault="00805D49" w:rsidP="00805D49"/>
    <w:p w14:paraId="44CCFC30" w14:textId="77777777" w:rsidR="00805D49" w:rsidRPr="00805D49" w:rsidRDefault="00805D49" w:rsidP="00805D49">
      <w:pPr>
        <w:pStyle w:val="Heading1"/>
        <w:rPr>
          <w:b/>
          <w:color w:val="auto"/>
          <w:u w:val="single"/>
        </w:rPr>
      </w:pPr>
      <w:bookmarkStart w:id="1" w:name="_Toc120729284"/>
      <w:r w:rsidRPr="00805D49">
        <w:rPr>
          <w:b/>
          <w:color w:val="auto"/>
          <w:u w:val="single"/>
        </w:rPr>
        <w:t>B1.0 - Terms of Reference</w:t>
      </w:r>
      <w:bookmarkEnd w:id="1"/>
      <w:r w:rsidRPr="00805D49">
        <w:rPr>
          <w:b/>
          <w:color w:val="auto"/>
          <w:u w:val="single"/>
        </w:rPr>
        <w:t xml:space="preserve"> </w:t>
      </w:r>
    </w:p>
    <w:p w14:paraId="06F38A65" w14:textId="77777777" w:rsidR="00805D49" w:rsidRDefault="00805D49" w:rsidP="00805D49"/>
    <w:p w14:paraId="4810E6B5" w14:textId="77777777" w:rsidR="00805D49" w:rsidRDefault="00805D49" w:rsidP="00805D49">
      <w:pPr>
        <w:pStyle w:val="Heading2"/>
        <w:rPr>
          <w:b/>
          <w:color w:val="auto"/>
        </w:rPr>
      </w:pPr>
      <w:bookmarkStart w:id="2" w:name="_Toc120729285"/>
      <w:r w:rsidRPr="000D68E8">
        <w:rPr>
          <w:b/>
          <w:color w:val="auto"/>
        </w:rPr>
        <w:t xml:space="preserve">B1.1 </w:t>
      </w:r>
      <w:r w:rsidR="000D68E8">
        <w:rPr>
          <w:b/>
          <w:color w:val="auto"/>
        </w:rPr>
        <w:t>–</w:t>
      </w:r>
      <w:r w:rsidRPr="000D68E8">
        <w:rPr>
          <w:b/>
          <w:color w:val="auto"/>
        </w:rPr>
        <w:t xml:space="preserve"> Objective</w:t>
      </w:r>
      <w:bookmarkEnd w:id="2"/>
    </w:p>
    <w:p w14:paraId="4B6F996D" w14:textId="77777777" w:rsidR="000D68E8" w:rsidRDefault="000D68E8" w:rsidP="000D68E8">
      <w:r>
        <w:t xml:space="preserve">This report aims to identify and describe the tort of negligence and its essential elements </w:t>
      </w:r>
      <w:r w:rsidRPr="000D68E8">
        <w:t>and use two case laws to outline the importance of</w:t>
      </w:r>
      <w:r>
        <w:t xml:space="preserve"> construction, how it can impact a project’s progression and the impact of adjudication.</w:t>
      </w:r>
    </w:p>
    <w:p w14:paraId="135DC51D" w14:textId="77777777" w:rsidR="00F30156" w:rsidRDefault="00F30156" w:rsidP="000D68E8"/>
    <w:p w14:paraId="0F5FAD33" w14:textId="77777777" w:rsidR="000D68E8" w:rsidRPr="000D68E8" w:rsidRDefault="00785CCC" w:rsidP="000D68E8">
      <w:pPr>
        <w:pStyle w:val="Heading2"/>
        <w:rPr>
          <w:b/>
          <w:color w:val="auto"/>
        </w:rPr>
      </w:pPr>
      <w:bookmarkStart w:id="3" w:name="_Toc120729286"/>
      <w:r>
        <w:rPr>
          <w:b/>
          <w:color w:val="auto"/>
        </w:rPr>
        <w:t>B</w:t>
      </w:r>
      <w:r w:rsidR="003450F3">
        <w:rPr>
          <w:b/>
          <w:color w:val="auto"/>
        </w:rPr>
        <w:t>1.2</w:t>
      </w:r>
      <w:r w:rsidR="000D68E8" w:rsidRPr="000D68E8">
        <w:rPr>
          <w:b/>
          <w:color w:val="auto"/>
        </w:rPr>
        <w:t xml:space="preserve"> – Aims</w:t>
      </w:r>
      <w:bookmarkEnd w:id="3"/>
    </w:p>
    <w:p w14:paraId="648431D3" w14:textId="77777777" w:rsidR="000D68E8" w:rsidRDefault="000D68E8" w:rsidP="000D68E8">
      <w:r>
        <w:t>One of the aims of this report is to give a clear and conclusive definition of the tort of negligence and to outline the importance, the impact of progression, and the impact of adjudication in an informative but clear manner.</w:t>
      </w:r>
    </w:p>
    <w:p w14:paraId="3E78639D" w14:textId="77777777" w:rsidR="00F30156" w:rsidRDefault="00F30156" w:rsidP="000D68E8"/>
    <w:p w14:paraId="2B925075" w14:textId="77777777" w:rsidR="000D68E8" w:rsidRPr="000D68E8" w:rsidRDefault="00785CCC" w:rsidP="000D68E8">
      <w:pPr>
        <w:pStyle w:val="Heading2"/>
        <w:rPr>
          <w:b/>
          <w:color w:val="auto"/>
        </w:rPr>
      </w:pPr>
      <w:bookmarkStart w:id="4" w:name="_Toc120729287"/>
      <w:r>
        <w:rPr>
          <w:b/>
          <w:color w:val="auto"/>
        </w:rPr>
        <w:t>B</w:t>
      </w:r>
      <w:r w:rsidR="003450F3">
        <w:rPr>
          <w:b/>
          <w:color w:val="auto"/>
        </w:rPr>
        <w:t>1.3</w:t>
      </w:r>
      <w:r w:rsidR="000D68E8" w:rsidRPr="000D68E8">
        <w:rPr>
          <w:b/>
          <w:color w:val="auto"/>
        </w:rPr>
        <w:t xml:space="preserve"> – Due Date</w:t>
      </w:r>
      <w:bookmarkEnd w:id="4"/>
    </w:p>
    <w:p w14:paraId="27256ADA" w14:textId="77777777" w:rsidR="000D68E8" w:rsidRDefault="000D68E8" w:rsidP="000D68E8">
      <w:r>
        <w:t>This report is due at 23:59 on Thursday 1</w:t>
      </w:r>
      <w:r w:rsidRPr="000D68E8">
        <w:rPr>
          <w:vertAlign w:val="superscript"/>
        </w:rPr>
        <w:t>st</w:t>
      </w:r>
      <w:r>
        <w:t xml:space="preserve"> December 2022.</w:t>
      </w:r>
    </w:p>
    <w:p w14:paraId="6180F892" w14:textId="77777777" w:rsidR="000D68E8" w:rsidRDefault="000D68E8" w:rsidP="000D68E8"/>
    <w:p w14:paraId="2BCCEEE7" w14:textId="77777777" w:rsidR="000D68E8" w:rsidRPr="000D68E8" w:rsidRDefault="000D68E8" w:rsidP="000D68E8">
      <w:pPr>
        <w:pStyle w:val="Heading1"/>
        <w:rPr>
          <w:b/>
          <w:color w:val="auto"/>
          <w:u w:val="single"/>
        </w:rPr>
      </w:pPr>
      <w:bookmarkStart w:id="5" w:name="_Toc120729288"/>
      <w:r w:rsidRPr="000D68E8">
        <w:rPr>
          <w:b/>
          <w:color w:val="auto"/>
          <w:u w:val="single"/>
        </w:rPr>
        <w:t>C1.0 – Procedure</w:t>
      </w:r>
      <w:bookmarkEnd w:id="5"/>
    </w:p>
    <w:p w14:paraId="6FF5E30A" w14:textId="77777777" w:rsidR="000D68E8" w:rsidRDefault="000D68E8" w:rsidP="000D68E8"/>
    <w:p w14:paraId="4713EFA4" w14:textId="77777777" w:rsidR="000D68E8" w:rsidRPr="000D68E8" w:rsidRDefault="000D68E8" w:rsidP="000D68E8">
      <w:pPr>
        <w:pStyle w:val="Heading2"/>
        <w:rPr>
          <w:b/>
          <w:color w:val="auto"/>
        </w:rPr>
      </w:pPr>
      <w:bookmarkStart w:id="6" w:name="_Toc120729289"/>
      <w:r w:rsidRPr="000D68E8">
        <w:rPr>
          <w:b/>
          <w:color w:val="auto"/>
        </w:rPr>
        <w:t>C1.1 – Sources of Information</w:t>
      </w:r>
      <w:bookmarkEnd w:id="6"/>
    </w:p>
    <w:p w14:paraId="62DD4DE7" w14:textId="77777777" w:rsidR="000D68E8" w:rsidRDefault="000D68E8" w:rsidP="000D68E8">
      <w:r>
        <w:t>This report harnesses information from the following services;</w:t>
      </w:r>
    </w:p>
    <w:p w14:paraId="5F028343" w14:textId="77777777" w:rsidR="000D68E8" w:rsidRDefault="000D68E8" w:rsidP="000D68E8">
      <w:pPr>
        <w:pStyle w:val="ListParagraph"/>
        <w:numPr>
          <w:ilvl w:val="0"/>
          <w:numId w:val="2"/>
        </w:numPr>
      </w:pPr>
      <w:r>
        <w:t>Trustworthy websites</w:t>
      </w:r>
    </w:p>
    <w:p w14:paraId="7E729434" w14:textId="77777777" w:rsidR="000D68E8" w:rsidRDefault="000D68E8" w:rsidP="000D68E8">
      <w:pPr>
        <w:pStyle w:val="ListParagraph"/>
        <w:numPr>
          <w:ilvl w:val="0"/>
          <w:numId w:val="2"/>
        </w:numPr>
      </w:pPr>
      <w:r>
        <w:t>Library Books</w:t>
      </w:r>
    </w:p>
    <w:p w14:paraId="0CAC7A31" w14:textId="77777777" w:rsidR="000D68E8" w:rsidRDefault="000D68E8" w:rsidP="000D68E8">
      <w:pPr>
        <w:pStyle w:val="ListParagraph"/>
        <w:numPr>
          <w:ilvl w:val="0"/>
          <w:numId w:val="2"/>
        </w:numPr>
      </w:pPr>
      <w:r>
        <w:t>Personal Notes taken in Class by myself</w:t>
      </w:r>
    </w:p>
    <w:p w14:paraId="4FD86179" w14:textId="77777777" w:rsidR="000D68E8" w:rsidRDefault="000D68E8" w:rsidP="000D68E8">
      <w:pPr>
        <w:pStyle w:val="ListParagraph"/>
        <w:numPr>
          <w:ilvl w:val="0"/>
          <w:numId w:val="2"/>
        </w:numPr>
      </w:pPr>
      <w:r>
        <w:t>Videos</w:t>
      </w:r>
    </w:p>
    <w:p w14:paraId="3B203739" w14:textId="77777777" w:rsidR="00F30156" w:rsidRDefault="00F30156" w:rsidP="000D68E8">
      <w:pPr>
        <w:pStyle w:val="ListParagraph"/>
        <w:numPr>
          <w:ilvl w:val="0"/>
          <w:numId w:val="2"/>
        </w:numPr>
      </w:pPr>
    </w:p>
    <w:p w14:paraId="5DF35E7F" w14:textId="77777777" w:rsidR="000D68E8" w:rsidRDefault="00785CCC" w:rsidP="000D68E8">
      <w:pPr>
        <w:pStyle w:val="Heading2"/>
        <w:rPr>
          <w:b/>
          <w:color w:val="auto"/>
        </w:rPr>
      </w:pPr>
      <w:bookmarkStart w:id="7" w:name="_Toc120729290"/>
      <w:r>
        <w:rPr>
          <w:b/>
          <w:color w:val="auto"/>
        </w:rPr>
        <w:t>C2</w:t>
      </w:r>
      <w:r w:rsidR="000D68E8" w:rsidRPr="000D68E8">
        <w:rPr>
          <w:b/>
          <w:color w:val="auto"/>
        </w:rPr>
        <w:t>.</w:t>
      </w:r>
      <w:r>
        <w:rPr>
          <w:b/>
          <w:color w:val="auto"/>
        </w:rPr>
        <w:t>1</w:t>
      </w:r>
      <w:r w:rsidR="000D68E8" w:rsidRPr="000D68E8">
        <w:rPr>
          <w:b/>
          <w:color w:val="auto"/>
        </w:rPr>
        <w:t xml:space="preserve"> – Referencing</w:t>
      </w:r>
      <w:bookmarkEnd w:id="7"/>
    </w:p>
    <w:p w14:paraId="5C7D1157" w14:textId="77777777" w:rsidR="000D68E8" w:rsidRPr="000D68E8" w:rsidRDefault="000D68E8" w:rsidP="00F30156">
      <w:pPr>
        <w:ind w:left="360"/>
      </w:pPr>
      <w:r>
        <w:t>When applicable, Harvard Sty</w:t>
      </w:r>
      <w:r w:rsidR="00F30156">
        <w:t>le referencing will be utilized</w:t>
      </w:r>
    </w:p>
    <w:p w14:paraId="450F2354" w14:textId="77777777" w:rsidR="000D68E8" w:rsidRDefault="006A1B5B" w:rsidP="006A1B5B">
      <w:pPr>
        <w:pStyle w:val="Heading1"/>
        <w:rPr>
          <w:b/>
          <w:color w:val="auto"/>
          <w:u w:val="single"/>
        </w:rPr>
      </w:pPr>
      <w:bookmarkStart w:id="8" w:name="_Toc120729291"/>
      <w:r w:rsidRPr="006A1B5B">
        <w:rPr>
          <w:b/>
          <w:color w:val="auto"/>
          <w:u w:val="single"/>
        </w:rPr>
        <w:lastRenderedPageBreak/>
        <w:t>D1.0 – Findings</w:t>
      </w:r>
      <w:bookmarkEnd w:id="8"/>
    </w:p>
    <w:p w14:paraId="70CB167E" w14:textId="77777777" w:rsidR="006A1B5B" w:rsidRDefault="006A1B5B" w:rsidP="006A1B5B"/>
    <w:p w14:paraId="3A2ADCD4" w14:textId="77777777" w:rsidR="006A1B5B" w:rsidRDefault="006A1B5B" w:rsidP="006A1B5B">
      <w:pPr>
        <w:pStyle w:val="Heading2"/>
        <w:rPr>
          <w:b/>
          <w:color w:val="auto"/>
        </w:rPr>
      </w:pPr>
      <w:bookmarkStart w:id="9" w:name="_Toc120729292"/>
      <w:r>
        <w:rPr>
          <w:b/>
          <w:color w:val="auto"/>
        </w:rPr>
        <w:t>D1.1 – What is the tort of negligence?</w:t>
      </w:r>
      <w:bookmarkEnd w:id="9"/>
    </w:p>
    <w:p w14:paraId="19669100" w14:textId="77777777" w:rsidR="006A1B5B" w:rsidRDefault="006A1B5B" w:rsidP="006A1B5B">
      <w:r>
        <w:t xml:space="preserve">Torts in general are civil wrongs. The word ‘tort’ comes from the </w:t>
      </w:r>
      <w:r w:rsidR="00A67AF3">
        <w:t>behaviour</w:t>
      </w:r>
      <w:r>
        <w:t xml:space="preserve"> that is legally classified as ‘tortious’. The person or company who is responsible for committing a tort is called a ‘tortfeasor’. There are many different types of tort which </w:t>
      </w:r>
      <w:r w:rsidR="00A67AF3">
        <w:t>include</w:t>
      </w:r>
      <w:r>
        <w:t xml:space="preserve"> negligence, nuisance, slander, libel, trespass, assault</w:t>
      </w:r>
      <w:r w:rsidR="00A67AF3">
        <w:t>,</w:t>
      </w:r>
      <w:r>
        <w:t xml:space="preserve"> and battery. Each tort has its specific characteristics and is not governed by one set of rules to cover all. Instead they are dealt with case to case. The tort this report will be focussing on is negligence, this is the most commonly known tort and </w:t>
      </w:r>
      <w:r w:rsidR="006B3EDD">
        <w:t>it</w:t>
      </w:r>
      <w:r w:rsidR="00A67AF3">
        <w:t xml:space="preserve"> centres</w:t>
      </w:r>
      <w:r w:rsidR="006B3EDD">
        <w:t xml:space="preserve"> on unreasonable risks of harm to persons or property. The tort of Negligence has three essential elements which must relate to unreasonable risks to persons or property, these are; The Duty of Care, the Breach of Duty of Car</w:t>
      </w:r>
      <w:r w:rsidR="00A67AF3">
        <w:t xml:space="preserve">e </w:t>
      </w:r>
      <w:r w:rsidR="006B3EDD">
        <w:t>and Damage must be caused from the Breach.</w:t>
      </w:r>
    </w:p>
    <w:p w14:paraId="0ED57AA1" w14:textId="77777777" w:rsidR="00F30156" w:rsidRDefault="00F30156" w:rsidP="006A1B5B"/>
    <w:p w14:paraId="2ECE2CDC" w14:textId="77777777" w:rsidR="006B3EDD" w:rsidRPr="006B3EDD" w:rsidRDefault="006B3EDD" w:rsidP="006B3EDD">
      <w:pPr>
        <w:pStyle w:val="Heading2"/>
        <w:rPr>
          <w:b/>
          <w:color w:val="auto"/>
        </w:rPr>
      </w:pPr>
      <w:bookmarkStart w:id="10" w:name="_Toc120729293"/>
      <w:r w:rsidRPr="006B3EDD">
        <w:rPr>
          <w:b/>
          <w:color w:val="auto"/>
        </w:rPr>
        <w:t>D1.2 – Duty of Care</w:t>
      </w:r>
      <w:bookmarkEnd w:id="10"/>
    </w:p>
    <w:p w14:paraId="369BBA81" w14:textId="77777777" w:rsidR="006B3EDD" w:rsidRDefault="006B3EDD" w:rsidP="006B3EDD">
      <w:r>
        <w:t xml:space="preserve">The Duty of Care is the first element of the tort of Negligence, and it </w:t>
      </w:r>
      <w:r w:rsidR="00A67AF3">
        <w:t>focuses</w:t>
      </w:r>
      <w:r>
        <w:t xml:space="preserve"> on the relationship between the defendant and the claimant. For example, it could be your employer who has a duty of care to ensure you are safe at work, it could also be a food vendor, and they have a duty of care to ensure that the food is safe for you to eat.</w:t>
      </w:r>
      <w:r w:rsidR="00A67AF3">
        <w:t xml:space="preserve"> In the tort of Negligence, there is also a principle of ‘Thou shall not harm thy neighbour’ and this principle relates to any case of Negligence. </w:t>
      </w:r>
      <w:r>
        <w:t xml:space="preserve"> There are three requirements necessary when looking at the </w:t>
      </w:r>
      <w:r w:rsidR="00A67AF3">
        <w:t xml:space="preserve">Duty of Care; </w:t>
      </w:r>
    </w:p>
    <w:p w14:paraId="0F4EC4C0" w14:textId="77777777" w:rsidR="00A67AF3" w:rsidRDefault="00A67AF3" w:rsidP="00A67AF3">
      <w:pPr>
        <w:pStyle w:val="ListParagraph"/>
        <w:numPr>
          <w:ilvl w:val="0"/>
          <w:numId w:val="3"/>
        </w:numPr>
      </w:pPr>
      <w:r>
        <w:t>There must be reasonable foreseeability of the relevant loss</w:t>
      </w:r>
    </w:p>
    <w:p w14:paraId="5BDEC414" w14:textId="77777777" w:rsidR="00A67AF3" w:rsidRDefault="00A67AF3" w:rsidP="00A67AF3">
      <w:pPr>
        <w:pStyle w:val="ListParagraph"/>
        <w:numPr>
          <w:ilvl w:val="0"/>
          <w:numId w:val="3"/>
        </w:numPr>
      </w:pPr>
      <w:r>
        <w:t>It must be just and reasonable that a duty should exist</w:t>
      </w:r>
    </w:p>
    <w:p w14:paraId="0C15144D" w14:textId="77777777" w:rsidR="00A67AF3" w:rsidRDefault="00A67AF3" w:rsidP="00A67AF3">
      <w:pPr>
        <w:pStyle w:val="ListParagraph"/>
        <w:numPr>
          <w:ilvl w:val="0"/>
          <w:numId w:val="3"/>
        </w:numPr>
      </w:pPr>
      <w:r>
        <w:t>There must be a sufficient relationship of proximity between the defendant and the claimant.</w:t>
      </w:r>
    </w:p>
    <w:p w14:paraId="1FB88A11" w14:textId="77777777" w:rsidR="00F30156" w:rsidRDefault="00F30156" w:rsidP="008F1477"/>
    <w:p w14:paraId="05957B95" w14:textId="77777777" w:rsidR="00A67AF3" w:rsidRDefault="00A67AF3" w:rsidP="00A67AF3">
      <w:pPr>
        <w:pStyle w:val="Heading2"/>
        <w:rPr>
          <w:b/>
          <w:color w:val="auto"/>
        </w:rPr>
      </w:pPr>
      <w:bookmarkStart w:id="11" w:name="_Toc120729294"/>
      <w:r w:rsidRPr="00A67AF3">
        <w:rPr>
          <w:b/>
          <w:color w:val="auto"/>
        </w:rPr>
        <w:t>D1.3 – Breach of Duty of Care</w:t>
      </w:r>
      <w:bookmarkEnd w:id="11"/>
    </w:p>
    <w:p w14:paraId="52B2A898" w14:textId="77777777" w:rsidR="00A67AF3" w:rsidRDefault="00A67AF3" w:rsidP="00A67AF3">
      <w:r>
        <w:t>Once the first element, Duty of Care has been established, there must now be an assessment of whether this was breached. There are two stages to assess; the standard of care as well as the behaviour measured against the standard. There are factors that can raise or lower the basic standard of care, for example, the Duty of Care to ensure there are no falls from height is heightened when working on a large, high-rise construction site. However, the Duty of Care for working at height is lowered when working on smaller projects, so this needs to be assessed from case to case.</w:t>
      </w:r>
    </w:p>
    <w:p w14:paraId="2AFAA22A" w14:textId="77777777" w:rsidR="00F30156" w:rsidRDefault="00F30156" w:rsidP="00A67AF3"/>
    <w:p w14:paraId="6C2C0204" w14:textId="77777777" w:rsidR="00A67AF3" w:rsidRDefault="00A67AF3" w:rsidP="00A67AF3">
      <w:pPr>
        <w:pStyle w:val="Heading2"/>
        <w:rPr>
          <w:b/>
          <w:color w:val="auto"/>
        </w:rPr>
      </w:pPr>
      <w:bookmarkStart w:id="12" w:name="_Toc120729295"/>
      <w:r w:rsidRPr="00A67AF3">
        <w:rPr>
          <w:b/>
          <w:color w:val="auto"/>
        </w:rPr>
        <w:t xml:space="preserve">D1.4 </w:t>
      </w:r>
      <w:r>
        <w:rPr>
          <w:b/>
          <w:color w:val="auto"/>
        </w:rPr>
        <w:t>–</w:t>
      </w:r>
      <w:r w:rsidRPr="00A67AF3">
        <w:rPr>
          <w:b/>
          <w:color w:val="auto"/>
        </w:rPr>
        <w:t xml:space="preserve"> Damages</w:t>
      </w:r>
      <w:bookmarkEnd w:id="12"/>
    </w:p>
    <w:p w14:paraId="6F564EB5" w14:textId="77777777" w:rsidR="00A67AF3" w:rsidRDefault="00DD24AE" w:rsidP="00A67AF3">
      <w:r>
        <w:t>The final element of the tort of negligence is damages. To have a case, damage must be caused. In construction, this can range from Minor Injuries, to Financial Losses due to unforeseen circumstances, Death of a worker etc. Damage can take any form, however, the damages must not be too remote from the negligent act, which was seen in the case of McGhee v National Coal Board [1975]. The damage must also not too remote from the law.</w:t>
      </w:r>
    </w:p>
    <w:p w14:paraId="5D166E50" w14:textId="77777777" w:rsidR="00407743" w:rsidRDefault="00407743" w:rsidP="00A67AF3"/>
    <w:p w14:paraId="4092D6F1" w14:textId="77777777" w:rsidR="00DD24AE" w:rsidRPr="003450F3" w:rsidRDefault="00DD24AE" w:rsidP="003450F3">
      <w:pPr>
        <w:pStyle w:val="Heading1"/>
        <w:rPr>
          <w:b/>
          <w:color w:val="auto"/>
          <w:u w:val="single"/>
        </w:rPr>
      </w:pPr>
      <w:bookmarkStart w:id="13" w:name="_Toc120729296"/>
      <w:r w:rsidRPr="003450F3">
        <w:rPr>
          <w:b/>
          <w:color w:val="auto"/>
          <w:u w:val="single"/>
        </w:rPr>
        <w:lastRenderedPageBreak/>
        <w:t>D2.</w:t>
      </w:r>
      <w:r w:rsidR="003450F3" w:rsidRPr="003450F3">
        <w:rPr>
          <w:b/>
          <w:color w:val="auto"/>
          <w:u w:val="single"/>
        </w:rPr>
        <w:t>0</w:t>
      </w:r>
      <w:r w:rsidRPr="003450F3">
        <w:rPr>
          <w:b/>
          <w:color w:val="auto"/>
          <w:u w:val="single"/>
        </w:rPr>
        <w:t xml:space="preserve"> – Case Law of Choice – </w:t>
      </w:r>
      <w:r w:rsidR="008C6D54" w:rsidRPr="003450F3">
        <w:rPr>
          <w:b/>
          <w:color w:val="auto"/>
          <w:u w:val="single"/>
        </w:rPr>
        <w:t xml:space="preserve">Howmet Ltd v Economy Devices Ltd </w:t>
      </w:r>
      <w:r w:rsidRPr="003450F3">
        <w:rPr>
          <w:b/>
          <w:color w:val="auto"/>
          <w:u w:val="single"/>
        </w:rPr>
        <w:t xml:space="preserve">[2016] </w:t>
      </w:r>
      <w:r w:rsidR="008C6D54" w:rsidRPr="003450F3">
        <w:rPr>
          <w:b/>
          <w:color w:val="auto"/>
          <w:u w:val="single"/>
        </w:rPr>
        <w:t>EWCA</w:t>
      </w:r>
      <w:r w:rsidRPr="003450F3">
        <w:rPr>
          <w:b/>
          <w:color w:val="auto"/>
          <w:u w:val="single"/>
        </w:rPr>
        <w:t xml:space="preserve"> </w:t>
      </w:r>
      <w:r w:rsidR="008C6D54" w:rsidRPr="003450F3">
        <w:rPr>
          <w:b/>
          <w:color w:val="auto"/>
          <w:u w:val="single"/>
        </w:rPr>
        <w:t>Civ. 847</w:t>
      </w:r>
      <w:bookmarkEnd w:id="13"/>
    </w:p>
    <w:p w14:paraId="5C4CBA42" w14:textId="77777777" w:rsidR="004B7E16" w:rsidRDefault="004B7E16" w:rsidP="004B7E16"/>
    <w:p w14:paraId="06926699" w14:textId="77777777" w:rsidR="00647401" w:rsidRDefault="00647401" w:rsidP="00647401">
      <w:pPr>
        <w:pStyle w:val="Heading2"/>
        <w:rPr>
          <w:b/>
          <w:color w:val="auto"/>
        </w:rPr>
      </w:pPr>
      <w:bookmarkStart w:id="14" w:name="_Toc120729297"/>
      <w:r w:rsidRPr="00647401">
        <w:rPr>
          <w:b/>
          <w:color w:val="auto"/>
        </w:rPr>
        <w:t>D2.</w:t>
      </w:r>
      <w:r w:rsidR="003450F3">
        <w:rPr>
          <w:b/>
          <w:color w:val="auto"/>
        </w:rPr>
        <w:t>1</w:t>
      </w:r>
      <w:r w:rsidRPr="00647401">
        <w:rPr>
          <w:b/>
          <w:color w:val="auto"/>
        </w:rPr>
        <w:t xml:space="preserve"> – Summary of</w:t>
      </w:r>
      <w:r w:rsidR="008F1477">
        <w:rPr>
          <w:b/>
          <w:color w:val="auto"/>
        </w:rPr>
        <w:t xml:space="preserve"> the</w:t>
      </w:r>
      <w:r w:rsidRPr="00647401">
        <w:rPr>
          <w:b/>
          <w:color w:val="auto"/>
        </w:rPr>
        <w:t xml:space="preserve"> Case</w:t>
      </w:r>
      <w:bookmarkEnd w:id="14"/>
    </w:p>
    <w:p w14:paraId="3976AF49" w14:textId="77777777" w:rsidR="00647401" w:rsidRPr="001421FE" w:rsidRDefault="00647401" w:rsidP="00647401">
      <w:pPr>
        <w:rPr>
          <w:i/>
        </w:rPr>
      </w:pPr>
      <w:r w:rsidRPr="001421FE">
        <w:rPr>
          <w:i/>
        </w:rPr>
        <w:t>‘The Decision in this case demonstrates that a negligent manufacturer may be able to escape liability where the innocent party becomes aware of the defect before damage occurs and voluntarily continues to use the product.’</w:t>
      </w:r>
      <w:r w:rsidR="008F1477" w:rsidRPr="001421FE">
        <w:rPr>
          <w:i/>
        </w:rPr>
        <w:t xml:space="preserve"> (Accessed on 28/11/2022)</w:t>
      </w:r>
    </w:p>
    <w:p w14:paraId="192F43BC" w14:textId="77777777" w:rsidR="00647401" w:rsidRDefault="00647401" w:rsidP="00647401">
      <w:r>
        <w:t xml:space="preserve">The owner of the factory, Howmet Ltd (Claimant) installed ‘thermolevels’ in tanks to avert the risk of fire. The devices chosen to be installed were manufactured by Economy Devices Ltd (Defendant). </w:t>
      </w:r>
      <w:r w:rsidR="00354043">
        <w:t>One ‘thermolevels’ devices failed on two separate occasions, however, these fires were put out before any harm could be done. The Claimant realised at this point that the sensor was not working and ordered a new part ready to be fitted to ensure it was working in correct order. This did not happen though, as the part arrived at the factory it was not installed and not long later the same device failed, and the resulting fire destroyed the factory. The Judge in this case at first found that although the thermolevels were unsafe and faulty. The claimant had been aware of the problem and had not been relying on the thermolevel as a fire precaution as they had made operating procedure which was relying upon operator vigilance</w:t>
      </w:r>
      <w:r w:rsidR="008F1477">
        <w:t>.</w:t>
      </w:r>
    </w:p>
    <w:p w14:paraId="45465053" w14:textId="77777777" w:rsidR="008F1477" w:rsidRPr="001421FE" w:rsidRDefault="008F1477" w:rsidP="00647401">
      <w:pPr>
        <w:rPr>
          <w:i/>
        </w:rPr>
      </w:pPr>
      <w:r w:rsidRPr="001421FE">
        <w:rPr>
          <w:i/>
        </w:rPr>
        <w:t>‘The court of Appeal unanimously dismissed the appeal. Jackson LJ held that the Defendant (Economy Devices Ltd) was not liable in negligence, as its breach of duty had not caused the loss. The effective cause of the fire had not been the defective thermolevel, but the failure of the system which the Claimant (Howmet Ltd) had put in place to protect the tank following the malfunction of the thermolevel’ (Accessed on 28/11/2022)</w:t>
      </w:r>
    </w:p>
    <w:p w14:paraId="35844F81" w14:textId="77777777" w:rsidR="003450F3" w:rsidRPr="003450F3" w:rsidRDefault="003450F3" w:rsidP="003450F3">
      <w:pPr>
        <w:pStyle w:val="Heading2"/>
        <w:rPr>
          <w:b/>
        </w:rPr>
      </w:pPr>
      <w:bookmarkStart w:id="15" w:name="_Toc120729298"/>
      <w:r w:rsidRPr="003450F3">
        <w:rPr>
          <w:b/>
          <w:color w:val="auto"/>
        </w:rPr>
        <w:t>D2.2 – What is the importance of this case in the Construction Industry?</w:t>
      </w:r>
      <w:bookmarkEnd w:id="15"/>
    </w:p>
    <w:p w14:paraId="2FEAC90D" w14:textId="77777777" w:rsidR="001421FE" w:rsidRDefault="00A83EED">
      <w:r>
        <w:t>This case was very important to the construction industry. Not only does it stop fraudulent abuse of defective equipment,</w:t>
      </w:r>
      <w:r w:rsidR="001421FE">
        <w:t xml:space="preserve"> but</w:t>
      </w:r>
      <w:r>
        <w:t xml:space="preserve"> it also covers the manufacturer of the products. For example, if a scaffolding plank is defective and the ‘end user’ has noticed but continues to use it, then it becomes their fault if there is an accident involving the already defective scaffolding plank. Without this law</w:t>
      </w:r>
      <w:r w:rsidR="001421FE">
        <w:t>,</w:t>
      </w:r>
      <w:r>
        <w:t xml:space="preserve"> however, the end user could have kept using it, whilst noticing the problem and still could have thrown blame towards the manufacturer were something to go wrong. </w:t>
      </w:r>
    </w:p>
    <w:p w14:paraId="5D2FD29C" w14:textId="77777777" w:rsidR="00786EC0" w:rsidRDefault="001421FE">
      <w:pPr>
        <w:rPr>
          <w:rFonts w:cstheme="minorHAnsi"/>
          <w:i/>
        </w:rPr>
      </w:pPr>
      <w:r w:rsidRPr="001421FE">
        <w:rPr>
          <w:rFonts w:cstheme="minorHAnsi"/>
          <w:i/>
          <w:color w:val="000000"/>
          <w:szCs w:val="23"/>
          <w:shd w:val="clear" w:color="auto" w:fill="FFFFFF"/>
        </w:rPr>
        <w:t>‘The case serves as a cautionary reminder that once an end user has been alerted to a dangerous condition of a product, if it voluntarily continues to use it, thereby causing injury or damage, it normally does so entirely at its own risk’</w:t>
      </w:r>
      <w:r>
        <w:rPr>
          <w:rFonts w:cstheme="minorHAnsi"/>
          <w:i/>
        </w:rPr>
        <w:t xml:space="preserve"> (Accessed on 28/11/22)</w:t>
      </w:r>
    </w:p>
    <w:p w14:paraId="23AFDC63" w14:textId="70759C07" w:rsidR="003F35D3" w:rsidRDefault="00786EC0" w:rsidP="00786EC0">
      <w:pPr>
        <w:pStyle w:val="Heading2"/>
        <w:rPr>
          <w:b/>
          <w:color w:val="auto"/>
        </w:rPr>
      </w:pPr>
      <w:bookmarkStart w:id="16" w:name="_Toc120729299"/>
      <w:r w:rsidRPr="00786EC0">
        <w:rPr>
          <w:b/>
          <w:color w:val="auto"/>
        </w:rPr>
        <w:t>D2.3 – How can this affect a Project’s Progression?</w:t>
      </w:r>
      <w:bookmarkEnd w:id="16"/>
    </w:p>
    <w:p w14:paraId="6AEFA556" w14:textId="1DA014E6" w:rsidR="00C81FFE" w:rsidRPr="00C81FFE" w:rsidRDefault="00C81FFE" w:rsidP="00C81FFE">
      <w:r>
        <w:t>Going through this process will always affect a Project’s Progression due to disruption, partly due to manpower being used elsewhere, focussing on the case, as well as this, another way this can affect a projects progression is if it needs to be put on hold until the end of the case. Luckily, if the case is adjudication this will not be the case, unlike Litigation and arbitration, in which case the Project would have to be put on hold.</w:t>
      </w:r>
    </w:p>
    <w:p w14:paraId="3E3CE00C" w14:textId="77777777" w:rsidR="00157277" w:rsidRPr="00157277" w:rsidRDefault="00157277" w:rsidP="00157277"/>
    <w:p w14:paraId="3D379624" w14:textId="77777777" w:rsidR="003F35D3" w:rsidRDefault="003F35D3" w:rsidP="003F35D3"/>
    <w:p w14:paraId="3C96341A" w14:textId="77777777" w:rsidR="002F5BB1" w:rsidRDefault="002F5BB1" w:rsidP="002F5BB1">
      <w:pPr>
        <w:pStyle w:val="Heading1"/>
        <w:rPr>
          <w:b/>
          <w:bCs/>
          <w:color w:val="auto"/>
          <w:u w:val="single"/>
        </w:rPr>
      </w:pPr>
      <w:bookmarkStart w:id="17" w:name="_Toc120729300"/>
      <w:r>
        <w:rPr>
          <w:b/>
          <w:bCs/>
          <w:color w:val="auto"/>
          <w:u w:val="single"/>
        </w:rPr>
        <w:lastRenderedPageBreak/>
        <w:t>D3.0 - Beumer Group UK Ltd v Vinci Construction UK Ltd [2016] EWHC 2283 (TCC)</w:t>
      </w:r>
      <w:bookmarkEnd w:id="17"/>
    </w:p>
    <w:p w14:paraId="3E05F959" w14:textId="77777777" w:rsidR="002F5BB1" w:rsidRDefault="002F5BB1" w:rsidP="002F5BB1"/>
    <w:p w14:paraId="45D4608A" w14:textId="007CE060" w:rsidR="002F5BB1" w:rsidRDefault="002F5BB1" w:rsidP="002F5BB1">
      <w:r>
        <w:t>Adjudication is a well-established legal method that allows disputes in the construction industry and construction contracts to be resolved on interim basis that goes through the process of settling disputes a lot more quickly and more cost effectively than arbitration and litigation legal methods. As well as being more cost and time effective, the construction project can continue during this process, which would normally be paused using any other methods.</w:t>
      </w:r>
    </w:p>
    <w:p w14:paraId="51B87BD2" w14:textId="007ECF22" w:rsidR="00181F32" w:rsidRDefault="00181F32" w:rsidP="002F5BB1">
      <w:r>
        <w:t xml:space="preserve">In this case between Beumer Group UK Ltd and Vinci Construction UK Ltd, the judgement illustrates that when there are more than one adjudication simultaneously occurring between the same parties an using the same adjudicator then both parties must have been informed about their involvement in each of the adjudications. This should happen at the earliest opportunity </w:t>
      </w:r>
      <w:r w:rsidR="003A3B74">
        <w:t>as this could mean that there is a risk that the case could be seen as bias</w:t>
      </w:r>
      <w:r w:rsidR="00BF6CE2">
        <w:t>. This would not be taken lightly as the adjudicators need to act fairly and be seen to act fairly. In this case, the decisions made by the adjudicator were not held enforceable as the Main Contractor failed to inform the ‘sub-sub-contractor’ about each adjudication.</w:t>
      </w:r>
    </w:p>
    <w:p w14:paraId="1BDCEF78" w14:textId="5EECD852" w:rsidR="00BF6CE2" w:rsidRDefault="00BF6CE2" w:rsidP="002F5BB1"/>
    <w:p w14:paraId="3F33AD63" w14:textId="38BD7C9E" w:rsidR="00BF6CE2" w:rsidRPr="00BF6CE2" w:rsidRDefault="00BF6CE2" w:rsidP="00BF6CE2">
      <w:pPr>
        <w:pStyle w:val="Heading1"/>
        <w:rPr>
          <w:b/>
          <w:bCs/>
          <w:color w:val="auto"/>
          <w:u w:val="single"/>
        </w:rPr>
      </w:pPr>
      <w:r w:rsidRPr="00BF6CE2">
        <w:rPr>
          <w:b/>
          <w:bCs/>
          <w:color w:val="auto"/>
          <w:u w:val="single"/>
        </w:rPr>
        <w:t>E1.0 - Conclusion</w:t>
      </w:r>
    </w:p>
    <w:p w14:paraId="0EAF912D" w14:textId="20B0DDA8" w:rsidR="008F1477" w:rsidRPr="00786EC0" w:rsidRDefault="00BF6CE2" w:rsidP="002F5BB1">
      <w:r>
        <w:t xml:space="preserve"> To conclude, Negligence is a very </w:t>
      </w:r>
      <w:r w:rsidR="001F68C5">
        <w:t>effective</w:t>
      </w:r>
      <w:r>
        <w:t xml:space="preserve"> form of dispute in construction. Negligence is a vital part of building a case between construction contracts. Without laws enforcing Negligence, there would be a huge </w:t>
      </w:r>
      <w:r w:rsidR="00EA47C1">
        <w:t xml:space="preserve">influx of disagreements, companies or people taking advantage of </w:t>
      </w:r>
      <w:r w:rsidR="001F68C5">
        <w:t xml:space="preserve">the </w:t>
      </w:r>
      <w:r w:rsidR="00EA47C1">
        <w:t xml:space="preserve">lack of such laws, and the whole construction industry would not run as smoothly or efficiently. As seen in the two cases above, negligence laws </w:t>
      </w:r>
      <w:r w:rsidR="001F68C5">
        <w:t xml:space="preserve">have </w:t>
      </w:r>
      <w:r w:rsidR="00EA47C1">
        <w:t>assisted the defendant, Economy Devices, to not have to pay-out for the resulting factory fire, as the repair work necessary was not undertaken by Howmet Ltd, without these laws this would have been a different story, as the judge did find the ‘thermolevels’ to be faulty and unsafe</w:t>
      </w:r>
      <w:r w:rsidR="00E61152">
        <w:t xml:space="preserve">, this would have been swung entirely as the judge would have found the ‘defendant’ guilty. </w:t>
      </w:r>
      <w:r w:rsidR="00EA47C1">
        <w:t>As well as this, in the case between Beumer Group and Vinci Construction Ltd, the adjudications were not discussed at the earliest opportunities and the judge’s ruling was not enforceable as this would not be seen as fair and would be biased towards the main contractor</w:t>
      </w:r>
      <w:r w:rsidR="00FB63EA">
        <w:t xml:space="preserve"> who was aware of the multiple adjudications running at the same time.</w:t>
      </w:r>
      <w:r w:rsidR="008F1477" w:rsidRPr="00786EC0">
        <w:br w:type="page"/>
      </w:r>
    </w:p>
    <w:p w14:paraId="00613169" w14:textId="77777777" w:rsidR="008F1477" w:rsidRPr="008F1477" w:rsidRDefault="008F1477" w:rsidP="008F1477">
      <w:pPr>
        <w:pStyle w:val="Heading1"/>
        <w:rPr>
          <w:b/>
          <w:color w:val="auto"/>
        </w:rPr>
      </w:pPr>
      <w:bookmarkStart w:id="18" w:name="_Toc120729301"/>
      <w:r w:rsidRPr="008F1477">
        <w:rPr>
          <w:b/>
          <w:color w:val="auto"/>
        </w:rPr>
        <w:lastRenderedPageBreak/>
        <w:t>F1.0 – References</w:t>
      </w:r>
      <w:bookmarkEnd w:id="18"/>
    </w:p>
    <w:p w14:paraId="2BB13641" w14:textId="77777777" w:rsidR="008F1477" w:rsidRDefault="008F1477" w:rsidP="008F1477"/>
    <w:p w14:paraId="487B1C6D" w14:textId="77777777" w:rsidR="008F1477" w:rsidRDefault="001421FE" w:rsidP="008F1477">
      <w:r>
        <w:t>D2.1</w:t>
      </w:r>
      <w:r w:rsidR="008F1477">
        <w:t xml:space="preserve"> – Summary of the Case - </w:t>
      </w:r>
      <w:hyperlink r:id="rId8" w:history="1">
        <w:r w:rsidR="008F1477">
          <w:rPr>
            <w:rStyle w:val="Hyperlink"/>
          </w:rPr>
          <w:t>Top three construction cases: September 2016- Publications - Eversheds Sutherland (eversheds-sutherland.com)</w:t>
        </w:r>
      </w:hyperlink>
      <w:r w:rsidR="00786EC0">
        <w:t xml:space="preserve"> (Date Accessed 28/11/2022)</w:t>
      </w:r>
    </w:p>
    <w:p w14:paraId="35FE6E65" w14:textId="77777777" w:rsidR="008F1477" w:rsidRDefault="001421FE" w:rsidP="008F1477">
      <w:r>
        <w:t xml:space="preserve">D2.2 </w:t>
      </w:r>
      <w:r w:rsidR="009A26B5">
        <w:t>–</w:t>
      </w:r>
      <w:r>
        <w:t xml:space="preserve"> </w:t>
      </w:r>
      <w:r w:rsidR="009A26B5">
        <w:t xml:space="preserve">Importance on the Construction Industry - </w:t>
      </w:r>
      <w:hyperlink r:id="rId9" w:history="1">
        <w:r w:rsidR="009A26B5">
          <w:rPr>
            <w:rStyle w:val="Hyperlink"/>
          </w:rPr>
          <w:t>Top three construction cases: September 2016- Publications - Eversheds Sutherland (eversheds-sutherland.com)</w:t>
        </w:r>
      </w:hyperlink>
      <w:r w:rsidR="00786EC0">
        <w:t xml:space="preserve"> (Date Accessed 28/11/2022)</w:t>
      </w:r>
    </w:p>
    <w:p w14:paraId="7CDDE8A3" w14:textId="77777777" w:rsidR="00786EC0" w:rsidRPr="008F1477" w:rsidRDefault="00786EC0" w:rsidP="008F1477"/>
    <w:p w14:paraId="6832AE26" w14:textId="77777777" w:rsidR="00647401" w:rsidRPr="00647401" w:rsidRDefault="00647401" w:rsidP="00647401"/>
    <w:p w14:paraId="7B4FC83C" w14:textId="77777777" w:rsidR="00A67AF3" w:rsidRPr="00A67AF3" w:rsidRDefault="00A67AF3" w:rsidP="00A67AF3"/>
    <w:p w14:paraId="3EC19D3C" w14:textId="77777777" w:rsidR="006B3EDD" w:rsidRDefault="006B3EDD" w:rsidP="006A1B5B"/>
    <w:p w14:paraId="24B9CEF4" w14:textId="77777777" w:rsidR="006B3EDD" w:rsidRPr="006A1B5B" w:rsidRDefault="006B3EDD" w:rsidP="006A1B5B"/>
    <w:p w14:paraId="07453D69" w14:textId="77777777" w:rsidR="006A1B5B" w:rsidRDefault="006A1B5B" w:rsidP="006A1B5B"/>
    <w:p w14:paraId="0651A5A9" w14:textId="77777777" w:rsidR="006A1B5B" w:rsidRPr="006A1B5B" w:rsidRDefault="006A1B5B" w:rsidP="006A1B5B"/>
    <w:sectPr w:rsidR="006A1B5B" w:rsidRPr="006A1B5B" w:rsidSect="00E47C75">
      <w:headerReference w:type="default" r:id="rId10"/>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43DAA" w14:textId="77777777" w:rsidR="00A67AF3" w:rsidRDefault="00A67AF3" w:rsidP="00E47C75">
      <w:pPr>
        <w:spacing w:after="0" w:line="240" w:lineRule="auto"/>
      </w:pPr>
      <w:r>
        <w:separator/>
      </w:r>
    </w:p>
  </w:endnote>
  <w:endnote w:type="continuationSeparator" w:id="0">
    <w:p w14:paraId="5E7AEC8C" w14:textId="77777777" w:rsidR="00A67AF3" w:rsidRDefault="00A67AF3" w:rsidP="00E47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4848178"/>
      <w:docPartObj>
        <w:docPartGallery w:val="Page Numbers (Bottom of Page)"/>
        <w:docPartUnique/>
      </w:docPartObj>
    </w:sdtPr>
    <w:sdtEndPr>
      <w:rPr>
        <w:color w:val="7F7F7F" w:themeColor="background1" w:themeShade="7F"/>
        <w:spacing w:val="60"/>
      </w:rPr>
    </w:sdtEndPr>
    <w:sdtContent>
      <w:p w14:paraId="11F6B5C2" w14:textId="77777777" w:rsidR="00A67AF3" w:rsidRDefault="00A67AF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11FBF" w:rsidRPr="00611FBF">
          <w:rPr>
            <w:b/>
            <w:bCs/>
            <w:noProof/>
          </w:rPr>
          <w:t>6</w:t>
        </w:r>
        <w:r>
          <w:rPr>
            <w:b/>
            <w:bCs/>
            <w:noProof/>
          </w:rPr>
          <w:fldChar w:fldCharType="end"/>
        </w:r>
        <w:r>
          <w:rPr>
            <w:b/>
            <w:bCs/>
          </w:rPr>
          <w:t xml:space="preserve"> | </w:t>
        </w:r>
        <w:r>
          <w:rPr>
            <w:color w:val="7F7F7F" w:themeColor="background1" w:themeShade="7F"/>
            <w:spacing w:val="60"/>
          </w:rPr>
          <w:t>Page</w:t>
        </w:r>
      </w:p>
    </w:sdtContent>
  </w:sdt>
  <w:p w14:paraId="40A781DC" w14:textId="77777777" w:rsidR="00A67AF3" w:rsidRDefault="00A67A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4D06EF" w14:textId="77777777" w:rsidR="00A67AF3" w:rsidRDefault="00A67AF3" w:rsidP="00E47C75">
      <w:pPr>
        <w:spacing w:after="0" w:line="240" w:lineRule="auto"/>
      </w:pPr>
      <w:r>
        <w:separator/>
      </w:r>
    </w:p>
  </w:footnote>
  <w:footnote w:type="continuationSeparator" w:id="0">
    <w:p w14:paraId="31ECF1FD" w14:textId="77777777" w:rsidR="00A67AF3" w:rsidRDefault="00A67AF3" w:rsidP="00E47C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12CBE" w14:textId="77777777" w:rsidR="00A67AF3" w:rsidRDefault="00A67AF3">
    <w:pPr>
      <w:pStyle w:val="Header"/>
    </w:pPr>
    <w:r>
      <w:t>Legal Responsibilities</w:t>
    </w:r>
    <w:r>
      <w:ptab w:relativeTo="margin" w:alignment="center" w:leader="none"/>
    </w:r>
    <w:r>
      <w:t>Negligence in Construction</w:t>
    </w:r>
    <w:r>
      <w:ptab w:relativeTo="margin" w:alignment="right" w:leader="none"/>
    </w:r>
    <w:r>
      <w:t>Aaron Cowley (2119837)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26A1C"/>
    <w:multiLevelType w:val="hybridMultilevel"/>
    <w:tmpl w:val="11B82F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932C1D"/>
    <w:multiLevelType w:val="hybridMultilevel"/>
    <w:tmpl w:val="2FC4C31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C122E8"/>
    <w:multiLevelType w:val="hybridMultilevel"/>
    <w:tmpl w:val="97D679D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351732">
    <w:abstractNumId w:val="0"/>
  </w:num>
  <w:num w:numId="2" w16cid:durableId="1912696848">
    <w:abstractNumId w:val="2"/>
  </w:num>
  <w:num w:numId="3" w16cid:durableId="1338465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0975"/>
    <w:rsid w:val="000D68E8"/>
    <w:rsid w:val="001421FE"/>
    <w:rsid w:val="00157277"/>
    <w:rsid w:val="00160975"/>
    <w:rsid w:val="0017700B"/>
    <w:rsid w:val="00181F32"/>
    <w:rsid w:val="001E5C86"/>
    <w:rsid w:val="001F68C5"/>
    <w:rsid w:val="002F5BB1"/>
    <w:rsid w:val="003450F3"/>
    <w:rsid w:val="00354043"/>
    <w:rsid w:val="003A3B74"/>
    <w:rsid w:val="003F35D3"/>
    <w:rsid w:val="00407743"/>
    <w:rsid w:val="004B7E16"/>
    <w:rsid w:val="00611FBF"/>
    <w:rsid w:val="00647401"/>
    <w:rsid w:val="006A1B5B"/>
    <w:rsid w:val="006B3EDD"/>
    <w:rsid w:val="00785CCC"/>
    <w:rsid w:val="00786EC0"/>
    <w:rsid w:val="00805D49"/>
    <w:rsid w:val="008C6D54"/>
    <w:rsid w:val="008F1477"/>
    <w:rsid w:val="009A26B5"/>
    <w:rsid w:val="00A67AF3"/>
    <w:rsid w:val="00A83EED"/>
    <w:rsid w:val="00B43762"/>
    <w:rsid w:val="00BF6CE2"/>
    <w:rsid w:val="00C81FFE"/>
    <w:rsid w:val="00D40E0E"/>
    <w:rsid w:val="00DD24AE"/>
    <w:rsid w:val="00E47C75"/>
    <w:rsid w:val="00E61152"/>
    <w:rsid w:val="00EA47C1"/>
    <w:rsid w:val="00F30156"/>
    <w:rsid w:val="00FB6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F52C1"/>
  <w15:chartTrackingRefBased/>
  <w15:docId w15:val="{9798CA59-A2CA-4BAD-B943-BE393AE5D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C7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05D4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C7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47C75"/>
    <w:pPr>
      <w:outlineLvl w:val="9"/>
    </w:pPr>
    <w:rPr>
      <w:lang w:val="en-US"/>
    </w:rPr>
  </w:style>
  <w:style w:type="paragraph" w:styleId="Header">
    <w:name w:val="header"/>
    <w:basedOn w:val="Normal"/>
    <w:link w:val="HeaderChar"/>
    <w:uiPriority w:val="99"/>
    <w:unhideWhenUsed/>
    <w:rsid w:val="00E47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C75"/>
  </w:style>
  <w:style w:type="paragraph" w:styleId="Footer">
    <w:name w:val="footer"/>
    <w:basedOn w:val="Normal"/>
    <w:link w:val="FooterChar"/>
    <w:uiPriority w:val="99"/>
    <w:unhideWhenUsed/>
    <w:rsid w:val="00E47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C75"/>
  </w:style>
  <w:style w:type="character" w:customStyle="1" w:styleId="Heading2Char">
    <w:name w:val="Heading 2 Char"/>
    <w:basedOn w:val="DefaultParagraphFont"/>
    <w:link w:val="Heading2"/>
    <w:uiPriority w:val="9"/>
    <w:rsid w:val="00805D49"/>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805D49"/>
    <w:pPr>
      <w:ind w:left="720"/>
      <w:contextualSpacing/>
    </w:pPr>
  </w:style>
  <w:style w:type="paragraph" w:styleId="TOC1">
    <w:name w:val="toc 1"/>
    <w:basedOn w:val="Normal"/>
    <w:next w:val="Normal"/>
    <w:autoRedefine/>
    <w:uiPriority w:val="39"/>
    <w:unhideWhenUsed/>
    <w:rsid w:val="000D68E8"/>
    <w:pPr>
      <w:spacing w:after="100"/>
    </w:pPr>
  </w:style>
  <w:style w:type="paragraph" w:styleId="TOC2">
    <w:name w:val="toc 2"/>
    <w:basedOn w:val="Normal"/>
    <w:next w:val="Normal"/>
    <w:autoRedefine/>
    <w:uiPriority w:val="39"/>
    <w:unhideWhenUsed/>
    <w:rsid w:val="000D68E8"/>
    <w:pPr>
      <w:spacing w:after="100"/>
      <w:ind w:left="220"/>
    </w:pPr>
  </w:style>
  <w:style w:type="character" w:styleId="Hyperlink">
    <w:name w:val="Hyperlink"/>
    <w:basedOn w:val="DefaultParagraphFont"/>
    <w:uiPriority w:val="99"/>
    <w:unhideWhenUsed/>
    <w:rsid w:val="000D68E8"/>
    <w:rPr>
      <w:color w:val="0563C1" w:themeColor="hyperlink"/>
      <w:u w:val="single"/>
    </w:rPr>
  </w:style>
  <w:style w:type="character" w:styleId="FollowedHyperlink">
    <w:name w:val="FollowedHyperlink"/>
    <w:basedOn w:val="DefaultParagraphFont"/>
    <w:uiPriority w:val="99"/>
    <w:semiHidden/>
    <w:unhideWhenUsed/>
    <w:rsid w:val="009A26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ersheds-sutherland.com/global/en/what/articles/index.page?ArticleID=en/Construction_And_Engineering/Top_three_construction_cases_September_2016"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eversheds-sutherland.com/global/en/what/articles/index.page?ArticleID=en/Construction_And_Engineering/Top_three_construction_cases_September_2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8B04C-A967-4ECD-8391-DA033701D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7</Pages>
  <Words>1868</Words>
  <Characters>10652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Aaron Cowley (2119837)</cp:lastModifiedBy>
  <cp:revision>18</cp:revision>
  <dcterms:created xsi:type="dcterms:W3CDTF">2022-11-28T09:54:00Z</dcterms:created>
  <dcterms:modified xsi:type="dcterms:W3CDTF">2022-12-01T17:24:00Z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17bb6d6fa9a748c98549a6850e3274d0a04860d148da7b44d0dc5a2c21868f82</vt:lpwstr>
  </property>
</Properties>
</file>