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237B6" w14:textId="7C4D9059" w:rsidR="00444C7A" w:rsidRDefault="00763C43" w:rsidP="00972461">
      <w:pPr>
        <w:jc w:val="center"/>
      </w:pPr>
      <w:r>
        <w:rPr>
          <w:noProof/>
        </w:rPr>
        <w:drawing>
          <wp:inline distT="0" distB="0" distL="0" distR="0" wp14:anchorId="3807E93D" wp14:editId="228B9A03">
            <wp:extent cx="3381375" cy="13525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381375" cy="1352550"/>
                    </a:xfrm>
                    <a:prstGeom prst="rect">
                      <a:avLst/>
                    </a:prstGeom>
                    <a:ln/>
                  </pic:spPr>
                </pic:pic>
              </a:graphicData>
            </a:graphic>
          </wp:inline>
        </w:drawing>
      </w:r>
    </w:p>
    <w:p w14:paraId="7F20152F" w14:textId="77777777" w:rsidR="00444C7A" w:rsidRDefault="00763C43">
      <w:pPr>
        <w:jc w:val="center"/>
        <w:rPr>
          <w:b/>
          <w:bCs/>
        </w:rPr>
      </w:pPr>
      <w:r>
        <w:rPr>
          <w:b/>
          <w:bCs/>
        </w:rPr>
        <w:t>Module Name: Marketing Management</w:t>
      </w:r>
    </w:p>
    <w:p w14:paraId="0CD9A4A3" w14:textId="77777777" w:rsidR="00444C7A" w:rsidRDefault="00763C43">
      <w:pPr>
        <w:jc w:val="center"/>
        <w:rPr>
          <w:b/>
          <w:bCs/>
        </w:rPr>
      </w:pPr>
      <w:r>
        <w:rPr>
          <w:b/>
          <w:bCs/>
        </w:rPr>
        <w:t>Module Code: LCMB7024</w:t>
      </w:r>
    </w:p>
    <w:p w14:paraId="32FB04AC" w14:textId="77777777" w:rsidR="00972461" w:rsidRDefault="00972461">
      <w:pPr>
        <w:jc w:val="center"/>
        <w:rPr>
          <w:b/>
          <w:bCs/>
        </w:rPr>
      </w:pPr>
    </w:p>
    <w:p w14:paraId="5AFB2A4B" w14:textId="6181287C" w:rsidR="00972461" w:rsidRDefault="00972461">
      <w:pPr>
        <w:jc w:val="center"/>
        <w:rPr>
          <w:b/>
          <w:bCs/>
        </w:rPr>
      </w:pPr>
      <w:r w:rsidRPr="00972461">
        <w:rPr>
          <w:b/>
          <w:bCs/>
        </w:rPr>
        <w:t>Assessment component 1: Marketing Environment Analysis</w:t>
      </w:r>
    </w:p>
    <w:p w14:paraId="392895E6" w14:textId="77777777" w:rsidR="00972461" w:rsidRDefault="00972461">
      <w:pPr>
        <w:jc w:val="center"/>
        <w:rPr>
          <w:b/>
          <w:bCs/>
        </w:rPr>
      </w:pPr>
    </w:p>
    <w:p w14:paraId="148DBEBC" w14:textId="77777777" w:rsidR="00444C7A" w:rsidRDefault="00444C7A">
      <w:pPr>
        <w:rPr>
          <w:b/>
          <w:bCs/>
        </w:rPr>
      </w:pPr>
    </w:p>
    <w:p w14:paraId="1CDAEAA5" w14:textId="74CC5773" w:rsidR="00444C7A" w:rsidRDefault="00763C43">
      <w:pPr>
        <w:jc w:val="center"/>
        <w:rPr>
          <w:b/>
          <w:bCs/>
        </w:rPr>
      </w:pPr>
      <w:r>
        <w:rPr>
          <w:b/>
          <w:bCs/>
        </w:rPr>
        <w:t>Lecturer’s Name:</w:t>
      </w:r>
      <w:r w:rsidR="00972461">
        <w:rPr>
          <w:b/>
          <w:bCs/>
        </w:rPr>
        <w:t xml:space="preserve"> </w:t>
      </w:r>
      <w:r w:rsidR="00972461" w:rsidRPr="00972461">
        <w:rPr>
          <w:b/>
          <w:bCs/>
        </w:rPr>
        <w:t xml:space="preserve">Dr Laila </w:t>
      </w:r>
      <w:proofErr w:type="spellStart"/>
      <w:r w:rsidR="00972461" w:rsidRPr="00972461">
        <w:rPr>
          <w:b/>
          <w:bCs/>
        </w:rPr>
        <w:t>Maazouz</w:t>
      </w:r>
      <w:proofErr w:type="spellEnd"/>
      <w:r w:rsidR="00972461" w:rsidRPr="00972461">
        <w:rPr>
          <w:b/>
          <w:bCs/>
        </w:rPr>
        <w:t xml:space="preserve"> (London)</w:t>
      </w:r>
    </w:p>
    <w:p w14:paraId="2798B3EF" w14:textId="77777777" w:rsidR="00972461" w:rsidRDefault="00972461">
      <w:pPr>
        <w:jc w:val="center"/>
        <w:rPr>
          <w:b/>
          <w:bCs/>
        </w:rPr>
      </w:pPr>
    </w:p>
    <w:p w14:paraId="1221DAB4" w14:textId="77777777" w:rsidR="00972461" w:rsidRDefault="00972461">
      <w:pPr>
        <w:jc w:val="center"/>
        <w:rPr>
          <w:b/>
          <w:bCs/>
        </w:rPr>
      </w:pPr>
    </w:p>
    <w:p w14:paraId="1B4CCFB5" w14:textId="77777777" w:rsidR="00972461" w:rsidRDefault="00972461" w:rsidP="00972461">
      <w:pPr>
        <w:jc w:val="center"/>
        <w:rPr>
          <w:b/>
          <w:bCs/>
        </w:rPr>
      </w:pPr>
      <w:r>
        <w:rPr>
          <w:b/>
          <w:bCs/>
        </w:rPr>
        <w:t xml:space="preserve">Student Name: </w:t>
      </w:r>
      <w:r w:rsidRPr="00972461">
        <w:rPr>
          <w:b/>
          <w:bCs/>
        </w:rPr>
        <w:t xml:space="preserve">Md </w:t>
      </w:r>
      <w:r>
        <w:rPr>
          <w:b/>
          <w:bCs/>
        </w:rPr>
        <w:t>M</w:t>
      </w:r>
      <w:r w:rsidRPr="00972461">
        <w:rPr>
          <w:b/>
          <w:bCs/>
        </w:rPr>
        <w:t xml:space="preserve">oinul </w:t>
      </w:r>
      <w:r>
        <w:rPr>
          <w:b/>
          <w:bCs/>
        </w:rPr>
        <w:t>H</w:t>
      </w:r>
      <w:r w:rsidRPr="00972461">
        <w:rPr>
          <w:b/>
          <w:bCs/>
        </w:rPr>
        <w:t xml:space="preserve">asan </w:t>
      </w:r>
      <w:proofErr w:type="spellStart"/>
      <w:r>
        <w:rPr>
          <w:b/>
          <w:bCs/>
        </w:rPr>
        <w:t>B</w:t>
      </w:r>
      <w:r w:rsidRPr="00972461">
        <w:rPr>
          <w:b/>
          <w:bCs/>
        </w:rPr>
        <w:t>appy</w:t>
      </w:r>
      <w:proofErr w:type="spellEnd"/>
    </w:p>
    <w:p w14:paraId="6CC9052E" w14:textId="77777777" w:rsidR="00972461" w:rsidRDefault="00972461" w:rsidP="00972461">
      <w:pPr>
        <w:jc w:val="center"/>
        <w:rPr>
          <w:b/>
          <w:bCs/>
        </w:rPr>
      </w:pPr>
      <w:r>
        <w:rPr>
          <w:b/>
          <w:bCs/>
        </w:rPr>
        <w:t xml:space="preserve">Student ID: </w:t>
      </w:r>
      <w:r w:rsidRPr="00972461">
        <w:rPr>
          <w:b/>
          <w:bCs/>
        </w:rPr>
        <w:t>2503567</w:t>
      </w:r>
    </w:p>
    <w:p w14:paraId="3F437E30" w14:textId="77777777" w:rsidR="00972461" w:rsidRDefault="00972461">
      <w:pPr>
        <w:jc w:val="center"/>
        <w:rPr>
          <w:b/>
          <w:bCs/>
        </w:rPr>
      </w:pPr>
    </w:p>
    <w:p w14:paraId="15688633" w14:textId="77777777" w:rsidR="00444C7A" w:rsidRDefault="00444C7A">
      <w:pPr>
        <w:rPr>
          <w:b/>
          <w:bCs/>
        </w:rPr>
      </w:pPr>
    </w:p>
    <w:p w14:paraId="65F1063A" w14:textId="15B08C14" w:rsidR="00444C7A" w:rsidRDefault="00763C43">
      <w:pPr>
        <w:jc w:val="center"/>
        <w:rPr>
          <w:b/>
          <w:bCs/>
        </w:rPr>
      </w:pPr>
      <w:r>
        <w:rPr>
          <w:b/>
          <w:bCs/>
        </w:rPr>
        <w:t>Work Count: 27</w:t>
      </w:r>
      <w:r w:rsidR="00EC5C71">
        <w:rPr>
          <w:b/>
          <w:bCs/>
        </w:rPr>
        <w:t>44</w:t>
      </w:r>
    </w:p>
    <w:p w14:paraId="6A88C5A5" w14:textId="77777777" w:rsidR="00444C7A" w:rsidRDefault="00444C7A">
      <w:pPr>
        <w:jc w:val="center"/>
        <w:rPr>
          <w:b/>
          <w:bCs/>
        </w:rPr>
      </w:pPr>
    </w:p>
    <w:p w14:paraId="1C133E55" w14:textId="77777777" w:rsidR="00444C7A" w:rsidRDefault="00444C7A">
      <w:pPr>
        <w:rPr>
          <w:b/>
          <w:bCs/>
        </w:rPr>
      </w:pPr>
    </w:p>
    <w:p w14:paraId="294B123B" w14:textId="77777777" w:rsidR="00444C7A" w:rsidRDefault="00763C43">
      <w:pPr>
        <w:jc w:val="center"/>
        <w:rPr>
          <w:b/>
          <w:bCs/>
        </w:rPr>
      </w:pPr>
      <w:r>
        <w:rPr>
          <w:b/>
          <w:bCs/>
        </w:rPr>
        <w:t>Term 1</w:t>
      </w:r>
    </w:p>
    <w:p w14:paraId="4007229F" w14:textId="77777777" w:rsidR="00444C7A" w:rsidRDefault="00763C43">
      <w:pPr>
        <w:rPr>
          <w:b/>
          <w:bCs/>
        </w:rPr>
      </w:pPr>
      <w:r>
        <w:br w:type="page"/>
      </w:r>
    </w:p>
    <w:p w14:paraId="6CC808A6" w14:textId="77777777" w:rsidR="00444C7A" w:rsidRDefault="00763C43">
      <w:pPr>
        <w:keepNext/>
        <w:keepLines/>
        <w:pBdr>
          <w:top w:val="nil"/>
          <w:left w:val="nil"/>
          <w:bottom w:val="nil"/>
          <w:right w:val="nil"/>
          <w:between w:val="nil"/>
        </w:pBdr>
        <w:spacing w:before="480" w:after="0" w:line="276" w:lineRule="auto"/>
        <w:rPr>
          <w:color w:val="0F4761"/>
          <w:sz w:val="28"/>
          <w:szCs w:val="28"/>
          <w:u w:val="single"/>
        </w:rPr>
      </w:pPr>
      <w:r>
        <w:rPr>
          <w:color w:val="0F4761"/>
          <w:sz w:val="28"/>
          <w:szCs w:val="28"/>
          <w:u w:val="single"/>
        </w:rPr>
        <w:lastRenderedPageBreak/>
        <w:t>Table of Contents</w:t>
      </w:r>
    </w:p>
    <w:sdt>
      <w:sdtPr>
        <w:id w:val="-965522797"/>
        <w:docPartObj>
          <w:docPartGallery w:val="Table of Contents"/>
          <w:docPartUnique/>
        </w:docPartObj>
      </w:sdtPr>
      <w:sdtEndPr/>
      <w:sdtContent>
        <w:p w14:paraId="6135349B" w14:textId="1CE5295E" w:rsidR="00EC5C71" w:rsidRDefault="00763C43">
          <w:pPr>
            <w:pStyle w:val="TOC1"/>
            <w:tabs>
              <w:tab w:val="right" w:leader="dot" w:pos="9016"/>
            </w:tabs>
            <w:rPr>
              <w:noProof/>
            </w:rPr>
          </w:pPr>
          <w:r>
            <w:fldChar w:fldCharType="begin"/>
          </w:r>
          <w:r>
            <w:instrText xml:space="preserve"> TOC \h \u \z \t "Heading 1,1,Heading 2,2,Heading 3,3,"</w:instrText>
          </w:r>
          <w:r>
            <w:fldChar w:fldCharType="separate"/>
          </w:r>
          <w:hyperlink w:anchor="_Toc214569749" w:history="1">
            <w:r w:rsidR="00EC5C71" w:rsidRPr="000A49B1">
              <w:rPr>
                <w:rStyle w:val="Hyperlink"/>
                <w:noProof/>
              </w:rPr>
              <w:t>1. Introduction</w:t>
            </w:r>
            <w:r w:rsidR="00EC5C71">
              <w:rPr>
                <w:noProof/>
                <w:webHidden/>
              </w:rPr>
              <w:tab/>
            </w:r>
            <w:r w:rsidR="00EC5C71">
              <w:rPr>
                <w:noProof/>
                <w:webHidden/>
              </w:rPr>
              <w:fldChar w:fldCharType="begin"/>
            </w:r>
            <w:r w:rsidR="00EC5C71">
              <w:rPr>
                <w:noProof/>
                <w:webHidden/>
              </w:rPr>
              <w:instrText xml:space="preserve"> PAGEREF _Toc214569749 \h </w:instrText>
            </w:r>
            <w:r w:rsidR="00EC5C71">
              <w:rPr>
                <w:noProof/>
                <w:webHidden/>
              </w:rPr>
            </w:r>
            <w:r w:rsidR="00EC5C71">
              <w:rPr>
                <w:noProof/>
                <w:webHidden/>
              </w:rPr>
              <w:fldChar w:fldCharType="separate"/>
            </w:r>
            <w:r w:rsidR="00EC5C71">
              <w:rPr>
                <w:noProof/>
                <w:webHidden/>
              </w:rPr>
              <w:t>3</w:t>
            </w:r>
            <w:r w:rsidR="00EC5C71">
              <w:rPr>
                <w:noProof/>
                <w:webHidden/>
              </w:rPr>
              <w:fldChar w:fldCharType="end"/>
            </w:r>
          </w:hyperlink>
        </w:p>
        <w:p w14:paraId="513019F1" w14:textId="66FE7E3B" w:rsidR="00EC5C71" w:rsidRDefault="00763C43">
          <w:pPr>
            <w:pStyle w:val="TOC1"/>
            <w:tabs>
              <w:tab w:val="right" w:leader="dot" w:pos="9016"/>
            </w:tabs>
            <w:rPr>
              <w:noProof/>
            </w:rPr>
          </w:pPr>
          <w:hyperlink w:anchor="_Toc214569750" w:history="1">
            <w:r w:rsidR="00EC5C71" w:rsidRPr="000A49B1">
              <w:rPr>
                <w:rStyle w:val="Hyperlink"/>
                <w:noProof/>
              </w:rPr>
              <w:t>2. Task 1: Critical Analysis of the Macro Marketing Environment</w:t>
            </w:r>
            <w:r w:rsidR="00EC5C71">
              <w:rPr>
                <w:noProof/>
                <w:webHidden/>
              </w:rPr>
              <w:tab/>
            </w:r>
            <w:r w:rsidR="00EC5C71">
              <w:rPr>
                <w:noProof/>
                <w:webHidden/>
              </w:rPr>
              <w:fldChar w:fldCharType="begin"/>
            </w:r>
            <w:r w:rsidR="00EC5C71">
              <w:rPr>
                <w:noProof/>
                <w:webHidden/>
              </w:rPr>
              <w:instrText xml:space="preserve"> PAGEREF _Toc214569750 \h </w:instrText>
            </w:r>
            <w:r w:rsidR="00EC5C71">
              <w:rPr>
                <w:noProof/>
                <w:webHidden/>
              </w:rPr>
            </w:r>
            <w:r w:rsidR="00EC5C71">
              <w:rPr>
                <w:noProof/>
                <w:webHidden/>
              </w:rPr>
              <w:fldChar w:fldCharType="separate"/>
            </w:r>
            <w:r w:rsidR="00EC5C71">
              <w:rPr>
                <w:noProof/>
                <w:webHidden/>
              </w:rPr>
              <w:t>4</w:t>
            </w:r>
            <w:r w:rsidR="00EC5C71">
              <w:rPr>
                <w:noProof/>
                <w:webHidden/>
              </w:rPr>
              <w:fldChar w:fldCharType="end"/>
            </w:r>
          </w:hyperlink>
        </w:p>
        <w:p w14:paraId="3D600127" w14:textId="6FA7CC7C" w:rsidR="00EC5C71" w:rsidRDefault="00763C43">
          <w:pPr>
            <w:pStyle w:val="TOC2"/>
            <w:tabs>
              <w:tab w:val="right" w:leader="dot" w:pos="9016"/>
            </w:tabs>
            <w:rPr>
              <w:noProof/>
            </w:rPr>
          </w:pPr>
          <w:hyperlink w:anchor="_Toc214569751" w:history="1">
            <w:r w:rsidR="00EC5C71" w:rsidRPr="000A49B1">
              <w:rPr>
                <w:rStyle w:val="Hyperlink"/>
                <w:noProof/>
              </w:rPr>
              <w:t>2.1 Overview of the Macro Marketing Environment</w:t>
            </w:r>
            <w:r w:rsidR="00EC5C71">
              <w:rPr>
                <w:noProof/>
                <w:webHidden/>
              </w:rPr>
              <w:tab/>
            </w:r>
            <w:r w:rsidR="00EC5C71">
              <w:rPr>
                <w:noProof/>
                <w:webHidden/>
              </w:rPr>
              <w:fldChar w:fldCharType="begin"/>
            </w:r>
            <w:r w:rsidR="00EC5C71">
              <w:rPr>
                <w:noProof/>
                <w:webHidden/>
              </w:rPr>
              <w:instrText xml:space="preserve"> PAGEREF _Toc214569751 \h </w:instrText>
            </w:r>
            <w:r w:rsidR="00EC5C71">
              <w:rPr>
                <w:noProof/>
                <w:webHidden/>
              </w:rPr>
            </w:r>
            <w:r w:rsidR="00EC5C71">
              <w:rPr>
                <w:noProof/>
                <w:webHidden/>
              </w:rPr>
              <w:fldChar w:fldCharType="separate"/>
            </w:r>
            <w:r w:rsidR="00EC5C71">
              <w:rPr>
                <w:noProof/>
                <w:webHidden/>
              </w:rPr>
              <w:t>4</w:t>
            </w:r>
            <w:r w:rsidR="00EC5C71">
              <w:rPr>
                <w:noProof/>
                <w:webHidden/>
              </w:rPr>
              <w:fldChar w:fldCharType="end"/>
            </w:r>
          </w:hyperlink>
        </w:p>
        <w:p w14:paraId="2718FD67" w14:textId="6284FE8D" w:rsidR="00EC5C71" w:rsidRDefault="00763C43">
          <w:pPr>
            <w:pStyle w:val="TOC2"/>
            <w:tabs>
              <w:tab w:val="right" w:leader="dot" w:pos="9016"/>
            </w:tabs>
            <w:rPr>
              <w:noProof/>
            </w:rPr>
          </w:pPr>
          <w:hyperlink w:anchor="_Toc214569752" w:history="1">
            <w:r w:rsidR="00EC5C71" w:rsidRPr="000A49B1">
              <w:rPr>
                <w:rStyle w:val="Hyperlink"/>
                <w:noProof/>
              </w:rPr>
              <w:t>2.2 Selection of Two External Macro Marketing Actors (Technological and Economic)</w:t>
            </w:r>
            <w:r w:rsidR="00EC5C71">
              <w:rPr>
                <w:noProof/>
                <w:webHidden/>
              </w:rPr>
              <w:tab/>
            </w:r>
            <w:r w:rsidR="00EC5C71">
              <w:rPr>
                <w:noProof/>
                <w:webHidden/>
              </w:rPr>
              <w:fldChar w:fldCharType="begin"/>
            </w:r>
            <w:r w:rsidR="00EC5C71">
              <w:rPr>
                <w:noProof/>
                <w:webHidden/>
              </w:rPr>
              <w:instrText xml:space="preserve"> PAGEREF _Toc214569752 \h </w:instrText>
            </w:r>
            <w:r w:rsidR="00EC5C71">
              <w:rPr>
                <w:noProof/>
                <w:webHidden/>
              </w:rPr>
            </w:r>
            <w:r w:rsidR="00EC5C71">
              <w:rPr>
                <w:noProof/>
                <w:webHidden/>
              </w:rPr>
              <w:fldChar w:fldCharType="separate"/>
            </w:r>
            <w:r w:rsidR="00EC5C71">
              <w:rPr>
                <w:noProof/>
                <w:webHidden/>
              </w:rPr>
              <w:t>5</w:t>
            </w:r>
            <w:r w:rsidR="00EC5C71">
              <w:rPr>
                <w:noProof/>
                <w:webHidden/>
              </w:rPr>
              <w:fldChar w:fldCharType="end"/>
            </w:r>
          </w:hyperlink>
        </w:p>
        <w:p w14:paraId="04BE0FCB" w14:textId="0D75762B" w:rsidR="00EC5C71" w:rsidRDefault="00763C43">
          <w:pPr>
            <w:pStyle w:val="TOC2"/>
            <w:tabs>
              <w:tab w:val="right" w:leader="dot" w:pos="9016"/>
            </w:tabs>
            <w:rPr>
              <w:noProof/>
            </w:rPr>
          </w:pPr>
          <w:hyperlink w:anchor="_Toc214569753" w:history="1">
            <w:r w:rsidR="00EC5C71" w:rsidRPr="000A49B1">
              <w:rPr>
                <w:rStyle w:val="Hyperlink"/>
                <w:noProof/>
              </w:rPr>
              <w:t>2.3 Critical Analysis of Each Actor</w:t>
            </w:r>
            <w:r w:rsidR="00EC5C71">
              <w:rPr>
                <w:noProof/>
                <w:webHidden/>
              </w:rPr>
              <w:tab/>
            </w:r>
            <w:r w:rsidR="00EC5C71">
              <w:rPr>
                <w:noProof/>
                <w:webHidden/>
              </w:rPr>
              <w:fldChar w:fldCharType="begin"/>
            </w:r>
            <w:r w:rsidR="00EC5C71">
              <w:rPr>
                <w:noProof/>
                <w:webHidden/>
              </w:rPr>
              <w:instrText xml:space="preserve"> PAGEREF _Toc214569753 \h </w:instrText>
            </w:r>
            <w:r w:rsidR="00EC5C71">
              <w:rPr>
                <w:noProof/>
                <w:webHidden/>
              </w:rPr>
            </w:r>
            <w:r w:rsidR="00EC5C71">
              <w:rPr>
                <w:noProof/>
                <w:webHidden/>
              </w:rPr>
              <w:fldChar w:fldCharType="separate"/>
            </w:r>
            <w:r w:rsidR="00EC5C71">
              <w:rPr>
                <w:noProof/>
                <w:webHidden/>
              </w:rPr>
              <w:t>6</w:t>
            </w:r>
            <w:r w:rsidR="00EC5C71">
              <w:rPr>
                <w:noProof/>
                <w:webHidden/>
              </w:rPr>
              <w:fldChar w:fldCharType="end"/>
            </w:r>
          </w:hyperlink>
        </w:p>
        <w:p w14:paraId="0A709B24" w14:textId="1E10EE47" w:rsidR="00EC5C71" w:rsidRDefault="00763C43">
          <w:pPr>
            <w:pStyle w:val="TOC3"/>
            <w:tabs>
              <w:tab w:val="right" w:leader="dot" w:pos="9016"/>
            </w:tabs>
            <w:rPr>
              <w:noProof/>
            </w:rPr>
          </w:pPr>
          <w:hyperlink w:anchor="_Toc214569754" w:history="1">
            <w:r w:rsidR="00EC5C71" w:rsidRPr="000A49B1">
              <w:rPr>
                <w:rStyle w:val="Hyperlink"/>
                <w:noProof/>
              </w:rPr>
              <w:t>2.3.1 Technological Factors</w:t>
            </w:r>
            <w:r w:rsidR="00EC5C71">
              <w:rPr>
                <w:noProof/>
                <w:webHidden/>
              </w:rPr>
              <w:tab/>
            </w:r>
            <w:r w:rsidR="00EC5C71">
              <w:rPr>
                <w:noProof/>
                <w:webHidden/>
              </w:rPr>
              <w:fldChar w:fldCharType="begin"/>
            </w:r>
            <w:r w:rsidR="00EC5C71">
              <w:rPr>
                <w:noProof/>
                <w:webHidden/>
              </w:rPr>
              <w:instrText xml:space="preserve"> PAGEREF _Toc214569754 \h </w:instrText>
            </w:r>
            <w:r w:rsidR="00EC5C71">
              <w:rPr>
                <w:noProof/>
                <w:webHidden/>
              </w:rPr>
            </w:r>
            <w:r w:rsidR="00EC5C71">
              <w:rPr>
                <w:noProof/>
                <w:webHidden/>
              </w:rPr>
              <w:fldChar w:fldCharType="separate"/>
            </w:r>
            <w:r w:rsidR="00EC5C71">
              <w:rPr>
                <w:noProof/>
                <w:webHidden/>
              </w:rPr>
              <w:t>6</w:t>
            </w:r>
            <w:r w:rsidR="00EC5C71">
              <w:rPr>
                <w:noProof/>
                <w:webHidden/>
              </w:rPr>
              <w:fldChar w:fldCharType="end"/>
            </w:r>
          </w:hyperlink>
        </w:p>
        <w:p w14:paraId="1CFC76FE" w14:textId="1B3F6AE8" w:rsidR="00EC5C71" w:rsidRDefault="00763C43">
          <w:pPr>
            <w:pStyle w:val="TOC3"/>
            <w:tabs>
              <w:tab w:val="right" w:leader="dot" w:pos="9016"/>
            </w:tabs>
            <w:rPr>
              <w:noProof/>
            </w:rPr>
          </w:pPr>
          <w:hyperlink w:anchor="_Toc214569755" w:history="1">
            <w:r w:rsidR="00EC5C71" w:rsidRPr="000A49B1">
              <w:rPr>
                <w:rStyle w:val="Hyperlink"/>
                <w:noProof/>
              </w:rPr>
              <w:t>2.3.2 Economic Factors</w:t>
            </w:r>
            <w:r w:rsidR="00EC5C71">
              <w:rPr>
                <w:noProof/>
                <w:webHidden/>
              </w:rPr>
              <w:tab/>
            </w:r>
            <w:r w:rsidR="00EC5C71">
              <w:rPr>
                <w:noProof/>
                <w:webHidden/>
              </w:rPr>
              <w:fldChar w:fldCharType="begin"/>
            </w:r>
            <w:r w:rsidR="00EC5C71">
              <w:rPr>
                <w:noProof/>
                <w:webHidden/>
              </w:rPr>
              <w:instrText xml:space="preserve"> PAGEREF _Toc214569755 \h </w:instrText>
            </w:r>
            <w:r w:rsidR="00EC5C71">
              <w:rPr>
                <w:noProof/>
                <w:webHidden/>
              </w:rPr>
            </w:r>
            <w:r w:rsidR="00EC5C71">
              <w:rPr>
                <w:noProof/>
                <w:webHidden/>
              </w:rPr>
              <w:fldChar w:fldCharType="separate"/>
            </w:r>
            <w:r w:rsidR="00EC5C71">
              <w:rPr>
                <w:noProof/>
                <w:webHidden/>
              </w:rPr>
              <w:t>8</w:t>
            </w:r>
            <w:r w:rsidR="00EC5C71">
              <w:rPr>
                <w:noProof/>
                <w:webHidden/>
              </w:rPr>
              <w:fldChar w:fldCharType="end"/>
            </w:r>
          </w:hyperlink>
        </w:p>
        <w:p w14:paraId="1C6DA99F" w14:textId="55A7FBEB" w:rsidR="00EC5C71" w:rsidRDefault="00763C43">
          <w:pPr>
            <w:pStyle w:val="TOC1"/>
            <w:tabs>
              <w:tab w:val="right" w:leader="dot" w:pos="9016"/>
            </w:tabs>
            <w:rPr>
              <w:noProof/>
            </w:rPr>
          </w:pPr>
          <w:hyperlink w:anchor="_Toc214569756" w:history="1">
            <w:r w:rsidR="00EC5C71" w:rsidRPr="000A49B1">
              <w:rPr>
                <w:rStyle w:val="Hyperlink"/>
                <w:noProof/>
              </w:rPr>
              <w:t>3. Task 2 Structure (Porter’s Generic Strategies)</w:t>
            </w:r>
            <w:r w:rsidR="00EC5C71">
              <w:rPr>
                <w:noProof/>
                <w:webHidden/>
              </w:rPr>
              <w:tab/>
            </w:r>
            <w:r w:rsidR="00EC5C71">
              <w:rPr>
                <w:noProof/>
                <w:webHidden/>
              </w:rPr>
              <w:fldChar w:fldCharType="begin"/>
            </w:r>
            <w:r w:rsidR="00EC5C71">
              <w:rPr>
                <w:noProof/>
                <w:webHidden/>
              </w:rPr>
              <w:instrText xml:space="preserve"> PAGEREF _Toc214569756 \h </w:instrText>
            </w:r>
            <w:r w:rsidR="00EC5C71">
              <w:rPr>
                <w:noProof/>
                <w:webHidden/>
              </w:rPr>
            </w:r>
            <w:r w:rsidR="00EC5C71">
              <w:rPr>
                <w:noProof/>
                <w:webHidden/>
              </w:rPr>
              <w:fldChar w:fldCharType="separate"/>
            </w:r>
            <w:r w:rsidR="00EC5C71">
              <w:rPr>
                <w:noProof/>
                <w:webHidden/>
              </w:rPr>
              <w:t>10</w:t>
            </w:r>
            <w:r w:rsidR="00EC5C71">
              <w:rPr>
                <w:noProof/>
                <w:webHidden/>
              </w:rPr>
              <w:fldChar w:fldCharType="end"/>
            </w:r>
          </w:hyperlink>
        </w:p>
        <w:p w14:paraId="3610E6D8" w14:textId="2C5A7A37" w:rsidR="00EC5C71" w:rsidRDefault="00763C43">
          <w:pPr>
            <w:pStyle w:val="TOC2"/>
            <w:tabs>
              <w:tab w:val="right" w:leader="dot" w:pos="9016"/>
            </w:tabs>
            <w:rPr>
              <w:noProof/>
            </w:rPr>
          </w:pPr>
          <w:hyperlink w:anchor="_Toc214569757" w:history="1">
            <w:r w:rsidR="00EC5C71" w:rsidRPr="000A49B1">
              <w:rPr>
                <w:rStyle w:val="Hyperlink"/>
                <w:noProof/>
              </w:rPr>
              <w:t>3.1 Pioneering Organisation’s Strategic Response — Dyson</w:t>
            </w:r>
            <w:r w:rsidR="00EC5C71">
              <w:rPr>
                <w:noProof/>
                <w:webHidden/>
              </w:rPr>
              <w:tab/>
            </w:r>
            <w:r w:rsidR="00EC5C71">
              <w:rPr>
                <w:noProof/>
                <w:webHidden/>
              </w:rPr>
              <w:fldChar w:fldCharType="begin"/>
            </w:r>
            <w:r w:rsidR="00EC5C71">
              <w:rPr>
                <w:noProof/>
                <w:webHidden/>
              </w:rPr>
              <w:instrText xml:space="preserve"> PAGEREF _Toc214569757 \h </w:instrText>
            </w:r>
            <w:r w:rsidR="00EC5C71">
              <w:rPr>
                <w:noProof/>
                <w:webHidden/>
              </w:rPr>
            </w:r>
            <w:r w:rsidR="00EC5C71">
              <w:rPr>
                <w:noProof/>
                <w:webHidden/>
              </w:rPr>
              <w:fldChar w:fldCharType="separate"/>
            </w:r>
            <w:r w:rsidR="00EC5C71">
              <w:rPr>
                <w:noProof/>
                <w:webHidden/>
              </w:rPr>
              <w:t>10</w:t>
            </w:r>
            <w:r w:rsidR="00EC5C71">
              <w:rPr>
                <w:noProof/>
                <w:webHidden/>
              </w:rPr>
              <w:fldChar w:fldCharType="end"/>
            </w:r>
          </w:hyperlink>
        </w:p>
        <w:p w14:paraId="4174BB25" w14:textId="37B4B676" w:rsidR="00EC5C71" w:rsidRDefault="00763C43">
          <w:pPr>
            <w:pStyle w:val="TOC3"/>
            <w:tabs>
              <w:tab w:val="right" w:leader="dot" w:pos="9016"/>
            </w:tabs>
            <w:rPr>
              <w:noProof/>
            </w:rPr>
          </w:pPr>
          <w:hyperlink w:anchor="_Toc214569758" w:history="1">
            <w:r w:rsidR="00EC5C71" w:rsidRPr="000A49B1">
              <w:rPr>
                <w:rStyle w:val="Hyperlink"/>
                <w:noProof/>
              </w:rPr>
              <w:t>3.1.1 Dyson’s Differentiation Foundation</w:t>
            </w:r>
            <w:r w:rsidR="00EC5C71">
              <w:rPr>
                <w:noProof/>
                <w:webHidden/>
              </w:rPr>
              <w:tab/>
            </w:r>
            <w:r w:rsidR="00EC5C71">
              <w:rPr>
                <w:noProof/>
                <w:webHidden/>
              </w:rPr>
              <w:fldChar w:fldCharType="begin"/>
            </w:r>
            <w:r w:rsidR="00EC5C71">
              <w:rPr>
                <w:noProof/>
                <w:webHidden/>
              </w:rPr>
              <w:instrText xml:space="preserve"> PAGEREF _Toc214569758 \h </w:instrText>
            </w:r>
            <w:r w:rsidR="00EC5C71">
              <w:rPr>
                <w:noProof/>
                <w:webHidden/>
              </w:rPr>
            </w:r>
            <w:r w:rsidR="00EC5C71">
              <w:rPr>
                <w:noProof/>
                <w:webHidden/>
              </w:rPr>
              <w:fldChar w:fldCharType="separate"/>
            </w:r>
            <w:r w:rsidR="00EC5C71">
              <w:rPr>
                <w:noProof/>
                <w:webHidden/>
              </w:rPr>
              <w:t>11</w:t>
            </w:r>
            <w:r w:rsidR="00EC5C71">
              <w:rPr>
                <w:noProof/>
                <w:webHidden/>
              </w:rPr>
              <w:fldChar w:fldCharType="end"/>
            </w:r>
          </w:hyperlink>
        </w:p>
        <w:p w14:paraId="363C49A4" w14:textId="6FF230F0" w:rsidR="00EC5C71" w:rsidRDefault="00763C43">
          <w:pPr>
            <w:pStyle w:val="TOC3"/>
            <w:tabs>
              <w:tab w:val="right" w:leader="dot" w:pos="9016"/>
            </w:tabs>
            <w:rPr>
              <w:noProof/>
            </w:rPr>
          </w:pPr>
          <w:hyperlink w:anchor="_Toc214569759" w:history="1">
            <w:r w:rsidR="00EC5C71" w:rsidRPr="000A49B1">
              <w:rPr>
                <w:rStyle w:val="Hyperlink"/>
                <w:noProof/>
              </w:rPr>
              <w:t>3.1.2 Influence of Technological Shifts on Dyson’s Strategic Choices</w:t>
            </w:r>
            <w:r w:rsidR="00EC5C71">
              <w:rPr>
                <w:noProof/>
                <w:webHidden/>
              </w:rPr>
              <w:tab/>
            </w:r>
            <w:r w:rsidR="00EC5C71">
              <w:rPr>
                <w:noProof/>
                <w:webHidden/>
              </w:rPr>
              <w:fldChar w:fldCharType="begin"/>
            </w:r>
            <w:r w:rsidR="00EC5C71">
              <w:rPr>
                <w:noProof/>
                <w:webHidden/>
              </w:rPr>
              <w:instrText xml:space="preserve"> PAGEREF _Toc214569759 \h </w:instrText>
            </w:r>
            <w:r w:rsidR="00EC5C71">
              <w:rPr>
                <w:noProof/>
                <w:webHidden/>
              </w:rPr>
            </w:r>
            <w:r w:rsidR="00EC5C71">
              <w:rPr>
                <w:noProof/>
                <w:webHidden/>
              </w:rPr>
              <w:fldChar w:fldCharType="separate"/>
            </w:r>
            <w:r w:rsidR="00EC5C71">
              <w:rPr>
                <w:noProof/>
                <w:webHidden/>
              </w:rPr>
              <w:t>11</w:t>
            </w:r>
            <w:r w:rsidR="00EC5C71">
              <w:rPr>
                <w:noProof/>
                <w:webHidden/>
              </w:rPr>
              <w:fldChar w:fldCharType="end"/>
            </w:r>
          </w:hyperlink>
        </w:p>
        <w:p w14:paraId="41E1F231" w14:textId="42E7FBEC" w:rsidR="00EC5C71" w:rsidRDefault="00763C43">
          <w:pPr>
            <w:pStyle w:val="TOC3"/>
            <w:tabs>
              <w:tab w:val="right" w:leader="dot" w:pos="9016"/>
            </w:tabs>
            <w:rPr>
              <w:noProof/>
            </w:rPr>
          </w:pPr>
          <w:hyperlink w:anchor="_Toc214569760" w:history="1">
            <w:r w:rsidR="00EC5C71" w:rsidRPr="000A49B1">
              <w:rPr>
                <w:rStyle w:val="Hyperlink"/>
                <w:noProof/>
              </w:rPr>
              <w:t>3.1.3 Influence of Economic Shifts on Dyson’s Strategic Choices</w:t>
            </w:r>
            <w:r w:rsidR="00EC5C71">
              <w:rPr>
                <w:noProof/>
                <w:webHidden/>
              </w:rPr>
              <w:tab/>
            </w:r>
            <w:r w:rsidR="00EC5C71">
              <w:rPr>
                <w:noProof/>
                <w:webHidden/>
              </w:rPr>
              <w:fldChar w:fldCharType="begin"/>
            </w:r>
            <w:r w:rsidR="00EC5C71">
              <w:rPr>
                <w:noProof/>
                <w:webHidden/>
              </w:rPr>
              <w:instrText xml:space="preserve"> PAGEREF _Toc214569760 \h </w:instrText>
            </w:r>
            <w:r w:rsidR="00EC5C71">
              <w:rPr>
                <w:noProof/>
                <w:webHidden/>
              </w:rPr>
            </w:r>
            <w:r w:rsidR="00EC5C71">
              <w:rPr>
                <w:noProof/>
                <w:webHidden/>
              </w:rPr>
              <w:fldChar w:fldCharType="separate"/>
            </w:r>
            <w:r w:rsidR="00EC5C71">
              <w:rPr>
                <w:noProof/>
                <w:webHidden/>
              </w:rPr>
              <w:t>12</w:t>
            </w:r>
            <w:r w:rsidR="00EC5C71">
              <w:rPr>
                <w:noProof/>
                <w:webHidden/>
              </w:rPr>
              <w:fldChar w:fldCharType="end"/>
            </w:r>
          </w:hyperlink>
        </w:p>
        <w:p w14:paraId="141524EF" w14:textId="3294E5FC" w:rsidR="00EC5C71" w:rsidRDefault="00763C43">
          <w:pPr>
            <w:pStyle w:val="TOC3"/>
            <w:tabs>
              <w:tab w:val="right" w:leader="dot" w:pos="9016"/>
            </w:tabs>
            <w:rPr>
              <w:noProof/>
            </w:rPr>
          </w:pPr>
          <w:hyperlink w:anchor="_Toc214569761" w:history="1">
            <w:r w:rsidR="00EC5C71" w:rsidRPr="000A49B1">
              <w:rPr>
                <w:rStyle w:val="Hyperlink"/>
                <w:noProof/>
              </w:rPr>
              <w:t>3.1.4 Strategic Implications Under Porter’s Differentiation Strategy</w:t>
            </w:r>
            <w:r w:rsidR="00EC5C71">
              <w:rPr>
                <w:noProof/>
                <w:webHidden/>
              </w:rPr>
              <w:tab/>
            </w:r>
            <w:r w:rsidR="00EC5C71">
              <w:rPr>
                <w:noProof/>
                <w:webHidden/>
              </w:rPr>
              <w:fldChar w:fldCharType="begin"/>
            </w:r>
            <w:r w:rsidR="00EC5C71">
              <w:rPr>
                <w:noProof/>
                <w:webHidden/>
              </w:rPr>
              <w:instrText xml:space="preserve"> PAGEREF _Toc214569761 \h </w:instrText>
            </w:r>
            <w:r w:rsidR="00EC5C71">
              <w:rPr>
                <w:noProof/>
                <w:webHidden/>
              </w:rPr>
            </w:r>
            <w:r w:rsidR="00EC5C71">
              <w:rPr>
                <w:noProof/>
                <w:webHidden/>
              </w:rPr>
              <w:fldChar w:fldCharType="separate"/>
            </w:r>
            <w:r w:rsidR="00EC5C71">
              <w:rPr>
                <w:noProof/>
                <w:webHidden/>
              </w:rPr>
              <w:t>12</w:t>
            </w:r>
            <w:r w:rsidR="00EC5C71">
              <w:rPr>
                <w:noProof/>
                <w:webHidden/>
              </w:rPr>
              <w:fldChar w:fldCharType="end"/>
            </w:r>
          </w:hyperlink>
        </w:p>
        <w:p w14:paraId="0A36A438" w14:textId="7CD43402" w:rsidR="00EC5C71" w:rsidRDefault="00763C43">
          <w:pPr>
            <w:pStyle w:val="TOC2"/>
            <w:tabs>
              <w:tab w:val="right" w:leader="dot" w:pos="9016"/>
            </w:tabs>
            <w:rPr>
              <w:noProof/>
            </w:rPr>
          </w:pPr>
          <w:hyperlink w:anchor="_Toc214569762" w:history="1">
            <w:r w:rsidR="00EC5C71" w:rsidRPr="000A49B1">
              <w:rPr>
                <w:rStyle w:val="Hyperlink"/>
                <w:noProof/>
              </w:rPr>
              <w:t>3.2 Follower Organisation’s Strategic Response — Shark</w:t>
            </w:r>
            <w:r w:rsidR="00EC5C71">
              <w:rPr>
                <w:noProof/>
                <w:webHidden/>
              </w:rPr>
              <w:tab/>
            </w:r>
            <w:r w:rsidR="00EC5C71">
              <w:rPr>
                <w:noProof/>
                <w:webHidden/>
              </w:rPr>
              <w:fldChar w:fldCharType="begin"/>
            </w:r>
            <w:r w:rsidR="00EC5C71">
              <w:rPr>
                <w:noProof/>
                <w:webHidden/>
              </w:rPr>
              <w:instrText xml:space="preserve"> PAGEREF _Toc214569762 \h </w:instrText>
            </w:r>
            <w:r w:rsidR="00EC5C71">
              <w:rPr>
                <w:noProof/>
                <w:webHidden/>
              </w:rPr>
            </w:r>
            <w:r w:rsidR="00EC5C71">
              <w:rPr>
                <w:noProof/>
                <w:webHidden/>
              </w:rPr>
              <w:fldChar w:fldCharType="separate"/>
            </w:r>
            <w:r w:rsidR="00EC5C71">
              <w:rPr>
                <w:noProof/>
                <w:webHidden/>
              </w:rPr>
              <w:t>12</w:t>
            </w:r>
            <w:r w:rsidR="00EC5C71">
              <w:rPr>
                <w:noProof/>
                <w:webHidden/>
              </w:rPr>
              <w:fldChar w:fldCharType="end"/>
            </w:r>
          </w:hyperlink>
        </w:p>
        <w:p w14:paraId="6D469F14" w14:textId="5ED86874" w:rsidR="00EC5C71" w:rsidRDefault="00763C43">
          <w:pPr>
            <w:pStyle w:val="TOC3"/>
            <w:tabs>
              <w:tab w:val="right" w:leader="dot" w:pos="9016"/>
            </w:tabs>
            <w:rPr>
              <w:noProof/>
            </w:rPr>
          </w:pPr>
          <w:hyperlink w:anchor="_Toc214569763" w:history="1">
            <w:r w:rsidR="00EC5C71" w:rsidRPr="000A49B1">
              <w:rPr>
                <w:rStyle w:val="Hyperlink"/>
                <w:noProof/>
              </w:rPr>
              <w:t>3.2.1 Shark as a Cost Leadership / Differentiation-Focus Hybrid</w:t>
            </w:r>
            <w:r w:rsidR="00EC5C71">
              <w:rPr>
                <w:noProof/>
                <w:webHidden/>
              </w:rPr>
              <w:tab/>
            </w:r>
            <w:r w:rsidR="00EC5C71">
              <w:rPr>
                <w:noProof/>
                <w:webHidden/>
              </w:rPr>
              <w:fldChar w:fldCharType="begin"/>
            </w:r>
            <w:r w:rsidR="00EC5C71">
              <w:rPr>
                <w:noProof/>
                <w:webHidden/>
              </w:rPr>
              <w:instrText xml:space="preserve"> PAGEREF _Toc214569763 \h </w:instrText>
            </w:r>
            <w:r w:rsidR="00EC5C71">
              <w:rPr>
                <w:noProof/>
                <w:webHidden/>
              </w:rPr>
            </w:r>
            <w:r w:rsidR="00EC5C71">
              <w:rPr>
                <w:noProof/>
                <w:webHidden/>
              </w:rPr>
              <w:fldChar w:fldCharType="separate"/>
            </w:r>
            <w:r w:rsidR="00EC5C71">
              <w:rPr>
                <w:noProof/>
                <w:webHidden/>
              </w:rPr>
              <w:t>13</w:t>
            </w:r>
            <w:r w:rsidR="00EC5C71">
              <w:rPr>
                <w:noProof/>
                <w:webHidden/>
              </w:rPr>
              <w:fldChar w:fldCharType="end"/>
            </w:r>
          </w:hyperlink>
        </w:p>
        <w:p w14:paraId="4951BEF2" w14:textId="499863B7" w:rsidR="00EC5C71" w:rsidRDefault="00763C43">
          <w:pPr>
            <w:pStyle w:val="TOC3"/>
            <w:tabs>
              <w:tab w:val="left" w:pos="1440"/>
              <w:tab w:val="right" w:leader="dot" w:pos="9016"/>
            </w:tabs>
            <w:rPr>
              <w:noProof/>
            </w:rPr>
          </w:pPr>
          <w:hyperlink w:anchor="_Toc214569764" w:history="1">
            <w:r w:rsidR="00EC5C71" w:rsidRPr="000A49B1">
              <w:rPr>
                <w:rStyle w:val="Hyperlink"/>
                <w:noProof/>
              </w:rPr>
              <w:t>3.2.2</w:t>
            </w:r>
            <w:r w:rsidR="00EC5C71">
              <w:rPr>
                <w:noProof/>
              </w:rPr>
              <w:tab/>
            </w:r>
            <w:r w:rsidR="00EC5C71" w:rsidRPr="000A49B1">
              <w:rPr>
                <w:rStyle w:val="Hyperlink"/>
                <w:noProof/>
              </w:rPr>
              <w:t>Response to Technological Shifts</w:t>
            </w:r>
            <w:r w:rsidR="00EC5C71">
              <w:rPr>
                <w:noProof/>
                <w:webHidden/>
              </w:rPr>
              <w:tab/>
            </w:r>
            <w:r w:rsidR="00EC5C71">
              <w:rPr>
                <w:noProof/>
                <w:webHidden/>
              </w:rPr>
              <w:fldChar w:fldCharType="begin"/>
            </w:r>
            <w:r w:rsidR="00EC5C71">
              <w:rPr>
                <w:noProof/>
                <w:webHidden/>
              </w:rPr>
              <w:instrText xml:space="preserve"> PAGEREF _Toc214569764 \h </w:instrText>
            </w:r>
            <w:r w:rsidR="00EC5C71">
              <w:rPr>
                <w:noProof/>
                <w:webHidden/>
              </w:rPr>
            </w:r>
            <w:r w:rsidR="00EC5C71">
              <w:rPr>
                <w:noProof/>
                <w:webHidden/>
              </w:rPr>
              <w:fldChar w:fldCharType="separate"/>
            </w:r>
            <w:r w:rsidR="00EC5C71">
              <w:rPr>
                <w:noProof/>
                <w:webHidden/>
              </w:rPr>
              <w:t>14</w:t>
            </w:r>
            <w:r w:rsidR="00EC5C71">
              <w:rPr>
                <w:noProof/>
                <w:webHidden/>
              </w:rPr>
              <w:fldChar w:fldCharType="end"/>
            </w:r>
          </w:hyperlink>
        </w:p>
        <w:p w14:paraId="60172D58" w14:textId="17B91D09" w:rsidR="00EC5C71" w:rsidRDefault="00763C43">
          <w:pPr>
            <w:pStyle w:val="TOC3"/>
            <w:tabs>
              <w:tab w:val="right" w:leader="dot" w:pos="9016"/>
            </w:tabs>
            <w:rPr>
              <w:noProof/>
            </w:rPr>
          </w:pPr>
          <w:hyperlink w:anchor="_Toc214569765" w:history="1">
            <w:r w:rsidR="00EC5C71" w:rsidRPr="000A49B1">
              <w:rPr>
                <w:rStyle w:val="Hyperlink"/>
                <w:noProof/>
              </w:rPr>
              <w:t>3.2.3 Response to Economic Shifts</w:t>
            </w:r>
            <w:r w:rsidR="00EC5C71">
              <w:rPr>
                <w:noProof/>
                <w:webHidden/>
              </w:rPr>
              <w:tab/>
            </w:r>
            <w:r w:rsidR="00EC5C71">
              <w:rPr>
                <w:noProof/>
                <w:webHidden/>
              </w:rPr>
              <w:fldChar w:fldCharType="begin"/>
            </w:r>
            <w:r w:rsidR="00EC5C71">
              <w:rPr>
                <w:noProof/>
                <w:webHidden/>
              </w:rPr>
              <w:instrText xml:space="preserve"> PAGEREF _Toc214569765 \h </w:instrText>
            </w:r>
            <w:r w:rsidR="00EC5C71">
              <w:rPr>
                <w:noProof/>
                <w:webHidden/>
              </w:rPr>
            </w:r>
            <w:r w:rsidR="00EC5C71">
              <w:rPr>
                <w:noProof/>
                <w:webHidden/>
              </w:rPr>
              <w:fldChar w:fldCharType="separate"/>
            </w:r>
            <w:r w:rsidR="00EC5C71">
              <w:rPr>
                <w:noProof/>
                <w:webHidden/>
              </w:rPr>
              <w:t>14</w:t>
            </w:r>
            <w:r w:rsidR="00EC5C71">
              <w:rPr>
                <w:noProof/>
                <w:webHidden/>
              </w:rPr>
              <w:fldChar w:fldCharType="end"/>
            </w:r>
          </w:hyperlink>
        </w:p>
        <w:p w14:paraId="7433643B" w14:textId="7516F7AC" w:rsidR="00EC5C71" w:rsidRDefault="00763C43">
          <w:pPr>
            <w:pStyle w:val="TOC3"/>
            <w:tabs>
              <w:tab w:val="right" w:leader="dot" w:pos="9016"/>
            </w:tabs>
            <w:rPr>
              <w:noProof/>
            </w:rPr>
          </w:pPr>
          <w:hyperlink w:anchor="_Toc214569766" w:history="1">
            <w:r w:rsidR="00EC5C71" w:rsidRPr="000A49B1">
              <w:rPr>
                <w:rStyle w:val="Hyperlink"/>
                <w:noProof/>
              </w:rPr>
              <w:t>3.2.4 Strategic Implications Under Porter’s Generic Strategy</w:t>
            </w:r>
            <w:r w:rsidR="00EC5C71">
              <w:rPr>
                <w:noProof/>
                <w:webHidden/>
              </w:rPr>
              <w:tab/>
            </w:r>
            <w:r w:rsidR="00EC5C71">
              <w:rPr>
                <w:noProof/>
                <w:webHidden/>
              </w:rPr>
              <w:fldChar w:fldCharType="begin"/>
            </w:r>
            <w:r w:rsidR="00EC5C71">
              <w:rPr>
                <w:noProof/>
                <w:webHidden/>
              </w:rPr>
              <w:instrText xml:space="preserve"> PAGEREF _Toc214569766 \h </w:instrText>
            </w:r>
            <w:r w:rsidR="00EC5C71">
              <w:rPr>
                <w:noProof/>
                <w:webHidden/>
              </w:rPr>
            </w:r>
            <w:r w:rsidR="00EC5C71">
              <w:rPr>
                <w:noProof/>
                <w:webHidden/>
              </w:rPr>
              <w:fldChar w:fldCharType="separate"/>
            </w:r>
            <w:r w:rsidR="00EC5C71">
              <w:rPr>
                <w:noProof/>
                <w:webHidden/>
              </w:rPr>
              <w:t>14</w:t>
            </w:r>
            <w:r w:rsidR="00EC5C71">
              <w:rPr>
                <w:noProof/>
                <w:webHidden/>
              </w:rPr>
              <w:fldChar w:fldCharType="end"/>
            </w:r>
          </w:hyperlink>
        </w:p>
        <w:p w14:paraId="72990E69" w14:textId="667149C5" w:rsidR="00EC5C71" w:rsidRDefault="00763C43">
          <w:pPr>
            <w:pStyle w:val="TOC1"/>
            <w:tabs>
              <w:tab w:val="right" w:leader="dot" w:pos="9016"/>
            </w:tabs>
            <w:rPr>
              <w:noProof/>
            </w:rPr>
          </w:pPr>
          <w:hyperlink w:anchor="_Toc214569767" w:history="1">
            <w:r w:rsidR="00EC5C71" w:rsidRPr="000A49B1">
              <w:rPr>
                <w:rStyle w:val="Hyperlink"/>
                <w:noProof/>
              </w:rPr>
              <w:t>4. Conclusion</w:t>
            </w:r>
            <w:r w:rsidR="00EC5C71">
              <w:rPr>
                <w:noProof/>
                <w:webHidden/>
              </w:rPr>
              <w:tab/>
            </w:r>
            <w:r w:rsidR="00EC5C71">
              <w:rPr>
                <w:noProof/>
                <w:webHidden/>
              </w:rPr>
              <w:fldChar w:fldCharType="begin"/>
            </w:r>
            <w:r w:rsidR="00EC5C71">
              <w:rPr>
                <w:noProof/>
                <w:webHidden/>
              </w:rPr>
              <w:instrText xml:space="preserve"> PAGEREF _Toc214569767 \h </w:instrText>
            </w:r>
            <w:r w:rsidR="00EC5C71">
              <w:rPr>
                <w:noProof/>
                <w:webHidden/>
              </w:rPr>
            </w:r>
            <w:r w:rsidR="00EC5C71">
              <w:rPr>
                <w:noProof/>
                <w:webHidden/>
              </w:rPr>
              <w:fldChar w:fldCharType="separate"/>
            </w:r>
            <w:r w:rsidR="00EC5C71">
              <w:rPr>
                <w:noProof/>
                <w:webHidden/>
              </w:rPr>
              <w:t>16</w:t>
            </w:r>
            <w:r w:rsidR="00EC5C71">
              <w:rPr>
                <w:noProof/>
                <w:webHidden/>
              </w:rPr>
              <w:fldChar w:fldCharType="end"/>
            </w:r>
          </w:hyperlink>
        </w:p>
        <w:p w14:paraId="74CAD065" w14:textId="4CF395A2" w:rsidR="00EC5C71" w:rsidRDefault="00763C43">
          <w:pPr>
            <w:pStyle w:val="TOC1"/>
            <w:tabs>
              <w:tab w:val="right" w:leader="dot" w:pos="9016"/>
            </w:tabs>
            <w:rPr>
              <w:noProof/>
            </w:rPr>
          </w:pPr>
          <w:hyperlink w:anchor="_Toc214569768" w:history="1">
            <w:r w:rsidR="00EC5C71" w:rsidRPr="000A49B1">
              <w:rPr>
                <w:rStyle w:val="Hyperlink"/>
                <w:noProof/>
              </w:rPr>
              <w:t>5. Reference List</w:t>
            </w:r>
            <w:r w:rsidR="00EC5C71">
              <w:rPr>
                <w:noProof/>
                <w:webHidden/>
              </w:rPr>
              <w:tab/>
            </w:r>
            <w:r w:rsidR="00EC5C71">
              <w:rPr>
                <w:noProof/>
                <w:webHidden/>
              </w:rPr>
              <w:fldChar w:fldCharType="begin"/>
            </w:r>
            <w:r w:rsidR="00EC5C71">
              <w:rPr>
                <w:noProof/>
                <w:webHidden/>
              </w:rPr>
              <w:instrText xml:space="preserve"> PAGEREF _Toc214569768 \h </w:instrText>
            </w:r>
            <w:r w:rsidR="00EC5C71">
              <w:rPr>
                <w:noProof/>
                <w:webHidden/>
              </w:rPr>
            </w:r>
            <w:r w:rsidR="00EC5C71">
              <w:rPr>
                <w:noProof/>
                <w:webHidden/>
              </w:rPr>
              <w:fldChar w:fldCharType="separate"/>
            </w:r>
            <w:r w:rsidR="00EC5C71">
              <w:rPr>
                <w:noProof/>
                <w:webHidden/>
              </w:rPr>
              <w:t>17</w:t>
            </w:r>
            <w:r w:rsidR="00EC5C71">
              <w:rPr>
                <w:noProof/>
                <w:webHidden/>
              </w:rPr>
              <w:fldChar w:fldCharType="end"/>
            </w:r>
          </w:hyperlink>
        </w:p>
        <w:p w14:paraId="26ABD8F8" w14:textId="23A9B571" w:rsidR="00444C7A" w:rsidRDefault="00763C43">
          <w:r>
            <w:fldChar w:fldCharType="end"/>
          </w:r>
        </w:p>
      </w:sdtContent>
    </w:sdt>
    <w:p w14:paraId="29AF5C17" w14:textId="77777777" w:rsidR="00444C7A" w:rsidRDefault="00763C43">
      <w:r>
        <w:br w:type="page"/>
      </w:r>
    </w:p>
    <w:p w14:paraId="476CA876" w14:textId="77777777" w:rsidR="00444C7A" w:rsidRDefault="00763C43">
      <w:pPr>
        <w:pStyle w:val="Heading1"/>
        <w:rPr>
          <w:color w:val="000000"/>
        </w:rPr>
      </w:pPr>
      <w:bookmarkStart w:id="0" w:name="_Toc214569749"/>
      <w:r>
        <w:rPr>
          <w:color w:val="000000"/>
        </w:rPr>
        <w:lastRenderedPageBreak/>
        <w:t>1. Introduction</w:t>
      </w:r>
      <w:bookmarkEnd w:id="0"/>
    </w:p>
    <w:p w14:paraId="2E8782FF" w14:textId="77777777" w:rsidR="00444C7A" w:rsidRDefault="00763C43">
      <w:r>
        <w:t xml:space="preserve">This report will explore the use of the macro marketing environment in strategic decision-making of pioneer and follower organisations in the same industry. The knowledge of the </w:t>
      </w:r>
      <w:r>
        <w:t>environmental forces has now become vital in strategic marketing management especially in fast moving industries like consumer electronics and personal-care technology. To maintain their competitiveness and direction in long-term positioning, organisations</w:t>
      </w:r>
      <w:r>
        <w:t xml:space="preserve"> are progressively expected to make meaning of change in technology, socio-cultural expectations and economic circumstances (</w:t>
      </w:r>
      <w:proofErr w:type="spellStart"/>
      <w:r>
        <w:t>Bolocan</w:t>
      </w:r>
      <w:proofErr w:type="spellEnd"/>
      <w:r>
        <w:t xml:space="preserve"> and </w:t>
      </w:r>
      <w:proofErr w:type="spellStart"/>
      <w:r>
        <w:t>Savciuc</w:t>
      </w:r>
      <w:proofErr w:type="spellEnd"/>
      <w:r>
        <w:t>, 2025).</w:t>
      </w:r>
    </w:p>
    <w:p w14:paraId="1FB93918" w14:textId="77777777" w:rsidR="00444C7A" w:rsidRDefault="00763C43">
      <w:pPr>
        <w:jc w:val="center"/>
      </w:pPr>
      <w:r>
        <w:rPr>
          <w:noProof/>
        </w:rPr>
        <mc:AlternateContent>
          <mc:Choice Requires="wps">
            <w:drawing>
              <wp:inline distT="0" distB="0" distL="0" distR="0" wp14:anchorId="60A01830" wp14:editId="78CCE4FE">
                <wp:extent cx="3923665" cy="759460"/>
                <wp:effectExtent l="0" t="0" r="635" b="2540"/>
                <wp:docPr id="1" name="Group 1"/>
                <wp:cNvGraphicFramePr/>
                <a:graphic xmlns:a="http://schemas.openxmlformats.org/drawingml/2006/main">
                  <a:graphicData uri="http://schemas.microsoft.com/office/word/2010/wordprocessingGroup">
                    <wpg:wgp>
                      <wpg:cNvGrpSpPr/>
                      <wpg:grpSpPr>
                        <a:xfrm>
                          <a:off x="0" y="0"/>
                          <a:ext cx="3923665" cy="759460"/>
                          <a:chOff x="0" y="0"/>
                          <a:chExt cx="4328061" cy="831215"/>
                        </a:xfrm>
                      </wpg:grpSpPr>
                      <pic:pic xmlns:pic="http://schemas.openxmlformats.org/drawingml/2006/picture">
                        <pic:nvPicPr>
                          <pic:cNvPr id="1877343980" name="Picture 1" descr="A black and white logo&#10;&#10;AI-generated content may be incorrect."/>
                          <pic:cNvPicPr>
                            <a:picLocks noChangeAspect="1"/>
                          </pic:cNvPicPr>
                        </pic:nvPicPr>
                        <pic:blipFill>
                          <a:blip r:embed="rId8"/>
                          <a:stretch>
                            <a:fillRect/>
                          </a:stretch>
                        </pic:blipFill>
                        <pic:spPr>
                          <a:xfrm>
                            <a:off x="0" y="0"/>
                            <a:ext cx="2126615" cy="831215"/>
                          </a:xfrm>
                          <a:prstGeom prst="rect">
                            <a:avLst/>
                          </a:prstGeom>
                        </pic:spPr>
                      </pic:pic>
                      <pic:pic xmlns:pic="http://schemas.openxmlformats.org/drawingml/2006/picture">
                        <pic:nvPicPr>
                          <pic:cNvPr id="502380838" name="Picture 13"/>
                          <pic:cNvPicPr>
                            <a:picLocks noChangeAspect="1"/>
                          </pic:cNvPicPr>
                        </pic:nvPicPr>
                        <pic:blipFill>
                          <a:blip r:embed="rId9"/>
                          <a:srcRect/>
                          <a:stretch>
                            <a:fillRect/>
                          </a:stretch>
                        </pic:blipFill>
                        <pic:spPr bwMode="auto">
                          <a:xfrm>
                            <a:off x="2232561" y="83127"/>
                            <a:ext cx="2095500" cy="546100"/>
                          </a:xfrm>
                          <a:prstGeom prst="rect">
                            <a:avLst/>
                          </a:prstGeom>
                          <a:noFill/>
                        </pic:spPr>
                      </pic:pic>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inline distB="0" distT="0" distL="0" distR="0">
                <wp:extent cx="3924300" cy="762000"/>
                <wp:effectExtent b="0" l="0" r="0" t="0"/>
                <wp:docPr id="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924300" cy="762000"/>
                        </a:xfrm>
                        <a:prstGeom prst="rect"/>
                        <a:ln/>
                      </pic:spPr>
                    </pic:pic>
                  </a:graphicData>
                </a:graphic>
              </wp:inline>
            </w:drawing>
          </mc:Fallback>
        </mc:AlternateContent>
      </w:r>
    </w:p>
    <w:p w14:paraId="1FD019FF" w14:textId="77777777" w:rsidR="00444C7A" w:rsidRDefault="00763C43">
      <w:pPr>
        <w:pBdr>
          <w:top w:val="nil"/>
          <w:left w:val="nil"/>
          <w:bottom w:val="nil"/>
          <w:right w:val="nil"/>
          <w:between w:val="nil"/>
        </w:pBdr>
        <w:spacing w:after="200"/>
        <w:jc w:val="center"/>
        <w:rPr>
          <w:i/>
          <w:iCs/>
          <w:color w:val="0E2841"/>
          <w:sz w:val="18"/>
          <w:szCs w:val="18"/>
        </w:rPr>
      </w:pPr>
      <w:r>
        <w:rPr>
          <w:i/>
          <w:iCs/>
          <w:color w:val="0E2841"/>
          <w:sz w:val="18"/>
          <w:szCs w:val="18"/>
        </w:rPr>
        <w:t>Figure 1: Dyson and Shark Identity</w:t>
      </w:r>
    </w:p>
    <w:p w14:paraId="0D822208" w14:textId="77777777" w:rsidR="00444C7A" w:rsidRDefault="00763C43">
      <w:pPr>
        <w:jc w:val="center"/>
      </w:pPr>
      <w:r>
        <w:t>Source: (Dyson, 2024); (Shark (UK), 2025)</w:t>
      </w:r>
    </w:p>
    <w:p w14:paraId="546050F1" w14:textId="77777777" w:rsidR="00444C7A" w:rsidRDefault="00763C43">
      <w:r>
        <w:t xml:space="preserve">This report </w:t>
      </w:r>
      <w:r>
        <w:t>compares Dyson and Shark as innovative and leader and follower firms in the home-electronics and beauty-technology sector in the United Kingdom. Dyson is known to launch disruptive technology in cordless vacuum and advanced styling products, with Shark usu</w:t>
      </w:r>
      <w:r>
        <w:t>ally following behind with value innovation based on expanded consumer segments (Euromonitor, 2024). The different ways in which each form of firm is influenced by the environmental pressure creates a bottom line of the competitive asymmetries and competit</w:t>
      </w:r>
      <w:r>
        <w:t>iveness.</w:t>
      </w:r>
    </w:p>
    <w:p w14:paraId="0E0E04B2" w14:textId="77777777" w:rsidR="00444C7A" w:rsidRDefault="00763C43">
      <w:r>
        <w:t>The report is divided into two tasks. Task 1 uses PESTEL to critically analyse two macro-environmental actors technological and economic forces as opportunity and danger creators for Dyson and Shark (</w:t>
      </w:r>
      <w:proofErr w:type="spellStart"/>
      <w:r>
        <w:t>Dioba</w:t>
      </w:r>
      <w:proofErr w:type="spellEnd"/>
      <w:r>
        <w:t xml:space="preserve"> et al., 2025). Task 2 uses Porter's Gener</w:t>
      </w:r>
      <w:r>
        <w:t xml:space="preserve">ic Strategies to show how pioneering and follower companies adjust to stay competitive. This section builds on the environmental analysis to explain how external influences affect Dyson's pioneering and Shark's following strategies. The analysis shows the </w:t>
      </w:r>
      <w:r>
        <w:t>strategic necessity of continual environmental scanning and how pioneering and follower enterprises must compete in continuously changing markets.</w:t>
      </w:r>
    </w:p>
    <w:p w14:paraId="4AD6DDA8" w14:textId="77777777" w:rsidR="00444C7A" w:rsidRDefault="00763C43">
      <w:r>
        <w:br w:type="page"/>
      </w:r>
    </w:p>
    <w:p w14:paraId="30024A54" w14:textId="77777777" w:rsidR="00444C7A" w:rsidRDefault="00763C43">
      <w:pPr>
        <w:pStyle w:val="Heading1"/>
        <w:rPr>
          <w:color w:val="000000"/>
        </w:rPr>
      </w:pPr>
      <w:bookmarkStart w:id="1" w:name="_Toc214569750"/>
      <w:r>
        <w:rPr>
          <w:color w:val="000000"/>
        </w:rPr>
        <w:lastRenderedPageBreak/>
        <w:t>2. Task 1: Critical Analysis of the Macro Marketing Environment</w:t>
      </w:r>
      <w:bookmarkEnd w:id="1"/>
    </w:p>
    <w:p w14:paraId="62EA3940" w14:textId="77777777" w:rsidR="00444C7A" w:rsidRDefault="00763C43">
      <w:pPr>
        <w:pStyle w:val="Heading2"/>
        <w:rPr>
          <w:b w:val="0"/>
          <w:bCs w:val="0"/>
        </w:rPr>
      </w:pPr>
      <w:bookmarkStart w:id="2" w:name="_Toc214569751"/>
      <w:r>
        <w:t>2.1 Overview of the Macro Marketing Environ</w:t>
      </w:r>
      <w:r>
        <w:t>ment</w:t>
      </w:r>
      <w:bookmarkEnd w:id="2"/>
    </w:p>
    <w:p w14:paraId="4EA34A0E" w14:textId="77777777" w:rsidR="00444C7A" w:rsidRDefault="00763C43">
      <w:r>
        <w:t xml:space="preserve">The macro marketing environment includes external factors that enterprises cannot influence. Environmental evaluation is crucial to strategic marketing management since these influences affect the industry, customer expectations, and long-term market </w:t>
      </w:r>
      <w:r>
        <w:t xml:space="preserve">behaviour. </w:t>
      </w:r>
      <w:proofErr w:type="spellStart"/>
      <w:r>
        <w:t>Bolocan</w:t>
      </w:r>
      <w:proofErr w:type="spellEnd"/>
      <w:r>
        <w:t xml:space="preserve"> and </w:t>
      </w:r>
      <w:proofErr w:type="spellStart"/>
      <w:r>
        <w:t>Savciuc</w:t>
      </w:r>
      <w:proofErr w:type="spellEnd"/>
      <w:r>
        <w:t xml:space="preserve"> (2025) say macro-environmental analysis helps organisations anticipate change. To assess external pressures, PESTEL categorises political, economic, social, technological, environmental, and legal consequences (</w:t>
      </w:r>
      <w:proofErr w:type="spellStart"/>
      <w:r>
        <w:t>Dioba</w:t>
      </w:r>
      <w:proofErr w:type="spellEnd"/>
      <w:r>
        <w:t xml:space="preserve"> et al., </w:t>
      </w:r>
      <w:r>
        <w:t>2025).</w:t>
      </w:r>
    </w:p>
    <w:p w14:paraId="695CD3F3" w14:textId="77777777" w:rsidR="00444C7A" w:rsidRDefault="00763C43">
      <w:pPr>
        <w:keepNext/>
        <w:jc w:val="center"/>
      </w:pPr>
      <w:r>
        <w:rPr>
          <w:noProof/>
        </w:rPr>
        <w:drawing>
          <wp:inline distT="0" distB="0" distL="0" distR="0" wp14:anchorId="6779D244" wp14:editId="47846D6B">
            <wp:extent cx="3850058" cy="2506169"/>
            <wp:effectExtent l="0" t="0" r="0" b="0"/>
            <wp:docPr id="3" name="image3.png" descr="A diagram of a framewor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png" descr="A diagram of a framework&#10;&#10;AI-generated content may be incorrect."/>
                    <pic:cNvPicPr preferRelativeResize="0"/>
                  </pic:nvPicPr>
                  <pic:blipFill>
                    <a:blip r:embed="rId11"/>
                    <a:srcRect/>
                    <a:stretch>
                      <a:fillRect/>
                    </a:stretch>
                  </pic:blipFill>
                  <pic:spPr>
                    <a:xfrm>
                      <a:off x="0" y="0"/>
                      <a:ext cx="3850058" cy="2506169"/>
                    </a:xfrm>
                    <a:prstGeom prst="rect">
                      <a:avLst/>
                    </a:prstGeom>
                    <a:ln/>
                  </pic:spPr>
                </pic:pic>
              </a:graphicData>
            </a:graphic>
          </wp:inline>
        </w:drawing>
      </w:r>
    </w:p>
    <w:p w14:paraId="293BFB74" w14:textId="77777777" w:rsidR="00444C7A" w:rsidRDefault="00763C43">
      <w:pPr>
        <w:pBdr>
          <w:top w:val="nil"/>
          <w:left w:val="nil"/>
          <w:bottom w:val="nil"/>
          <w:right w:val="nil"/>
          <w:between w:val="nil"/>
        </w:pBdr>
        <w:spacing w:after="200"/>
        <w:jc w:val="center"/>
        <w:rPr>
          <w:i/>
          <w:iCs/>
          <w:color w:val="0E2841"/>
          <w:sz w:val="18"/>
          <w:szCs w:val="18"/>
        </w:rPr>
      </w:pPr>
      <w:r>
        <w:rPr>
          <w:i/>
          <w:iCs/>
          <w:color w:val="0E2841"/>
          <w:sz w:val="18"/>
          <w:szCs w:val="18"/>
        </w:rPr>
        <w:t>Figure 2: PESTEL Framework</w:t>
      </w:r>
    </w:p>
    <w:p w14:paraId="7D2A5360" w14:textId="77777777" w:rsidR="00444C7A" w:rsidRDefault="00763C43">
      <w:pPr>
        <w:jc w:val="center"/>
      </w:pPr>
      <w:r>
        <w:t>Source: (</w:t>
      </w:r>
      <w:proofErr w:type="spellStart"/>
      <w:r>
        <w:t>Dioba</w:t>
      </w:r>
      <w:proofErr w:type="spellEnd"/>
      <w:r>
        <w:t xml:space="preserve"> et al., 2025)</w:t>
      </w:r>
    </w:p>
    <w:p w14:paraId="5BCD7997" w14:textId="00A12ABE" w:rsidR="00444C7A" w:rsidRDefault="00763C43">
      <w:r>
        <w:t>PESTEL analysis is important in technologically based consumer products like home electronics and beauty-tech because fast innovation, changing societal taste, and changing economic condition</w:t>
      </w:r>
      <w:r>
        <w:t>s affect competitive positioning</w:t>
      </w:r>
      <w:r w:rsidR="00972461">
        <w:t xml:space="preserve"> (</w:t>
      </w:r>
      <w:proofErr w:type="spellStart"/>
      <w:r w:rsidR="00972461">
        <w:t>Dioba</w:t>
      </w:r>
      <w:proofErr w:type="spellEnd"/>
      <w:r w:rsidR="00972461">
        <w:t xml:space="preserve"> et al., 2025)</w:t>
      </w:r>
      <w:r>
        <w:t>. First mover companies like Dyson and follower companies like Shark must understand macro-environmental dynamics to discover opportunities, counter challenges, and develop competitive strategies.</w:t>
      </w:r>
    </w:p>
    <w:p w14:paraId="74BE8F76" w14:textId="77777777" w:rsidR="00444C7A" w:rsidRDefault="00763C43">
      <w:pPr>
        <w:pStyle w:val="Heading2"/>
      </w:pPr>
      <w:bookmarkStart w:id="3" w:name="_Toc214569752"/>
      <w:r>
        <w:rPr>
          <w:sz w:val="24"/>
          <w:szCs w:val="24"/>
        </w:rPr>
        <w:t xml:space="preserve">2.2 </w:t>
      </w:r>
      <w:r>
        <w:t>Se</w:t>
      </w:r>
      <w:r>
        <w:t>lection of Two External Macro Marketing Actors (Technological and Economic)</w:t>
      </w:r>
      <w:bookmarkEnd w:id="3"/>
    </w:p>
    <w:p w14:paraId="4D929A80" w14:textId="21533C5E" w:rsidR="00444C7A" w:rsidRDefault="00763C43">
      <w:r>
        <w:t>Both the technological and economic aspect of the macro marketing environment are chosen due to the strongest and immediate impact on the UK, premium home-</w:t>
      </w:r>
      <w:r>
        <w:lastRenderedPageBreak/>
        <w:t>appliance industry, in wh</w:t>
      </w:r>
      <w:r>
        <w:t>ich Dyson (pioneer) and Shark (follower) conduct their business. The two actors also have a remarkable influence on product innovation, pricing policies, consumer adoption and sustainable competitive advantage</w:t>
      </w:r>
      <w:r w:rsidR="00EC5C71">
        <w:t xml:space="preserve"> (The Business Research Company, 2025)</w:t>
      </w:r>
      <w:r>
        <w:t>.</w:t>
      </w:r>
    </w:p>
    <w:p w14:paraId="0C3E0B6D" w14:textId="77777777" w:rsidR="00444C7A" w:rsidRDefault="00763C43">
      <w:pPr>
        <w:keepNext/>
        <w:jc w:val="center"/>
      </w:pPr>
      <w:r>
        <w:rPr>
          <w:noProof/>
        </w:rPr>
        <w:drawing>
          <wp:inline distT="0" distB="0" distL="0" distR="0" wp14:anchorId="3E667F3B" wp14:editId="7D2BE0B5">
            <wp:extent cx="3245111" cy="2430417"/>
            <wp:effectExtent l="0" t="0" r="0" b="0"/>
            <wp:docPr id="5" name="image7.png" descr="Rising Demand For Smart Home Solutions To Accelerate Growth"/>
            <wp:cNvGraphicFramePr/>
            <a:graphic xmlns:a="http://schemas.openxmlformats.org/drawingml/2006/main">
              <a:graphicData uri="http://schemas.openxmlformats.org/drawingml/2006/picture">
                <pic:pic xmlns:pic="http://schemas.openxmlformats.org/drawingml/2006/picture">
                  <pic:nvPicPr>
                    <pic:cNvPr id="0" name="image7.png" descr="Rising Demand For Smart Home Solutions To Accelerate Growth"/>
                    <pic:cNvPicPr preferRelativeResize="0"/>
                  </pic:nvPicPr>
                  <pic:blipFill>
                    <a:blip r:embed="rId12"/>
                    <a:srcRect/>
                    <a:stretch>
                      <a:fillRect/>
                    </a:stretch>
                  </pic:blipFill>
                  <pic:spPr>
                    <a:xfrm>
                      <a:off x="0" y="0"/>
                      <a:ext cx="3245111" cy="2430417"/>
                    </a:xfrm>
                    <a:prstGeom prst="rect">
                      <a:avLst/>
                    </a:prstGeom>
                    <a:ln/>
                  </pic:spPr>
                </pic:pic>
              </a:graphicData>
            </a:graphic>
          </wp:inline>
        </w:drawing>
      </w:r>
    </w:p>
    <w:p w14:paraId="43490FCB" w14:textId="77777777" w:rsidR="00444C7A" w:rsidRDefault="00763C43">
      <w:pPr>
        <w:pBdr>
          <w:top w:val="nil"/>
          <w:left w:val="nil"/>
          <w:bottom w:val="nil"/>
          <w:right w:val="nil"/>
          <w:between w:val="nil"/>
        </w:pBdr>
        <w:spacing w:after="200"/>
        <w:jc w:val="center"/>
        <w:rPr>
          <w:i/>
          <w:iCs/>
          <w:color w:val="0E2841"/>
          <w:sz w:val="18"/>
          <w:szCs w:val="18"/>
        </w:rPr>
      </w:pPr>
      <w:r>
        <w:rPr>
          <w:i/>
          <w:iCs/>
          <w:color w:val="0E2841"/>
          <w:sz w:val="18"/>
          <w:szCs w:val="18"/>
        </w:rPr>
        <w:t>Figur</w:t>
      </w:r>
      <w:r>
        <w:rPr>
          <w:i/>
          <w:iCs/>
          <w:color w:val="0E2841"/>
          <w:sz w:val="18"/>
          <w:szCs w:val="18"/>
        </w:rPr>
        <w:t>e 3: Cordless Appliances Global Market</w:t>
      </w:r>
    </w:p>
    <w:p w14:paraId="64EFA540" w14:textId="77777777" w:rsidR="00444C7A" w:rsidRDefault="00763C43">
      <w:pPr>
        <w:jc w:val="center"/>
      </w:pPr>
      <w:r>
        <w:t>Source: (The Business Research Company, 2025)</w:t>
      </w:r>
    </w:p>
    <w:p w14:paraId="58A38587" w14:textId="77777777" w:rsidR="00444C7A" w:rsidRDefault="00763C43">
      <w:r>
        <w:t>Since cordless appliances and personal-care gadgets are innovative, technological forces are acceptable. Innovations in battery efficiency, digital motors, and smart-senso</w:t>
      </w:r>
      <w:r>
        <w:t xml:space="preserve">r integration are changing market demand. Global reports predict the cordless appliances market would expand from 43.92 billion in 2024 to 62.55 billion in 2029 at a CAGR of 7.6 (The Business Research Company, 2025). This expansion follows Dyson's lead in </w:t>
      </w:r>
      <w:r>
        <w:t xml:space="preserve">high-performance cordless technologies and Sharks' quick imitation strategy. Competition increases as energy-efficiency limits and machine-learning gadgets expand. Technologically differentiated items like the Dyson </w:t>
      </w:r>
      <w:proofErr w:type="spellStart"/>
      <w:r>
        <w:t>Airwrap</w:t>
      </w:r>
      <w:proofErr w:type="spellEnd"/>
      <w:r>
        <w:t xml:space="preserve"> and Shark </w:t>
      </w:r>
      <w:proofErr w:type="spellStart"/>
      <w:r>
        <w:t>FlexStyle</w:t>
      </w:r>
      <w:proofErr w:type="spellEnd"/>
      <w:r>
        <w:t xml:space="preserve"> will benefit</w:t>
      </w:r>
      <w:r>
        <w:t xml:space="preserve"> from rising consumer electronics spending through 2028 (Statista, 2024).</w:t>
      </w:r>
    </w:p>
    <w:p w14:paraId="144680DC" w14:textId="77777777" w:rsidR="00444C7A" w:rsidRDefault="00763C43">
      <w:r>
        <w:t>Economic issues including inflation, disposable income, and currency exchange rates affect global consumer spending. Economic instability affects price sensitivity and premium applia</w:t>
      </w:r>
      <w:r>
        <w:t>nce uptake. Statista (2024) data show the consumer electronics market expanding, but with customers becoming more frugal, followers like Shark are focussing on affordability while leaders like Dyson enhance their luxury offerings. Inflationary pressures on</w:t>
      </w:r>
      <w:r>
        <w:t xml:space="preserve"> raw materials, shipping, and lithium-ion batteries have raised </w:t>
      </w:r>
      <w:r>
        <w:lastRenderedPageBreak/>
        <w:t>industry operational expenses, leading to strategic pricing, product bundling, and promotional offers.</w:t>
      </w:r>
    </w:p>
    <w:p w14:paraId="6FCA3237" w14:textId="77777777" w:rsidR="00444C7A" w:rsidRDefault="00763C43">
      <w:pPr>
        <w:keepNext/>
        <w:jc w:val="center"/>
      </w:pPr>
      <w:r>
        <w:rPr>
          <w:noProof/>
        </w:rPr>
        <w:drawing>
          <wp:inline distT="0" distB="0" distL="0" distR="0" wp14:anchorId="17587DA3" wp14:editId="38D88FB0">
            <wp:extent cx="3227754" cy="2134910"/>
            <wp:effectExtent l="0" t="0" r="0" b="0"/>
            <wp:docPr id="4" name="image6.png" descr="Global spending on consumer electronics to drop $5.3B this year - Electronic  Products &amp; TechnologyElectronic Products &amp; Technology"/>
            <wp:cNvGraphicFramePr/>
            <a:graphic xmlns:a="http://schemas.openxmlformats.org/drawingml/2006/main">
              <a:graphicData uri="http://schemas.openxmlformats.org/drawingml/2006/picture">
                <pic:pic xmlns:pic="http://schemas.openxmlformats.org/drawingml/2006/picture">
                  <pic:nvPicPr>
                    <pic:cNvPr id="0" name="image6.png" descr="Global spending on consumer electronics to drop $5.3B this year - Electronic  Products &amp; TechnologyElectronic Products &amp; Technology"/>
                    <pic:cNvPicPr preferRelativeResize="0"/>
                  </pic:nvPicPr>
                  <pic:blipFill>
                    <a:blip r:embed="rId13"/>
                    <a:srcRect/>
                    <a:stretch>
                      <a:fillRect/>
                    </a:stretch>
                  </pic:blipFill>
                  <pic:spPr>
                    <a:xfrm>
                      <a:off x="0" y="0"/>
                      <a:ext cx="3227754" cy="2134910"/>
                    </a:xfrm>
                    <a:prstGeom prst="rect">
                      <a:avLst/>
                    </a:prstGeom>
                    <a:ln/>
                  </pic:spPr>
                </pic:pic>
              </a:graphicData>
            </a:graphic>
          </wp:inline>
        </w:drawing>
      </w:r>
    </w:p>
    <w:p w14:paraId="3AF54DF5" w14:textId="77777777" w:rsidR="00444C7A" w:rsidRDefault="00763C43">
      <w:pPr>
        <w:pBdr>
          <w:top w:val="nil"/>
          <w:left w:val="nil"/>
          <w:bottom w:val="nil"/>
          <w:right w:val="nil"/>
          <w:between w:val="nil"/>
        </w:pBdr>
        <w:spacing w:after="200"/>
        <w:jc w:val="center"/>
        <w:rPr>
          <w:i/>
          <w:iCs/>
          <w:color w:val="0E2841"/>
          <w:sz w:val="18"/>
          <w:szCs w:val="18"/>
        </w:rPr>
      </w:pPr>
      <w:r>
        <w:rPr>
          <w:i/>
          <w:iCs/>
          <w:color w:val="0E2841"/>
          <w:sz w:val="18"/>
          <w:szCs w:val="18"/>
        </w:rPr>
        <w:t>Figure 4: Global Spending on Consumer Electronics</w:t>
      </w:r>
    </w:p>
    <w:p w14:paraId="6FBC9215" w14:textId="77777777" w:rsidR="00444C7A" w:rsidRDefault="00763C43">
      <w:pPr>
        <w:jc w:val="center"/>
      </w:pPr>
      <w:r>
        <w:t>Source: (Statista, 2024)</w:t>
      </w:r>
    </w:p>
    <w:p w14:paraId="303D26EB" w14:textId="2168476C" w:rsidR="00444C7A" w:rsidRDefault="00763C43">
      <w:r>
        <w:t>Technological and economic forces are the most strategic and influential macro-environmental forces for analysing pioneers and followers in this industry due to the level of innovation and economic forces that influence consumer decision-making</w:t>
      </w:r>
      <w:r w:rsidR="00972461">
        <w:t xml:space="preserve"> (WIPO, 2025)</w:t>
      </w:r>
      <w:r>
        <w:t>.</w:t>
      </w:r>
    </w:p>
    <w:p w14:paraId="350ABF71" w14:textId="77777777" w:rsidR="00444C7A" w:rsidRDefault="00763C43">
      <w:pPr>
        <w:pStyle w:val="Heading2"/>
      </w:pPr>
      <w:bookmarkStart w:id="4" w:name="_Toc214569753"/>
      <w:r>
        <w:t>2.3 Critical Analysis of Each Actor</w:t>
      </w:r>
      <w:bookmarkEnd w:id="4"/>
    </w:p>
    <w:p w14:paraId="785F231F" w14:textId="77777777" w:rsidR="00444C7A" w:rsidRDefault="00763C43">
      <w:pPr>
        <w:pStyle w:val="Heading3"/>
      </w:pPr>
      <w:bookmarkStart w:id="5" w:name="_Toc214569754"/>
      <w:r>
        <w:t>2.3.1 Technological Factors</w:t>
      </w:r>
      <w:bookmarkEnd w:id="5"/>
    </w:p>
    <w:p w14:paraId="74D34AA1" w14:textId="77777777" w:rsidR="00444C7A" w:rsidRDefault="00763C43">
      <w:r>
        <w:t>One of the most powerful forces in the competition in the home appliances and beauty-tech industry is technological development. The global R&amp;D expenditure has risen in Figure 5, which demo</w:t>
      </w:r>
      <w:r>
        <w:t>nstrates that the procurement of innovation has been increasing faster in consumer electronics. WIPO (2025) states that since 2021, business R&amp;D spending has been increasing steadily indicating a wider industry transition to the more technologically develo</w:t>
      </w:r>
      <w:r>
        <w:t>ped engineering, intelligent elements and digitalisation.</w:t>
      </w:r>
    </w:p>
    <w:p w14:paraId="68E2F1C1" w14:textId="77777777" w:rsidR="00444C7A" w:rsidRDefault="00763C43">
      <w:r>
        <w:t xml:space="preserve">Dyson is a pioneering company that needs high technical intensity for strategy and competitiveness. Dyson invests about $3 million a week on R&amp;D and has big engineering centres worldwide, giving it </w:t>
      </w:r>
      <w:r>
        <w:t>an advantage to enter the market first and avoid patents (Dyson, 2024). Dyson pioneered category-setting items like the cordless vacuum in 2016 and the Dyson Supersonic hair dryer in 2018. Advances allow Dyson to set high standards, build brand equity, and</w:t>
      </w:r>
      <w:r>
        <w:t xml:space="preserve"> stay ahead technologically.</w:t>
      </w:r>
    </w:p>
    <w:p w14:paraId="65616F46" w14:textId="77777777" w:rsidR="00444C7A" w:rsidRDefault="00763C43">
      <w:pPr>
        <w:keepNext/>
        <w:jc w:val="center"/>
      </w:pPr>
      <w:r>
        <w:rPr>
          <w:noProof/>
        </w:rPr>
        <w:lastRenderedPageBreak/>
        <w:drawing>
          <wp:inline distT="0" distB="0" distL="0" distR="0" wp14:anchorId="670D12A0" wp14:editId="7B906D19">
            <wp:extent cx="3068304" cy="2672614"/>
            <wp:effectExtent l="0" t="0" r="0" b="0"/>
            <wp:docPr id="7" name="image9.png" descr="A graph of growth and growth rat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9.png" descr="A graph of growth and growth rate&#10;&#10;AI-generated content may be incorrect."/>
                    <pic:cNvPicPr preferRelativeResize="0"/>
                  </pic:nvPicPr>
                  <pic:blipFill>
                    <a:blip r:embed="rId14"/>
                    <a:srcRect/>
                    <a:stretch>
                      <a:fillRect/>
                    </a:stretch>
                  </pic:blipFill>
                  <pic:spPr>
                    <a:xfrm>
                      <a:off x="0" y="0"/>
                      <a:ext cx="3068304" cy="2672614"/>
                    </a:xfrm>
                    <a:prstGeom prst="rect">
                      <a:avLst/>
                    </a:prstGeom>
                    <a:ln/>
                  </pic:spPr>
                </pic:pic>
              </a:graphicData>
            </a:graphic>
          </wp:inline>
        </w:drawing>
      </w:r>
    </w:p>
    <w:p w14:paraId="65F6BB6D" w14:textId="77777777" w:rsidR="00444C7A" w:rsidRDefault="00763C43">
      <w:pPr>
        <w:pBdr>
          <w:top w:val="nil"/>
          <w:left w:val="nil"/>
          <w:bottom w:val="nil"/>
          <w:right w:val="nil"/>
          <w:between w:val="nil"/>
        </w:pBdr>
        <w:spacing w:after="200"/>
        <w:jc w:val="center"/>
        <w:rPr>
          <w:i/>
          <w:iCs/>
          <w:color w:val="0E2841"/>
          <w:sz w:val="18"/>
          <w:szCs w:val="18"/>
        </w:rPr>
      </w:pPr>
      <w:r>
        <w:rPr>
          <w:i/>
          <w:iCs/>
          <w:color w:val="0E2841"/>
          <w:sz w:val="18"/>
          <w:szCs w:val="18"/>
        </w:rPr>
        <w:t>Figure 5: GDP Growth and Business R&amp;D Growth</w:t>
      </w:r>
    </w:p>
    <w:p w14:paraId="45812D1F" w14:textId="77777777" w:rsidR="00444C7A" w:rsidRDefault="00763C43">
      <w:pPr>
        <w:jc w:val="center"/>
      </w:pPr>
      <w:r>
        <w:t>Source: (WIPO, 2025)</w:t>
      </w:r>
    </w:p>
    <w:p w14:paraId="07ACE704" w14:textId="77777777" w:rsidR="00444C7A" w:rsidRDefault="00763C43">
      <w:r>
        <w:t xml:space="preserve">Dyson relies too much on R&amp;D. Speed of technological dissemination reduces innovators' innovative advantage. Shark entered its industry quickly by </w:t>
      </w:r>
      <w:r>
        <w:t xml:space="preserve">copying or re-engineering Dyson innovations at a lesser cost. For instance, the Shark </w:t>
      </w:r>
      <w:proofErr w:type="spellStart"/>
      <w:r>
        <w:t>FlexStyle</w:t>
      </w:r>
      <w:proofErr w:type="spellEnd"/>
      <w:r>
        <w:t xml:space="preserve"> was half the price of the Dyson </w:t>
      </w:r>
      <w:proofErr w:type="spellStart"/>
      <w:r>
        <w:t>Airwrap</w:t>
      </w:r>
      <w:proofErr w:type="spellEnd"/>
      <w:r>
        <w:t xml:space="preserve"> but had the same multi-styling capability that won over value-sensitive clients (Crunchbase, 2025). This shows that tech</w:t>
      </w:r>
      <w:r>
        <w:t>nical advancement allows followers to gain market share by offering performance at minimal cost.</w:t>
      </w:r>
    </w:p>
    <w:p w14:paraId="0F273562" w14:textId="77777777" w:rsidR="00444C7A" w:rsidRDefault="00763C43">
      <w:pPr>
        <w:keepNext/>
        <w:jc w:val="center"/>
      </w:pPr>
      <w:r>
        <w:rPr>
          <w:noProof/>
        </w:rPr>
        <w:drawing>
          <wp:inline distT="0" distB="0" distL="0" distR="0" wp14:anchorId="6EB64447" wp14:editId="61663CB8">
            <wp:extent cx="3256425" cy="2263244"/>
            <wp:effectExtent l="0" t="0" r="0" b="0"/>
            <wp:docPr id="6" name="image8.png" descr="A timeline of a timeline of a vacuu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png" descr="A timeline of a timeline of a vacuum&#10;&#10;AI-generated content may be incorrect."/>
                    <pic:cNvPicPr preferRelativeResize="0"/>
                  </pic:nvPicPr>
                  <pic:blipFill>
                    <a:blip r:embed="rId15"/>
                    <a:srcRect/>
                    <a:stretch>
                      <a:fillRect/>
                    </a:stretch>
                  </pic:blipFill>
                  <pic:spPr>
                    <a:xfrm>
                      <a:off x="0" y="0"/>
                      <a:ext cx="3256425" cy="2263244"/>
                    </a:xfrm>
                    <a:prstGeom prst="rect">
                      <a:avLst/>
                    </a:prstGeom>
                    <a:ln/>
                  </pic:spPr>
                </pic:pic>
              </a:graphicData>
            </a:graphic>
          </wp:inline>
        </w:drawing>
      </w:r>
    </w:p>
    <w:p w14:paraId="6E37BB87" w14:textId="77777777" w:rsidR="00444C7A" w:rsidRDefault="00763C43">
      <w:pPr>
        <w:pBdr>
          <w:top w:val="nil"/>
          <w:left w:val="nil"/>
          <w:bottom w:val="nil"/>
          <w:right w:val="nil"/>
          <w:between w:val="nil"/>
        </w:pBdr>
        <w:spacing w:after="200"/>
        <w:jc w:val="center"/>
        <w:rPr>
          <w:i/>
          <w:iCs/>
          <w:color w:val="0E2841"/>
          <w:sz w:val="18"/>
          <w:szCs w:val="18"/>
        </w:rPr>
      </w:pPr>
      <w:r>
        <w:rPr>
          <w:i/>
          <w:iCs/>
          <w:color w:val="0E2841"/>
          <w:sz w:val="18"/>
          <w:szCs w:val="18"/>
        </w:rPr>
        <w:t>Figure 6: Innovation Timeline</w:t>
      </w:r>
    </w:p>
    <w:p w14:paraId="6B221C75" w14:textId="77777777" w:rsidR="00444C7A" w:rsidRDefault="00763C43">
      <w:pPr>
        <w:jc w:val="center"/>
      </w:pPr>
      <w:r>
        <w:t>Source: (Dyson, 2024)</w:t>
      </w:r>
    </w:p>
    <w:p w14:paraId="16AA9C6F" w14:textId="77777777" w:rsidR="00444C7A" w:rsidRDefault="00763C43">
      <w:r>
        <w:lastRenderedPageBreak/>
        <w:t>Each firm has various strategy implications. Dyson must innovate radically, expand patents, and build pro</w:t>
      </w:r>
      <w:r>
        <w:t>duct ecosystems to escape commercialisation. Shark, meanwhile, may employ incremental innovation and fast responsiveness to launch in new categories quickly with less R&amp;D risk. New technologies like sustainable engineering, compact digital motors, and AI-e</w:t>
      </w:r>
      <w:r>
        <w:t>xpanded gadgets push the two companies to adapt.</w:t>
      </w:r>
    </w:p>
    <w:p w14:paraId="2A3FFF67" w14:textId="77777777" w:rsidR="00444C7A" w:rsidRDefault="00763C43">
      <w:pPr>
        <w:pStyle w:val="Heading3"/>
      </w:pPr>
      <w:bookmarkStart w:id="6" w:name="_Toc214569755"/>
      <w:r>
        <w:t>2.3.2 Economic Factors</w:t>
      </w:r>
      <w:bookmarkEnd w:id="6"/>
    </w:p>
    <w:p w14:paraId="7435EB48" w14:textId="77777777" w:rsidR="00444C7A" w:rsidRDefault="00763C43">
      <w:r>
        <w:t xml:space="preserve">The forces of economy, especially inflation and the varying consumer confidence, have a powerful effect on the demand of products of the household electronics market. According to the </w:t>
      </w:r>
      <w:r>
        <w:t>data provided by ONS (2024), the growth of inflation in the UK was accompanied by weakening consumer confidence, which is a symptom of price sensitivity (Figure 7). Premium and value brands are not influenced by the same environment.</w:t>
      </w:r>
    </w:p>
    <w:p w14:paraId="53901354" w14:textId="77777777" w:rsidR="00444C7A" w:rsidRDefault="00763C43">
      <w:pPr>
        <w:keepNext/>
        <w:jc w:val="center"/>
      </w:pPr>
      <w:r>
        <w:rPr>
          <w:noProof/>
        </w:rPr>
        <w:drawing>
          <wp:inline distT="0" distB="0" distL="0" distR="0" wp14:anchorId="2A345276" wp14:editId="344C36C2">
            <wp:extent cx="3806458" cy="2536655"/>
            <wp:effectExtent l="0" t="0" r="0" b="0"/>
            <wp:docPr id="9" name="image11.png" descr="Generated image"/>
            <wp:cNvGraphicFramePr/>
            <a:graphic xmlns:a="http://schemas.openxmlformats.org/drawingml/2006/main">
              <a:graphicData uri="http://schemas.openxmlformats.org/drawingml/2006/picture">
                <pic:pic xmlns:pic="http://schemas.openxmlformats.org/drawingml/2006/picture">
                  <pic:nvPicPr>
                    <pic:cNvPr id="0" name="image11.png" descr="Generated image"/>
                    <pic:cNvPicPr preferRelativeResize="0"/>
                  </pic:nvPicPr>
                  <pic:blipFill>
                    <a:blip r:embed="rId16"/>
                    <a:srcRect/>
                    <a:stretch>
                      <a:fillRect/>
                    </a:stretch>
                  </pic:blipFill>
                  <pic:spPr>
                    <a:xfrm>
                      <a:off x="0" y="0"/>
                      <a:ext cx="3806458" cy="2536655"/>
                    </a:xfrm>
                    <a:prstGeom prst="rect">
                      <a:avLst/>
                    </a:prstGeom>
                    <a:ln/>
                  </pic:spPr>
                </pic:pic>
              </a:graphicData>
            </a:graphic>
          </wp:inline>
        </w:drawing>
      </w:r>
    </w:p>
    <w:p w14:paraId="59426630" w14:textId="77777777" w:rsidR="00444C7A" w:rsidRDefault="00763C43">
      <w:pPr>
        <w:pBdr>
          <w:top w:val="nil"/>
          <w:left w:val="nil"/>
          <w:bottom w:val="nil"/>
          <w:right w:val="nil"/>
          <w:between w:val="nil"/>
        </w:pBdr>
        <w:spacing w:after="200"/>
        <w:jc w:val="center"/>
        <w:rPr>
          <w:i/>
          <w:iCs/>
          <w:color w:val="0E2841"/>
          <w:sz w:val="18"/>
          <w:szCs w:val="18"/>
        </w:rPr>
      </w:pPr>
      <w:r>
        <w:rPr>
          <w:i/>
          <w:iCs/>
          <w:color w:val="0E2841"/>
          <w:sz w:val="18"/>
          <w:szCs w:val="18"/>
        </w:rPr>
        <w:t xml:space="preserve">Figure 7: Inflation </w:t>
      </w:r>
      <w:r>
        <w:rPr>
          <w:i/>
          <w:iCs/>
          <w:color w:val="0E2841"/>
          <w:sz w:val="18"/>
          <w:szCs w:val="18"/>
        </w:rPr>
        <w:t>vs Consumer Confidence</w:t>
      </w:r>
    </w:p>
    <w:p w14:paraId="6357361F" w14:textId="77777777" w:rsidR="00444C7A" w:rsidRDefault="00763C43">
      <w:pPr>
        <w:jc w:val="center"/>
      </w:pPr>
      <w:r>
        <w:t>Source: (ONS, 2024)</w:t>
      </w:r>
    </w:p>
    <w:p w14:paraId="23C438AD" w14:textId="77777777" w:rsidR="00444C7A" w:rsidRDefault="00763C43">
      <w:r>
        <w:t>In the case of Dyson, economic recession poses risks as its products are based on high end pricing. Disposable income becomes smaller, and the consumers put off buying more expensive goods or replace them with mid</w:t>
      </w:r>
      <w:r>
        <w:t>dle-income products (PwC, 2024). Nevertheless, despite the frustrations of the time in economy, there is an opportunity as well, with Dyson being able to focus more on the long-term value, durability and energy efficiency features which are put into more f</w:t>
      </w:r>
      <w:r>
        <w:t>ocus in response to pressures on cost-of-living.</w:t>
      </w:r>
    </w:p>
    <w:p w14:paraId="39BF1087" w14:textId="77777777" w:rsidR="00444C7A" w:rsidRDefault="00763C43">
      <w:pPr>
        <w:keepNext/>
        <w:jc w:val="center"/>
      </w:pPr>
      <w:r>
        <w:rPr>
          <w:noProof/>
        </w:rPr>
        <w:lastRenderedPageBreak/>
        <w:drawing>
          <wp:inline distT="0" distB="0" distL="0" distR="0" wp14:anchorId="6ADD8BA9" wp14:editId="5043D4C5">
            <wp:extent cx="2443716" cy="2320230"/>
            <wp:effectExtent l="0" t="0" r="0" b="0"/>
            <wp:docPr id="8" name="image10.png" descr="A diagram of a shark and dys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0.png" descr="A diagram of a shark and dyson&#10;&#10;AI-generated content may be incorrect."/>
                    <pic:cNvPicPr preferRelativeResize="0"/>
                  </pic:nvPicPr>
                  <pic:blipFill>
                    <a:blip r:embed="rId17"/>
                    <a:srcRect/>
                    <a:stretch>
                      <a:fillRect/>
                    </a:stretch>
                  </pic:blipFill>
                  <pic:spPr>
                    <a:xfrm>
                      <a:off x="0" y="0"/>
                      <a:ext cx="2443716" cy="2320230"/>
                    </a:xfrm>
                    <a:prstGeom prst="rect">
                      <a:avLst/>
                    </a:prstGeom>
                    <a:ln/>
                  </pic:spPr>
                </pic:pic>
              </a:graphicData>
            </a:graphic>
          </wp:inline>
        </w:drawing>
      </w:r>
    </w:p>
    <w:p w14:paraId="71E9D00D" w14:textId="77777777" w:rsidR="00444C7A" w:rsidRDefault="00763C43">
      <w:pPr>
        <w:pBdr>
          <w:top w:val="nil"/>
          <w:left w:val="nil"/>
          <w:bottom w:val="nil"/>
          <w:right w:val="nil"/>
          <w:between w:val="nil"/>
        </w:pBdr>
        <w:spacing w:after="200"/>
        <w:jc w:val="center"/>
        <w:rPr>
          <w:i/>
          <w:iCs/>
          <w:color w:val="0E2841"/>
          <w:sz w:val="18"/>
          <w:szCs w:val="18"/>
        </w:rPr>
      </w:pPr>
      <w:r>
        <w:rPr>
          <w:i/>
          <w:iCs/>
          <w:color w:val="0E2841"/>
          <w:sz w:val="18"/>
          <w:szCs w:val="18"/>
        </w:rPr>
        <w:t>Figure 8: Price Perception Positioning Map</w:t>
      </w:r>
    </w:p>
    <w:p w14:paraId="31DF67BA" w14:textId="77777777" w:rsidR="00444C7A" w:rsidRDefault="00763C43">
      <w:pPr>
        <w:jc w:val="center"/>
      </w:pPr>
      <w:r>
        <w:t>Source: (Statista, 2024)</w:t>
      </w:r>
    </w:p>
    <w:p w14:paraId="629B1EB7" w14:textId="77777777" w:rsidR="00444C7A" w:rsidRDefault="00763C43">
      <w:r>
        <w:t xml:space="preserve">Poor economies favour followers like Shark. Shark's price- and feature-based replacements complement consumers' trade-down </w:t>
      </w:r>
      <w:r>
        <w:t>efforts. Shark falls within the low-quality group on the price-quality positioning map (Figure 8), which is above restricted household budgets. Retailer collaborations, bundle deals, and special pricing will help Shark gain market share (Statista, 2024).</w:t>
      </w:r>
    </w:p>
    <w:p w14:paraId="73F62BA4" w14:textId="77777777" w:rsidR="00444C7A" w:rsidRDefault="00763C43">
      <w:r>
        <w:t>A</w:t>
      </w:r>
      <w:r>
        <w:t>s higher-income clients spend discretionally, premium categories climb faster during recovery. Economic booms have raised demand backlash for Dyson (Euromonitor, 2024). Followers benefit from recessions and pioneers from booms. Dyson should employ flexible</w:t>
      </w:r>
      <w:r>
        <w:t xml:space="preserve"> pricing, great value, and financing/pay choices during inflation. Shark must endure economic turbulence with inexpensive advertising and retail expansion. The two businesses should plan for long-term structural changes like rising living costs, online buy</w:t>
      </w:r>
      <w:r>
        <w:t>ing, and demand for durable and energy-efficient equipment.</w:t>
      </w:r>
    </w:p>
    <w:p w14:paraId="45F538A0" w14:textId="77777777" w:rsidR="00444C7A" w:rsidRDefault="00763C43">
      <w:pPr>
        <w:spacing w:before="0" w:after="0" w:line="240" w:lineRule="auto"/>
        <w:jc w:val="left"/>
      </w:pPr>
      <w:r>
        <w:br w:type="page"/>
      </w:r>
    </w:p>
    <w:p w14:paraId="6B8A2A50" w14:textId="77777777" w:rsidR="00444C7A" w:rsidRDefault="00763C43">
      <w:pPr>
        <w:pStyle w:val="Heading1"/>
      </w:pPr>
      <w:bookmarkStart w:id="7" w:name="_Toc214569756"/>
      <w:r>
        <w:lastRenderedPageBreak/>
        <w:t>3. Task 2 Structure (Porter’s Generic Strategies)</w:t>
      </w:r>
      <w:bookmarkEnd w:id="7"/>
    </w:p>
    <w:p w14:paraId="2E863740" w14:textId="77777777" w:rsidR="00444C7A" w:rsidRDefault="00763C43">
      <w:r>
        <w:t>This is where Dyson, a pioneer, and Shark, a follower, will be analysed in terms of their strategic decisions regarding addressing the technolog</w:t>
      </w:r>
      <w:r>
        <w:t>ical and economic forces (Task 1). This analytical lens will be the Porters Generic Strategies model in figure 9 that covers how organisations can create a competitive edge by leading in costs, differentiation, or focus (de Bruin, 2021).</w:t>
      </w:r>
    </w:p>
    <w:p w14:paraId="6E025336" w14:textId="77777777" w:rsidR="00444C7A" w:rsidRDefault="00763C43">
      <w:pPr>
        <w:keepNext/>
        <w:jc w:val="center"/>
      </w:pPr>
      <w:r>
        <w:rPr>
          <w:noProof/>
        </w:rPr>
        <w:drawing>
          <wp:inline distT="0" distB="0" distL="0" distR="0" wp14:anchorId="55466581" wp14:editId="08B0DAD6">
            <wp:extent cx="5731510" cy="3220720"/>
            <wp:effectExtent l="0" t="0" r="0" b="0"/>
            <wp:docPr id="11" name="image13.png" descr="Porter's Generic Strategies EXPLAINED with EXAMPLES | B2U"/>
            <wp:cNvGraphicFramePr/>
            <a:graphic xmlns:a="http://schemas.openxmlformats.org/drawingml/2006/main">
              <a:graphicData uri="http://schemas.openxmlformats.org/drawingml/2006/picture">
                <pic:pic xmlns:pic="http://schemas.openxmlformats.org/drawingml/2006/picture">
                  <pic:nvPicPr>
                    <pic:cNvPr id="0" name="image13.png" descr="Porter's Generic Strategies EXPLAINED with EXAMPLES | B2U"/>
                    <pic:cNvPicPr preferRelativeResize="0"/>
                  </pic:nvPicPr>
                  <pic:blipFill>
                    <a:blip r:embed="rId18"/>
                    <a:srcRect/>
                    <a:stretch>
                      <a:fillRect/>
                    </a:stretch>
                  </pic:blipFill>
                  <pic:spPr>
                    <a:xfrm>
                      <a:off x="0" y="0"/>
                      <a:ext cx="5731510" cy="3220720"/>
                    </a:xfrm>
                    <a:prstGeom prst="rect">
                      <a:avLst/>
                    </a:prstGeom>
                    <a:ln/>
                  </pic:spPr>
                </pic:pic>
              </a:graphicData>
            </a:graphic>
          </wp:inline>
        </w:drawing>
      </w:r>
    </w:p>
    <w:p w14:paraId="6A3F2AF6" w14:textId="77777777" w:rsidR="00444C7A" w:rsidRDefault="00763C43">
      <w:pPr>
        <w:pBdr>
          <w:top w:val="nil"/>
          <w:left w:val="nil"/>
          <w:bottom w:val="nil"/>
          <w:right w:val="nil"/>
          <w:between w:val="nil"/>
        </w:pBdr>
        <w:spacing w:after="200"/>
        <w:jc w:val="center"/>
        <w:rPr>
          <w:i/>
          <w:iCs/>
          <w:color w:val="0E2841"/>
          <w:sz w:val="18"/>
          <w:szCs w:val="18"/>
        </w:rPr>
      </w:pPr>
      <w:r>
        <w:rPr>
          <w:i/>
          <w:iCs/>
          <w:color w:val="0E2841"/>
          <w:sz w:val="18"/>
          <w:szCs w:val="18"/>
        </w:rPr>
        <w:t>Figure 9: Porter</w:t>
      </w:r>
      <w:r>
        <w:rPr>
          <w:i/>
          <w:iCs/>
          <w:color w:val="0E2841"/>
          <w:sz w:val="18"/>
          <w:szCs w:val="18"/>
        </w:rPr>
        <w:t>’s Generic Strategies</w:t>
      </w:r>
    </w:p>
    <w:p w14:paraId="14601263" w14:textId="77777777" w:rsidR="00444C7A" w:rsidRDefault="00763C43">
      <w:pPr>
        <w:jc w:val="center"/>
      </w:pPr>
      <w:r>
        <w:t>Source: (de Bruin, 2021)</w:t>
      </w:r>
    </w:p>
    <w:p w14:paraId="44AE0C79" w14:textId="77777777" w:rsidR="00444C7A" w:rsidRDefault="00763C43">
      <w:r>
        <w:t>This strategy allows comparing Dyson and Shark to understand how an innovator develops and defends a difference position, and a competitor engages in a competition through cost leadership and differentiation f</w:t>
      </w:r>
      <w:r>
        <w:t>ocus on the same industry. The analysis highlights the disparities in how environmental forces affect pioneers' strategic decisions and how those choices affect their competitive situations (</w:t>
      </w:r>
      <w:proofErr w:type="spellStart"/>
      <w:r>
        <w:t>Gatimu</w:t>
      </w:r>
      <w:proofErr w:type="spellEnd"/>
      <w:r>
        <w:t xml:space="preserve"> and </w:t>
      </w:r>
      <w:proofErr w:type="spellStart"/>
      <w:r>
        <w:t>Amuhaya</w:t>
      </w:r>
      <w:proofErr w:type="spellEnd"/>
      <w:r>
        <w:t>, 2022).</w:t>
      </w:r>
    </w:p>
    <w:p w14:paraId="642153BF" w14:textId="77777777" w:rsidR="00444C7A" w:rsidRDefault="00763C43">
      <w:pPr>
        <w:pStyle w:val="Heading2"/>
      </w:pPr>
      <w:bookmarkStart w:id="8" w:name="_Toc214569757"/>
      <w:r>
        <w:t>3.1 Pioneering Organisation’s Strategi</w:t>
      </w:r>
      <w:r>
        <w:t>c Response — Dyson</w:t>
      </w:r>
      <w:bookmarkEnd w:id="8"/>
    </w:p>
    <w:p w14:paraId="6D96C5C3" w14:textId="77777777" w:rsidR="00444C7A" w:rsidRDefault="00763C43">
      <w:r>
        <w:t>In response to technological and economic demands, Dyson strengthened its differentiation strategy, at least the cornerstone of its competitive positioning, as in Porter's Generic Strategies. Porter suggests that differentiated organisat</w:t>
      </w:r>
      <w:r>
        <w:t>ions should innovate, design, perform, and brand to add value (</w:t>
      </w:r>
      <w:proofErr w:type="spellStart"/>
      <w:r>
        <w:t>Gatimu</w:t>
      </w:r>
      <w:proofErr w:type="spellEnd"/>
      <w:r>
        <w:t xml:space="preserve"> and </w:t>
      </w:r>
      <w:proofErr w:type="spellStart"/>
      <w:r>
        <w:t>Amuhaya</w:t>
      </w:r>
      <w:proofErr w:type="spellEnd"/>
      <w:r>
        <w:t xml:space="preserve">, 2022). </w:t>
      </w:r>
      <w:r>
        <w:lastRenderedPageBreak/>
        <w:t>Dyson invests in greater engineering and product development to stay ahead in the home-appliance and beauty-technology markets.</w:t>
      </w:r>
    </w:p>
    <w:p w14:paraId="4C2DC1F3" w14:textId="77777777" w:rsidR="00444C7A" w:rsidRDefault="00763C43">
      <w:pPr>
        <w:pStyle w:val="Heading3"/>
      </w:pPr>
      <w:bookmarkStart w:id="9" w:name="_Toc214569758"/>
      <w:r>
        <w:t>3.1.1 Dyson’s Differentiation Foundati</w:t>
      </w:r>
      <w:r>
        <w:t>on</w:t>
      </w:r>
      <w:bookmarkEnd w:id="9"/>
    </w:p>
    <w:p w14:paraId="127667B7" w14:textId="77777777" w:rsidR="00444C7A" w:rsidRDefault="00763C43">
      <w:pPr>
        <w:numPr>
          <w:ilvl w:val="0"/>
          <w:numId w:val="1"/>
        </w:numPr>
      </w:pPr>
      <w:r>
        <w:t>Dyson has a long-term differentiation approach, investing in research and development spending more than £3 million/week on engineering and innovation that underlies the development of patented technologies, including the digital motors and sophisticate</w:t>
      </w:r>
      <w:r>
        <w:t>d airflow systems (Dyson, 2024).</w:t>
      </w:r>
    </w:p>
    <w:p w14:paraId="63758230" w14:textId="77777777" w:rsidR="00444C7A" w:rsidRDefault="00763C43">
      <w:pPr>
        <w:numPr>
          <w:ilvl w:val="0"/>
          <w:numId w:val="1"/>
        </w:numPr>
      </w:pPr>
      <w:r>
        <w:t xml:space="preserve">The product design and the engineering quality reinforce differentiation, as demonstrated by category-leading products, including the Dyson Supersonic hair dryer and the Dyson V-series cordless vacuums, which have features </w:t>
      </w:r>
      <w:r>
        <w:t>of performance that competitors have difficulty matching (Euromonitor, 2024).</w:t>
      </w:r>
    </w:p>
    <w:p w14:paraId="2E1059CF" w14:textId="77777777" w:rsidR="00444C7A" w:rsidRDefault="00763C43">
      <w:pPr>
        <w:numPr>
          <w:ilvl w:val="0"/>
          <w:numId w:val="1"/>
        </w:numPr>
      </w:pPr>
      <w:r>
        <w:t>Brand equity is core to the differentiation at Dyson, which is a premium and innovation-based company backed by effective marketing narratives regarding its performance, engineer</w:t>
      </w:r>
      <w:r>
        <w:t>ing and technology leadership (PwC, 2024).</w:t>
      </w:r>
    </w:p>
    <w:p w14:paraId="44522308" w14:textId="77777777" w:rsidR="00444C7A" w:rsidRDefault="00763C43">
      <w:pPr>
        <w:numPr>
          <w:ilvl w:val="0"/>
          <w:numId w:val="1"/>
        </w:numPr>
      </w:pPr>
      <w:r>
        <w:t xml:space="preserve">The network of engineering </w:t>
      </w:r>
      <w:proofErr w:type="spellStart"/>
      <w:r>
        <w:t>centers</w:t>
      </w:r>
      <w:proofErr w:type="spellEnd"/>
      <w:r>
        <w:t xml:space="preserve"> all over the world also enhances the capacity of Dyson to provide distinctive value, prototyping fast and securing the most significant innovations in the form of patents to main</w:t>
      </w:r>
      <w:r>
        <w:t>tain long-term differentiation (WIPO, 2025).</w:t>
      </w:r>
    </w:p>
    <w:p w14:paraId="1E16B2AA" w14:textId="77777777" w:rsidR="00444C7A" w:rsidRDefault="00763C43">
      <w:pPr>
        <w:pStyle w:val="Heading3"/>
      </w:pPr>
      <w:bookmarkStart w:id="10" w:name="_Toc214569759"/>
      <w:r>
        <w:t>3.1.2 Influence of Technological Shifts on Dyson’s Strategic Choices</w:t>
      </w:r>
      <w:bookmarkEnd w:id="10"/>
    </w:p>
    <w:p w14:paraId="67D0E58B" w14:textId="77777777" w:rsidR="00444C7A" w:rsidRDefault="00763C43">
      <w:pPr>
        <w:numPr>
          <w:ilvl w:val="0"/>
          <w:numId w:val="2"/>
        </w:numPr>
      </w:pPr>
      <w:r>
        <w:t>Dyson must accelerate product development to maintain first-mover advantages in consumer electronics due to global R&amp;D expenditure (WIPO, 2025</w:t>
      </w:r>
      <w:r>
        <w:t>).</w:t>
      </w:r>
    </w:p>
    <w:p w14:paraId="5402F1C4" w14:textId="77777777" w:rsidR="00444C7A" w:rsidRDefault="00763C43">
      <w:pPr>
        <w:numPr>
          <w:ilvl w:val="0"/>
          <w:numId w:val="2"/>
        </w:numPr>
      </w:pPr>
      <w:r>
        <w:t>Dyson is expanding its patent portfolio and creating integrated product ecosystems to differentiate its hardware, including smart sensors and app connectivity, to combat the growing threat of copying (Crunchbase, 2025).</w:t>
      </w:r>
    </w:p>
    <w:p w14:paraId="1001D81A" w14:textId="77777777" w:rsidR="00444C7A" w:rsidRDefault="00763C43">
      <w:pPr>
        <w:numPr>
          <w:ilvl w:val="0"/>
          <w:numId w:val="2"/>
        </w:numPr>
      </w:pPr>
      <w:r>
        <w:t xml:space="preserve">The combination of AI, </w:t>
      </w:r>
      <w:r>
        <w:t>energy-saving motors, and battery advancements allows Dyson to expand its product line into adjacent areas such as air cleaners, smart heating, and personal-care devices (Euromonitor, 2024).</w:t>
      </w:r>
    </w:p>
    <w:p w14:paraId="31CC2680" w14:textId="77777777" w:rsidR="00444C7A" w:rsidRDefault="00763C43">
      <w:pPr>
        <w:pStyle w:val="Heading3"/>
      </w:pPr>
      <w:bookmarkStart w:id="11" w:name="_Toc214569760"/>
      <w:r>
        <w:lastRenderedPageBreak/>
        <w:t>3.1.3 Influence of Economic Shifts on Dyson’s Strategic Choices</w:t>
      </w:r>
      <w:bookmarkEnd w:id="11"/>
    </w:p>
    <w:p w14:paraId="7FEDDA28" w14:textId="77777777" w:rsidR="00444C7A" w:rsidRDefault="00763C43">
      <w:pPr>
        <w:numPr>
          <w:ilvl w:val="0"/>
          <w:numId w:val="3"/>
        </w:numPr>
      </w:pPr>
      <w:r>
        <w:t>D</w:t>
      </w:r>
      <w:r>
        <w:t>yson should maintain the image of long-term value of its high-end items due to economic reasons including inflation and consumer distrust, as discretionary spending is reduced (ONS, 2024).</w:t>
      </w:r>
    </w:p>
    <w:p w14:paraId="62D732AE" w14:textId="77777777" w:rsidR="00444C7A" w:rsidRDefault="00763C43">
      <w:pPr>
        <w:numPr>
          <w:ilvl w:val="0"/>
          <w:numId w:val="3"/>
        </w:numPr>
      </w:pPr>
      <w:r>
        <w:t>Dyson should prioritise durability, energy efficiency, and reliabil</w:t>
      </w:r>
      <w:r>
        <w:t>ity to appeal to consumers during economic downturns and justify higher costs (PwC, 2024).</w:t>
      </w:r>
    </w:p>
    <w:p w14:paraId="74C02AAE" w14:textId="77777777" w:rsidR="00444C7A" w:rsidRDefault="00763C43">
      <w:pPr>
        <w:numPr>
          <w:ilvl w:val="0"/>
          <w:numId w:val="3"/>
        </w:numPr>
      </w:pPr>
      <w:r>
        <w:t xml:space="preserve">To differentiate, Dyson prioritises supply chain optimisation, selected price increases, and flexible purchasing options, such as </w:t>
      </w:r>
      <w:proofErr w:type="spellStart"/>
      <w:r>
        <w:t>installment</w:t>
      </w:r>
      <w:proofErr w:type="spellEnd"/>
      <w:r>
        <w:t xml:space="preserve"> payments and package de</w:t>
      </w:r>
      <w:r>
        <w:t>als, due to high manufacturing and material costs (Statista, 2024).</w:t>
      </w:r>
    </w:p>
    <w:p w14:paraId="0B323D84" w14:textId="77777777" w:rsidR="00444C7A" w:rsidRDefault="00763C43">
      <w:pPr>
        <w:numPr>
          <w:ilvl w:val="0"/>
          <w:numId w:val="3"/>
        </w:numPr>
      </w:pPr>
      <w:r>
        <w:t>Dyson may capitalise on economic recovery by restarting demand in premium areas, as higher-income earners invest in high-quality home and beauty technology (Euromonitor, 2024).</w:t>
      </w:r>
    </w:p>
    <w:p w14:paraId="216E9E70" w14:textId="77777777" w:rsidR="00444C7A" w:rsidRDefault="00763C43">
      <w:pPr>
        <w:pStyle w:val="Heading3"/>
      </w:pPr>
      <w:bookmarkStart w:id="12" w:name="_Toc214569761"/>
      <w:r>
        <w:t>3.1.4 Strat</w:t>
      </w:r>
      <w:r>
        <w:t>egic Implications Under Porter’s Differentiation Strategy</w:t>
      </w:r>
      <w:bookmarkEnd w:id="12"/>
    </w:p>
    <w:p w14:paraId="2BC0EBFB" w14:textId="77777777" w:rsidR="00444C7A" w:rsidRDefault="00763C43">
      <w:r>
        <w:t>Dyson must focus on breakthrough innovation to stay ahead of fast-follower competition, according to Porter's differentiation model, which requires constant technical leadership (Dixit, 2024). Dyson</w:t>
      </w:r>
      <w:r>
        <w:t>'s strategic position is strengthened by client loyalty and higher switching costs in all haircare, air treatment and floorcare categories by establishing integrated product ecosystems. Dyson still needs premium pricing to fund its R&amp;D, but in times of eco</w:t>
      </w:r>
      <w:r>
        <w:t>nomic instability, the firm must emphasise excellent performance, long-term value, and product longevity to convince customers to pay more. Dyson's competitive advantage is its long-term capacity to protect its technological advantage through patents, stro</w:t>
      </w:r>
      <w:r>
        <w:t>ng brand equity, and product performance superiority, which boosts its differentiation-based market position.</w:t>
      </w:r>
    </w:p>
    <w:p w14:paraId="2329C5FD" w14:textId="77777777" w:rsidR="00444C7A" w:rsidRDefault="00763C43">
      <w:pPr>
        <w:pStyle w:val="Heading2"/>
      </w:pPr>
      <w:bookmarkStart w:id="13" w:name="_Toc214569762"/>
      <w:r>
        <w:t>3.2 Follower Organisation’s Strategic Response — Shark</w:t>
      </w:r>
      <w:bookmarkEnd w:id="13"/>
    </w:p>
    <w:p w14:paraId="149D5188" w14:textId="77777777" w:rsidR="00444C7A" w:rsidRDefault="00763C43">
      <w:r>
        <w:t xml:space="preserve">Shark faces the same technology and economic strain as Dyson, but its strategy is more </w:t>
      </w:r>
      <w:r>
        <w:t>like Porter's hybrid cost leadership and differentiation focus. Porter says cost leaders want efficiency and lower operating costs, whereas differentiators want to offer unique value to a segment (Dixit, 2024). Shark combines the two tactics by offering Dy</w:t>
      </w:r>
      <w:r>
        <w:t>son-like features at a cheaper price, allowing it to attract price-sensitive yet quality-conscious home appliance and beauty-tech consumers. Shark has grown quickly and threatened Dyson with its merger strategy.</w:t>
      </w:r>
    </w:p>
    <w:p w14:paraId="724D80FB" w14:textId="77777777" w:rsidR="00444C7A" w:rsidRDefault="00763C43">
      <w:pPr>
        <w:keepNext/>
        <w:spacing w:line="240" w:lineRule="auto"/>
        <w:jc w:val="center"/>
      </w:pPr>
      <w:r>
        <w:rPr>
          <w:noProof/>
        </w:rPr>
        <w:lastRenderedPageBreak/>
        <w:drawing>
          <wp:inline distT="0" distB="0" distL="0" distR="0" wp14:anchorId="03C7F679" wp14:editId="29473250">
            <wp:extent cx="4009036" cy="2256360"/>
            <wp:effectExtent l="0" t="0" r="0" b="0"/>
            <wp:docPr id="10" name="image12.png" descr="Strategy Canvas | Blue Ocean Strategy Tools and Frameworks"/>
            <wp:cNvGraphicFramePr/>
            <a:graphic xmlns:a="http://schemas.openxmlformats.org/drawingml/2006/main">
              <a:graphicData uri="http://schemas.openxmlformats.org/drawingml/2006/picture">
                <pic:pic xmlns:pic="http://schemas.openxmlformats.org/drawingml/2006/picture">
                  <pic:nvPicPr>
                    <pic:cNvPr id="0" name="image12.png" descr="Strategy Canvas | Blue Ocean Strategy Tools and Frameworks"/>
                    <pic:cNvPicPr preferRelativeResize="0"/>
                  </pic:nvPicPr>
                  <pic:blipFill>
                    <a:blip r:embed="rId19"/>
                    <a:srcRect/>
                    <a:stretch>
                      <a:fillRect/>
                    </a:stretch>
                  </pic:blipFill>
                  <pic:spPr>
                    <a:xfrm>
                      <a:off x="0" y="0"/>
                      <a:ext cx="4009036" cy="2256360"/>
                    </a:xfrm>
                    <a:prstGeom prst="rect">
                      <a:avLst/>
                    </a:prstGeom>
                    <a:ln/>
                  </pic:spPr>
                </pic:pic>
              </a:graphicData>
            </a:graphic>
          </wp:inline>
        </w:drawing>
      </w:r>
    </w:p>
    <w:p w14:paraId="225A0E54" w14:textId="77777777" w:rsidR="00444C7A" w:rsidRDefault="00763C43">
      <w:pPr>
        <w:pBdr>
          <w:top w:val="nil"/>
          <w:left w:val="nil"/>
          <w:bottom w:val="nil"/>
          <w:right w:val="nil"/>
          <w:between w:val="nil"/>
        </w:pBdr>
        <w:spacing w:after="200"/>
        <w:jc w:val="center"/>
        <w:rPr>
          <w:b/>
          <w:bCs/>
          <w:i/>
          <w:iCs/>
          <w:color w:val="0E2841"/>
          <w:sz w:val="18"/>
          <w:szCs w:val="18"/>
        </w:rPr>
      </w:pPr>
      <w:r>
        <w:rPr>
          <w:i/>
          <w:iCs/>
          <w:color w:val="0E2841"/>
          <w:sz w:val="18"/>
          <w:szCs w:val="18"/>
        </w:rPr>
        <w:t>Figure 10: Industry Value Curve</w:t>
      </w:r>
    </w:p>
    <w:p w14:paraId="73E46AC7" w14:textId="77777777" w:rsidR="00444C7A" w:rsidRDefault="00763C43">
      <w:pPr>
        <w:spacing w:line="240" w:lineRule="auto"/>
        <w:jc w:val="center"/>
      </w:pPr>
      <w:r>
        <w:t>Source: (B</w:t>
      </w:r>
      <w:r>
        <w:t>lue Ocean Strategy, 2021)</w:t>
      </w:r>
    </w:p>
    <w:p w14:paraId="1CE15253" w14:textId="77777777" w:rsidR="00444C7A" w:rsidRDefault="00763C43">
      <w:r>
        <w:t>Figure 10 compares the industry value curve to a strategic move using Blue Ocean Strategy Canvas that gives fundamentally new value factors (Blue Ocean Strategy, 2021). Shark is not quite forming a blue ocean, but the graphic help</w:t>
      </w:r>
      <w:r>
        <w:t>s visualise how a quick follower might carefully increase and decrease offerings. Shark follows this trend by adding performance features like multi-styling, ease of use, and accessories and cutting costs by simplifying engineering and delivering value pri</w:t>
      </w:r>
      <w:r>
        <w:t>cing. Shark may challenge Dyson's premium dominance by selling high-value features at a reduced price.</w:t>
      </w:r>
    </w:p>
    <w:p w14:paraId="0B2001B6" w14:textId="77777777" w:rsidR="00444C7A" w:rsidRDefault="00763C43">
      <w:pPr>
        <w:pStyle w:val="Heading3"/>
      </w:pPr>
      <w:bookmarkStart w:id="14" w:name="_Toc214569763"/>
      <w:r>
        <w:t>3.2.1 Shark as a Cost Leadership / Differentiation-Focus Hybrid</w:t>
      </w:r>
      <w:bookmarkEnd w:id="14"/>
    </w:p>
    <w:p w14:paraId="65EE6880" w14:textId="77777777" w:rsidR="00444C7A" w:rsidRDefault="00763C43">
      <w:pPr>
        <w:numPr>
          <w:ilvl w:val="0"/>
          <w:numId w:val="4"/>
        </w:numPr>
      </w:pPr>
      <w:r>
        <w:t>Shark is a low-cost, high-performance product, which aims at consumers who are willing to</w:t>
      </w:r>
      <w:r>
        <w:t xml:space="preserve"> pay a premium but cannot afford Dyson products, especially at the time of increasing inflation rates and falling consumer confidence (ONS, 2024).</w:t>
      </w:r>
    </w:p>
    <w:p w14:paraId="062BD7FC" w14:textId="77777777" w:rsidR="00444C7A" w:rsidRDefault="00763C43">
      <w:pPr>
        <w:numPr>
          <w:ilvl w:val="0"/>
          <w:numId w:val="4"/>
        </w:numPr>
      </w:pPr>
      <w:r>
        <w:t xml:space="preserve">The multi-styling Shark </w:t>
      </w:r>
      <w:proofErr w:type="spellStart"/>
      <w:r>
        <w:t>FlexStyle</w:t>
      </w:r>
      <w:proofErr w:type="spellEnd"/>
      <w:r>
        <w:t xml:space="preserve">, half the cost of Dyson </w:t>
      </w:r>
      <w:proofErr w:type="spellStart"/>
      <w:r>
        <w:t>Airwrap</w:t>
      </w:r>
      <w:proofErr w:type="spellEnd"/>
      <w:r>
        <w:t>, is an example of reverse-engineering and f</w:t>
      </w:r>
      <w:r>
        <w:t>ast-following Dyson innovation, which decreases the intensity of its R&amp;D, without sacrificing performance (Crunchbase, 2025).</w:t>
      </w:r>
    </w:p>
    <w:p w14:paraId="5B099E16" w14:textId="77777777" w:rsidR="00444C7A" w:rsidRDefault="00763C43">
      <w:pPr>
        <w:numPr>
          <w:ilvl w:val="0"/>
          <w:numId w:val="4"/>
        </w:numPr>
      </w:pPr>
      <w:r>
        <w:t>Shark has a smaller market base as compared to Dyson because it is based on low cost and utilitarianism, and diversified to target</w:t>
      </w:r>
      <w:r>
        <w:t xml:space="preserve"> underserved consumers (Dixit, 2024). The company has strengths in value-to-money, convenience, and competitive positioning, provision of long-term warranties, packages, and partnerships with the UK and US stores.</w:t>
      </w:r>
    </w:p>
    <w:p w14:paraId="1B028D08" w14:textId="77777777" w:rsidR="00444C7A" w:rsidRDefault="00763C43">
      <w:pPr>
        <w:pStyle w:val="Heading3"/>
        <w:numPr>
          <w:ilvl w:val="2"/>
          <w:numId w:val="7"/>
        </w:numPr>
      </w:pPr>
      <w:bookmarkStart w:id="15" w:name="_Toc214569764"/>
      <w:r>
        <w:lastRenderedPageBreak/>
        <w:t>Response to Technological Shifts</w:t>
      </w:r>
      <w:bookmarkEnd w:id="15"/>
    </w:p>
    <w:p w14:paraId="4BE939FB" w14:textId="77777777" w:rsidR="00444C7A" w:rsidRDefault="00763C43">
      <w:pPr>
        <w:numPr>
          <w:ilvl w:val="0"/>
          <w:numId w:val="5"/>
        </w:numPr>
      </w:pPr>
      <w:r>
        <w:t>Fast-follower innovation instead of breakthrough discovery enables Shark to embrace proven concepts at reduced risk and capital costs, which is appropriate to its cost-leadership roots. Shark can benefit from technology diffusion by reducing the time neede</w:t>
      </w:r>
      <w:r>
        <w:t>d to invent and implement advancements, allowing it to overcome Dyson's first-mover advantage (WIPO, 2025).</w:t>
      </w:r>
    </w:p>
    <w:p w14:paraId="4D62365D" w14:textId="77777777" w:rsidR="00444C7A" w:rsidRDefault="00763C43">
      <w:pPr>
        <w:numPr>
          <w:ilvl w:val="0"/>
          <w:numId w:val="5"/>
        </w:numPr>
      </w:pPr>
      <w:r>
        <w:t xml:space="preserve">Shark invests on technology that have a significant influence on consumers, such as heat-control in hair styling or cyclonic suction in vacuums, as </w:t>
      </w:r>
      <w:r>
        <w:t>a differentiation strategy (Crunchbase, 2025).</w:t>
      </w:r>
    </w:p>
    <w:p w14:paraId="4BCC6201" w14:textId="77777777" w:rsidR="00444C7A" w:rsidRDefault="00763C43">
      <w:pPr>
        <w:numPr>
          <w:ilvl w:val="0"/>
          <w:numId w:val="5"/>
        </w:numPr>
      </w:pPr>
      <w:r>
        <w:t>Increasing product development pace allows the company to enter new markets and acquire niches quickly, redefining the value proposition for cost-sensitive clients (Blue Ocean Strategy, 2021).</w:t>
      </w:r>
    </w:p>
    <w:p w14:paraId="7AD8A07E" w14:textId="77777777" w:rsidR="00444C7A" w:rsidRDefault="00763C43">
      <w:pPr>
        <w:pStyle w:val="Heading3"/>
      </w:pPr>
      <w:bookmarkStart w:id="16" w:name="_Toc214569765"/>
      <w:r>
        <w:t>3.2.3 Response t</w:t>
      </w:r>
      <w:r>
        <w:t>o Economic Shifts</w:t>
      </w:r>
      <w:bookmarkEnd w:id="16"/>
    </w:p>
    <w:p w14:paraId="639203B2" w14:textId="77777777" w:rsidR="00444C7A" w:rsidRDefault="00763C43">
      <w:pPr>
        <w:numPr>
          <w:ilvl w:val="0"/>
          <w:numId w:val="6"/>
        </w:numPr>
        <w:pBdr>
          <w:top w:val="nil"/>
          <w:left w:val="nil"/>
          <w:bottom w:val="nil"/>
          <w:right w:val="nil"/>
          <w:between w:val="nil"/>
        </w:pBdr>
        <w:spacing w:after="0"/>
      </w:pPr>
      <w:r>
        <w:rPr>
          <w:color w:val="000000"/>
        </w:rPr>
        <w:t>Shark benefits from economic recessions, when shoppers prioritise high-value products over luxury brands. Its price model works in inflationary conditions, when affordability drives purchases (PwC, 2024).</w:t>
      </w:r>
    </w:p>
    <w:p w14:paraId="73A4C2AA" w14:textId="77777777" w:rsidR="00444C7A" w:rsidRDefault="00763C43">
      <w:pPr>
        <w:numPr>
          <w:ilvl w:val="0"/>
          <w:numId w:val="6"/>
        </w:numPr>
        <w:pBdr>
          <w:top w:val="nil"/>
          <w:left w:val="nil"/>
          <w:bottom w:val="nil"/>
          <w:right w:val="nil"/>
          <w:between w:val="nil"/>
        </w:pBdr>
        <w:spacing w:before="0" w:after="0"/>
      </w:pPr>
      <w:r>
        <w:rPr>
          <w:color w:val="000000"/>
        </w:rPr>
        <w:t>Shark has less R&amp;D weight than Dy</w:t>
      </w:r>
      <w:r>
        <w:rPr>
          <w:color w:val="000000"/>
        </w:rPr>
        <w:t>son, allowing it to maintain costs throughout cost-of-living pressures and remain affordable for middle-income households. Shark's hybrid advantage benefits from economic instability, as consumers want reliable and economical household technology to expand</w:t>
      </w:r>
      <w:r>
        <w:rPr>
          <w:color w:val="000000"/>
        </w:rPr>
        <w:t xml:space="preserve"> market share faster during recessions (Euromonitor, 2024).</w:t>
      </w:r>
    </w:p>
    <w:p w14:paraId="12CCEF65" w14:textId="77777777" w:rsidR="00444C7A" w:rsidRDefault="00763C43">
      <w:pPr>
        <w:numPr>
          <w:ilvl w:val="0"/>
          <w:numId w:val="6"/>
        </w:numPr>
        <w:pBdr>
          <w:top w:val="nil"/>
          <w:left w:val="nil"/>
          <w:bottom w:val="nil"/>
          <w:right w:val="nil"/>
          <w:between w:val="nil"/>
        </w:pBdr>
        <w:spacing w:before="0"/>
      </w:pPr>
      <w:r>
        <w:rPr>
          <w:color w:val="000000"/>
        </w:rPr>
        <w:t xml:space="preserve">Shark's retail-intensive distribution strategy, including collaborations with Argos, </w:t>
      </w:r>
      <w:proofErr w:type="spellStart"/>
      <w:r>
        <w:rPr>
          <w:color w:val="000000"/>
        </w:rPr>
        <w:t>Currys</w:t>
      </w:r>
      <w:proofErr w:type="spellEnd"/>
      <w:r>
        <w:rPr>
          <w:color w:val="000000"/>
        </w:rPr>
        <w:t>, and Amazon, enables efficient targeting of price-sensitive customers and operationalises Porter's cost-</w:t>
      </w:r>
      <w:r>
        <w:rPr>
          <w:color w:val="000000"/>
        </w:rPr>
        <w:t>leadership reasoning based on scale and distribution economies of scale (Crunchbase, 2025).</w:t>
      </w:r>
    </w:p>
    <w:p w14:paraId="5B089E14" w14:textId="77777777" w:rsidR="00444C7A" w:rsidRDefault="00763C43">
      <w:pPr>
        <w:pStyle w:val="Heading3"/>
      </w:pPr>
      <w:bookmarkStart w:id="17" w:name="_Toc214569766"/>
      <w:r>
        <w:t>3.2.4 Strategic Implications Under Porter’s Generic Strategy</w:t>
      </w:r>
      <w:bookmarkEnd w:id="17"/>
    </w:p>
    <w:p w14:paraId="74A53B6E" w14:textId="77777777" w:rsidR="00444C7A" w:rsidRDefault="00763C43">
      <w:r>
        <w:t>Shark must balance cost effectiveness and differentiation in its strategic business positioning using P</w:t>
      </w:r>
      <w:r>
        <w:t>orter's Generic Strategies to sustain a competitive advantage (de Bruin, 2021). Managing a complete transition towards differentiation would increase production costs and devalue its value offer, and pure cost leadership would diminish Shark's performance-</w:t>
      </w:r>
      <w:r>
        <w:t xml:space="preserve">based advantages over low-end competitors. The competitive power of Shark lies in its capacity to bridge the innovation gap of Dyson in a short </w:t>
      </w:r>
      <w:r>
        <w:lastRenderedPageBreak/>
        <w:t>period and at a low risk of R&amp;D. During economic instabilities, notably when inflation starts affecting the buyi</w:t>
      </w:r>
      <w:r>
        <w:t>ng patterns of consumers, the relationship between retailers and affordability is significant (ONS, 2024). The low-cost/differentiation-based strategy combination of Shark implies that the hybrid-based strategies, notwithstanding their riskiness, can be ef</w:t>
      </w:r>
      <w:r>
        <w:t>fective when the operations procedures align with the strategic objective of the firm (Dixit, 2024).</w:t>
      </w:r>
    </w:p>
    <w:p w14:paraId="01E5E6D2" w14:textId="77777777" w:rsidR="00444C7A" w:rsidRDefault="00763C43">
      <w:r>
        <w:br w:type="page"/>
      </w:r>
    </w:p>
    <w:p w14:paraId="6BD4C381" w14:textId="77777777" w:rsidR="00444C7A" w:rsidRDefault="00763C43">
      <w:pPr>
        <w:pStyle w:val="Heading1"/>
      </w:pPr>
      <w:bookmarkStart w:id="18" w:name="_Toc214569767"/>
      <w:r>
        <w:lastRenderedPageBreak/>
        <w:t>4. Conclusion</w:t>
      </w:r>
      <w:bookmarkEnd w:id="18"/>
    </w:p>
    <w:p w14:paraId="5C5D1510" w14:textId="77777777" w:rsidR="00444C7A" w:rsidRDefault="00763C43">
      <w:r>
        <w:t xml:space="preserve">This analysis shows that macro marketing environment study helps pioneers and followers survive competition in </w:t>
      </w:r>
      <w:r>
        <w:t>technology-driven sectors. Dyson and Shark face various strategic considerations due to technological and economic forces, which enables environmental scanning (WIPO, 2025). Dyson leverages distinctiveness, underpinned by R&amp;D and a premium market position,</w:t>
      </w:r>
      <w:r>
        <w:t xml:space="preserve"> while Shark uses a hybrid of cost-leadership and differentiation-focus to win value-driven consumers (Crunchbase, 2025). Porter's Generic Strategies allow for a good comparison of how each organisation generates and maintains a competitive edge. The analy</w:t>
      </w:r>
      <w:r>
        <w:t>sis shows that pioneers and followers need distinct but equally adaptive tactics to compete in dynamic markets.</w:t>
      </w:r>
    </w:p>
    <w:p w14:paraId="79FDF8A0" w14:textId="77777777" w:rsidR="00444C7A" w:rsidRDefault="00763C43">
      <w:pPr>
        <w:spacing w:before="0" w:after="0" w:line="240" w:lineRule="auto"/>
        <w:jc w:val="left"/>
      </w:pPr>
      <w:r>
        <w:br w:type="page"/>
      </w:r>
    </w:p>
    <w:p w14:paraId="1F380EF5" w14:textId="77777777" w:rsidR="00444C7A" w:rsidRDefault="00763C43">
      <w:pPr>
        <w:pStyle w:val="Heading1"/>
      </w:pPr>
      <w:bookmarkStart w:id="19" w:name="_Toc214569768"/>
      <w:r>
        <w:lastRenderedPageBreak/>
        <w:t>5. Reference List</w:t>
      </w:r>
      <w:bookmarkEnd w:id="19"/>
    </w:p>
    <w:p w14:paraId="44A29828" w14:textId="77777777" w:rsidR="00444C7A" w:rsidRDefault="00763C43">
      <w:pPr>
        <w:ind w:left="720" w:hanging="720"/>
      </w:pPr>
      <w:r>
        <w:t xml:space="preserve">Blue Ocean Strategy (2021) Strategy Canvas Tool. Available at: </w:t>
      </w:r>
      <w:hyperlink r:id="rId20">
        <w:r>
          <w:rPr>
            <w:color w:val="467886"/>
            <w:u w:val="single"/>
          </w:rPr>
          <w:t>https://www.blueoceanstrategy.com/tools/strategy-canvas/</w:t>
        </w:r>
      </w:hyperlink>
      <w:r>
        <w:t xml:space="preserve"> (Accessed: 19 November 2025)</w:t>
      </w:r>
    </w:p>
    <w:p w14:paraId="2CB4177D" w14:textId="77777777" w:rsidR="00444C7A" w:rsidRDefault="00763C43">
      <w:pPr>
        <w:ind w:left="720" w:hanging="720"/>
      </w:pPr>
      <w:proofErr w:type="spellStart"/>
      <w:r>
        <w:t>Bolocan</w:t>
      </w:r>
      <w:proofErr w:type="spellEnd"/>
      <w:r>
        <w:t xml:space="preserve">, E. and </w:t>
      </w:r>
      <w:proofErr w:type="spellStart"/>
      <w:r>
        <w:t>Savciuc</w:t>
      </w:r>
      <w:proofErr w:type="spellEnd"/>
      <w:r>
        <w:t>, O., (2025). Evolution of Integrated Marketing Communication from Telecommunications Models to AI Frenzy.</w:t>
      </w:r>
    </w:p>
    <w:p w14:paraId="13F5F1E7" w14:textId="77777777" w:rsidR="00444C7A" w:rsidRDefault="00763C43">
      <w:pPr>
        <w:ind w:left="720" w:hanging="720"/>
      </w:pPr>
      <w:r>
        <w:t xml:space="preserve">Crunchbase (2025) </w:t>
      </w:r>
      <w:proofErr w:type="spellStart"/>
      <w:r>
        <w:rPr>
          <w:i/>
          <w:iCs/>
        </w:rPr>
        <w:t>SharkNi</w:t>
      </w:r>
      <w:r>
        <w:rPr>
          <w:i/>
          <w:iCs/>
        </w:rPr>
        <w:t>nja</w:t>
      </w:r>
      <w:proofErr w:type="spellEnd"/>
      <w:r>
        <w:rPr>
          <w:i/>
          <w:iCs/>
        </w:rPr>
        <w:t xml:space="preserve"> – Organization Profile</w:t>
      </w:r>
      <w:r>
        <w:t xml:space="preserve">. Available at: </w:t>
      </w:r>
      <w:hyperlink r:id="rId21">
        <w:r>
          <w:rPr>
            <w:color w:val="467886"/>
            <w:u w:val="single"/>
          </w:rPr>
          <w:t>https://www.crunchbase.com/organization/shark-2ac5</w:t>
        </w:r>
      </w:hyperlink>
      <w:r>
        <w:t xml:space="preserve"> (Accessed: 15 November 2025)</w:t>
      </w:r>
    </w:p>
    <w:p w14:paraId="5D4DD613" w14:textId="77777777" w:rsidR="00444C7A" w:rsidRDefault="00763C43">
      <w:pPr>
        <w:ind w:left="720" w:hanging="720"/>
      </w:pPr>
      <w:r>
        <w:t>de Bruin, L. (2021) ‘Porter’s Generic Strategies: Differentiatio</w:t>
      </w:r>
      <w:r>
        <w:t xml:space="preserve">n, Cost Leadership and Focus’, Business-to-You, 14 April. Available at: </w:t>
      </w:r>
      <w:hyperlink r:id="rId22">
        <w:r>
          <w:rPr>
            <w:color w:val="467886"/>
            <w:u w:val="single"/>
          </w:rPr>
          <w:t>https://www.business-to-you.com/porter-generic-strategies-differenti</w:t>
        </w:r>
        <w:r>
          <w:rPr>
            <w:color w:val="467886"/>
            <w:u w:val="single"/>
          </w:rPr>
          <w:t>ation-cost-leadership-focus/</w:t>
        </w:r>
      </w:hyperlink>
      <w:r>
        <w:t xml:space="preserve"> (Accessed: 19 November 2025)</w:t>
      </w:r>
    </w:p>
    <w:p w14:paraId="0E1A88B9" w14:textId="77777777" w:rsidR="00444C7A" w:rsidRDefault="00763C43">
      <w:pPr>
        <w:ind w:left="720" w:hanging="720"/>
      </w:pPr>
      <w:proofErr w:type="spellStart"/>
      <w:r>
        <w:t>Dioba</w:t>
      </w:r>
      <w:proofErr w:type="spellEnd"/>
      <w:r>
        <w:t xml:space="preserve">, A., Schmid, A., </w:t>
      </w:r>
      <w:proofErr w:type="spellStart"/>
      <w:r>
        <w:t>Aliahmad</w:t>
      </w:r>
      <w:proofErr w:type="spellEnd"/>
      <w:r>
        <w:t xml:space="preserve">, A., Struthers, D. and </w:t>
      </w:r>
      <w:proofErr w:type="spellStart"/>
      <w:r>
        <w:t>Fróes</w:t>
      </w:r>
      <w:proofErr w:type="spellEnd"/>
      <w:r>
        <w:t>, I., (2025). Human excreta recycling in Sweden: a PESTEL-SWOT framework analysis–Review. </w:t>
      </w:r>
      <w:r>
        <w:rPr>
          <w:i/>
          <w:iCs/>
        </w:rPr>
        <w:t>Journal of Environmental Management</w:t>
      </w:r>
      <w:r>
        <w:t>, </w:t>
      </w:r>
      <w:r>
        <w:rPr>
          <w:i/>
          <w:iCs/>
        </w:rPr>
        <w:t>389</w:t>
      </w:r>
      <w:r>
        <w:t xml:space="preserve">, </w:t>
      </w:r>
      <w:r>
        <w:t>p.126242.</w:t>
      </w:r>
    </w:p>
    <w:p w14:paraId="2AFBD150" w14:textId="77777777" w:rsidR="00444C7A" w:rsidRDefault="00763C43">
      <w:pPr>
        <w:ind w:left="720" w:hanging="720"/>
      </w:pPr>
      <w:r>
        <w:t>Dixit, A.S., (2024). Exploring HR practitioner’s perspective on linking of employer branding and porter’s generic strategies: an alignment of business and HR strategy. </w:t>
      </w:r>
      <w:r>
        <w:rPr>
          <w:i/>
          <w:iCs/>
        </w:rPr>
        <w:t>International Journal of Organizational Analysis</w:t>
      </w:r>
      <w:r>
        <w:t>, </w:t>
      </w:r>
      <w:r>
        <w:rPr>
          <w:i/>
          <w:iCs/>
        </w:rPr>
        <w:t>32</w:t>
      </w:r>
      <w:r>
        <w:t>(6), pp.1060-1072.</w:t>
      </w:r>
    </w:p>
    <w:p w14:paraId="1999B512" w14:textId="77777777" w:rsidR="00444C7A" w:rsidRDefault="00763C43">
      <w:pPr>
        <w:ind w:left="720" w:hanging="720"/>
      </w:pPr>
      <w:r>
        <w:t>Dyson (</w:t>
      </w:r>
      <w:r>
        <w:t xml:space="preserve">2024) About Dyson – Our story. Available at: </w:t>
      </w:r>
      <w:hyperlink r:id="rId23">
        <w:r>
          <w:rPr>
            <w:color w:val="467886"/>
            <w:u w:val="single"/>
          </w:rPr>
          <w:t>https://www.lb.dyson.com/en-LB/community/aboutdyson.aspx</w:t>
        </w:r>
      </w:hyperlink>
      <w:r>
        <w:t xml:space="preserve"> (Accessed: 17 November 2025)</w:t>
      </w:r>
    </w:p>
    <w:p w14:paraId="38C42032" w14:textId="77777777" w:rsidR="00444C7A" w:rsidRDefault="00763C43">
      <w:pPr>
        <w:ind w:left="720" w:hanging="720"/>
      </w:pPr>
      <w:r>
        <w:t>Dyson (2024) Dyson Annual Innovation Report. Dyso</w:t>
      </w:r>
      <w:r>
        <w:t xml:space="preserve">n Ltd. Available at: </w:t>
      </w:r>
      <w:hyperlink r:id="rId24">
        <w:r>
          <w:rPr>
            <w:color w:val="467886"/>
            <w:u w:val="single"/>
          </w:rPr>
          <w:t>https://www.dyson.co.uk/discover/news/press-releases/dyson-financial-results-2024</w:t>
        </w:r>
      </w:hyperlink>
      <w:r>
        <w:t xml:space="preserve"> (Accessed: 15 November 2025)</w:t>
      </w:r>
    </w:p>
    <w:p w14:paraId="571401E4" w14:textId="77777777" w:rsidR="00444C7A" w:rsidRDefault="00763C43">
      <w:pPr>
        <w:ind w:left="720" w:hanging="720"/>
      </w:pPr>
      <w:r>
        <w:t>Euromonitor (2024) Glob</w:t>
      </w:r>
      <w:r>
        <w:t xml:space="preserve">al Home Appliances: Premium Market Trends. Euromonitor International. Available at: </w:t>
      </w:r>
      <w:hyperlink r:id="rId25">
        <w:r>
          <w:rPr>
            <w:color w:val="467886"/>
            <w:u w:val="single"/>
          </w:rPr>
          <w:t>https://www.euromonitor.com/world-market-for-major-appliances/report</w:t>
        </w:r>
      </w:hyperlink>
      <w:r>
        <w:t xml:space="preserve"> (Accessed: 16 N</w:t>
      </w:r>
      <w:r>
        <w:t>ovember 2025)</w:t>
      </w:r>
    </w:p>
    <w:p w14:paraId="35997EF7" w14:textId="77777777" w:rsidR="00444C7A" w:rsidRDefault="00763C43">
      <w:pPr>
        <w:ind w:left="720" w:hanging="720"/>
      </w:pPr>
      <w:proofErr w:type="spellStart"/>
      <w:r>
        <w:t>Gatimu</w:t>
      </w:r>
      <w:proofErr w:type="spellEnd"/>
      <w:r>
        <w:t xml:space="preserve">, S.K. and </w:t>
      </w:r>
      <w:proofErr w:type="spellStart"/>
      <w:r>
        <w:t>Amuhaya</w:t>
      </w:r>
      <w:proofErr w:type="spellEnd"/>
      <w:r>
        <w:t>, J., (2022). Effect of competitive strategies on the performance of SMEs in Kiambu county, Kenya. </w:t>
      </w:r>
      <w:r>
        <w:rPr>
          <w:i/>
          <w:iCs/>
        </w:rPr>
        <w:t>Journal of Business and Strategic Management</w:t>
      </w:r>
      <w:r>
        <w:t>, </w:t>
      </w:r>
      <w:r>
        <w:rPr>
          <w:i/>
          <w:iCs/>
        </w:rPr>
        <w:t>7</w:t>
      </w:r>
      <w:r>
        <w:t>(1), pp.69-87.</w:t>
      </w:r>
    </w:p>
    <w:p w14:paraId="5CA89C3A" w14:textId="77777777" w:rsidR="00444C7A" w:rsidRDefault="00763C43">
      <w:pPr>
        <w:ind w:left="720" w:hanging="720"/>
      </w:pPr>
      <w:r>
        <w:lastRenderedPageBreak/>
        <w:t xml:space="preserve">Office for National Statistics (ONS) (2024) UK Inflation </w:t>
      </w:r>
      <w:r>
        <w:t xml:space="preserve">and Consumer Confidence Report. UK Government. Available at: </w:t>
      </w:r>
      <w:hyperlink r:id="rId26">
        <w:r>
          <w:rPr>
            <w:color w:val="467886"/>
            <w:u w:val="single"/>
          </w:rPr>
          <w:t>https://www.ons.gov.uk/economy/inflationandpriceindices</w:t>
        </w:r>
      </w:hyperlink>
      <w:r>
        <w:t xml:space="preserve"> (Accessed: 18 November 2025)</w:t>
      </w:r>
    </w:p>
    <w:p w14:paraId="4B7E3662" w14:textId="77777777" w:rsidR="00444C7A" w:rsidRDefault="00763C43">
      <w:pPr>
        <w:ind w:left="720" w:hanging="720"/>
      </w:pPr>
      <w:r>
        <w:t>Porter, M.E. (1980) Competitive Str</w:t>
      </w:r>
      <w:r>
        <w:t xml:space="preserve">ategy: Techniques for </w:t>
      </w:r>
      <w:proofErr w:type="spellStart"/>
      <w:r>
        <w:t>Analyzing</w:t>
      </w:r>
      <w:proofErr w:type="spellEnd"/>
      <w:r>
        <w:t xml:space="preserve"> Industries and Competitors. New York: Free Press.</w:t>
      </w:r>
    </w:p>
    <w:p w14:paraId="43F93B39" w14:textId="77777777" w:rsidR="00444C7A" w:rsidRDefault="00763C43">
      <w:pPr>
        <w:ind w:left="720" w:hanging="720"/>
      </w:pPr>
      <w:r>
        <w:t xml:space="preserve">PwC (2024) Consumer Outlook Report 2024. PricewaterhouseCoopers. Available at: </w:t>
      </w:r>
      <w:hyperlink r:id="rId27">
        <w:r>
          <w:rPr>
            <w:color w:val="467886"/>
            <w:u w:val="single"/>
          </w:rPr>
          <w:t>https://www.pwc.com/gx/en/issues/c-suite-insights/voice-of-the-consumer-survey/2024.html</w:t>
        </w:r>
      </w:hyperlink>
      <w:r>
        <w:t xml:space="preserve"> (Accessed: 17 November 2025)</w:t>
      </w:r>
    </w:p>
    <w:p w14:paraId="4B61C995" w14:textId="77777777" w:rsidR="00444C7A" w:rsidRDefault="00763C43">
      <w:pPr>
        <w:ind w:left="720" w:hanging="720"/>
      </w:pPr>
      <w:r>
        <w:t xml:space="preserve">Shark (UK) (2025) About Us – Shark UK. Available at: </w:t>
      </w:r>
      <w:hyperlink r:id="rId28">
        <w:r>
          <w:rPr>
            <w:color w:val="467886"/>
            <w:u w:val="single"/>
          </w:rPr>
          <w:t>https://sharkclean.co.uk/page.aboutus-cms-page.aboutus</w:t>
        </w:r>
      </w:hyperlink>
      <w:r>
        <w:t xml:space="preserve"> (Accessed: 19 November 2025)</w:t>
      </w:r>
    </w:p>
    <w:p w14:paraId="017F24BC" w14:textId="77777777" w:rsidR="00444C7A" w:rsidRDefault="00763C43">
      <w:pPr>
        <w:ind w:left="720" w:hanging="720"/>
      </w:pPr>
      <w:r>
        <w:t xml:space="preserve">Statista (2024) Consumer Electronics Market: UK Price Trends. Statista. Available at: </w:t>
      </w:r>
      <w:hyperlink r:id="rId29">
        <w:r>
          <w:rPr>
            <w:color w:val="467886"/>
            <w:u w:val="single"/>
          </w:rPr>
          <w:t>https://www.statista.com/outlook/cmo/consumer-electronics/united-kingdom?srsltid=AfmBOop9OquPgmGbRt3oqS7v_kiIxPKGc-A0DE9WyDhc5UUG41hV_DD-</w:t>
        </w:r>
      </w:hyperlink>
      <w:r>
        <w:t xml:space="preserve"> (Accessed: 18 November 2025)</w:t>
      </w:r>
    </w:p>
    <w:p w14:paraId="05B0FE57" w14:textId="77777777" w:rsidR="00444C7A" w:rsidRDefault="00763C43">
      <w:pPr>
        <w:ind w:left="720" w:hanging="720"/>
      </w:pPr>
      <w:bookmarkStart w:id="20" w:name="_yophex494vyk" w:colFirst="0" w:colLast="0"/>
      <w:bookmarkEnd w:id="20"/>
      <w:r>
        <w:t>The Business Res</w:t>
      </w:r>
      <w:r>
        <w:t xml:space="preserve">earch Company (2025) </w:t>
      </w:r>
      <w:r>
        <w:rPr>
          <w:i/>
          <w:iCs/>
        </w:rPr>
        <w:t>Cordless Appliances Global Market Report 2025</w:t>
      </w:r>
      <w:r>
        <w:t xml:space="preserve">. Available at: </w:t>
      </w:r>
      <w:hyperlink r:id="rId30">
        <w:r>
          <w:rPr>
            <w:color w:val="467886"/>
            <w:u w:val="single"/>
          </w:rPr>
          <w:t>https://www.thebusinessresearchcompany.com/</w:t>
        </w:r>
      </w:hyperlink>
      <w:r>
        <w:t xml:space="preserve"> (Accessed: 15 November 2025)</w:t>
      </w:r>
    </w:p>
    <w:p w14:paraId="721A125D" w14:textId="77777777" w:rsidR="00444C7A" w:rsidRDefault="00763C43">
      <w:pPr>
        <w:ind w:left="720" w:hanging="720"/>
      </w:pPr>
      <w:r>
        <w:t>World Intellectual Property Organizati</w:t>
      </w:r>
      <w:r>
        <w:t xml:space="preserve">on (WIPO) (2025) Global R&amp;D and Innovation Indicators 2025. Geneva: WIPO. Available at: </w:t>
      </w:r>
      <w:hyperlink r:id="rId31">
        <w:r>
          <w:rPr>
            <w:color w:val="467886"/>
            <w:u w:val="single"/>
          </w:rPr>
          <w:t>https://www.wipo.int/web-publications/global-inn</w:t>
        </w:r>
        <w:r>
          <w:rPr>
            <w:color w:val="467886"/>
            <w:u w:val="single"/>
          </w:rPr>
          <w:t>ovation-index-2025/en/global-innovation-tracker.html</w:t>
        </w:r>
      </w:hyperlink>
      <w:r>
        <w:t xml:space="preserve"> (Accessed: 15 November 2025)</w:t>
      </w:r>
    </w:p>
    <w:p w14:paraId="6D3F7F6A" w14:textId="77777777" w:rsidR="00444C7A" w:rsidRDefault="00444C7A">
      <w:pPr>
        <w:spacing w:line="240" w:lineRule="auto"/>
      </w:pPr>
    </w:p>
    <w:sectPr w:rsidR="00444C7A">
      <w:footerReference w:type="default" r:id="rId3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8D841" w14:textId="77777777" w:rsidR="00763C43" w:rsidRDefault="00763C43" w:rsidP="002243CB">
      <w:pPr>
        <w:spacing w:before="0" w:after="0" w:line="240" w:lineRule="auto"/>
      </w:pPr>
      <w:r>
        <w:separator/>
      </w:r>
    </w:p>
  </w:endnote>
  <w:endnote w:type="continuationSeparator" w:id="0">
    <w:p w14:paraId="4BBD6FDD" w14:textId="77777777" w:rsidR="00763C43" w:rsidRDefault="00763C43" w:rsidP="002243C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font>
  <w:font w:name="Calibri">
    <w:panose1 w:val="020F0502020204030204"/>
    <w:charset w:val="00"/>
    <w:family w:val="swiss"/>
    <w:pitch w:val="variable"/>
    <w:sig w:usb0="E4002EFF" w:usb1="C000247B" w:usb2="00000009" w:usb3="00000000" w:csb0="000001FF" w:csb1="00000000"/>
    <w:embedRegular r:id="rId1" w:fontKey="{D5FFFCD2-3D3D-4BAC-B86D-725E8C92C19C}"/>
  </w:font>
  <w:font w:name="Cambria">
    <w:panose1 w:val="02040503050406030204"/>
    <w:charset w:val="00"/>
    <w:family w:val="roman"/>
    <w:pitch w:val="variable"/>
    <w:sig w:usb0="E00006FF" w:usb1="420024FF" w:usb2="02000000" w:usb3="00000000" w:csb0="0000019F" w:csb1="00000000"/>
    <w:embedRegular r:id="rId2" w:fontKey="{25C3712A-6033-4AB6-ADE3-5002AE04A5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929352"/>
      <w:docPartObj>
        <w:docPartGallery w:val="Page Numbers (Bottom of Page)"/>
        <w:docPartUnique/>
      </w:docPartObj>
    </w:sdtPr>
    <w:sdtEndPr>
      <w:rPr>
        <w:noProof/>
      </w:rPr>
    </w:sdtEndPr>
    <w:sdtContent>
      <w:p w14:paraId="5C9E3B70" w14:textId="6BBEC290" w:rsidR="002243CB" w:rsidRDefault="002243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E06587" w14:textId="77777777" w:rsidR="002243CB" w:rsidRDefault="00224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880EB" w14:textId="77777777" w:rsidR="00763C43" w:rsidRDefault="00763C43" w:rsidP="002243CB">
      <w:pPr>
        <w:spacing w:before="0" w:after="0" w:line="240" w:lineRule="auto"/>
      </w:pPr>
      <w:r>
        <w:separator/>
      </w:r>
    </w:p>
  </w:footnote>
  <w:footnote w:type="continuationSeparator" w:id="0">
    <w:p w14:paraId="3B7D051B" w14:textId="77777777" w:rsidR="00763C43" w:rsidRDefault="00763C43" w:rsidP="002243C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772E"/>
    <w:multiLevelType w:val="multilevel"/>
    <w:tmpl w:val="CE5E96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B767991"/>
    <w:multiLevelType w:val="multilevel"/>
    <w:tmpl w:val="FA2AA2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0622276"/>
    <w:multiLevelType w:val="multilevel"/>
    <w:tmpl w:val="7562B516"/>
    <w:lvl w:ilvl="0">
      <w:start w:val="3"/>
      <w:numFmt w:val="decimal"/>
      <w:lvlText w:val="%1"/>
      <w:lvlJc w:val="left"/>
      <w:pPr>
        <w:ind w:left="525" w:hanging="525"/>
      </w:pPr>
    </w:lvl>
    <w:lvl w:ilvl="1">
      <w:start w:val="2"/>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4121493C"/>
    <w:multiLevelType w:val="multilevel"/>
    <w:tmpl w:val="817851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D596229"/>
    <w:multiLevelType w:val="multilevel"/>
    <w:tmpl w:val="377E36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EDD0398"/>
    <w:multiLevelType w:val="multilevel"/>
    <w:tmpl w:val="340059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3316DAE"/>
    <w:multiLevelType w:val="multilevel"/>
    <w:tmpl w:val="156668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3"/>
  </w:num>
  <w:num w:numId="2">
    <w:abstractNumId w:val="6"/>
  </w:num>
  <w:num w:numId="3">
    <w:abstractNumId w:val="0"/>
  </w:num>
  <w:num w:numId="4">
    <w:abstractNumId w:val="5"/>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C7A"/>
    <w:rsid w:val="002243CB"/>
    <w:rsid w:val="00444C7A"/>
    <w:rsid w:val="00763C43"/>
    <w:rsid w:val="00972461"/>
    <w:rsid w:val="00EA5F05"/>
    <w:rsid w:val="00EC5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A56C9"/>
  <w15:docId w15:val="{E6682C19-599B-4517-A481-B16D2F7F7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243CB"/>
    <w:pPr>
      <w:keepNext/>
      <w:keepLines/>
      <w:outlineLvl w:val="0"/>
    </w:pPr>
    <w:rPr>
      <w:b/>
      <w:bCs/>
      <w:color w:val="0F4761"/>
      <w:sz w:val="28"/>
      <w:szCs w:val="32"/>
      <w:u w:val="single"/>
    </w:rPr>
  </w:style>
  <w:style w:type="paragraph" w:styleId="Heading2">
    <w:name w:val="heading 2"/>
    <w:basedOn w:val="Normal"/>
    <w:next w:val="Normal"/>
    <w:uiPriority w:val="9"/>
    <w:unhideWhenUsed/>
    <w:qFormat/>
    <w:pPr>
      <w:keepNext/>
      <w:keepLines/>
      <w:outlineLvl w:val="1"/>
    </w:pPr>
    <w:rPr>
      <w:b/>
      <w:bCs/>
      <w:i/>
      <w:iCs/>
      <w:color w:val="0F4761"/>
      <w:sz w:val="28"/>
      <w:szCs w:val="28"/>
    </w:rPr>
  </w:style>
  <w:style w:type="paragraph" w:styleId="Heading3">
    <w:name w:val="heading 3"/>
    <w:basedOn w:val="Normal"/>
    <w:next w:val="Normal"/>
    <w:uiPriority w:val="9"/>
    <w:unhideWhenUsed/>
    <w:qFormat/>
    <w:pPr>
      <w:keepNext/>
      <w:keepLines/>
      <w:outlineLvl w:val="2"/>
    </w:pPr>
    <w:rPr>
      <w:b/>
      <w:bCs/>
      <w:color w:val="0F4761"/>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pPr>
    <w:rPr>
      <w:color w:val="595959"/>
      <w:sz w:val="28"/>
      <w:szCs w:val="28"/>
    </w:rPr>
  </w:style>
  <w:style w:type="paragraph" w:styleId="TOC1">
    <w:name w:val="toc 1"/>
    <w:basedOn w:val="Normal"/>
    <w:next w:val="Normal"/>
    <w:autoRedefine/>
    <w:uiPriority w:val="39"/>
    <w:unhideWhenUsed/>
    <w:rsid w:val="00EC5C71"/>
    <w:pPr>
      <w:spacing w:after="100"/>
    </w:pPr>
  </w:style>
  <w:style w:type="paragraph" w:styleId="TOC2">
    <w:name w:val="toc 2"/>
    <w:basedOn w:val="Normal"/>
    <w:next w:val="Normal"/>
    <w:autoRedefine/>
    <w:uiPriority w:val="39"/>
    <w:unhideWhenUsed/>
    <w:rsid w:val="00EC5C71"/>
    <w:pPr>
      <w:spacing w:after="100"/>
      <w:ind w:left="240"/>
    </w:pPr>
  </w:style>
  <w:style w:type="paragraph" w:styleId="TOC3">
    <w:name w:val="toc 3"/>
    <w:basedOn w:val="Normal"/>
    <w:next w:val="Normal"/>
    <w:autoRedefine/>
    <w:uiPriority w:val="39"/>
    <w:unhideWhenUsed/>
    <w:rsid w:val="00EC5C71"/>
    <w:pPr>
      <w:spacing w:after="100"/>
      <w:ind w:left="480"/>
    </w:pPr>
  </w:style>
  <w:style w:type="character" w:styleId="Hyperlink">
    <w:name w:val="Hyperlink"/>
    <w:basedOn w:val="DefaultParagraphFont"/>
    <w:uiPriority w:val="99"/>
    <w:unhideWhenUsed/>
    <w:rsid w:val="00EC5C71"/>
    <w:rPr>
      <w:color w:val="0000FF" w:themeColor="hyperlink"/>
      <w:u w:val="single"/>
    </w:rPr>
  </w:style>
  <w:style w:type="paragraph" w:styleId="Header">
    <w:name w:val="header"/>
    <w:basedOn w:val="Normal"/>
    <w:link w:val="HeaderChar"/>
    <w:uiPriority w:val="99"/>
    <w:unhideWhenUsed/>
    <w:rsid w:val="002243C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243CB"/>
  </w:style>
  <w:style w:type="paragraph" w:styleId="Footer">
    <w:name w:val="footer"/>
    <w:basedOn w:val="Normal"/>
    <w:link w:val="FooterChar"/>
    <w:uiPriority w:val="99"/>
    <w:unhideWhenUsed/>
    <w:rsid w:val="002243C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243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ons.gov.uk/economy/inflationandpriceindices" TargetMode="External"/><Relationship Id="rId3" Type="http://schemas.openxmlformats.org/officeDocument/2006/relationships/settings" Target="settings.xml"/><Relationship Id="rId21" Type="http://schemas.openxmlformats.org/officeDocument/2006/relationships/hyperlink" Target="https://www.crunchbase.com/organization/shark-2ac5"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euromonitor.com/world-market-for-major-appliances/repor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blueoceanstrategy.com/tools/strategy-canvas/" TargetMode="External"/><Relationship Id="rId29" Type="http://schemas.openxmlformats.org/officeDocument/2006/relationships/hyperlink" Target="https://www.statista.com/outlook/cmo/consumer-electronics/united-kingdom?srsltid=AfmBOop9OquPgmGbRt3oqS7v_kiIxPKGc-A0DE9WyDhc5UUG41hV_D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dyson.co.uk/discover/news/press-releases/dyson-financial-results-2024"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lb.dyson.com/en-LB/community/aboutdyson.aspx" TargetMode="External"/><Relationship Id="rId28" Type="http://schemas.openxmlformats.org/officeDocument/2006/relationships/hyperlink" Target="https://sharkclean.co.uk/page.aboutus-cms-page.aboutus" TargetMode="Externa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hyperlink" Target="https://www.wipo.int/web-publications/global-innovation-index-2025/en/global-innovation-tracker.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usiness-to-you.com/porter-generic-strategies-differentiation-cost-leadership-focus/" TargetMode="External"/><Relationship Id="rId27" Type="http://schemas.openxmlformats.org/officeDocument/2006/relationships/hyperlink" Target="https://www.pwc.com/gx/en/issues/c-suite-insights/voice-of-the-consumer-survey/2024.html" TargetMode="External"/><Relationship Id="rId30" Type="http://schemas.openxmlformats.org/officeDocument/2006/relationships/hyperlink" Target="https://www.thebusinessresearchcompany.com/"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18</Pages>
  <Words>4001</Words>
  <Characters>22806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2025-11-20T16:15:00Z</dcterms:created>
  <dcterms:modified xsi:type="dcterms:W3CDTF">2025-11-21T02:17:00Z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2025-11-20T16:22:41Z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545b7eca-ec8e-4c6b-8551-38bac7675953</vt:lpwstr>
  </property>
  <property fmtid="{D5CDD505-2E9C-101B-9397-08002B2CF9AE}" pid="7" name="MSIP_Label_defa4170-0d19-0005-0004-bc88714345d2_ActionId">
    <vt:lpwstr>529bb80d-3f5b-4418-9a15-a1c49a174b20</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