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EA12F4" w14:textId="3140E848" w:rsidR="00D46E3D" w:rsidRPr="004A284F" w:rsidRDefault="00D46E3D" w:rsidP="004A284F">
      <w:pPr>
        <w:spacing w:line="480" w:lineRule="auto"/>
        <w:jc w:val="center"/>
        <w:rPr>
          <w:b/>
          <w:sz w:val="28"/>
        </w:rPr>
      </w:pPr>
      <w:r w:rsidRPr="00D46E3D">
        <w:rPr>
          <w:b/>
          <w:sz w:val="28"/>
        </w:rPr>
        <w:t>Exploring Gender Differences in Anxiety</w:t>
      </w:r>
      <w:r w:rsidR="004F5B6C">
        <w:rPr>
          <w:b/>
          <w:sz w:val="28"/>
        </w:rPr>
        <w:t xml:space="preserve"> in Welsh University Students</w:t>
      </w:r>
    </w:p>
    <w:p w14:paraId="2100D18C" w14:textId="77777777" w:rsidR="003B6E27" w:rsidRDefault="00EC46D8" w:rsidP="00752D3F">
      <w:pPr>
        <w:spacing w:line="480" w:lineRule="auto"/>
        <w:jc w:val="center"/>
      </w:pPr>
      <w:r>
        <w:t>ABSTRACT</w:t>
      </w:r>
    </w:p>
    <w:p w14:paraId="3BDB8502" w14:textId="18668D21" w:rsidR="004A284F" w:rsidRDefault="00144379" w:rsidP="004A284F">
      <w:pPr>
        <w:spacing w:line="480" w:lineRule="auto"/>
        <w:jc w:val="both"/>
      </w:pPr>
      <w:r>
        <w:t>Anxiety affects a large proportion of people in today’</w:t>
      </w:r>
      <w:r w:rsidR="004A284F">
        <w:t>s society, and r</w:t>
      </w:r>
      <w:r>
        <w:t>esearch has shown that females experience higher rates of anxiety than males.</w:t>
      </w:r>
      <w:r w:rsidR="004A284F">
        <w:t xml:space="preserve"> </w:t>
      </w:r>
      <w:r>
        <w:t>The aim of this study is to explore the differences in how anxiety affects male and female Welsh university students.</w:t>
      </w:r>
      <w:r w:rsidR="004A284F">
        <w:t xml:space="preserve"> </w:t>
      </w:r>
      <w:r w:rsidR="00671A44">
        <w:t>An opportunity sample of 40 W</w:t>
      </w:r>
      <w:r w:rsidR="004A284F">
        <w:t>elsh university students</w:t>
      </w:r>
      <w:r w:rsidR="00671A44">
        <w:t xml:space="preserve"> were recruited to participate in the study. Anxiety scores were self-reported by participants on the Beck Anxiety Inventory.</w:t>
      </w:r>
      <w:r w:rsidR="004A284F">
        <w:t xml:space="preserve"> </w:t>
      </w:r>
      <w:r w:rsidR="00671A44">
        <w:t>Results were then analysed to determine averages for men and women. They were also divided into categories of low, moderate and potentially concerning anxiety levels and further analysed. The data showed that female students experienced higher</w:t>
      </w:r>
      <w:r w:rsidR="004A284F">
        <w:t xml:space="preserve"> average</w:t>
      </w:r>
      <w:r w:rsidR="00671A44">
        <w:t xml:space="preserve"> anxiety rates than male students. </w:t>
      </w:r>
      <w:r w:rsidR="004A284F">
        <w:t>It also showed that when categorised, male students fell mainly into the low category, while female students were fairly evenly split. This study has added valuable insights to already existing literature and highlights the need for future studies to continue research into this important topic.</w:t>
      </w:r>
    </w:p>
    <w:p w14:paraId="32622C64" w14:textId="77777777" w:rsidR="00EC46D8" w:rsidRDefault="00EC46D8" w:rsidP="00752D3F">
      <w:pPr>
        <w:spacing w:line="480" w:lineRule="auto"/>
        <w:jc w:val="center"/>
      </w:pPr>
      <w:r>
        <w:t>INTRODUCTION</w:t>
      </w:r>
    </w:p>
    <w:p w14:paraId="7B4DD65C" w14:textId="3A5F086B" w:rsidR="00EC46D8" w:rsidRDefault="00EA5632" w:rsidP="00752D3F">
      <w:pPr>
        <w:spacing w:line="480" w:lineRule="auto"/>
        <w:jc w:val="both"/>
      </w:pPr>
      <w:r>
        <w:t xml:space="preserve">Anxiety is the most common type of mental health disorder in the United States affecting around 20% of the population (McLean, Asnaani, Litz and Hofmann, 2011). </w:t>
      </w:r>
      <w:r w:rsidR="005B4649">
        <w:t xml:space="preserve">However, </w:t>
      </w:r>
      <w:r w:rsidR="009F6CF6">
        <w:t>in spite of</w:t>
      </w:r>
      <w:r w:rsidR="005B4649">
        <w:t xml:space="preserve"> its common nature, relatively little is known about when, how or why it </w:t>
      </w:r>
      <w:r w:rsidR="009F6CF6">
        <w:t>d</w:t>
      </w:r>
      <w:r w:rsidR="007137D4">
        <w:t>evelops,</w:t>
      </w:r>
      <w:r w:rsidR="009F6CF6">
        <w:t xml:space="preserve"> nor about other factors such as comorbidity, the influence of race/ethnicity, chronicity and </w:t>
      </w:r>
      <w:r w:rsidR="00A23302">
        <w:t xml:space="preserve">the </w:t>
      </w:r>
      <w:r w:rsidR="009F6CF6">
        <w:t>burden of illness</w:t>
      </w:r>
      <w:r w:rsidR="009B500F">
        <w:t xml:space="preserve"> (McLean et al, 2011). </w:t>
      </w:r>
      <w:r w:rsidR="007137D4">
        <w:t xml:space="preserve">One thing that is clear </w:t>
      </w:r>
      <w:r w:rsidR="009B500F">
        <w:t xml:space="preserve">from numerous studies </w:t>
      </w:r>
      <w:r w:rsidR="007137D4">
        <w:t xml:space="preserve">is </w:t>
      </w:r>
      <w:r w:rsidR="009B500F">
        <w:t>that women experience higher rates of anxiety than men (</w:t>
      </w:r>
      <w:r w:rsidR="00DE4B92">
        <w:t xml:space="preserve">Breslau, Schultz and Peterson, 1995; Egloff and Schmukle, 2003; </w:t>
      </w:r>
      <w:r w:rsidR="007E10BD">
        <w:t xml:space="preserve">McLean and Anderson, 2009; </w:t>
      </w:r>
      <w:r w:rsidR="009B500F">
        <w:t>McLean</w:t>
      </w:r>
      <w:r w:rsidR="00A23302">
        <w:t xml:space="preserve"> et al</w:t>
      </w:r>
      <w:r w:rsidR="006764B3">
        <w:t>, 2011</w:t>
      </w:r>
      <w:r w:rsidR="009B500F">
        <w:t>). One study found that one in three women met the criteria for an anxiety disorder in their lifetime, compared to only 22% of men (Mclean</w:t>
      </w:r>
      <w:r w:rsidR="00A23302">
        <w:t xml:space="preserve"> et al</w:t>
      </w:r>
      <w:r w:rsidR="006764B3">
        <w:t>, 2011</w:t>
      </w:r>
      <w:r w:rsidR="009B500F">
        <w:t>). Additionally, though there have been few studies analysing the age of onset for anxiety disorder</w:t>
      </w:r>
      <w:r w:rsidR="007137D4">
        <w:t>s</w:t>
      </w:r>
      <w:r w:rsidR="009B500F">
        <w:t xml:space="preserve">, one study </w:t>
      </w:r>
      <w:r w:rsidR="006764B3">
        <w:t>found</w:t>
      </w:r>
      <w:r w:rsidR="009B500F">
        <w:t xml:space="preserve"> that girls are more prone to experience anxiety at a you</w:t>
      </w:r>
      <w:r w:rsidR="006764B3">
        <w:t>nger age, even going so far as to suggest that by the age of six they are twice as likely as boys to experience an anxiety disorder (McLean</w:t>
      </w:r>
      <w:r w:rsidR="00A23302">
        <w:t xml:space="preserve"> and Anderson</w:t>
      </w:r>
      <w:r w:rsidR="006764B3">
        <w:t xml:space="preserve">, 2009). </w:t>
      </w:r>
      <w:r w:rsidR="006764B3">
        <w:lastRenderedPageBreak/>
        <w:t>Studies have also shown that women are more likely to be given a lifetime diagnosis of an anxiety disorder than men and that comorbidity rates are higher in women with a lifetime diagnosis (McLean</w:t>
      </w:r>
      <w:r w:rsidR="00A23302">
        <w:t xml:space="preserve"> et al</w:t>
      </w:r>
      <w:r w:rsidR="006764B3">
        <w:t>, 2011).</w:t>
      </w:r>
      <w:r w:rsidR="007137D4">
        <w:t xml:space="preserve"> Possibly due to the higher rates of comorbidity, anxiety disorders have been found to be more disabling in women than men (McLean</w:t>
      </w:r>
      <w:r w:rsidR="00A23302">
        <w:t xml:space="preserve"> et al</w:t>
      </w:r>
      <w:r w:rsidR="007137D4">
        <w:t>, 2011</w:t>
      </w:r>
      <w:r w:rsidR="007E10BD">
        <w:t>; Vesga-L</w:t>
      </w:r>
      <w:r w:rsidR="007E10BD">
        <w:rPr>
          <w:rFonts w:cstheme="minorHAnsi"/>
        </w:rPr>
        <w:t>ó</w:t>
      </w:r>
      <w:r w:rsidR="007E10BD">
        <w:t>pez, 2008</w:t>
      </w:r>
      <w:r w:rsidR="007137D4">
        <w:t>), compounding the burden of illness. Often anxiety disorders in women can be found alongside mood disorders. Whereas, research has shown that where comorbidity exists in men, it is more likely to be with substance misuse (McLean</w:t>
      </w:r>
      <w:r w:rsidR="00A23302">
        <w:t xml:space="preserve"> and Anderson</w:t>
      </w:r>
      <w:r w:rsidR="007137D4">
        <w:t>, 2009</w:t>
      </w:r>
      <w:r w:rsidR="007E10BD">
        <w:t>; Vesga-L</w:t>
      </w:r>
      <w:r w:rsidR="007E10BD">
        <w:rPr>
          <w:rFonts w:cstheme="minorHAnsi"/>
        </w:rPr>
        <w:t>ó</w:t>
      </w:r>
      <w:r w:rsidR="007E10BD">
        <w:t>pez, 2008</w:t>
      </w:r>
      <w:r w:rsidR="007137D4">
        <w:t>).</w:t>
      </w:r>
    </w:p>
    <w:p w14:paraId="252A82E0" w14:textId="631FBC9E" w:rsidR="007137D4" w:rsidRDefault="007137D4" w:rsidP="00752D3F">
      <w:pPr>
        <w:spacing w:line="480" w:lineRule="auto"/>
        <w:jc w:val="both"/>
      </w:pPr>
      <w:r>
        <w:t>Many research studies have focused on specific anxiety disorders rather than the classification as a whole. These studies have drawn similar conclusions and found that women experience higher rates for e</w:t>
      </w:r>
      <w:r w:rsidR="00505876">
        <w:t>ach individual anxiety disorder with t</w:t>
      </w:r>
      <w:r>
        <w:t>he only exception being social anxiety disorder, where no significa</w:t>
      </w:r>
      <w:r w:rsidR="00505876">
        <w:t xml:space="preserve">nt gender difference </w:t>
      </w:r>
      <w:r w:rsidR="00752D3F">
        <w:t>has been</w:t>
      </w:r>
      <w:r w:rsidR="00505876">
        <w:t xml:space="preserve"> found (McLean</w:t>
      </w:r>
      <w:r w:rsidR="00A23302">
        <w:t xml:space="preserve"> and Anderson</w:t>
      </w:r>
      <w:r w:rsidR="00505876">
        <w:t>, 2009</w:t>
      </w:r>
      <w:r w:rsidR="007E10BD">
        <w:t>; McLean et al, 2011</w:t>
      </w:r>
      <w:r w:rsidR="00505876">
        <w:t>).</w:t>
      </w:r>
      <w:r w:rsidR="007E10BD">
        <w:t xml:space="preserve"> </w:t>
      </w:r>
    </w:p>
    <w:p w14:paraId="3AADECA7" w14:textId="583EB152" w:rsidR="00505876" w:rsidRDefault="00505876" w:rsidP="00752D3F">
      <w:pPr>
        <w:spacing w:line="480" w:lineRule="auto"/>
        <w:jc w:val="both"/>
      </w:pPr>
      <w:r>
        <w:t>On the whole, treatment-seeking behaviours have been reported to be low across b</w:t>
      </w:r>
      <w:r w:rsidR="00752D3F">
        <w:t>oth genders. H</w:t>
      </w:r>
      <w:r>
        <w:t xml:space="preserve">owever, women are more likely </w:t>
      </w:r>
      <w:r w:rsidR="007E10BD">
        <w:t xml:space="preserve">than men </w:t>
      </w:r>
      <w:r>
        <w:t>to</w:t>
      </w:r>
      <w:r w:rsidR="005D25D8">
        <w:t xml:space="preserve"> report anxiety (McLean and Hope, 2010), to</w:t>
      </w:r>
      <w:r>
        <w:t xml:space="preserve"> seek treatment and to take medication for anxiety (</w:t>
      </w:r>
      <w:r w:rsidR="00A23302">
        <w:t>Vesga-L</w:t>
      </w:r>
      <w:r w:rsidR="00A23302">
        <w:rPr>
          <w:rFonts w:cstheme="minorHAnsi"/>
        </w:rPr>
        <w:t>ó</w:t>
      </w:r>
      <w:r w:rsidR="00A23302">
        <w:t xml:space="preserve">pez et al, 2008). </w:t>
      </w:r>
    </w:p>
    <w:p w14:paraId="3CD6EE2A" w14:textId="77777777" w:rsidR="00F02673" w:rsidRDefault="00234BD9" w:rsidP="00F02673">
      <w:pPr>
        <w:spacing w:line="480" w:lineRule="auto"/>
        <w:jc w:val="both"/>
      </w:pPr>
      <w:r>
        <w:t>This study focus</w:t>
      </w:r>
      <w:r w:rsidR="00752D3F">
        <w:t>ed</w:t>
      </w:r>
      <w:r>
        <w:t xml:space="preserve"> on gender differences in anxiety amongst a sample group of Welsh universit</w:t>
      </w:r>
      <w:r w:rsidR="00752D3F">
        <w:t>y students using the</w:t>
      </w:r>
      <w:r>
        <w:t xml:space="preserve"> Beck Anxiety Inventory </w:t>
      </w:r>
      <w:r w:rsidR="00522F99">
        <w:t>(</w:t>
      </w:r>
      <w:r w:rsidR="00522F99" w:rsidRPr="00EA7EB9">
        <w:t>Beck, Epstein, Brown, &amp; Greer, 1988</w:t>
      </w:r>
      <w:r w:rsidR="00522F99">
        <w:t xml:space="preserve">) </w:t>
      </w:r>
      <w:r>
        <w:t xml:space="preserve">which classifies anxiety levels as low, moderate or potentially concerning. It </w:t>
      </w:r>
      <w:r w:rsidR="00752D3F">
        <w:t>wa</w:t>
      </w:r>
      <w:r>
        <w:t>s expected that results w</w:t>
      </w:r>
      <w:r w:rsidR="00752D3F">
        <w:t>ould</w:t>
      </w:r>
      <w:r>
        <w:t xml:space="preserve"> be consistent with existing literature, with the average score for women being higher than</w:t>
      </w:r>
      <w:r w:rsidR="00752D3F">
        <w:t xml:space="preserve"> the average score for men. It wa</w:t>
      </w:r>
      <w:r>
        <w:t>s also expected</w:t>
      </w:r>
      <w:r w:rsidR="00752D3F">
        <w:t xml:space="preserve"> that most men would</w:t>
      </w:r>
      <w:r>
        <w:t xml:space="preserve"> fall into the low c</w:t>
      </w:r>
      <w:r w:rsidR="00752D3F">
        <w:t xml:space="preserve">ategory and most women into the moderate category. </w:t>
      </w:r>
    </w:p>
    <w:p w14:paraId="5E9479A9" w14:textId="1C7B9E65" w:rsidR="00EC46D8" w:rsidRDefault="00F02673" w:rsidP="00F02673">
      <w:pPr>
        <w:spacing w:line="480" w:lineRule="auto"/>
        <w:jc w:val="center"/>
      </w:pPr>
      <w:r>
        <w:t>METHOD</w:t>
      </w:r>
    </w:p>
    <w:p w14:paraId="010C399E" w14:textId="77777777" w:rsidR="00EC46D8" w:rsidRDefault="00EC46D8" w:rsidP="00752D3F">
      <w:pPr>
        <w:spacing w:line="480" w:lineRule="auto"/>
      </w:pPr>
      <w:r>
        <w:t>PARTICIPANTS</w:t>
      </w:r>
    </w:p>
    <w:p w14:paraId="1786465E" w14:textId="422725D3" w:rsidR="00522F99" w:rsidRDefault="00522F99" w:rsidP="00752D3F">
      <w:pPr>
        <w:spacing w:line="480" w:lineRule="auto"/>
        <w:jc w:val="both"/>
      </w:pPr>
      <w:r>
        <w:t>A sample of 40 (20 male, 20 female) Welsh university students between the ages of</w:t>
      </w:r>
      <w:r w:rsidRPr="00522F99">
        <w:t xml:space="preserve"> 18-39 (M = 25.20, SD = 5.55</w:t>
      </w:r>
      <w:r w:rsidR="00752D3F">
        <w:t>)</w:t>
      </w:r>
      <w:r w:rsidR="00752D3F" w:rsidRPr="00752D3F">
        <w:t xml:space="preserve"> </w:t>
      </w:r>
      <w:r w:rsidR="00752D3F">
        <w:t>were recruited</w:t>
      </w:r>
      <w:r>
        <w:t>. Participants were recruited through opportunity sampling and awarded course credit in return for participation in the study.</w:t>
      </w:r>
    </w:p>
    <w:p w14:paraId="3A36C7DF" w14:textId="77777777" w:rsidR="00EC46D8" w:rsidRDefault="00EC46D8" w:rsidP="00752D3F">
      <w:pPr>
        <w:spacing w:line="480" w:lineRule="auto"/>
      </w:pPr>
      <w:r>
        <w:lastRenderedPageBreak/>
        <w:t>DESIGN</w:t>
      </w:r>
    </w:p>
    <w:p w14:paraId="629E917F" w14:textId="629A876B" w:rsidR="00EC46D8" w:rsidRDefault="00A14FEB" w:rsidP="00752D3F">
      <w:pPr>
        <w:spacing w:line="480" w:lineRule="auto"/>
        <w:jc w:val="both"/>
      </w:pPr>
      <w:r>
        <w:t>This study used a between-subjects design. The independent variable was gender with participants classified as either male or female. The dependent variable was the anxiety score for each participant as assessed th</w:t>
      </w:r>
      <w:r w:rsidR="008A1B52">
        <w:t>rough the BAI</w:t>
      </w:r>
      <w:r>
        <w:t xml:space="preserve">. </w:t>
      </w:r>
    </w:p>
    <w:p w14:paraId="7840AD05" w14:textId="77777777" w:rsidR="00EC46D8" w:rsidRDefault="00EC46D8" w:rsidP="00752D3F">
      <w:pPr>
        <w:spacing w:line="480" w:lineRule="auto"/>
      </w:pPr>
      <w:r>
        <w:t>MATERIALS</w:t>
      </w:r>
    </w:p>
    <w:p w14:paraId="2ACFF119" w14:textId="4FEB6379" w:rsidR="00DB1CCE" w:rsidRDefault="009319CA" w:rsidP="00752D3F">
      <w:pPr>
        <w:spacing w:line="480" w:lineRule="auto"/>
        <w:jc w:val="both"/>
      </w:pPr>
      <w:r>
        <w:t xml:space="preserve">The </w:t>
      </w:r>
      <w:r w:rsidR="00DB1CCE">
        <w:t>B</w:t>
      </w:r>
      <w:r w:rsidR="008A1B52">
        <w:t>eck Anxiety Inventory</w:t>
      </w:r>
      <w:r>
        <w:t xml:space="preserve"> was </w:t>
      </w:r>
      <w:r w:rsidR="00DB1CCE" w:rsidRPr="00EA7EB9">
        <w:t xml:space="preserve">used </w:t>
      </w:r>
      <w:r w:rsidR="00DB1CCE">
        <w:t>to assess self-</w:t>
      </w:r>
      <w:r>
        <w:t>reported levels of anxiety. This inventory is made up of t</w:t>
      </w:r>
      <w:r w:rsidR="00DB1CCE">
        <w:t xml:space="preserve">wenty-one </w:t>
      </w:r>
      <w:r>
        <w:t xml:space="preserve">questions </w:t>
      </w:r>
      <w:r w:rsidR="00DB1CCE">
        <w:t>in total</w:t>
      </w:r>
      <w:r>
        <w:t xml:space="preserve"> marked on a four-point Likert scale</w:t>
      </w:r>
      <w:r w:rsidR="00DB1CCE">
        <w:t xml:space="preserve">. </w:t>
      </w:r>
      <w:r>
        <w:t xml:space="preserve">Participants were asked to rate each item </w:t>
      </w:r>
      <w:r w:rsidR="00F41F73">
        <w:t>by indicating how much they have been bothered by that sy</w:t>
      </w:r>
      <w:r w:rsidR="00DB1CCE">
        <w:t>mptom in the past month</w:t>
      </w:r>
      <w:r w:rsidR="008A1B52">
        <w:t xml:space="preserve">. </w:t>
      </w:r>
      <w:r w:rsidR="00DB1CCE">
        <w:t>Score</w:t>
      </w:r>
      <w:r>
        <w:t xml:space="preserve">s range from </w:t>
      </w:r>
      <w:r w:rsidR="00DB1CCE">
        <w:t xml:space="preserve">1 = not at all to 4 = severely – it bothered me a lot. </w:t>
      </w:r>
      <w:r>
        <w:t>Each participant</w:t>
      </w:r>
      <w:r w:rsidR="00F41F73">
        <w:t>’</w:t>
      </w:r>
      <w:r>
        <w:t>s t</w:t>
      </w:r>
      <w:r w:rsidR="00DB1CCE">
        <w:t xml:space="preserve">otal score of anxiety </w:t>
      </w:r>
      <w:r>
        <w:t>was calculated by adding scores for</w:t>
      </w:r>
      <w:r w:rsidR="00DB1CCE">
        <w:t xml:space="preserve"> all 21 items. Potential scores ranged from zero to 63, with higher scores indicative of more severe anxiety experienced in the past month. </w:t>
      </w:r>
      <w:r w:rsidR="00F41F73">
        <w:t>A s</w:t>
      </w:r>
      <w:r w:rsidR="00DB1CCE">
        <w:t>coring key includes information relating to cut-off points for levels of anxiety</w:t>
      </w:r>
      <w:r w:rsidR="005E5EE2">
        <w:t>.</w:t>
      </w:r>
      <w:r w:rsidR="00DB1CCE">
        <w:t xml:space="preserve"> </w:t>
      </w:r>
    </w:p>
    <w:p w14:paraId="643A8AA1" w14:textId="51FBA984" w:rsidR="00EC46D8" w:rsidRDefault="00F41F73" w:rsidP="00752D3F">
      <w:pPr>
        <w:spacing w:line="480" w:lineRule="auto"/>
        <w:jc w:val="both"/>
      </w:pPr>
      <w:r>
        <w:t>A d</w:t>
      </w:r>
      <w:r w:rsidR="00DB1CCE">
        <w:t xml:space="preserve">emographic information sheet </w:t>
      </w:r>
      <w:r>
        <w:t xml:space="preserve">was </w:t>
      </w:r>
      <w:r w:rsidR="007851D4">
        <w:t xml:space="preserve">also </w:t>
      </w:r>
      <w:r>
        <w:t xml:space="preserve">used </w:t>
      </w:r>
      <w:r w:rsidR="00DB1CCE">
        <w:t xml:space="preserve">requiring participants to indicate their gender and age. </w:t>
      </w:r>
    </w:p>
    <w:p w14:paraId="34E53F65" w14:textId="77777777" w:rsidR="00EC46D8" w:rsidRDefault="00EC46D8" w:rsidP="00752D3F">
      <w:pPr>
        <w:spacing w:line="480" w:lineRule="auto"/>
      </w:pPr>
      <w:r>
        <w:t>PROCEDURE</w:t>
      </w:r>
    </w:p>
    <w:p w14:paraId="630763A8" w14:textId="4C8A3155" w:rsidR="00EC46D8" w:rsidRDefault="00DB634E" w:rsidP="008A1B52">
      <w:pPr>
        <w:spacing w:line="480" w:lineRule="auto"/>
        <w:jc w:val="both"/>
      </w:pPr>
      <w:r>
        <w:t>Participants were r</w:t>
      </w:r>
      <w:r w:rsidR="007851D4" w:rsidRPr="007851D4">
        <w:t>ecruited via opportunity sampling</w:t>
      </w:r>
      <w:r>
        <w:t xml:space="preserve"> through</w:t>
      </w:r>
      <w:r w:rsidR="007851D4" w:rsidRPr="007851D4">
        <w:t xml:space="preserve"> information posted out via a module’s Virtual Learning Environment</w:t>
      </w:r>
      <w:r>
        <w:t>. The information included</w:t>
      </w:r>
      <w:r w:rsidR="007851D4" w:rsidRPr="007851D4">
        <w:t xml:space="preserve"> the main aims of the study and </w:t>
      </w:r>
      <w:r>
        <w:t xml:space="preserve">gave instructions on </w:t>
      </w:r>
      <w:r w:rsidR="007851D4" w:rsidRPr="007851D4">
        <w:t xml:space="preserve">how to participate. Participants arrived at laboratories and </w:t>
      </w:r>
      <w:r>
        <w:t xml:space="preserve">were </w:t>
      </w:r>
      <w:r w:rsidR="007851D4" w:rsidRPr="007851D4">
        <w:t xml:space="preserve">asked to read the study consent form and sign if they were happy to take part. </w:t>
      </w:r>
      <w:r w:rsidR="00DF3E39">
        <w:t xml:space="preserve">Once consent was obtained, participants were </w:t>
      </w:r>
      <w:r w:rsidR="007851D4" w:rsidRPr="007851D4">
        <w:t>asked to complete the demographic information sheet followed by the BAI. Once completed, participants</w:t>
      </w:r>
      <w:r w:rsidR="00DF3E39">
        <w:t xml:space="preserve"> were</w:t>
      </w:r>
      <w:r w:rsidR="007851D4" w:rsidRPr="007851D4">
        <w:t xml:space="preserve"> provided with a debrief form outlining the aims of the study as well as the participants rig</w:t>
      </w:r>
      <w:r w:rsidR="00DF3E39">
        <w:t>ht to withdraw and t</w:t>
      </w:r>
      <w:r w:rsidR="008A1B52">
        <w:t xml:space="preserve">hanked for taking part. </w:t>
      </w:r>
    </w:p>
    <w:p w14:paraId="6B11BD5A" w14:textId="77777777" w:rsidR="00F02673" w:rsidRDefault="00F02673" w:rsidP="008A1B52">
      <w:pPr>
        <w:spacing w:line="480" w:lineRule="auto"/>
        <w:jc w:val="both"/>
      </w:pPr>
    </w:p>
    <w:p w14:paraId="229A19FC" w14:textId="77777777" w:rsidR="00F02673" w:rsidRDefault="00F02673" w:rsidP="008A1B52">
      <w:pPr>
        <w:spacing w:line="480" w:lineRule="auto"/>
        <w:jc w:val="both"/>
      </w:pPr>
    </w:p>
    <w:p w14:paraId="2D870823" w14:textId="77777777" w:rsidR="00EC46D8" w:rsidRDefault="00EC46D8" w:rsidP="00752D3F">
      <w:pPr>
        <w:spacing w:line="480" w:lineRule="auto"/>
        <w:jc w:val="center"/>
      </w:pPr>
      <w:r>
        <w:lastRenderedPageBreak/>
        <w:t>RESULTS</w:t>
      </w:r>
    </w:p>
    <w:p w14:paraId="304FF3F8" w14:textId="4D195933" w:rsidR="00EC46D8" w:rsidRDefault="002057B3" w:rsidP="00752D3F">
      <w:pPr>
        <w:spacing w:line="480" w:lineRule="auto"/>
        <w:jc w:val="both"/>
      </w:pPr>
      <w:r>
        <w:t>Results f</w:t>
      </w:r>
      <w:r w:rsidR="00652A9C">
        <w:t>r</w:t>
      </w:r>
      <w:r>
        <w:t>om</w:t>
      </w:r>
      <w:r w:rsidR="00652A9C">
        <w:t xml:space="preserve"> this study </w:t>
      </w:r>
      <w:r w:rsidR="003B6E27">
        <w:t>found</w:t>
      </w:r>
      <w:r w:rsidR="00652A9C">
        <w:t xml:space="preserve"> that, consistent with previous research, rates of anxiety were higher in women than in men. </w:t>
      </w:r>
      <w:r w:rsidR="00B228C4">
        <w:t>The average score for men was 22.25, whilst women scored an average of 28.25</w:t>
      </w:r>
      <w:r>
        <w:t xml:space="preserve"> (see Fig 1)</w:t>
      </w:r>
      <w:r w:rsidR="00B228C4">
        <w:t>.</w:t>
      </w:r>
      <w:r w:rsidR="002A54C4">
        <w:t xml:space="preserve"> Women also had the greatest range of scores with participants scoring between 10 and 51. Comparatively, </w:t>
      </w:r>
      <w:r w:rsidR="008A1B52">
        <w:t>male</w:t>
      </w:r>
      <w:r w:rsidR="002A54C4">
        <w:t xml:space="preserve"> scores ranged from 10 to 40.</w:t>
      </w:r>
    </w:p>
    <w:p w14:paraId="6C9376BF" w14:textId="576D3A89" w:rsidR="008A1B52" w:rsidRPr="008A1B52" w:rsidRDefault="008A1B52" w:rsidP="008A1B52">
      <w:pPr>
        <w:spacing w:after="0" w:line="480" w:lineRule="auto"/>
        <w:jc w:val="both"/>
        <w:rPr>
          <w:b/>
        </w:rPr>
      </w:pPr>
      <w:r>
        <w:rPr>
          <w:b/>
        </w:rPr>
        <w:t>Fig. 1</w:t>
      </w:r>
    </w:p>
    <w:p w14:paraId="6374A6C6" w14:textId="4F5CE66D" w:rsidR="00B70355" w:rsidRDefault="000F04BE" w:rsidP="00752D3F">
      <w:pPr>
        <w:spacing w:line="480" w:lineRule="auto"/>
      </w:pPr>
      <w:r>
        <w:rPr>
          <w:noProof/>
          <w:lang w:eastAsia="en-GB"/>
        </w:rPr>
        <w:drawing>
          <wp:inline distT="0" distB="0" distL="0" distR="0" wp14:anchorId="4B3802AB" wp14:editId="4F82AEB1">
            <wp:extent cx="5695950" cy="30575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89105E7" w14:textId="01631D26" w:rsidR="002A54C4" w:rsidRDefault="000F04BE" w:rsidP="00752D3F">
      <w:pPr>
        <w:spacing w:line="480" w:lineRule="auto"/>
        <w:jc w:val="both"/>
      </w:pPr>
      <w:r>
        <w:t>Scores on the</w:t>
      </w:r>
      <w:r w:rsidR="002A54C4">
        <w:t xml:space="preserve"> BAI can be categorised as</w:t>
      </w:r>
      <w:r>
        <w:t xml:space="preserve"> 0-21 = low anxiety, 22-35 = moderate anxiety and 36+ = potentially concerning levels of anxiety.</w:t>
      </w:r>
      <w:r w:rsidR="002A54C4">
        <w:t xml:space="preserve"> </w:t>
      </w:r>
      <w:r w:rsidR="008A1B52">
        <w:t>After</w:t>
      </w:r>
      <w:r w:rsidR="002A54C4">
        <w:t xml:space="preserve"> categorising the results</w:t>
      </w:r>
      <w:r>
        <w:t xml:space="preserve"> of this study, </w:t>
      </w:r>
      <w:r w:rsidR="00B70355">
        <w:t>significantly higher numbers of men fell into the low anxiety category</w:t>
      </w:r>
      <w:r w:rsidR="002057B3">
        <w:t>. Amongst female participants, there was a more even spread over the three categories (see Fig 2).</w:t>
      </w:r>
    </w:p>
    <w:p w14:paraId="6D8EDEDD" w14:textId="0BDE6C22" w:rsidR="002057B3" w:rsidRPr="002057B3" w:rsidRDefault="002057B3" w:rsidP="00752D3F">
      <w:pPr>
        <w:spacing w:after="0" w:line="480" w:lineRule="auto"/>
        <w:rPr>
          <w:b/>
        </w:rPr>
      </w:pPr>
      <w:r w:rsidRPr="002057B3">
        <w:rPr>
          <w:b/>
        </w:rPr>
        <w:t>Fig. 2</w:t>
      </w:r>
    </w:p>
    <w:tbl>
      <w:tblPr>
        <w:tblStyle w:val="TableGrid"/>
        <w:tblpPr w:leftFromText="180" w:rightFromText="180" w:vertAnchor="text" w:horzAnchor="margin" w:tblpY="-14"/>
        <w:tblW w:w="0" w:type="auto"/>
        <w:tblLook w:val="04A0" w:firstRow="1" w:lastRow="0" w:firstColumn="1" w:lastColumn="0" w:noHBand="0" w:noVBand="1"/>
      </w:tblPr>
      <w:tblGrid>
        <w:gridCol w:w="3005"/>
        <w:gridCol w:w="3005"/>
        <w:gridCol w:w="3006"/>
      </w:tblGrid>
      <w:tr w:rsidR="002057B3" w14:paraId="60507885" w14:textId="77777777" w:rsidTr="008A1B52">
        <w:trPr>
          <w:trHeight w:val="567"/>
        </w:trPr>
        <w:tc>
          <w:tcPr>
            <w:tcW w:w="3005" w:type="dxa"/>
            <w:vAlign w:val="center"/>
          </w:tcPr>
          <w:p w14:paraId="2824366C" w14:textId="77777777" w:rsidR="002057B3" w:rsidRPr="00295B6E" w:rsidRDefault="002057B3" w:rsidP="008A1B52">
            <w:pPr>
              <w:spacing w:line="480" w:lineRule="auto"/>
              <w:jc w:val="center"/>
              <w:rPr>
                <w:b/>
              </w:rPr>
            </w:pPr>
            <w:r w:rsidRPr="00295B6E">
              <w:rPr>
                <w:b/>
              </w:rPr>
              <w:t>Anxiety</w:t>
            </w:r>
          </w:p>
        </w:tc>
        <w:tc>
          <w:tcPr>
            <w:tcW w:w="3005" w:type="dxa"/>
            <w:vAlign w:val="center"/>
          </w:tcPr>
          <w:p w14:paraId="10489B9D" w14:textId="77777777" w:rsidR="002057B3" w:rsidRPr="00295B6E" w:rsidRDefault="002057B3" w:rsidP="008A1B52">
            <w:pPr>
              <w:spacing w:line="480" w:lineRule="auto"/>
              <w:jc w:val="center"/>
              <w:rPr>
                <w:b/>
              </w:rPr>
            </w:pPr>
            <w:r w:rsidRPr="00295B6E">
              <w:rPr>
                <w:b/>
              </w:rPr>
              <w:t>Male</w:t>
            </w:r>
          </w:p>
        </w:tc>
        <w:tc>
          <w:tcPr>
            <w:tcW w:w="3006" w:type="dxa"/>
            <w:vAlign w:val="center"/>
          </w:tcPr>
          <w:p w14:paraId="4C86895C" w14:textId="77777777" w:rsidR="002057B3" w:rsidRPr="00295B6E" w:rsidRDefault="002057B3" w:rsidP="008A1B52">
            <w:pPr>
              <w:spacing w:line="480" w:lineRule="auto"/>
              <w:jc w:val="center"/>
              <w:rPr>
                <w:b/>
              </w:rPr>
            </w:pPr>
            <w:r w:rsidRPr="00295B6E">
              <w:rPr>
                <w:b/>
              </w:rPr>
              <w:t>Female</w:t>
            </w:r>
          </w:p>
        </w:tc>
      </w:tr>
      <w:tr w:rsidR="002057B3" w14:paraId="2C22F178" w14:textId="77777777" w:rsidTr="008A1B52">
        <w:trPr>
          <w:trHeight w:val="567"/>
        </w:trPr>
        <w:tc>
          <w:tcPr>
            <w:tcW w:w="3005" w:type="dxa"/>
            <w:vAlign w:val="center"/>
          </w:tcPr>
          <w:p w14:paraId="0A2C67F4" w14:textId="77777777" w:rsidR="002057B3" w:rsidRPr="00295B6E" w:rsidRDefault="002057B3" w:rsidP="008A1B52">
            <w:pPr>
              <w:spacing w:line="480" w:lineRule="auto"/>
              <w:jc w:val="center"/>
              <w:rPr>
                <w:b/>
              </w:rPr>
            </w:pPr>
            <w:r w:rsidRPr="00295B6E">
              <w:rPr>
                <w:b/>
              </w:rPr>
              <w:t>Low</w:t>
            </w:r>
          </w:p>
        </w:tc>
        <w:tc>
          <w:tcPr>
            <w:tcW w:w="3005" w:type="dxa"/>
            <w:vAlign w:val="center"/>
          </w:tcPr>
          <w:p w14:paraId="649CA2C0" w14:textId="77777777" w:rsidR="002057B3" w:rsidRDefault="002057B3" w:rsidP="008A1B52">
            <w:pPr>
              <w:spacing w:line="480" w:lineRule="auto"/>
              <w:jc w:val="center"/>
            </w:pPr>
            <w:r>
              <w:t>13</w:t>
            </w:r>
          </w:p>
        </w:tc>
        <w:tc>
          <w:tcPr>
            <w:tcW w:w="3006" w:type="dxa"/>
            <w:vAlign w:val="center"/>
          </w:tcPr>
          <w:p w14:paraId="681C98E8" w14:textId="77777777" w:rsidR="002057B3" w:rsidRDefault="002057B3" w:rsidP="008A1B52">
            <w:pPr>
              <w:spacing w:line="480" w:lineRule="auto"/>
              <w:jc w:val="center"/>
            </w:pPr>
            <w:r>
              <w:t>7</w:t>
            </w:r>
          </w:p>
        </w:tc>
      </w:tr>
      <w:tr w:rsidR="002057B3" w14:paraId="5B9EA8B0" w14:textId="77777777" w:rsidTr="008A1B52">
        <w:trPr>
          <w:trHeight w:val="567"/>
        </w:trPr>
        <w:tc>
          <w:tcPr>
            <w:tcW w:w="3005" w:type="dxa"/>
            <w:vAlign w:val="center"/>
          </w:tcPr>
          <w:p w14:paraId="539665BB" w14:textId="77777777" w:rsidR="002057B3" w:rsidRPr="00295B6E" w:rsidRDefault="002057B3" w:rsidP="008A1B52">
            <w:pPr>
              <w:spacing w:line="480" w:lineRule="auto"/>
              <w:jc w:val="center"/>
              <w:rPr>
                <w:b/>
              </w:rPr>
            </w:pPr>
            <w:r w:rsidRPr="00295B6E">
              <w:rPr>
                <w:b/>
              </w:rPr>
              <w:t>Moderate</w:t>
            </w:r>
          </w:p>
        </w:tc>
        <w:tc>
          <w:tcPr>
            <w:tcW w:w="3005" w:type="dxa"/>
            <w:vAlign w:val="center"/>
          </w:tcPr>
          <w:p w14:paraId="4BC9884E" w14:textId="77777777" w:rsidR="002057B3" w:rsidRDefault="002057B3" w:rsidP="008A1B52">
            <w:pPr>
              <w:spacing w:line="480" w:lineRule="auto"/>
              <w:jc w:val="center"/>
            </w:pPr>
            <w:r>
              <w:t>4</w:t>
            </w:r>
          </w:p>
        </w:tc>
        <w:tc>
          <w:tcPr>
            <w:tcW w:w="3006" w:type="dxa"/>
            <w:vAlign w:val="center"/>
          </w:tcPr>
          <w:p w14:paraId="0D7EFC38" w14:textId="77777777" w:rsidR="002057B3" w:rsidRDefault="002057B3" w:rsidP="008A1B52">
            <w:pPr>
              <w:spacing w:line="480" w:lineRule="auto"/>
              <w:jc w:val="center"/>
            </w:pPr>
            <w:r>
              <w:t>8</w:t>
            </w:r>
          </w:p>
        </w:tc>
      </w:tr>
      <w:tr w:rsidR="002057B3" w14:paraId="02DDF9E0" w14:textId="77777777" w:rsidTr="008A1B52">
        <w:trPr>
          <w:trHeight w:val="567"/>
        </w:trPr>
        <w:tc>
          <w:tcPr>
            <w:tcW w:w="3005" w:type="dxa"/>
            <w:vAlign w:val="center"/>
          </w:tcPr>
          <w:p w14:paraId="70BA588D" w14:textId="77777777" w:rsidR="002057B3" w:rsidRPr="002A54C4" w:rsidRDefault="002057B3" w:rsidP="008A1B52">
            <w:pPr>
              <w:spacing w:line="480" w:lineRule="auto"/>
              <w:jc w:val="center"/>
              <w:rPr>
                <w:b/>
              </w:rPr>
            </w:pPr>
            <w:r w:rsidRPr="002A54C4">
              <w:rPr>
                <w:b/>
              </w:rPr>
              <w:t>Potentially concerning</w:t>
            </w:r>
          </w:p>
        </w:tc>
        <w:tc>
          <w:tcPr>
            <w:tcW w:w="3005" w:type="dxa"/>
            <w:vAlign w:val="center"/>
          </w:tcPr>
          <w:p w14:paraId="37E419A7" w14:textId="77777777" w:rsidR="002057B3" w:rsidRDefault="002057B3" w:rsidP="008A1B52">
            <w:pPr>
              <w:spacing w:line="480" w:lineRule="auto"/>
              <w:jc w:val="center"/>
            </w:pPr>
            <w:r>
              <w:t>3</w:t>
            </w:r>
          </w:p>
        </w:tc>
        <w:tc>
          <w:tcPr>
            <w:tcW w:w="3006" w:type="dxa"/>
            <w:vAlign w:val="center"/>
          </w:tcPr>
          <w:p w14:paraId="44B8DC08" w14:textId="77777777" w:rsidR="002057B3" w:rsidRDefault="002057B3" w:rsidP="008A1B52">
            <w:pPr>
              <w:spacing w:line="480" w:lineRule="auto"/>
              <w:jc w:val="center"/>
            </w:pPr>
            <w:r>
              <w:t>5</w:t>
            </w:r>
          </w:p>
        </w:tc>
      </w:tr>
    </w:tbl>
    <w:p w14:paraId="667B305B" w14:textId="53F1F60E" w:rsidR="00D97C86" w:rsidRDefault="00D97C86" w:rsidP="00752D3F">
      <w:pPr>
        <w:spacing w:line="480" w:lineRule="auto"/>
        <w:jc w:val="both"/>
      </w:pPr>
      <w:r>
        <w:lastRenderedPageBreak/>
        <w:t>When looking at the average scores in each category, w</w:t>
      </w:r>
      <w:r w:rsidR="00E56A6C">
        <w:t>omen</w:t>
      </w:r>
      <w:r w:rsidR="000F053A">
        <w:t xml:space="preserve"> </w:t>
      </w:r>
      <w:r w:rsidR="00E56A6C">
        <w:t>score</w:t>
      </w:r>
      <w:r>
        <w:t>d</w:t>
      </w:r>
      <w:r w:rsidR="00E56A6C">
        <w:t xml:space="preserve"> higher </w:t>
      </w:r>
      <w:r w:rsidR="002057B3">
        <w:t xml:space="preserve">than men </w:t>
      </w:r>
      <w:r w:rsidR="00E56A6C">
        <w:t>in both the low &amp;</w:t>
      </w:r>
      <w:r w:rsidR="002057B3">
        <w:t xml:space="preserve"> potentially concerning categories</w:t>
      </w:r>
      <w:r w:rsidR="00E56A6C">
        <w:t xml:space="preserve">. </w:t>
      </w:r>
      <w:r>
        <w:t>However, m</w:t>
      </w:r>
      <w:r w:rsidR="00E56A6C">
        <w:t>en</w:t>
      </w:r>
      <w:r>
        <w:t xml:space="preserve"> who </w:t>
      </w:r>
      <w:r w:rsidR="008A1B52">
        <w:t>ranked</w:t>
      </w:r>
      <w:r>
        <w:t xml:space="preserve"> in the moderate anxiety category had</w:t>
      </w:r>
      <w:r w:rsidR="00970D9A">
        <w:t xml:space="preserve"> a higher average</w:t>
      </w:r>
      <w:r w:rsidR="008A1B52">
        <w:t xml:space="preserve"> score</w:t>
      </w:r>
      <w:r w:rsidR="00970D9A">
        <w:t xml:space="preserve"> than women (see Fig 3).</w:t>
      </w:r>
    </w:p>
    <w:p w14:paraId="146B7C9A" w14:textId="3BFA5317" w:rsidR="008A1B52" w:rsidRDefault="008A1B52" w:rsidP="008A1B52">
      <w:pPr>
        <w:spacing w:after="0" w:line="480" w:lineRule="auto"/>
        <w:jc w:val="both"/>
        <w:rPr>
          <w:b/>
        </w:rPr>
      </w:pPr>
      <w:r>
        <w:rPr>
          <w:b/>
        </w:rPr>
        <w:t>Fig. 3</w:t>
      </w:r>
    </w:p>
    <w:tbl>
      <w:tblPr>
        <w:tblW w:w="5331"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434"/>
        <w:gridCol w:w="1869"/>
        <w:gridCol w:w="1446"/>
        <w:gridCol w:w="291"/>
        <w:gridCol w:w="291"/>
      </w:tblGrid>
      <w:tr w:rsidR="0098420C" w:rsidRPr="0098420C" w14:paraId="3AB6BF4A" w14:textId="77777777" w:rsidTr="003B3AAC">
        <w:trPr>
          <w:trHeight w:val="537"/>
        </w:trPr>
        <w:tc>
          <w:tcPr>
            <w:tcW w:w="5331" w:type="dxa"/>
            <w:gridSpan w:val="5"/>
            <w:tcBorders>
              <w:top w:val="single" w:sz="4" w:space="0" w:color="auto"/>
              <w:bottom w:val="single" w:sz="4" w:space="0" w:color="auto"/>
            </w:tcBorders>
            <w:shd w:val="clear" w:color="auto" w:fill="auto"/>
            <w:noWrap/>
            <w:vAlign w:val="center"/>
            <w:hideMark/>
          </w:tcPr>
          <w:p w14:paraId="253D4618" w14:textId="77777777" w:rsidR="0098420C" w:rsidRPr="0098420C" w:rsidRDefault="0098420C" w:rsidP="003B3AAC">
            <w:pPr>
              <w:spacing w:after="0" w:line="240" w:lineRule="auto"/>
              <w:rPr>
                <w:rFonts w:ascii="Calibri" w:eastAsia="Times New Roman" w:hAnsi="Calibri" w:cs="Calibri"/>
                <w:b/>
                <w:bCs/>
                <w:color w:val="000000"/>
                <w:lang w:eastAsia="en-GB"/>
              </w:rPr>
            </w:pPr>
            <w:r w:rsidRPr="0098420C">
              <w:rPr>
                <w:rFonts w:ascii="Calibri" w:eastAsia="Times New Roman" w:hAnsi="Calibri" w:cs="Calibri"/>
                <w:b/>
                <w:bCs/>
                <w:color w:val="000000"/>
                <w:lang w:eastAsia="en-GB"/>
              </w:rPr>
              <w:t>Comparing average anxiety scores by category</w:t>
            </w:r>
          </w:p>
        </w:tc>
      </w:tr>
      <w:tr w:rsidR="0098420C" w:rsidRPr="0098420C" w14:paraId="2473C181" w14:textId="77777777" w:rsidTr="003B3AAC">
        <w:trPr>
          <w:trHeight w:val="537"/>
        </w:trPr>
        <w:tc>
          <w:tcPr>
            <w:tcW w:w="1434" w:type="dxa"/>
            <w:tcBorders>
              <w:top w:val="single" w:sz="4" w:space="0" w:color="auto"/>
              <w:bottom w:val="single" w:sz="4" w:space="0" w:color="auto"/>
              <w:right w:val="single" w:sz="4" w:space="0" w:color="auto"/>
            </w:tcBorders>
            <w:shd w:val="clear" w:color="auto" w:fill="auto"/>
            <w:noWrap/>
            <w:vAlign w:val="center"/>
            <w:hideMark/>
          </w:tcPr>
          <w:p w14:paraId="0FD5590C" w14:textId="77777777" w:rsidR="0098420C" w:rsidRPr="0098420C" w:rsidRDefault="0098420C" w:rsidP="003B3AAC">
            <w:pPr>
              <w:spacing w:after="0" w:line="240" w:lineRule="auto"/>
              <w:rPr>
                <w:rFonts w:ascii="Calibri" w:eastAsia="Times New Roman" w:hAnsi="Calibri" w:cs="Calibri"/>
                <w:b/>
                <w:bCs/>
                <w:color w:val="000000"/>
                <w:lang w:eastAsia="en-GB"/>
              </w:rPr>
            </w:pPr>
            <w:r w:rsidRPr="0098420C">
              <w:rPr>
                <w:rFonts w:ascii="Calibri" w:eastAsia="Times New Roman" w:hAnsi="Calibri" w:cs="Calibri"/>
                <w:b/>
                <w:bCs/>
                <w:color w:val="000000"/>
                <w:lang w:eastAsia="en-GB"/>
              </w:rPr>
              <w:t>Male</w:t>
            </w:r>
          </w:p>
        </w:tc>
        <w:tc>
          <w:tcPr>
            <w:tcW w:w="18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6C5C8B3" w14:textId="77777777" w:rsidR="0098420C" w:rsidRPr="0098420C" w:rsidRDefault="0098420C" w:rsidP="003B3AAC">
            <w:pPr>
              <w:spacing w:after="0" w:line="240" w:lineRule="auto"/>
              <w:rPr>
                <w:rFonts w:ascii="Calibri" w:eastAsia="Times New Roman" w:hAnsi="Calibri" w:cs="Calibri"/>
                <w:b/>
                <w:bCs/>
                <w:lang w:eastAsia="en-GB"/>
              </w:rPr>
            </w:pPr>
            <w:r w:rsidRPr="0098420C">
              <w:rPr>
                <w:rFonts w:ascii="Calibri" w:eastAsia="Times New Roman" w:hAnsi="Calibri" w:cs="Calibri"/>
                <w:b/>
                <w:bCs/>
                <w:lang w:eastAsia="en-GB"/>
              </w:rPr>
              <w:t>Female</w:t>
            </w:r>
          </w:p>
        </w:tc>
        <w:tc>
          <w:tcPr>
            <w:tcW w:w="1446" w:type="dxa"/>
            <w:tcBorders>
              <w:top w:val="single" w:sz="4" w:space="0" w:color="auto"/>
              <w:left w:val="single" w:sz="4" w:space="0" w:color="auto"/>
              <w:bottom w:val="single" w:sz="4" w:space="0" w:color="auto"/>
            </w:tcBorders>
            <w:shd w:val="clear" w:color="auto" w:fill="auto"/>
            <w:noWrap/>
            <w:vAlign w:val="center"/>
            <w:hideMark/>
          </w:tcPr>
          <w:p w14:paraId="6CB13C5D" w14:textId="46535AAD" w:rsidR="0098420C" w:rsidRPr="0098420C" w:rsidRDefault="003B3AAC" w:rsidP="003B3AAC">
            <w:pPr>
              <w:spacing w:after="0" w:line="240" w:lineRule="auto"/>
              <w:rPr>
                <w:rFonts w:ascii="Calibri" w:eastAsia="Times New Roman" w:hAnsi="Calibri" w:cs="Calibri"/>
                <w:b/>
                <w:bCs/>
                <w:lang w:eastAsia="en-GB"/>
              </w:rPr>
            </w:pPr>
            <w:r>
              <w:rPr>
                <w:rFonts w:ascii="Calibri" w:eastAsia="Times New Roman" w:hAnsi="Calibri" w:cs="Calibri"/>
                <w:b/>
                <w:bCs/>
                <w:lang w:eastAsia="en-GB"/>
              </w:rPr>
              <w:t>Category</w:t>
            </w:r>
          </w:p>
        </w:tc>
        <w:tc>
          <w:tcPr>
            <w:tcW w:w="291" w:type="dxa"/>
            <w:tcBorders>
              <w:top w:val="single" w:sz="4" w:space="0" w:color="auto"/>
              <w:bottom w:val="single" w:sz="4" w:space="0" w:color="auto"/>
            </w:tcBorders>
            <w:shd w:val="clear" w:color="auto" w:fill="auto"/>
            <w:noWrap/>
            <w:vAlign w:val="center"/>
            <w:hideMark/>
          </w:tcPr>
          <w:p w14:paraId="6665A49C" w14:textId="77777777" w:rsidR="0098420C" w:rsidRPr="0098420C" w:rsidRDefault="0098420C" w:rsidP="003B3AAC">
            <w:pPr>
              <w:spacing w:after="0" w:line="240" w:lineRule="auto"/>
              <w:rPr>
                <w:rFonts w:ascii="Times New Roman" w:eastAsia="Times New Roman" w:hAnsi="Times New Roman" w:cs="Times New Roman"/>
                <w:sz w:val="20"/>
                <w:szCs w:val="20"/>
                <w:lang w:eastAsia="en-GB"/>
              </w:rPr>
            </w:pPr>
          </w:p>
        </w:tc>
        <w:tc>
          <w:tcPr>
            <w:tcW w:w="291" w:type="dxa"/>
            <w:tcBorders>
              <w:top w:val="single" w:sz="4" w:space="0" w:color="auto"/>
              <w:bottom w:val="single" w:sz="4" w:space="0" w:color="auto"/>
            </w:tcBorders>
            <w:shd w:val="clear" w:color="auto" w:fill="auto"/>
            <w:noWrap/>
            <w:vAlign w:val="center"/>
            <w:hideMark/>
          </w:tcPr>
          <w:p w14:paraId="6468D301" w14:textId="77777777" w:rsidR="0098420C" w:rsidRPr="0098420C" w:rsidRDefault="0098420C" w:rsidP="003B3AAC">
            <w:pPr>
              <w:spacing w:after="0" w:line="240" w:lineRule="auto"/>
              <w:rPr>
                <w:rFonts w:ascii="Times New Roman" w:eastAsia="Times New Roman" w:hAnsi="Times New Roman" w:cs="Times New Roman"/>
                <w:sz w:val="20"/>
                <w:szCs w:val="20"/>
                <w:lang w:eastAsia="en-GB"/>
              </w:rPr>
            </w:pPr>
          </w:p>
        </w:tc>
      </w:tr>
      <w:tr w:rsidR="0098420C" w:rsidRPr="0098420C" w14:paraId="4270128A" w14:textId="77777777" w:rsidTr="003B3AAC">
        <w:trPr>
          <w:trHeight w:val="537"/>
        </w:trPr>
        <w:tc>
          <w:tcPr>
            <w:tcW w:w="1434" w:type="dxa"/>
            <w:tcBorders>
              <w:top w:val="single" w:sz="4" w:space="0" w:color="auto"/>
              <w:bottom w:val="single" w:sz="4" w:space="0" w:color="auto"/>
              <w:right w:val="single" w:sz="4" w:space="0" w:color="auto"/>
            </w:tcBorders>
            <w:shd w:val="clear" w:color="auto" w:fill="auto"/>
            <w:noWrap/>
            <w:vAlign w:val="center"/>
            <w:hideMark/>
          </w:tcPr>
          <w:p w14:paraId="07D33A2C"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15.92</w:t>
            </w:r>
          </w:p>
        </w:tc>
        <w:tc>
          <w:tcPr>
            <w:tcW w:w="18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6B6853"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17.29</w:t>
            </w:r>
          </w:p>
        </w:tc>
        <w:tc>
          <w:tcPr>
            <w:tcW w:w="2028" w:type="dxa"/>
            <w:gridSpan w:val="3"/>
            <w:tcBorders>
              <w:top w:val="single" w:sz="4" w:space="0" w:color="auto"/>
              <w:left w:val="single" w:sz="4" w:space="0" w:color="auto"/>
              <w:bottom w:val="single" w:sz="4" w:space="0" w:color="auto"/>
            </w:tcBorders>
            <w:shd w:val="clear" w:color="000000" w:fill="C6EFCE"/>
            <w:noWrap/>
            <w:vAlign w:val="center"/>
            <w:hideMark/>
          </w:tcPr>
          <w:p w14:paraId="28C5AC4F" w14:textId="061B3D32" w:rsidR="0098420C" w:rsidRPr="0098420C" w:rsidRDefault="0098420C" w:rsidP="003B3AAC">
            <w:pPr>
              <w:spacing w:after="0" w:line="240" w:lineRule="auto"/>
              <w:rPr>
                <w:rFonts w:ascii="Calibri" w:eastAsia="Times New Roman" w:hAnsi="Calibri" w:cs="Calibri"/>
                <w:color w:val="000000"/>
                <w:lang w:eastAsia="en-GB"/>
              </w:rPr>
            </w:pPr>
            <w:r w:rsidRPr="0098420C">
              <w:rPr>
                <w:rFonts w:ascii="Calibri" w:eastAsia="Times New Roman" w:hAnsi="Calibri" w:cs="Calibri"/>
                <w:color w:val="006100"/>
                <w:lang w:eastAsia="en-GB"/>
              </w:rPr>
              <w:t>Low</w:t>
            </w:r>
            <w:r w:rsidRPr="0098420C">
              <w:rPr>
                <w:rFonts w:ascii="Calibri" w:eastAsia="Times New Roman" w:hAnsi="Calibri" w:cs="Calibri"/>
                <w:color w:val="000000"/>
                <w:lang w:eastAsia="en-GB"/>
              </w:rPr>
              <w:t> </w:t>
            </w:r>
          </w:p>
        </w:tc>
      </w:tr>
      <w:tr w:rsidR="0098420C" w:rsidRPr="0098420C" w14:paraId="6D19D83A" w14:textId="77777777" w:rsidTr="003B3AAC">
        <w:trPr>
          <w:trHeight w:val="537"/>
        </w:trPr>
        <w:tc>
          <w:tcPr>
            <w:tcW w:w="1434" w:type="dxa"/>
            <w:tcBorders>
              <w:top w:val="single" w:sz="4" w:space="0" w:color="auto"/>
              <w:bottom w:val="single" w:sz="4" w:space="0" w:color="auto"/>
              <w:right w:val="single" w:sz="4" w:space="0" w:color="auto"/>
            </w:tcBorders>
            <w:shd w:val="clear" w:color="auto" w:fill="auto"/>
            <w:noWrap/>
            <w:vAlign w:val="center"/>
            <w:hideMark/>
          </w:tcPr>
          <w:p w14:paraId="608408AE"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30.25</w:t>
            </w:r>
          </w:p>
        </w:tc>
        <w:tc>
          <w:tcPr>
            <w:tcW w:w="18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44DDF2A"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27.63</w:t>
            </w:r>
          </w:p>
        </w:tc>
        <w:tc>
          <w:tcPr>
            <w:tcW w:w="2028" w:type="dxa"/>
            <w:gridSpan w:val="3"/>
            <w:tcBorders>
              <w:top w:val="single" w:sz="4" w:space="0" w:color="auto"/>
              <w:left w:val="single" w:sz="4" w:space="0" w:color="auto"/>
              <w:bottom w:val="single" w:sz="4" w:space="0" w:color="auto"/>
            </w:tcBorders>
            <w:shd w:val="clear" w:color="000000" w:fill="FFEB9C"/>
            <w:noWrap/>
            <w:vAlign w:val="center"/>
            <w:hideMark/>
          </w:tcPr>
          <w:p w14:paraId="4A104452" w14:textId="5E075192" w:rsidR="0098420C" w:rsidRPr="0098420C" w:rsidRDefault="0098420C" w:rsidP="003B3AAC">
            <w:pPr>
              <w:spacing w:after="0" w:line="240" w:lineRule="auto"/>
              <w:rPr>
                <w:rFonts w:ascii="Calibri" w:eastAsia="Times New Roman" w:hAnsi="Calibri" w:cs="Calibri"/>
                <w:b/>
                <w:bCs/>
                <w:color w:val="000000"/>
                <w:lang w:eastAsia="en-GB"/>
              </w:rPr>
            </w:pPr>
            <w:r w:rsidRPr="0098420C">
              <w:rPr>
                <w:rFonts w:ascii="Calibri" w:eastAsia="Times New Roman" w:hAnsi="Calibri" w:cs="Calibri"/>
                <w:color w:val="9C6500"/>
                <w:lang w:eastAsia="en-GB"/>
              </w:rPr>
              <w:t>Moderate</w:t>
            </w:r>
            <w:r w:rsidRPr="0098420C">
              <w:rPr>
                <w:rFonts w:ascii="Calibri" w:eastAsia="Times New Roman" w:hAnsi="Calibri" w:cs="Calibri"/>
                <w:b/>
                <w:bCs/>
                <w:color w:val="000000"/>
                <w:lang w:eastAsia="en-GB"/>
              </w:rPr>
              <w:t> </w:t>
            </w:r>
          </w:p>
        </w:tc>
      </w:tr>
      <w:tr w:rsidR="0098420C" w:rsidRPr="0098420C" w14:paraId="0662AEE0" w14:textId="77777777" w:rsidTr="003B3AAC">
        <w:trPr>
          <w:trHeight w:val="537"/>
        </w:trPr>
        <w:tc>
          <w:tcPr>
            <w:tcW w:w="1434" w:type="dxa"/>
            <w:tcBorders>
              <w:top w:val="single" w:sz="4" w:space="0" w:color="auto"/>
              <w:bottom w:val="single" w:sz="4" w:space="0" w:color="auto"/>
              <w:right w:val="single" w:sz="4" w:space="0" w:color="auto"/>
            </w:tcBorders>
            <w:shd w:val="clear" w:color="auto" w:fill="auto"/>
            <w:noWrap/>
            <w:vAlign w:val="center"/>
            <w:hideMark/>
          </w:tcPr>
          <w:p w14:paraId="13890C21"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39</w:t>
            </w:r>
          </w:p>
        </w:tc>
        <w:tc>
          <w:tcPr>
            <w:tcW w:w="18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BA30690"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44.6</w:t>
            </w:r>
          </w:p>
        </w:tc>
        <w:tc>
          <w:tcPr>
            <w:tcW w:w="2028" w:type="dxa"/>
            <w:gridSpan w:val="3"/>
            <w:tcBorders>
              <w:top w:val="nil"/>
              <w:left w:val="single" w:sz="4" w:space="0" w:color="auto"/>
              <w:bottom w:val="single" w:sz="4" w:space="0" w:color="auto"/>
            </w:tcBorders>
            <w:shd w:val="clear" w:color="000000" w:fill="FFC7CE"/>
            <w:noWrap/>
            <w:vAlign w:val="center"/>
            <w:hideMark/>
          </w:tcPr>
          <w:p w14:paraId="083F7B1D" w14:textId="77777777" w:rsidR="0098420C" w:rsidRPr="0098420C" w:rsidRDefault="0098420C" w:rsidP="003B3AAC">
            <w:pPr>
              <w:spacing w:after="0" w:line="240" w:lineRule="auto"/>
              <w:rPr>
                <w:rFonts w:ascii="Calibri" w:eastAsia="Times New Roman" w:hAnsi="Calibri" w:cs="Calibri"/>
                <w:color w:val="9C0006"/>
                <w:lang w:eastAsia="en-GB"/>
              </w:rPr>
            </w:pPr>
            <w:r w:rsidRPr="0098420C">
              <w:rPr>
                <w:rFonts w:ascii="Calibri" w:eastAsia="Times New Roman" w:hAnsi="Calibri" w:cs="Calibri"/>
                <w:color w:val="9C0006"/>
                <w:lang w:eastAsia="en-GB"/>
              </w:rPr>
              <w:t>Potentially concerning</w:t>
            </w:r>
          </w:p>
        </w:tc>
      </w:tr>
    </w:tbl>
    <w:p w14:paraId="22A32C4D" w14:textId="77777777" w:rsidR="008A1B52" w:rsidRDefault="008A1B52" w:rsidP="008A1B52">
      <w:pPr>
        <w:spacing w:line="480" w:lineRule="auto"/>
        <w:jc w:val="both"/>
      </w:pPr>
    </w:p>
    <w:p w14:paraId="5EE7A9C0" w14:textId="20343E24" w:rsidR="00884DEF" w:rsidRPr="008A1B52" w:rsidRDefault="00884DEF" w:rsidP="008A1B52">
      <w:pPr>
        <w:spacing w:line="480" w:lineRule="auto"/>
        <w:jc w:val="both"/>
      </w:pPr>
      <w:r>
        <w:t>The average age of all participants across all categories was 25.2 (25.3 for men and 25.1 for women). When broken down into categories, for men the age range was greatest in</w:t>
      </w:r>
      <w:r w:rsidR="00DA21BD">
        <w:t xml:space="preserve"> moderate anxiety. H</w:t>
      </w:r>
      <w:r>
        <w:t>owever, the average age was highest for</w:t>
      </w:r>
      <w:r w:rsidR="00DA21BD">
        <w:t xml:space="preserve"> those experiencing low anxiety</w:t>
      </w:r>
      <w:r>
        <w:t xml:space="preserve"> (see Fig 4). This suggest</w:t>
      </w:r>
      <w:r w:rsidR="00DA21BD">
        <w:t>s</w:t>
      </w:r>
      <w:r>
        <w:t xml:space="preserve"> that the older men get the lower the anxiety levels they experience. For women, the levels were much more evenly spread with a slightly higher average age for those experien</w:t>
      </w:r>
      <w:r w:rsidR="00DA21BD">
        <w:t>cing moderate anxiety</w:t>
      </w:r>
      <w:r>
        <w:t>. However, the average age for those experiencing low or potentially concerning anxiety was almost identica</w:t>
      </w:r>
      <w:r w:rsidR="00DA21BD">
        <w:t>l</w:t>
      </w:r>
      <w:r>
        <w:t>. When looking at the age range for women, there was again a fairly even spread with the gre</w:t>
      </w:r>
      <w:r w:rsidR="00DA21BD">
        <w:t>atest age range for low anxiety.</w:t>
      </w:r>
      <w:r>
        <w:t xml:space="preserve"> This gradually narrowed for moderate and </w:t>
      </w:r>
      <w:r w:rsidR="00DA21BD">
        <w:t>then</w:t>
      </w:r>
      <w:r>
        <w:t xml:space="preserve"> potentially concerning levels. This suggests that women are equally susceptible to anxiety regardless of age.</w:t>
      </w:r>
    </w:p>
    <w:p w14:paraId="11BFCEEC" w14:textId="5B890B3C" w:rsidR="00B764B0" w:rsidRDefault="00B764B0" w:rsidP="00B764B0">
      <w:pPr>
        <w:spacing w:after="0" w:line="480" w:lineRule="auto"/>
        <w:jc w:val="both"/>
        <w:rPr>
          <w:b/>
        </w:rPr>
      </w:pPr>
      <w:r>
        <w:rPr>
          <w:b/>
        </w:rPr>
        <w:t>Fig. 4</w:t>
      </w:r>
    </w:p>
    <w:tbl>
      <w:tblPr>
        <w:tblW w:w="8199"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430"/>
        <w:gridCol w:w="1160"/>
        <w:gridCol w:w="1430"/>
        <w:gridCol w:w="1160"/>
        <w:gridCol w:w="3019"/>
      </w:tblGrid>
      <w:tr w:rsidR="006C651D" w:rsidRPr="006C651D" w14:paraId="2A531588" w14:textId="77777777" w:rsidTr="006C651D">
        <w:trPr>
          <w:trHeight w:val="440"/>
        </w:trPr>
        <w:tc>
          <w:tcPr>
            <w:tcW w:w="8199" w:type="dxa"/>
            <w:gridSpan w:val="5"/>
            <w:tcBorders>
              <w:top w:val="single" w:sz="4" w:space="0" w:color="auto"/>
              <w:bottom w:val="single" w:sz="4" w:space="0" w:color="auto"/>
            </w:tcBorders>
            <w:shd w:val="clear" w:color="auto" w:fill="auto"/>
            <w:noWrap/>
            <w:vAlign w:val="center"/>
            <w:hideMark/>
          </w:tcPr>
          <w:p w14:paraId="532AC1A1" w14:textId="77777777" w:rsidR="006C651D" w:rsidRPr="006C651D" w:rsidRDefault="006C651D" w:rsidP="006C651D">
            <w:pPr>
              <w:spacing w:after="0" w:line="240" w:lineRule="auto"/>
              <w:rPr>
                <w:rFonts w:ascii="Calibri" w:eastAsia="Times New Roman" w:hAnsi="Calibri" w:cs="Calibri"/>
                <w:b/>
                <w:bCs/>
                <w:color w:val="000000"/>
                <w:lang w:eastAsia="en-GB"/>
              </w:rPr>
            </w:pPr>
            <w:r w:rsidRPr="006C651D">
              <w:rPr>
                <w:rFonts w:ascii="Calibri" w:eastAsia="Times New Roman" w:hAnsi="Calibri" w:cs="Calibri"/>
                <w:b/>
                <w:bCs/>
                <w:color w:val="000000"/>
                <w:lang w:eastAsia="en-GB"/>
              </w:rPr>
              <w:t>Comparing average age and age range by category</w:t>
            </w:r>
          </w:p>
        </w:tc>
      </w:tr>
      <w:tr w:rsidR="006C651D" w:rsidRPr="006C651D" w14:paraId="71F8F56B" w14:textId="77777777" w:rsidTr="006C651D">
        <w:trPr>
          <w:trHeight w:val="440"/>
        </w:trPr>
        <w:tc>
          <w:tcPr>
            <w:tcW w:w="2590" w:type="dxa"/>
            <w:gridSpan w:val="2"/>
            <w:tcBorders>
              <w:top w:val="single" w:sz="4" w:space="0" w:color="auto"/>
              <w:bottom w:val="single" w:sz="4" w:space="0" w:color="auto"/>
              <w:right w:val="single" w:sz="4" w:space="0" w:color="auto"/>
            </w:tcBorders>
            <w:shd w:val="clear" w:color="auto" w:fill="auto"/>
            <w:noWrap/>
            <w:vAlign w:val="center"/>
            <w:hideMark/>
          </w:tcPr>
          <w:p w14:paraId="506DC64A" w14:textId="77777777" w:rsidR="006C651D" w:rsidRPr="006C651D" w:rsidRDefault="006C651D" w:rsidP="006C651D">
            <w:pPr>
              <w:spacing w:after="0" w:line="240" w:lineRule="auto"/>
              <w:rPr>
                <w:rFonts w:ascii="Calibri" w:eastAsia="Times New Roman" w:hAnsi="Calibri" w:cs="Calibri"/>
                <w:b/>
                <w:bCs/>
                <w:color w:val="000000"/>
                <w:lang w:eastAsia="en-GB"/>
              </w:rPr>
            </w:pPr>
            <w:r w:rsidRPr="006C651D">
              <w:rPr>
                <w:rFonts w:ascii="Calibri" w:eastAsia="Times New Roman" w:hAnsi="Calibri" w:cs="Calibri"/>
                <w:b/>
                <w:bCs/>
                <w:color w:val="000000"/>
                <w:lang w:eastAsia="en-GB"/>
              </w:rPr>
              <w:t>Male</w:t>
            </w:r>
          </w:p>
        </w:tc>
        <w:tc>
          <w:tcPr>
            <w:tcW w:w="259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E5CF474" w14:textId="77777777" w:rsidR="006C651D" w:rsidRPr="006C651D" w:rsidRDefault="006C651D" w:rsidP="006C651D">
            <w:pPr>
              <w:spacing w:after="0" w:line="240" w:lineRule="auto"/>
              <w:rPr>
                <w:rFonts w:ascii="Calibri" w:eastAsia="Times New Roman" w:hAnsi="Calibri" w:cs="Calibri"/>
                <w:b/>
                <w:bCs/>
                <w:color w:val="000000"/>
                <w:lang w:eastAsia="en-GB"/>
              </w:rPr>
            </w:pPr>
            <w:r w:rsidRPr="006C651D">
              <w:rPr>
                <w:rFonts w:ascii="Calibri" w:eastAsia="Times New Roman" w:hAnsi="Calibri" w:cs="Calibri"/>
                <w:b/>
                <w:bCs/>
                <w:color w:val="000000"/>
                <w:lang w:eastAsia="en-GB"/>
              </w:rPr>
              <w:t>Female</w:t>
            </w:r>
          </w:p>
        </w:tc>
        <w:tc>
          <w:tcPr>
            <w:tcW w:w="3019" w:type="dxa"/>
            <w:vMerge w:val="restart"/>
            <w:tcBorders>
              <w:top w:val="single" w:sz="4" w:space="0" w:color="auto"/>
              <w:left w:val="single" w:sz="4" w:space="0" w:color="auto"/>
            </w:tcBorders>
            <w:shd w:val="clear" w:color="auto" w:fill="auto"/>
            <w:noWrap/>
            <w:hideMark/>
          </w:tcPr>
          <w:p w14:paraId="7EB81C56" w14:textId="77777777" w:rsidR="006C651D" w:rsidRPr="006C651D" w:rsidRDefault="006C651D" w:rsidP="006C651D">
            <w:pPr>
              <w:spacing w:after="0" w:line="240" w:lineRule="auto"/>
              <w:rPr>
                <w:rFonts w:ascii="Calibri" w:eastAsia="Times New Roman" w:hAnsi="Calibri" w:cs="Calibri"/>
                <w:b/>
                <w:bCs/>
                <w:color w:val="000000"/>
                <w:sz w:val="6"/>
                <w:lang w:eastAsia="en-GB"/>
              </w:rPr>
            </w:pPr>
          </w:p>
          <w:p w14:paraId="6F1ACB5F" w14:textId="602E60B5" w:rsidR="006C651D" w:rsidRPr="006C651D" w:rsidRDefault="006C651D" w:rsidP="006C651D">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Category</w:t>
            </w:r>
          </w:p>
        </w:tc>
      </w:tr>
      <w:tr w:rsidR="006C651D" w:rsidRPr="006C651D" w14:paraId="23456A5D" w14:textId="77777777" w:rsidTr="006C651D">
        <w:trPr>
          <w:trHeight w:val="440"/>
        </w:trPr>
        <w:tc>
          <w:tcPr>
            <w:tcW w:w="1430" w:type="dxa"/>
            <w:tcBorders>
              <w:top w:val="single" w:sz="4" w:space="0" w:color="auto"/>
              <w:bottom w:val="single" w:sz="4" w:space="0" w:color="auto"/>
            </w:tcBorders>
            <w:shd w:val="clear" w:color="auto" w:fill="auto"/>
            <w:noWrap/>
            <w:vAlign w:val="center"/>
            <w:hideMark/>
          </w:tcPr>
          <w:p w14:paraId="76EBF816" w14:textId="120BD728" w:rsidR="006C651D" w:rsidRPr="006C651D" w:rsidRDefault="006C651D" w:rsidP="006C651D">
            <w:pPr>
              <w:spacing w:after="0" w:line="240" w:lineRule="auto"/>
              <w:rPr>
                <w:rFonts w:ascii="Calibri" w:eastAsia="Times New Roman" w:hAnsi="Calibri" w:cs="Calibri"/>
                <w:b/>
                <w:bCs/>
                <w:color w:val="000000"/>
                <w:lang w:eastAsia="en-GB"/>
              </w:rPr>
            </w:pPr>
            <w:r w:rsidRPr="006C651D">
              <w:rPr>
                <w:rFonts w:ascii="Calibri" w:eastAsia="Times New Roman" w:hAnsi="Calibri" w:cs="Calibri"/>
                <w:b/>
                <w:bCs/>
                <w:color w:val="000000"/>
                <w:lang w:eastAsia="en-GB"/>
              </w:rPr>
              <w:t>Average</w:t>
            </w:r>
            <w:r>
              <w:rPr>
                <w:rFonts w:ascii="Calibri" w:eastAsia="Times New Roman" w:hAnsi="Calibri" w:cs="Calibri"/>
                <w:b/>
                <w:bCs/>
                <w:color w:val="000000"/>
                <w:lang w:eastAsia="en-GB"/>
              </w:rPr>
              <w:t xml:space="preserve"> age</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55996BB0" w14:textId="29C3739C" w:rsidR="006C651D" w:rsidRPr="006C651D" w:rsidRDefault="006C651D" w:rsidP="006C651D">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Age r</w:t>
            </w:r>
            <w:r w:rsidRPr="006C651D">
              <w:rPr>
                <w:rFonts w:ascii="Calibri" w:eastAsia="Times New Roman" w:hAnsi="Calibri" w:cs="Calibri"/>
                <w:b/>
                <w:bCs/>
                <w:color w:val="000000"/>
                <w:lang w:eastAsia="en-GB"/>
              </w:rPr>
              <w:t>ange</w:t>
            </w:r>
          </w:p>
        </w:tc>
        <w:tc>
          <w:tcPr>
            <w:tcW w:w="1430" w:type="dxa"/>
            <w:tcBorders>
              <w:top w:val="single" w:sz="4" w:space="0" w:color="auto"/>
              <w:left w:val="single" w:sz="4" w:space="0" w:color="auto"/>
              <w:bottom w:val="single" w:sz="4" w:space="0" w:color="auto"/>
            </w:tcBorders>
            <w:shd w:val="clear" w:color="auto" w:fill="auto"/>
            <w:noWrap/>
            <w:vAlign w:val="center"/>
            <w:hideMark/>
          </w:tcPr>
          <w:p w14:paraId="79C516FA" w14:textId="4A36EE7B" w:rsidR="006C651D" w:rsidRPr="006C651D" w:rsidRDefault="006C651D" w:rsidP="006C651D">
            <w:pPr>
              <w:spacing w:after="0" w:line="240" w:lineRule="auto"/>
              <w:rPr>
                <w:rFonts w:ascii="Calibri" w:eastAsia="Times New Roman" w:hAnsi="Calibri" w:cs="Calibri"/>
                <w:b/>
                <w:bCs/>
                <w:color w:val="000000"/>
                <w:lang w:eastAsia="en-GB"/>
              </w:rPr>
            </w:pPr>
            <w:r w:rsidRPr="006C651D">
              <w:rPr>
                <w:rFonts w:ascii="Calibri" w:eastAsia="Times New Roman" w:hAnsi="Calibri" w:cs="Calibri"/>
                <w:b/>
                <w:bCs/>
                <w:color w:val="000000"/>
                <w:lang w:eastAsia="en-GB"/>
              </w:rPr>
              <w:t>Average</w:t>
            </w:r>
            <w:r>
              <w:rPr>
                <w:rFonts w:ascii="Calibri" w:eastAsia="Times New Roman" w:hAnsi="Calibri" w:cs="Calibri"/>
                <w:b/>
                <w:bCs/>
                <w:color w:val="000000"/>
                <w:lang w:eastAsia="en-GB"/>
              </w:rPr>
              <w:t xml:space="preserve"> age</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190F5F12" w14:textId="5FB007A8" w:rsidR="006C651D" w:rsidRPr="006C651D" w:rsidRDefault="006C651D" w:rsidP="006C651D">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Age r</w:t>
            </w:r>
            <w:r w:rsidRPr="006C651D">
              <w:rPr>
                <w:rFonts w:ascii="Calibri" w:eastAsia="Times New Roman" w:hAnsi="Calibri" w:cs="Calibri"/>
                <w:b/>
                <w:bCs/>
                <w:color w:val="000000"/>
                <w:lang w:eastAsia="en-GB"/>
              </w:rPr>
              <w:t>ange</w:t>
            </w:r>
          </w:p>
        </w:tc>
        <w:tc>
          <w:tcPr>
            <w:tcW w:w="3019" w:type="dxa"/>
            <w:vMerge/>
            <w:tcBorders>
              <w:left w:val="single" w:sz="4" w:space="0" w:color="auto"/>
              <w:bottom w:val="single" w:sz="4" w:space="0" w:color="auto"/>
            </w:tcBorders>
            <w:shd w:val="clear" w:color="auto" w:fill="auto"/>
            <w:noWrap/>
            <w:vAlign w:val="center"/>
            <w:hideMark/>
          </w:tcPr>
          <w:p w14:paraId="7DBEFEE4" w14:textId="77777777" w:rsidR="006C651D" w:rsidRPr="006C651D" w:rsidRDefault="006C651D" w:rsidP="006C651D">
            <w:pPr>
              <w:spacing w:after="0" w:line="240" w:lineRule="auto"/>
              <w:rPr>
                <w:rFonts w:ascii="Calibri" w:eastAsia="Times New Roman" w:hAnsi="Calibri" w:cs="Calibri"/>
                <w:b/>
                <w:bCs/>
                <w:color w:val="000000"/>
                <w:lang w:eastAsia="en-GB"/>
              </w:rPr>
            </w:pPr>
          </w:p>
        </w:tc>
      </w:tr>
      <w:tr w:rsidR="006C651D" w:rsidRPr="006C651D" w14:paraId="5775B3FC" w14:textId="77777777" w:rsidTr="006C651D">
        <w:trPr>
          <w:trHeight w:val="440"/>
        </w:trPr>
        <w:tc>
          <w:tcPr>
            <w:tcW w:w="1430" w:type="dxa"/>
            <w:tcBorders>
              <w:top w:val="single" w:sz="4" w:space="0" w:color="auto"/>
              <w:bottom w:val="single" w:sz="4" w:space="0" w:color="auto"/>
            </w:tcBorders>
            <w:shd w:val="clear" w:color="auto" w:fill="auto"/>
            <w:noWrap/>
            <w:vAlign w:val="center"/>
            <w:hideMark/>
          </w:tcPr>
          <w:p w14:paraId="390E3D3D"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26.31</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725023A0"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18-35</w:t>
            </w:r>
          </w:p>
        </w:tc>
        <w:tc>
          <w:tcPr>
            <w:tcW w:w="1430" w:type="dxa"/>
            <w:tcBorders>
              <w:top w:val="single" w:sz="4" w:space="0" w:color="auto"/>
              <w:left w:val="single" w:sz="4" w:space="0" w:color="auto"/>
              <w:bottom w:val="single" w:sz="4" w:space="0" w:color="auto"/>
            </w:tcBorders>
            <w:shd w:val="clear" w:color="auto" w:fill="auto"/>
            <w:noWrap/>
            <w:vAlign w:val="center"/>
            <w:hideMark/>
          </w:tcPr>
          <w:p w14:paraId="0773A27F"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24.43</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7A2D8EDE"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18-32</w:t>
            </w:r>
          </w:p>
        </w:tc>
        <w:tc>
          <w:tcPr>
            <w:tcW w:w="3019" w:type="dxa"/>
            <w:tcBorders>
              <w:top w:val="single" w:sz="4" w:space="0" w:color="auto"/>
              <w:left w:val="single" w:sz="4" w:space="0" w:color="auto"/>
              <w:bottom w:val="single" w:sz="4" w:space="0" w:color="auto"/>
            </w:tcBorders>
            <w:shd w:val="clear" w:color="000000" w:fill="C6EFCE"/>
            <w:noWrap/>
            <w:vAlign w:val="center"/>
            <w:hideMark/>
          </w:tcPr>
          <w:p w14:paraId="40CEC559" w14:textId="77777777" w:rsidR="006C651D" w:rsidRPr="006C651D" w:rsidRDefault="006C651D" w:rsidP="006C651D">
            <w:pPr>
              <w:spacing w:after="0" w:line="240" w:lineRule="auto"/>
              <w:rPr>
                <w:rFonts w:ascii="Calibri" w:eastAsia="Times New Roman" w:hAnsi="Calibri" w:cs="Calibri"/>
                <w:color w:val="006100"/>
                <w:lang w:eastAsia="en-GB"/>
              </w:rPr>
            </w:pPr>
            <w:r w:rsidRPr="006C651D">
              <w:rPr>
                <w:rFonts w:ascii="Calibri" w:eastAsia="Times New Roman" w:hAnsi="Calibri" w:cs="Calibri"/>
                <w:color w:val="006100"/>
                <w:lang w:eastAsia="en-GB"/>
              </w:rPr>
              <w:t>Low</w:t>
            </w:r>
          </w:p>
        </w:tc>
      </w:tr>
      <w:tr w:rsidR="006C651D" w:rsidRPr="006C651D" w14:paraId="30DE8A5C" w14:textId="77777777" w:rsidTr="006C651D">
        <w:trPr>
          <w:trHeight w:val="440"/>
        </w:trPr>
        <w:tc>
          <w:tcPr>
            <w:tcW w:w="1430" w:type="dxa"/>
            <w:tcBorders>
              <w:top w:val="single" w:sz="4" w:space="0" w:color="auto"/>
              <w:bottom w:val="single" w:sz="4" w:space="0" w:color="auto"/>
            </w:tcBorders>
            <w:shd w:val="clear" w:color="auto" w:fill="auto"/>
            <w:noWrap/>
            <w:vAlign w:val="center"/>
            <w:hideMark/>
          </w:tcPr>
          <w:p w14:paraId="59869D6B"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24.75</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1C51E7AB"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18-39</w:t>
            </w:r>
          </w:p>
        </w:tc>
        <w:tc>
          <w:tcPr>
            <w:tcW w:w="1430" w:type="dxa"/>
            <w:tcBorders>
              <w:top w:val="single" w:sz="4" w:space="0" w:color="auto"/>
              <w:left w:val="single" w:sz="4" w:space="0" w:color="auto"/>
              <w:bottom w:val="single" w:sz="4" w:space="0" w:color="auto"/>
            </w:tcBorders>
            <w:shd w:val="clear" w:color="auto" w:fill="auto"/>
            <w:noWrap/>
            <w:vAlign w:val="center"/>
            <w:hideMark/>
          </w:tcPr>
          <w:p w14:paraId="0D313DC7"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26.13</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351BA6AD"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19-31</w:t>
            </w:r>
          </w:p>
        </w:tc>
        <w:tc>
          <w:tcPr>
            <w:tcW w:w="3019" w:type="dxa"/>
            <w:tcBorders>
              <w:top w:val="single" w:sz="4" w:space="0" w:color="auto"/>
              <w:left w:val="single" w:sz="4" w:space="0" w:color="auto"/>
              <w:bottom w:val="single" w:sz="4" w:space="0" w:color="auto"/>
            </w:tcBorders>
            <w:shd w:val="clear" w:color="000000" w:fill="FFEB9C"/>
            <w:noWrap/>
            <w:vAlign w:val="center"/>
            <w:hideMark/>
          </w:tcPr>
          <w:p w14:paraId="00D61B36" w14:textId="77777777" w:rsidR="006C651D" w:rsidRPr="006C651D" w:rsidRDefault="006C651D" w:rsidP="006C651D">
            <w:pPr>
              <w:spacing w:after="0" w:line="240" w:lineRule="auto"/>
              <w:rPr>
                <w:rFonts w:ascii="Calibri" w:eastAsia="Times New Roman" w:hAnsi="Calibri" w:cs="Calibri"/>
                <w:color w:val="9C6500"/>
                <w:lang w:eastAsia="en-GB"/>
              </w:rPr>
            </w:pPr>
            <w:r w:rsidRPr="006C651D">
              <w:rPr>
                <w:rFonts w:ascii="Calibri" w:eastAsia="Times New Roman" w:hAnsi="Calibri" w:cs="Calibri"/>
                <w:color w:val="9C6500"/>
                <w:lang w:eastAsia="en-GB"/>
              </w:rPr>
              <w:t>Moderate</w:t>
            </w:r>
          </w:p>
        </w:tc>
      </w:tr>
      <w:tr w:rsidR="006C651D" w:rsidRPr="006C651D" w14:paraId="414D3F65" w14:textId="77777777" w:rsidTr="006C651D">
        <w:trPr>
          <w:trHeight w:val="440"/>
        </w:trPr>
        <w:tc>
          <w:tcPr>
            <w:tcW w:w="1430" w:type="dxa"/>
            <w:tcBorders>
              <w:top w:val="single" w:sz="4" w:space="0" w:color="auto"/>
              <w:bottom w:val="single" w:sz="4" w:space="0" w:color="auto"/>
            </w:tcBorders>
            <w:shd w:val="clear" w:color="auto" w:fill="auto"/>
            <w:noWrap/>
            <w:vAlign w:val="center"/>
            <w:hideMark/>
          </w:tcPr>
          <w:p w14:paraId="646EB78C"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21.67</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0684702F"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18-28</w:t>
            </w:r>
          </w:p>
        </w:tc>
        <w:tc>
          <w:tcPr>
            <w:tcW w:w="1430" w:type="dxa"/>
            <w:tcBorders>
              <w:top w:val="single" w:sz="4" w:space="0" w:color="auto"/>
              <w:left w:val="single" w:sz="4" w:space="0" w:color="auto"/>
              <w:bottom w:val="single" w:sz="4" w:space="0" w:color="auto"/>
            </w:tcBorders>
            <w:shd w:val="clear" w:color="auto" w:fill="auto"/>
            <w:noWrap/>
            <w:vAlign w:val="center"/>
            <w:hideMark/>
          </w:tcPr>
          <w:p w14:paraId="21D06FAD"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24.4</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545906F4"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20-29</w:t>
            </w:r>
          </w:p>
        </w:tc>
        <w:tc>
          <w:tcPr>
            <w:tcW w:w="3019" w:type="dxa"/>
            <w:tcBorders>
              <w:top w:val="single" w:sz="4" w:space="0" w:color="auto"/>
              <w:left w:val="single" w:sz="4" w:space="0" w:color="auto"/>
              <w:bottom w:val="single" w:sz="4" w:space="0" w:color="auto"/>
            </w:tcBorders>
            <w:shd w:val="clear" w:color="000000" w:fill="FFC7CE"/>
            <w:noWrap/>
            <w:vAlign w:val="center"/>
            <w:hideMark/>
          </w:tcPr>
          <w:p w14:paraId="766CA6F0" w14:textId="77777777" w:rsidR="006C651D" w:rsidRPr="006C651D" w:rsidRDefault="006C651D" w:rsidP="006C651D">
            <w:pPr>
              <w:spacing w:after="0" w:line="240" w:lineRule="auto"/>
              <w:rPr>
                <w:rFonts w:ascii="Calibri" w:eastAsia="Times New Roman" w:hAnsi="Calibri" w:cs="Calibri"/>
                <w:color w:val="9C0006"/>
                <w:lang w:eastAsia="en-GB"/>
              </w:rPr>
            </w:pPr>
            <w:r w:rsidRPr="006C651D">
              <w:rPr>
                <w:rFonts w:ascii="Calibri" w:eastAsia="Times New Roman" w:hAnsi="Calibri" w:cs="Calibri"/>
                <w:color w:val="9C0006"/>
                <w:lang w:eastAsia="en-GB"/>
              </w:rPr>
              <w:t>Potentially concerning</w:t>
            </w:r>
          </w:p>
        </w:tc>
      </w:tr>
    </w:tbl>
    <w:p w14:paraId="17AD7A5D" w14:textId="168A3887" w:rsidR="00CF7D37" w:rsidRDefault="00970D9A" w:rsidP="006C3240">
      <w:pPr>
        <w:spacing w:line="480" w:lineRule="auto"/>
        <w:jc w:val="both"/>
      </w:pPr>
      <w:bookmarkStart w:id="0" w:name="_GoBack"/>
      <w:bookmarkEnd w:id="0"/>
      <w:r>
        <w:lastRenderedPageBreak/>
        <w:t>These findings show the initial hypothesis to be accurate in that women’s anxiety levels were higher than men’s.</w:t>
      </w:r>
      <w:r w:rsidR="001E17A5">
        <w:t xml:space="preserve"> It was also true that when categorised, most men were shown to have low levels of anxiety. Also as expected, more women registered as having moderate anxiety levels, however, this was only marginally.</w:t>
      </w:r>
    </w:p>
    <w:p w14:paraId="26CA54BD" w14:textId="77777777" w:rsidR="00EC46D8" w:rsidRDefault="00EC46D8" w:rsidP="00752D3F">
      <w:pPr>
        <w:spacing w:line="480" w:lineRule="auto"/>
        <w:jc w:val="center"/>
      </w:pPr>
      <w:r>
        <w:t>DISCUSSION</w:t>
      </w:r>
    </w:p>
    <w:p w14:paraId="796C5528" w14:textId="676B1EF8" w:rsidR="007F71E9" w:rsidRDefault="00D269AE" w:rsidP="00752D3F">
      <w:pPr>
        <w:spacing w:line="480" w:lineRule="auto"/>
        <w:jc w:val="both"/>
      </w:pPr>
      <w:r>
        <w:t xml:space="preserve">This study was the first to compare gender differences in anxiety amongst Welsh university students. Overall results were consistent with previous findings and showed greater average levels of anxiety in females than in males. Findings were broken down into the categories ‘low’, ‘moderate’ and ‘potentially concerning’ as laid out in the BAI. The data again showed that men’s anxiety levels </w:t>
      </w:r>
      <w:r w:rsidR="00477133">
        <w:t>were</w:t>
      </w:r>
      <w:r>
        <w:t xml:space="preserve"> lower than women’s. When taking age as a factor, some interesting results emerged showing that potentially concerning levels of anxiety tended to occur in younger men</w:t>
      </w:r>
      <w:r w:rsidR="007F71E9">
        <w:t xml:space="preserve"> and that the older men got the more likely they were to experience low anxiety. This differed from women, who were fairly evenly spread out in both their anxiety scores and their ages. </w:t>
      </w:r>
      <w:r w:rsidR="00477133">
        <w:t>Practically, t</w:t>
      </w:r>
      <w:r w:rsidR="007F71E9">
        <w:t>his research suggests that women tend to need greater support with anxiety levels than men and that support for men would be most beneficial earlier in life.</w:t>
      </w:r>
      <w:r>
        <w:t xml:space="preserve"> </w:t>
      </w:r>
      <w:r w:rsidR="007F71E9">
        <w:t xml:space="preserve">However, given the small number of participants, these findings are only a tentative guide and research on a larger </w:t>
      </w:r>
      <w:r w:rsidR="007052E2">
        <w:t xml:space="preserve">and more diverse sample </w:t>
      </w:r>
      <w:r w:rsidR="007F71E9">
        <w:t xml:space="preserve">could show additional trends. </w:t>
      </w:r>
    </w:p>
    <w:p w14:paraId="32E63CCD" w14:textId="715763F1" w:rsidR="007F71E9" w:rsidRDefault="00841DB0" w:rsidP="00752D3F">
      <w:pPr>
        <w:spacing w:line="480" w:lineRule="auto"/>
        <w:jc w:val="both"/>
      </w:pPr>
      <w:r>
        <w:t xml:space="preserve">Another limitation is the fact that participants </w:t>
      </w:r>
      <w:r w:rsidR="00477133">
        <w:t>were</w:t>
      </w:r>
      <w:r>
        <w:t xml:space="preserve"> only asked to score </w:t>
      </w:r>
      <w:r w:rsidR="00477133">
        <w:t>their experience over</w:t>
      </w:r>
      <w:r>
        <w:t xml:space="preserve"> the last month. If the same group of participants were tested again in six months’ time, their results could be somewhat different. Therefore in future studies, it would be beneficial to add a within subjects design element to take into account changes within participants over time. This would give a clearer idea of continuous experiences of anxiety.</w:t>
      </w:r>
    </w:p>
    <w:p w14:paraId="6A207F65" w14:textId="42EF708E" w:rsidR="00841DB0" w:rsidRDefault="00841DB0" w:rsidP="00752D3F">
      <w:pPr>
        <w:spacing w:line="480" w:lineRule="auto"/>
        <w:jc w:val="both"/>
      </w:pPr>
      <w:r>
        <w:t>Finally, this study did not take into account any pre-existing anxiety disorders or other mental or physical illnesses</w:t>
      </w:r>
      <w:r w:rsidR="007D6952">
        <w:t xml:space="preserve"> making it hard to know whether the anxiety experienced was a temporary state or could be linked to other ongoing health challenges.</w:t>
      </w:r>
    </w:p>
    <w:p w14:paraId="4BEFA08F" w14:textId="5ECD65F8" w:rsidR="007D6952" w:rsidRDefault="004E6E51" w:rsidP="00752D3F">
      <w:pPr>
        <w:spacing w:line="480" w:lineRule="auto"/>
        <w:jc w:val="both"/>
      </w:pPr>
      <w:r>
        <w:lastRenderedPageBreak/>
        <w:t>In conclusion, this study has added weight to existing research by showing that with regards anxiety and gender, Welsh university students are consistent with the rest of the population. It has given some insights into how age can also have an effect. Further research would be advised to take a more longitudinal approach. It would also be beneficial to conduct similar research on the Welsh population in general to compare with trends amongst university students.</w:t>
      </w:r>
    </w:p>
    <w:p w14:paraId="11108EA4" w14:textId="35B5FA65" w:rsidR="001263A6" w:rsidRDefault="001263A6" w:rsidP="00752D3F">
      <w:pPr>
        <w:spacing w:line="480" w:lineRule="auto"/>
      </w:pPr>
      <w:r>
        <w:br w:type="page"/>
      </w:r>
    </w:p>
    <w:p w14:paraId="433CD82F" w14:textId="77777777" w:rsidR="00EC46D8" w:rsidRDefault="00EC46D8" w:rsidP="00752D3F">
      <w:pPr>
        <w:spacing w:line="480" w:lineRule="auto"/>
        <w:jc w:val="center"/>
      </w:pPr>
      <w:r>
        <w:lastRenderedPageBreak/>
        <w:t>REFERENCES</w:t>
      </w:r>
    </w:p>
    <w:p w14:paraId="103E5C2B" w14:textId="3CD412AE" w:rsidR="00EC46D8" w:rsidRDefault="00396573" w:rsidP="00752D3F">
      <w:pPr>
        <w:spacing w:line="480" w:lineRule="auto"/>
        <w:ind w:left="567" w:hanging="567"/>
      </w:pPr>
      <w:r>
        <w:t>Beck, A. T., Epstein, N., Brown, G.</w:t>
      </w:r>
      <w:r w:rsidR="0053356A">
        <w:t xml:space="preserve"> &amp;</w:t>
      </w:r>
      <w:r>
        <w:t xml:space="preserve"> Steer, R. A. (1988). An inventory for measuring clinical anxiety: Psychometric properties. </w:t>
      </w:r>
      <w:r>
        <w:rPr>
          <w:i/>
        </w:rPr>
        <w:t>Journal of Consulting and Clinical Psychology, 56</w:t>
      </w:r>
      <w:r>
        <w:t>(6), 893-897.</w:t>
      </w:r>
    </w:p>
    <w:p w14:paraId="014F48D4" w14:textId="2814B05D" w:rsidR="0053356A" w:rsidRPr="0053356A" w:rsidRDefault="0053356A" w:rsidP="00752D3F">
      <w:pPr>
        <w:spacing w:line="480" w:lineRule="auto"/>
        <w:ind w:left="567" w:hanging="567"/>
      </w:pPr>
      <w:r w:rsidRPr="0053356A">
        <w:t>Breslau, N., Schultz, L. &amp; Peterson, E. (1995). Sex differences in de</w:t>
      </w:r>
      <w:r>
        <w:t xml:space="preserve">pression: A role for pre-existing anxiety. </w:t>
      </w:r>
      <w:r>
        <w:rPr>
          <w:i/>
        </w:rPr>
        <w:t>Psychiatry Research, 58</w:t>
      </w:r>
      <w:r>
        <w:t>(1), 1-12.</w:t>
      </w:r>
    </w:p>
    <w:p w14:paraId="62B96880" w14:textId="3BF0007B" w:rsidR="0053356A" w:rsidRDefault="0053356A" w:rsidP="00752D3F">
      <w:pPr>
        <w:spacing w:line="480" w:lineRule="auto"/>
        <w:ind w:left="567" w:hanging="567"/>
      </w:pPr>
      <w:r>
        <w:t xml:space="preserve">Egloff, B. &amp; Schmukle, S. C. (2004). Gender differences in implicit and explicit anxiety measures. </w:t>
      </w:r>
      <w:r>
        <w:rPr>
          <w:i/>
        </w:rPr>
        <w:t>Personality and individual differences, 36</w:t>
      </w:r>
      <w:r>
        <w:t>(8), 1807-1815.</w:t>
      </w:r>
    </w:p>
    <w:p w14:paraId="3630CCB5" w14:textId="1F2A4DEB" w:rsidR="00505876" w:rsidRDefault="00505876" w:rsidP="00752D3F">
      <w:pPr>
        <w:spacing w:line="480" w:lineRule="auto"/>
        <w:ind w:left="567" w:hanging="567"/>
      </w:pPr>
      <w:r>
        <w:t xml:space="preserve">McLean, C. P. &amp; Anderson, E. R. (2009). Brave men and timid women? A review of the gender differences in fear and anxiety. </w:t>
      </w:r>
      <w:r>
        <w:rPr>
          <w:i/>
        </w:rPr>
        <w:t>Clinical Psychology Review, 29</w:t>
      </w:r>
      <w:r>
        <w:t>(6), 496-505.</w:t>
      </w:r>
    </w:p>
    <w:p w14:paraId="5603D3F7" w14:textId="1B04EA63" w:rsidR="005D25D8" w:rsidRDefault="005D25D8" w:rsidP="00752D3F">
      <w:pPr>
        <w:spacing w:line="480" w:lineRule="auto"/>
        <w:ind w:left="567" w:hanging="567"/>
      </w:pPr>
      <w:r>
        <w:t xml:space="preserve">McLean, C. P. &amp; Hope, D. A. (2010). Subjective anxiety and behavioural avoidance: Gender, gender role, and perceived confirmability of self-report. </w:t>
      </w:r>
      <w:r>
        <w:rPr>
          <w:i/>
        </w:rPr>
        <w:t>Journal of Anxiety Disorders, 24</w:t>
      </w:r>
      <w:r>
        <w:t>(5), 494-502.</w:t>
      </w:r>
    </w:p>
    <w:p w14:paraId="7C6F72B5" w14:textId="1125F344" w:rsidR="00EA5632" w:rsidRDefault="00EA5632" w:rsidP="00752D3F">
      <w:pPr>
        <w:spacing w:line="480" w:lineRule="auto"/>
        <w:ind w:left="567" w:hanging="567"/>
      </w:pPr>
      <w:r>
        <w:t xml:space="preserve">McLean, </w:t>
      </w:r>
      <w:r w:rsidR="005B4649">
        <w:t xml:space="preserve">C. P., Asnaani, A., Litz, B. T., Hofmann, S. G. (2011). Gender differences in anxiety disorders: Prevalence, course of illness, comorbidity and burden of illness. </w:t>
      </w:r>
      <w:r w:rsidR="005B4649">
        <w:rPr>
          <w:i/>
        </w:rPr>
        <w:t>Journal of Psychiatric Research, 45</w:t>
      </w:r>
      <w:r w:rsidR="005B4649">
        <w:t>(8), 1027-1035.</w:t>
      </w:r>
    </w:p>
    <w:p w14:paraId="21E079F5" w14:textId="67828901" w:rsidR="009B3B0D" w:rsidRPr="009B3B0D" w:rsidRDefault="009B3B0D" w:rsidP="00752D3F">
      <w:pPr>
        <w:spacing w:line="480" w:lineRule="auto"/>
        <w:ind w:left="567" w:hanging="567"/>
      </w:pPr>
      <w:r w:rsidRPr="009B3B0D">
        <w:t>Vesga-L</w:t>
      </w:r>
      <w:r w:rsidRPr="009B3B0D">
        <w:rPr>
          <w:rFonts w:cstheme="minorHAnsi"/>
        </w:rPr>
        <w:t>ó</w:t>
      </w:r>
      <w:r w:rsidRPr="009B3B0D">
        <w:t xml:space="preserve">pez, O., Schneier, F., Wang, </w:t>
      </w:r>
      <w:r>
        <w:t>S., Heimberg, R., Shang-Min, L., Hasin, D. S. &amp; Blanco, C. (2008).</w:t>
      </w:r>
      <w:r w:rsidR="00EA7EB9">
        <w:t xml:space="preserve"> Gender differences in Generalized Anxiety Disorder: Results from the National Epidemiologic Survey on Alcohol and Related Conditions (NESARC). </w:t>
      </w:r>
      <w:r w:rsidR="00EA7EB9">
        <w:rPr>
          <w:i/>
        </w:rPr>
        <w:t>Journal of Clinical Psychiatry, 69</w:t>
      </w:r>
      <w:r w:rsidR="00EA7EB9">
        <w:t>(10), 1606-1616.</w:t>
      </w:r>
    </w:p>
    <w:p w14:paraId="43628FF9" w14:textId="64E0F445" w:rsidR="001263A6" w:rsidRPr="009B3B0D" w:rsidRDefault="001263A6" w:rsidP="00752D3F">
      <w:pPr>
        <w:spacing w:line="480" w:lineRule="auto"/>
      </w:pPr>
      <w:r w:rsidRPr="009B3B0D">
        <w:br w:type="page"/>
      </w:r>
    </w:p>
    <w:p w14:paraId="373A1FB2" w14:textId="56FC0A4F" w:rsidR="00EC46D8" w:rsidRDefault="00B37C61" w:rsidP="00752D3F">
      <w:pPr>
        <w:spacing w:line="480" w:lineRule="auto"/>
        <w:jc w:val="center"/>
      </w:pPr>
      <w:r>
        <w:rPr>
          <w:noProof/>
          <w:lang w:eastAsia="en-GB"/>
        </w:rPr>
        <w:lastRenderedPageBreak/>
        <w:drawing>
          <wp:anchor distT="0" distB="0" distL="114300" distR="114300" simplePos="0" relativeHeight="251658240" behindDoc="0" locked="0" layoutInCell="1" allowOverlap="1" wp14:anchorId="76A3834E" wp14:editId="6E3664BE">
            <wp:simplePos x="0" y="0"/>
            <wp:positionH relativeFrom="page">
              <wp:align>center</wp:align>
            </wp:positionH>
            <wp:positionV relativeFrom="paragraph">
              <wp:posOffset>419100</wp:posOffset>
            </wp:positionV>
            <wp:extent cx="6980400" cy="3744000"/>
            <wp:effectExtent l="76200" t="76200" r="68580" b="850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port data.jpg"/>
                    <pic:cNvPicPr/>
                  </pic:nvPicPr>
                  <pic:blipFill>
                    <a:blip r:embed="rId8">
                      <a:extLst>
                        <a:ext uri="{28A0092B-C50C-407E-A947-70E740481C1C}">
                          <a14:useLocalDpi xmlns:a14="http://schemas.microsoft.com/office/drawing/2010/main" val="0"/>
                        </a:ext>
                      </a:extLst>
                    </a:blip>
                    <a:stretch>
                      <a:fillRect/>
                    </a:stretch>
                  </pic:blipFill>
                  <pic:spPr>
                    <a:xfrm>
                      <a:off x="0" y="0"/>
                      <a:ext cx="6980400" cy="3744000"/>
                    </a:xfrm>
                    <a:prstGeom prst="rect">
                      <a:avLst/>
                    </a:prstGeom>
                    <a:ln>
                      <a:noFill/>
                    </a:ln>
                    <a:effectLst>
                      <a:glow rad="63500">
                        <a:schemeClr val="accent3">
                          <a:satMod val="175000"/>
                          <a:alpha val="40000"/>
                        </a:schemeClr>
                      </a:glow>
                    </a:effectLst>
                  </pic:spPr>
                </pic:pic>
              </a:graphicData>
            </a:graphic>
            <wp14:sizeRelH relativeFrom="margin">
              <wp14:pctWidth>0</wp14:pctWidth>
            </wp14:sizeRelH>
            <wp14:sizeRelV relativeFrom="margin">
              <wp14:pctHeight>0</wp14:pctHeight>
            </wp14:sizeRelV>
          </wp:anchor>
        </w:drawing>
      </w:r>
      <w:r w:rsidR="00EC46D8">
        <w:t>APPENDICES</w:t>
      </w:r>
    </w:p>
    <w:p w14:paraId="4BDEBA24" w14:textId="7BC1DB03" w:rsidR="00EC46D8" w:rsidRDefault="00EC46D8" w:rsidP="00752D3F">
      <w:pPr>
        <w:spacing w:line="480" w:lineRule="auto"/>
      </w:pPr>
    </w:p>
    <w:sectPr w:rsidR="00EC46D8" w:rsidSect="00F02673">
      <w:footerReference w:type="default" r:id="rId9"/>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74D8CE" w14:textId="77777777" w:rsidR="002819E4" w:rsidRDefault="002819E4" w:rsidP="00416B46">
      <w:pPr>
        <w:spacing w:after="0" w:line="240" w:lineRule="auto"/>
      </w:pPr>
      <w:r>
        <w:separator/>
      </w:r>
    </w:p>
  </w:endnote>
  <w:endnote w:type="continuationSeparator" w:id="0">
    <w:p w14:paraId="0EF3CF0E" w14:textId="77777777" w:rsidR="002819E4" w:rsidRDefault="002819E4" w:rsidP="00416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9347126"/>
      <w:docPartObj>
        <w:docPartGallery w:val="Page Numbers (Bottom of Page)"/>
        <w:docPartUnique/>
      </w:docPartObj>
    </w:sdtPr>
    <w:sdtEndPr>
      <w:rPr>
        <w:noProof/>
      </w:rPr>
    </w:sdtEndPr>
    <w:sdtContent>
      <w:p w14:paraId="6126C71D" w14:textId="61EC7D79" w:rsidR="00416B46" w:rsidRDefault="00416B46">
        <w:pPr>
          <w:pStyle w:val="Footer"/>
          <w:jc w:val="right"/>
        </w:pPr>
        <w:r>
          <w:fldChar w:fldCharType="begin"/>
        </w:r>
        <w:r>
          <w:instrText xml:space="preserve"> PAGE   \* MERGEFORMAT </w:instrText>
        </w:r>
        <w:r>
          <w:fldChar w:fldCharType="separate"/>
        </w:r>
        <w:r w:rsidR="00065C85">
          <w:rPr>
            <w:noProof/>
          </w:rPr>
          <w:t>1</w:t>
        </w:r>
        <w:r>
          <w:rPr>
            <w:noProof/>
          </w:rPr>
          <w:fldChar w:fldCharType="end"/>
        </w:r>
      </w:p>
    </w:sdtContent>
  </w:sdt>
  <w:p w14:paraId="4D665AD9" w14:textId="77777777" w:rsidR="00416B46" w:rsidRDefault="00416B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750070" w14:textId="77777777" w:rsidR="002819E4" w:rsidRDefault="002819E4" w:rsidP="00416B46">
      <w:pPr>
        <w:spacing w:after="0" w:line="240" w:lineRule="auto"/>
      </w:pPr>
      <w:r>
        <w:separator/>
      </w:r>
    </w:p>
  </w:footnote>
  <w:footnote w:type="continuationSeparator" w:id="0">
    <w:p w14:paraId="5429349C" w14:textId="77777777" w:rsidR="002819E4" w:rsidRDefault="002819E4" w:rsidP="00416B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46D8"/>
    <w:rsid w:val="00065C85"/>
    <w:rsid w:val="0006711B"/>
    <w:rsid w:val="000F04BE"/>
    <w:rsid w:val="000F053A"/>
    <w:rsid w:val="001263A6"/>
    <w:rsid w:val="00144379"/>
    <w:rsid w:val="001E17A5"/>
    <w:rsid w:val="002057B3"/>
    <w:rsid w:val="00234BD9"/>
    <w:rsid w:val="002819E4"/>
    <w:rsid w:val="00295B6E"/>
    <w:rsid w:val="002A4849"/>
    <w:rsid w:val="002A4FC4"/>
    <w:rsid w:val="002A54C4"/>
    <w:rsid w:val="00396573"/>
    <w:rsid w:val="003B3AAC"/>
    <w:rsid w:val="003B6E27"/>
    <w:rsid w:val="003C6609"/>
    <w:rsid w:val="00416B46"/>
    <w:rsid w:val="00451E6A"/>
    <w:rsid w:val="00477133"/>
    <w:rsid w:val="004A284F"/>
    <w:rsid w:val="004E6E51"/>
    <w:rsid w:val="004F5B6C"/>
    <w:rsid w:val="00505876"/>
    <w:rsid w:val="00522F99"/>
    <w:rsid w:val="0053356A"/>
    <w:rsid w:val="005B4649"/>
    <w:rsid w:val="005D25D8"/>
    <w:rsid w:val="005E5EE2"/>
    <w:rsid w:val="005F6A8D"/>
    <w:rsid w:val="00652A9C"/>
    <w:rsid w:val="00671A44"/>
    <w:rsid w:val="006764B3"/>
    <w:rsid w:val="006C3240"/>
    <w:rsid w:val="006C651D"/>
    <w:rsid w:val="007052E2"/>
    <w:rsid w:val="007137D4"/>
    <w:rsid w:val="00745A0A"/>
    <w:rsid w:val="00752D3F"/>
    <w:rsid w:val="007851D4"/>
    <w:rsid w:val="007D6952"/>
    <w:rsid w:val="007E10BD"/>
    <w:rsid w:val="007F71E9"/>
    <w:rsid w:val="00841DB0"/>
    <w:rsid w:val="00884DEF"/>
    <w:rsid w:val="008A1B52"/>
    <w:rsid w:val="009319CA"/>
    <w:rsid w:val="00970D9A"/>
    <w:rsid w:val="0098420C"/>
    <w:rsid w:val="009B3B0D"/>
    <w:rsid w:val="009B500F"/>
    <w:rsid w:val="009E2CB8"/>
    <w:rsid w:val="009F6CF6"/>
    <w:rsid w:val="00A14FEB"/>
    <w:rsid w:val="00A23302"/>
    <w:rsid w:val="00AF326E"/>
    <w:rsid w:val="00B228C4"/>
    <w:rsid w:val="00B37C61"/>
    <w:rsid w:val="00B70355"/>
    <w:rsid w:val="00B764B0"/>
    <w:rsid w:val="00CF7D37"/>
    <w:rsid w:val="00D269AE"/>
    <w:rsid w:val="00D46E3D"/>
    <w:rsid w:val="00D97C86"/>
    <w:rsid w:val="00DA21BD"/>
    <w:rsid w:val="00DB1CCE"/>
    <w:rsid w:val="00DB634E"/>
    <w:rsid w:val="00DE4B92"/>
    <w:rsid w:val="00DF3E39"/>
    <w:rsid w:val="00E56A6C"/>
    <w:rsid w:val="00EA5632"/>
    <w:rsid w:val="00EA7EB9"/>
    <w:rsid w:val="00EC46D8"/>
    <w:rsid w:val="00F02673"/>
    <w:rsid w:val="00F41F73"/>
    <w:rsid w:val="00F57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101DA"/>
  <w15:chartTrackingRefBased/>
  <w15:docId w15:val="{C55F4D2A-CFEE-43A1-A9F7-E0681FBE5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5B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6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B46"/>
  </w:style>
  <w:style w:type="paragraph" w:styleId="Footer">
    <w:name w:val="footer"/>
    <w:basedOn w:val="Normal"/>
    <w:link w:val="FooterChar"/>
    <w:uiPriority w:val="99"/>
    <w:unhideWhenUsed/>
    <w:rsid w:val="00416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233502">
      <w:bodyDiv w:val="1"/>
      <w:marLeft w:val="0"/>
      <w:marRight w:val="0"/>
      <w:marTop w:val="0"/>
      <w:marBottom w:val="0"/>
      <w:divBdr>
        <w:top w:val="none" w:sz="0" w:space="0" w:color="auto"/>
        <w:left w:val="none" w:sz="0" w:space="0" w:color="auto"/>
        <w:bottom w:val="none" w:sz="0" w:space="0" w:color="auto"/>
        <w:right w:val="none" w:sz="0" w:space="0" w:color="auto"/>
      </w:divBdr>
    </w:div>
    <w:div w:id="437526402">
      <w:bodyDiv w:val="1"/>
      <w:marLeft w:val="0"/>
      <w:marRight w:val="0"/>
      <w:marTop w:val="0"/>
      <w:marBottom w:val="0"/>
      <w:divBdr>
        <w:top w:val="none" w:sz="0" w:space="0" w:color="auto"/>
        <w:left w:val="none" w:sz="0" w:space="0" w:color="auto"/>
        <w:bottom w:val="none" w:sz="0" w:space="0" w:color="auto"/>
        <w:right w:val="none" w:sz="0" w:space="0" w:color="auto"/>
      </w:divBdr>
    </w:div>
    <w:div w:id="527791983">
      <w:bodyDiv w:val="1"/>
      <w:marLeft w:val="0"/>
      <w:marRight w:val="0"/>
      <w:marTop w:val="0"/>
      <w:marBottom w:val="0"/>
      <w:divBdr>
        <w:top w:val="none" w:sz="0" w:space="0" w:color="auto"/>
        <w:left w:val="none" w:sz="0" w:space="0" w:color="auto"/>
        <w:bottom w:val="none" w:sz="0" w:space="0" w:color="auto"/>
        <w:right w:val="none" w:sz="0" w:space="0" w:color="auto"/>
      </w:divBdr>
    </w:div>
    <w:div w:id="1101805329">
      <w:bodyDiv w:val="1"/>
      <w:marLeft w:val="0"/>
      <w:marRight w:val="0"/>
      <w:marTop w:val="0"/>
      <w:marBottom w:val="0"/>
      <w:divBdr>
        <w:top w:val="none" w:sz="0" w:space="0" w:color="auto"/>
        <w:left w:val="none" w:sz="0" w:space="0" w:color="auto"/>
        <w:bottom w:val="none" w:sz="0" w:space="0" w:color="auto"/>
        <w:right w:val="none" w:sz="0" w:space="0" w:color="auto"/>
      </w:divBdr>
    </w:div>
    <w:div w:id="1946226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de\OneDrive\BSc%20Mental%20Health\Research%20Skills\Research%20Report\gender%20and%20anxiety%20data%20for%20repo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'[gender and anxiety data for report.xlsx]Sheet2'!$B$1</c:f>
              <c:strCache>
                <c:ptCount val="1"/>
                <c:pt idx="0">
                  <c:v>Average Anxiety Scores</c:v>
                </c:pt>
              </c:strCache>
            </c:strRef>
          </c:tx>
          <c:spPr>
            <a:pattFill prst="narHorz">
              <a:fgClr>
                <a:schemeClr val="accent4"/>
              </a:fgClr>
              <a:bgClr>
                <a:schemeClr val="accent4">
                  <a:lumMod val="20000"/>
                  <a:lumOff val="80000"/>
                </a:schemeClr>
              </a:bgClr>
            </a:pattFill>
            <a:ln>
              <a:noFill/>
            </a:ln>
            <a:effectLst>
              <a:innerShdw blurRad="114300">
                <a:schemeClr val="accent4"/>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'[gender and anxiety data for report.xlsx]Sheet2'!$A$2:$A$3</c:f>
              <c:strCache>
                <c:ptCount val="2"/>
                <c:pt idx="0">
                  <c:v>Male</c:v>
                </c:pt>
                <c:pt idx="1">
                  <c:v>Female</c:v>
                </c:pt>
              </c:strCache>
            </c:strRef>
          </c:cat>
          <c:val>
            <c:numRef>
              <c:f>'[gender and anxiety data for report.xlsx]Sheet2'!$B$2:$B$3</c:f>
              <c:numCache>
                <c:formatCode>General</c:formatCode>
                <c:ptCount val="2"/>
                <c:pt idx="0">
                  <c:v>22.25</c:v>
                </c:pt>
                <c:pt idx="1">
                  <c:v>28.25</c:v>
                </c:pt>
              </c:numCache>
            </c:numRef>
          </c:val>
        </c:ser>
        <c:dLbls>
          <c:dLblPos val="inEnd"/>
          <c:showLegendKey val="0"/>
          <c:showVal val="1"/>
          <c:showCatName val="0"/>
          <c:showSerName val="0"/>
          <c:showPercent val="0"/>
          <c:showBubbleSize val="0"/>
        </c:dLbls>
        <c:gapWidth val="164"/>
        <c:overlap val="-22"/>
        <c:axId val="373520392"/>
        <c:axId val="373516080"/>
      </c:barChart>
      <c:catAx>
        <c:axId val="37352039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75000"/>
                    <a:lumOff val="25000"/>
                  </a:schemeClr>
                </a:solidFill>
                <a:latin typeface="+mn-lt"/>
                <a:ea typeface="+mn-ea"/>
                <a:cs typeface="+mn-cs"/>
              </a:defRPr>
            </a:pPr>
            <a:endParaRPr lang="en-US"/>
          </a:p>
        </c:txPr>
        <c:crossAx val="373516080"/>
        <c:crosses val="autoZero"/>
        <c:auto val="1"/>
        <c:lblAlgn val="ctr"/>
        <c:lblOffset val="100"/>
        <c:noMultiLvlLbl val="0"/>
      </c:catAx>
      <c:valAx>
        <c:axId val="373516080"/>
        <c:scaling>
          <c:orientation val="minMax"/>
          <c:min val="20"/>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75000"/>
                    <a:lumOff val="25000"/>
                  </a:schemeClr>
                </a:solidFill>
                <a:latin typeface="+mn-lt"/>
                <a:ea typeface="+mn-ea"/>
                <a:cs typeface="+mn-cs"/>
              </a:defRPr>
            </a:pPr>
            <a:endParaRPr lang="en-US"/>
          </a:p>
        </c:txPr>
        <c:crossAx val="3735203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65000"/>
          <a:lumOff val="3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047637-215A-4000-939E-8A0303E9D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1830</Words>
  <Characters>10436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Adams</dc:creator>
  <cp:keywords/>
  <dc:description/>
  <cp:lastModifiedBy>Jade Adams</cp:lastModifiedBy>
  <cp:revision>2</cp:revision>
  <dcterms:created xsi:type="dcterms:W3CDTF">2020-01-17T22:29:00Z</dcterms:created>
  <dcterms:modified xsi:type="dcterms:W3CDTF">2020-01-17T22:29:00Z</dcterms:modified>
</cp:coreProperties>
</file>