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480" w:lineRule="auto"/>
        <w:ind w:firstLine="480" w:firstLineChars="200"/>
        <w:rPr>
          <w:rFonts w:ascii="Times New Roman" w:hAnsi="Times New Roman" w:cs="Times New Roman"/>
          <w:sz w:val="24"/>
        </w:rPr>
      </w:pPr>
      <w:r>
        <w:rPr>
          <w:rFonts w:ascii="Times New Roman" w:hAnsi="Times New Roman" w:cs="Times New Roman"/>
          <w:sz w:val="24"/>
        </w:rPr>
        <w:t xml:space="preserve">With the development of globalization, we can see the texts on the internet becoming more ‘multilingual’. However, the benefit of connecting people across the globe also faces a challenge------language, which has been recognized as an important carrier of culture (Zhou, 2019). According to Zhao (2016), idioms, as a language form carrying rich cultural meanings, further sublimate language and are the essence of language. They contains heavy cultural characteristics for all languages, for both Chinese and English, who have long history, and these two languages has been developed under the greatly influenced by geography, customs, historical relics, religious beliefs, and so forth. In the process of developing these two languages, Idioms serve as an important role in both English and Chinese, containing extremely rich and profound meanings. In this following sections, I will evaluate how Nida’s translation theory of functional equivalence could be applied to address the translation of idioms from Chinese to English, based on my selected peer-reviewed article </w:t>
      </w:r>
      <w:r>
        <w:rPr>
          <w:rFonts w:ascii="Times New Roman" w:hAnsi="Times New Roman" w:cs="Times New Roman"/>
          <w:i/>
          <w:iCs/>
          <w:sz w:val="24"/>
        </w:rPr>
        <w:t xml:space="preserve">Application of Functional Equivalence Theory in English Translation of Chinese Idioms, </w:t>
      </w:r>
      <w:r>
        <w:rPr>
          <w:rFonts w:ascii="Times New Roman" w:hAnsi="Times New Roman" w:cs="Times New Roman"/>
          <w:sz w:val="24"/>
        </w:rPr>
        <w:t xml:space="preserve">written by Zhang &amp; Wang (2010), who has proposed that Nida’s translation theory of functional equivalence help to overcome the challenges faced by many translation practitioners to some extent. </w:t>
      </w:r>
    </w:p>
    <w:p>
      <w:pPr>
        <w:spacing w:line="480" w:lineRule="auto"/>
        <w:rPr>
          <w:rFonts w:ascii="Times New Roman" w:hAnsi="Times New Roman" w:cs="Times New Roman"/>
          <w:sz w:val="24"/>
        </w:rPr>
      </w:pPr>
    </w:p>
    <w:p>
      <w:pPr>
        <w:spacing w:line="480" w:lineRule="auto"/>
        <w:rPr>
          <w:rFonts w:ascii="Times New Roman" w:hAnsi="Times New Roman" w:cs="Times New Roman"/>
          <w:b/>
          <w:sz w:val="24"/>
        </w:rPr>
      </w:pPr>
      <w:r>
        <w:rPr>
          <w:rFonts w:ascii="Times New Roman" w:hAnsi="Times New Roman" w:cs="Times New Roman"/>
          <w:b/>
          <w:sz w:val="24"/>
        </w:rPr>
        <w:t xml:space="preserve">Nida’s Translation Theory – Functional Equivalence Theory </w:t>
      </w:r>
    </w:p>
    <w:p>
      <w:pPr>
        <w:spacing w:line="480" w:lineRule="auto"/>
        <w:ind w:firstLine="480" w:firstLineChars="200"/>
        <w:rPr>
          <w:rFonts w:ascii="Times New Roman" w:hAnsi="Times New Roman" w:cs="Times New Roman"/>
          <w:sz w:val="24"/>
        </w:rPr>
      </w:pPr>
      <w:r>
        <w:rPr>
          <w:rFonts w:ascii="Times New Roman" w:hAnsi="Times New Roman" w:cs="Times New Roman"/>
          <w:sz w:val="24"/>
        </w:rPr>
        <w:t>Translation is one of human activities with a very clear purpose. The purpose of translation is to convert the meaning expressed by the source language into a habitual way of expression of target language, and to accurately express the original meaning, thereby enabling communication and understanding, which means to ‘equal’ two languages. Many translation scholars, such as Zeng, (2001), Zhang &amp; Jin (2003) have studied theories in relation to the equivalence between two languages, and among them, the one of the most profound one is Nida’s functional equivalence theory, which is the theory aiming to be tested in the selected article, to conduct idioms translation from Chinese to English. According to Nida (1993), functional equivalence theory, instead of focusing on verbal comparison between original language and target language, has mainly emphasized on the equivalence between target audiences’ receptions towards translation and original audience’s receptions towards the original texts. This theory suggests that “the relationship of the target language receptors to the target language text should be roughly equivalent to the relationship between the original receptors and the original text.” From this perspective, we can know that Nida has focuses on the different cause of receptors’ responses between source language and target language such as language function, instead of emphasizing the language forms. Besides, unlike other theories who focus on the single standard of translation, functional equivalence theory does not set a standard for translation, offering more freedom for translators to deal with complicated translations (Li, 2021), which could be impacted by any different factors (i.e the reliability of original text, discourse type, the target audience, the manner of target language and so forth). We should understand that there is no total equivalence, but only equivalence to some degree. What translators seek is the maximum equivalence for the target reader.</w:t>
      </w:r>
    </w:p>
    <w:p>
      <w:pPr>
        <w:spacing w:line="480" w:lineRule="auto"/>
        <w:rPr>
          <w:rFonts w:ascii="Times New Roman" w:hAnsi="Times New Roman" w:cs="Times New Roman"/>
          <w:sz w:val="24"/>
        </w:rPr>
      </w:pPr>
    </w:p>
    <w:p>
      <w:pPr>
        <w:spacing w:line="480" w:lineRule="auto"/>
        <w:ind w:firstLine="480" w:firstLineChars="200"/>
        <w:rPr>
          <w:rFonts w:ascii="Times New Roman" w:hAnsi="Times New Roman" w:cs="Times New Roman"/>
          <w:sz w:val="24"/>
        </w:rPr>
      </w:pPr>
      <w:r>
        <w:rPr>
          <w:rFonts w:ascii="Times New Roman" w:hAnsi="Times New Roman" w:cs="Times New Roman"/>
          <w:sz w:val="24"/>
        </w:rPr>
        <w:t>The author has proposed an important challenge faced by many translator------idiom translation, which has caused many translators failing to convey the meaning of original language, including only surfacing the meaning of the idioms, ignoring the figurative meaning due to word-to-word translation, as well as no correspondent translations in the target languages, both literally and pragmatically. All these problems could be summarized to the failure of realizing functional equivalence between Chinese idioms and English language, which in turn, is the Nida’s center idea in functional equivalence theory. As a result, the author has predicted that Nida’s translation of functional equivalence theory is the perfect choice to translate the Chinese idioms into English language, minimizing the translation errors as well as realize the coherence in function and form between source language and target language.</w:t>
      </w:r>
    </w:p>
    <w:p>
      <w:pPr>
        <w:spacing w:line="480" w:lineRule="auto"/>
        <w:rPr>
          <w:rFonts w:ascii="Times New Roman" w:hAnsi="Times New Roman" w:cs="Times New Roman"/>
          <w:sz w:val="24"/>
        </w:rPr>
      </w:pPr>
    </w:p>
    <w:p>
      <w:pPr>
        <w:spacing w:line="480" w:lineRule="auto"/>
        <w:rPr>
          <w:rFonts w:ascii="Times New Roman" w:hAnsi="Times New Roman" w:cs="Times New Roman"/>
          <w:b/>
          <w:sz w:val="24"/>
        </w:rPr>
      </w:pPr>
      <w:r>
        <w:rPr>
          <w:rFonts w:ascii="Times New Roman" w:hAnsi="Times New Roman" w:cs="Times New Roman"/>
          <w:b/>
          <w:sz w:val="24"/>
        </w:rPr>
        <w:t>Methodology</w:t>
      </w:r>
    </w:p>
    <w:p>
      <w:pPr>
        <w:spacing w:line="480" w:lineRule="auto"/>
        <w:ind w:firstLine="480" w:firstLineChars="200"/>
        <w:rPr>
          <w:rFonts w:ascii="Times New Roman" w:hAnsi="Times New Roman" w:cs="Times New Roman"/>
          <w:sz w:val="24"/>
        </w:rPr>
      </w:pPr>
      <w:r>
        <w:rPr>
          <w:rFonts w:ascii="Times New Roman" w:hAnsi="Times New Roman" w:cs="Times New Roman"/>
          <w:sz w:val="24"/>
        </w:rPr>
        <w:t>In the selected article, the author has been applied the methodology of comparative study analysis and case study methods to test her prediction, which, as said earlier in the last paragraph, is ‘Nida’s translation of functional equivalence theory is the perfect choice to translate the Chinese idioms into English language’. Specifically, the author has offered some concrete examples, which have been conducted the translation in both functional equivalence theory and other theories. By using the methods, then the author could use selected cases to compare and contrast variables and in this case, the variable is the translation theory, to see their similarities and differences (Bartlett &amp; Vavrus, 2017), and which could better convey the meaning and intention of the source language. For example, ‘‘有鼻子有眼‘’ is a Chinese idioms to express that someone could describe hearings, rumors and other things she/he does not see in a very specific and detailed way. If we conduct literal translation, it should be ‘‘nose and eyes’’, which succeed in conveying the image information but fails to convey its implied meaning. On the opposite, if we conduct functional equivalence theory in this translation, it will be better to translate it into “to describe a thing vividly”, and the sense of this idioms could be successfully communicated, though the sound and image effects from original text are lost. Another example is a four-character phrase in one of the huge novel in China,</w:t>
      </w:r>
      <w:r>
        <w:rPr>
          <w:rFonts w:ascii="Times New Roman" w:hAnsi="Times New Roman" w:cs="Times New Roman"/>
          <w:i/>
          <w:sz w:val="24"/>
        </w:rPr>
        <w:t xml:space="preserve"> Dream of the Red Chamber, </w:t>
      </w:r>
      <w:r>
        <w:rPr>
          <w:rFonts w:ascii="Times New Roman" w:hAnsi="Times New Roman" w:cs="Times New Roman"/>
          <w:sz w:val="24"/>
        </w:rPr>
        <w:t>反而</w:t>
      </w:r>
      <w:r>
        <w:rPr>
          <w:rFonts w:ascii="Times New Roman" w:hAnsi="Times New Roman" w:cs="Times New Roman"/>
          <w:b/>
          <w:sz w:val="24"/>
        </w:rPr>
        <w:t>“助纣为虐”</w:t>
      </w:r>
      <w:r>
        <w:rPr>
          <w:rFonts w:ascii="Times New Roman" w:hAnsi="Times New Roman" w:cs="Times New Roman"/>
          <w:sz w:val="24"/>
        </w:rPr>
        <w:t>，讨好儿 (Cao, 1973-1982). If we conduct the literary translation, ‘‘helping Zhou to do cruel actions’’, which will definitely puzzle the target readers since they have no background information about who is ‘</w:t>
      </w:r>
      <w:r>
        <w:rPr>
          <w:rFonts w:ascii="Times New Roman" w:hAnsi="Times New Roman" w:cs="Times New Roman"/>
          <w:b/>
          <w:sz w:val="24"/>
        </w:rPr>
        <w:t>纣</w:t>
      </w:r>
      <w:r>
        <w:rPr>
          <w:rFonts w:ascii="Times New Roman" w:hAnsi="Times New Roman" w:cs="Times New Roman"/>
          <w:sz w:val="24"/>
        </w:rPr>
        <w:t>’. The audience will only pay attention to the literary meaning. However, if we conduct the functional equivalence theory in this translation, we could simply rendered literally as “abetted”.</w:t>
      </w:r>
    </w:p>
    <w:p>
      <w:pPr>
        <w:spacing w:line="480" w:lineRule="auto"/>
        <w:rPr>
          <w:rFonts w:ascii="Times New Roman" w:hAnsi="Times New Roman" w:cs="Times New Roman"/>
          <w:sz w:val="24"/>
        </w:rPr>
      </w:pPr>
    </w:p>
    <w:p>
      <w:pPr>
        <w:spacing w:line="480" w:lineRule="auto"/>
        <w:ind w:firstLine="480" w:firstLineChars="200"/>
        <w:rPr>
          <w:rFonts w:ascii="Times New Roman" w:hAnsi="Times New Roman" w:cs="Times New Roman"/>
          <w:sz w:val="24"/>
          <w:lang w:eastAsia="zh-Hans"/>
        </w:rPr>
      </w:pPr>
      <w:r>
        <w:rPr>
          <w:rFonts w:ascii="Times New Roman" w:hAnsi="Times New Roman" w:cs="Times New Roman"/>
          <w:sz w:val="24"/>
        </w:rPr>
        <w:t xml:space="preserve">From my perspective, qualitative methods, including face-to-face interviews and open questionnaires could be applied to test the predictions. If we would like to know which translation theory could better convey the meaning of the source language and maximize the equivalence between two languages, qualitative methods could be good solutions. Qualitative method, including interviews and questionnaires could allow us to have more in-depth and further probing and questioning of participants based on their responses (Berg, 2009). According to Corbin,(2008), One of the advantages of this face-to-face interview is that this method could offer a great opportunity to collect data more precisely, in terms of their understanding towards the translation. Besides, if we need more information, it is convenient for us to ask follow-up questions about the translation comparison. Specifically, in a bid to test the hypothesis, we could conduct two methods of translations (such as literal translation and functional equivalence translation and then </w:t>
      </w:r>
      <w:r>
        <w:rPr>
          <w:rFonts w:ascii="Times New Roman" w:hAnsi="Times New Roman" w:cs="Times New Roman"/>
          <w:sz w:val="24"/>
          <w:lang w:eastAsia="zh-Hans"/>
        </w:rPr>
        <w:t xml:space="preserve">present each translation to the participants, and then </w:t>
      </w:r>
      <w:r>
        <w:rPr>
          <w:rFonts w:ascii="Times New Roman" w:hAnsi="Times New Roman" w:cs="Times New Roman"/>
          <w:sz w:val="24"/>
        </w:rPr>
        <w:t xml:space="preserve">communicate with them about their understanding about each of the translation. Through the interview, we could </w:t>
      </w:r>
      <w:r>
        <w:rPr>
          <w:rFonts w:ascii="Times New Roman" w:hAnsi="Times New Roman" w:cs="Times New Roman"/>
          <w:sz w:val="24"/>
          <w:lang w:eastAsia="zh-Hans"/>
        </w:rPr>
        <w:t>catch their reactions to the target language immediately, just as the functional equivalence theory emphasized. Besides, when we conduct the in-depth interview, it gives us a better opportunity to notice the respondents’ body language and match their reactions (</w:t>
      </w:r>
      <w:r>
        <w:rPr>
          <w:rFonts w:ascii="Times New Roman" w:hAnsi="Times New Roman" w:cs="Times New Roman"/>
          <w:sz w:val="24"/>
        </w:rPr>
        <w:t>Darlington &amp; Scott, 2003</w:t>
      </w:r>
      <w:r>
        <w:rPr>
          <w:rFonts w:ascii="Times New Roman" w:hAnsi="Times New Roman" w:cs="Times New Roman"/>
          <w:sz w:val="24"/>
          <w:lang w:eastAsia="zh-Hans"/>
        </w:rPr>
        <w:t xml:space="preserve">). Additionally, we could monitor their response even with the help of reaction techniques such as the movement of eyeball, slight face expression to catch their immediate reactions to the translation. Obviously, we could image that when a participant buckle their lips, or </w:t>
      </w:r>
      <w:r>
        <w:rPr>
          <w:rFonts w:ascii="Times New Roman" w:hAnsi="Times New Roman" w:cs="Times New Roman"/>
          <w:sz w:val="24"/>
        </w:rPr>
        <w:t>raise</w:t>
      </w:r>
      <w:r>
        <w:rPr>
          <w:rFonts w:ascii="Times New Roman" w:hAnsi="Times New Roman" w:cs="Times New Roman"/>
          <w:sz w:val="24"/>
          <w:lang w:eastAsia="zh-Hans"/>
        </w:rPr>
        <w:t xml:space="preserve"> their eyebrows，this translation may cause them into confused situation. If a participant show the expression of ‘here you are’, then we could speculate the translation goes smoothly in the target audience. But we should notice that the above are the speculation, and we should verify participants understanding when we have deep conversation with them. </w:t>
      </w:r>
    </w:p>
    <w:p>
      <w:pPr>
        <w:spacing w:line="480" w:lineRule="auto"/>
        <w:rPr>
          <w:rFonts w:ascii="Times New Roman" w:hAnsi="Times New Roman" w:cs="Times New Roman"/>
          <w:sz w:val="24"/>
          <w:lang w:eastAsia="zh-Hans"/>
        </w:rPr>
      </w:pPr>
    </w:p>
    <w:p>
      <w:pPr>
        <w:spacing w:line="480" w:lineRule="auto"/>
        <w:ind w:firstLine="480" w:firstLineChars="200"/>
        <w:rPr>
          <w:rFonts w:ascii="Times New Roman" w:hAnsi="Times New Roman" w:cs="Times New Roman"/>
          <w:sz w:val="24"/>
        </w:rPr>
      </w:pPr>
      <w:r>
        <w:rPr>
          <w:rFonts w:ascii="Times New Roman" w:hAnsi="Times New Roman" w:cs="Times New Roman"/>
          <w:sz w:val="24"/>
        </w:rPr>
        <w:t>With regards to language-related testing, for instance, Bachman (1998) displayed in his study which indicates that qualitative research results offers the relationship of translation information processing with performance specifically and deeply. Chalhoub-Deville and Deville (2008), also, suggested that qualitative method is applied in a bid to achieve more in-depth insights in terms of issues related to interpreting language assessment.</w:t>
      </w:r>
    </w:p>
    <w:p>
      <w:pPr>
        <w:spacing w:line="480" w:lineRule="auto"/>
        <w:rPr>
          <w:rFonts w:ascii="Times New Roman" w:hAnsi="Times New Roman" w:cs="Times New Roman"/>
          <w:sz w:val="24"/>
          <w:lang w:eastAsia="zh-Hans"/>
        </w:rPr>
      </w:pPr>
    </w:p>
    <w:p>
      <w:pPr>
        <w:spacing w:line="480" w:lineRule="auto"/>
        <w:ind w:firstLine="480" w:firstLineChars="200"/>
        <w:rPr>
          <w:rFonts w:ascii="Times New Roman" w:hAnsi="Times New Roman" w:cs="Times New Roman"/>
          <w:sz w:val="24"/>
          <w:lang w:eastAsia="zh-Hans"/>
        </w:rPr>
      </w:pPr>
      <w:r>
        <w:rPr>
          <w:rFonts w:ascii="Times New Roman" w:hAnsi="Times New Roman" w:cs="Times New Roman"/>
          <w:sz w:val="24"/>
          <w:lang w:eastAsia="zh-Hans"/>
        </w:rPr>
        <w:t>In summary, f</w:t>
      </w:r>
      <w:r>
        <w:rPr>
          <w:rFonts w:ascii="Times New Roman" w:hAnsi="Times New Roman" w:cs="Times New Roman"/>
          <w:sz w:val="24"/>
        </w:rPr>
        <w:t xml:space="preserve">rom face-to-face interviews, we could collect precise data about their understanding about each translation. On the other hands, questionnaires could be handed out to a larger size of participants, which compensate for the disadvantages of face-to-face interviews. As a result, we could obtain more samples in the survey to collect more comprehensive and accurate information regarding which theory is better in translating idioms. This could help us to eliminate the sampling error due to inadequate sample size to some extent. </w:t>
      </w:r>
      <w:r>
        <w:rPr>
          <w:rFonts w:ascii="Times New Roman" w:hAnsi="Times New Roman" w:cs="Times New Roman"/>
          <w:sz w:val="24"/>
          <w:lang w:eastAsia="zh-Hans"/>
        </w:rPr>
        <w:t>In summary, qualitative methods could help us to</w:t>
      </w:r>
      <w:r>
        <w:rPr>
          <w:rFonts w:ascii="Times New Roman" w:hAnsi="Times New Roman" w:cs="Times New Roman"/>
          <w:sz w:val="24"/>
        </w:rPr>
        <w:t xml:space="preserve"> obtain detailed description of participants’ reactions, feelings and opinions and then interpret the meaning of their actions (Denzin, 1989).</w:t>
      </w:r>
    </w:p>
    <w:p>
      <w:pPr>
        <w:spacing w:line="480" w:lineRule="auto"/>
        <w:rPr>
          <w:rFonts w:ascii="Times New Roman" w:hAnsi="Times New Roman" w:cs="Times New Roman"/>
          <w:sz w:val="24"/>
        </w:rPr>
      </w:pPr>
    </w:p>
    <w:p>
      <w:pPr>
        <w:spacing w:line="480" w:lineRule="auto"/>
        <w:rPr>
          <w:rFonts w:ascii="Times New Roman" w:hAnsi="Times New Roman" w:cs="Times New Roman"/>
          <w:b/>
          <w:sz w:val="24"/>
        </w:rPr>
      </w:pPr>
      <w:r>
        <w:rPr>
          <w:rFonts w:ascii="Times New Roman" w:hAnsi="Times New Roman" w:cs="Times New Roman"/>
          <w:b/>
          <w:sz w:val="24"/>
        </w:rPr>
        <w:t>Results and Relevance to Theory</w:t>
      </w:r>
    </w:p>
    <w:p>
      <w:pPr>
        <w:spacing w:line="480" w:lineRule="auto"/>
        <w:ind w:firstLine="480" w:firstLineChars="200"/>
        <w:rPr>
          <w:rFonts w:ascii="Times New Roman" w:hAnsi="Times New Roman" w:cs="Times New Roman"/>
          <w:sz w:val="24"/>
        </w:rPr>
      </w:pPr>
      <w:r>
        <w:rPr>
          <w:rFonts w:ascii="Times New Roman" w:hAnsi="Times New Roman" w:cs="Times New Roman"/>
          <w:sz w:val="24"/>
        </w:rPr>
        <w:t xml:space="preserve">The result, in this article, is clear that Nida’s functional equivalence theory to the translation of Chinese idioms have opened both theoretical and practical implications, helping to overcome some challenges faced by many translation practitioners. For one thing, when translating the idioms, translators are supposed to take three aspects into considerations, namely equivalence, target audience’ response and diversity, just as Nida (1969) suggested. Practically, it has illustrated by several examples in this article. Under the guidance of Nida’s functional equivalence theory, the translation of Chinese idiom translation, for one thing, could help to promote cultural exchange between China and English language nations; and for the other, help us to understand that there is no total equivalence in translation, but rather the some degree of equivalence. </w:t>
      </w:r>
    </w:p>
    <w:p>
      <w:pPr>
        <w:spacing w:line="480" w:lineRule="auto"/>
        <w:rPr>
          <w:rFonts w:ascii="Times New Roman" w:hAnsi="Times New Roman" w:cs="Times New Roman"/>
          <w:sz w:val="24"/>
        </w:rPr>
      </w:pPr>
    </w:p>
    <w:p>
      <w:pPr>
        <w:spacing w:line="480" w:lineRule="auto"/>
        <w:ind w:firstLine="480" w:firstLineChars="200"/>
        <w:rPr>
          <w:rFonts w:ascii="Times New Roman" w:hAnsi="Times New Roman" w:cs="Times New Roman"/>
          <w:sz w:val="24"/>
        </w:rPr>
      </w:pPr>
      <w:r>
        <w:rPr>
          <w:rFonts w:ascii="Times New Roman" w:hAnsi="Times New Roman" w:cs="Times New Roman"/>
          <w:sz w:val="24"/>
        </w:rPr>
        <w:t xml:space="preserve">Therefore, the result could support the theory clarified in this paper. The author firstly discover the difficulties in translating idioms. Due to some unique characteristics of Chinese idioms, many translators, without the background knowledge of Chinese cultures, fail to realize the figurative meaning in Chinese idioms, and only focus on the literal meaning, which disobey the idea of Nida’s functional equivalence ------ Meaning is the most important content in translation, and the form of the article is secondary. To accurately convey the meaning of Chinese idioms, meaning is priority. If the translation of idioms only ‘literally’ equivalent and fails to express the cultural heritage and intended cultural meaning contained in the source language, then the translation will lose its meaning. As a result, the author propose that Nida’s functional equivalence theory in idiom translation, combining the cultural characteristics of the source language and translate it into the target language with the consistent meaning, is a good choice for Chinese idiom translation. </w:t>
      </w:r>
    </w:p>
    <w:p>
      <w:pPr>
        <w:spacing w:line="480" w:lineRule="auto"/>
        <w:rPr>
          <w:rFonts w:ascii="Times New Roman" w:hAnsi="Times New Roman" w:cs="Times New Roman"/>
          <w:sz w:val="24"/>
        </w:rPr>
      </w:pPr>
    </w:p>
    <w:p>
      <w:pPr>
        <w:spacing w:line="480" w:lineRule="auto"/>
        <w:ind w:firstLine="480" w:firstLineChars="200"/>
        <w:rPr>
          <w:rFonts w:hint="eastAsia" w:ascii="Times New Roman" w:hAnsi="Times New Roman" w:cs="Times New Roman"/>
          <w:sz w:val="24"/>
        </w:rPr>
      </w:pPr>
      <w:r>
        <w:rPr>
          <w:rFonts w:ascii="Times New Roman" w:hAnsi="Times New Roman" w:cs="Times New Roman"/>
          <w:sz w:val="24"/>
        </w:rPr>
        <w:t>However, as a matter of fact, the author do not spend much work on collecting the data, which is a missing part in this article. The author mainly search for the data from several translations of Chinese idioms and then conduct comparative analysis between these translations. In the process of analyzing these cases, the author then concluded that Nida’s functional equivalence theory, as predicted, could overcome the problem of neglecting figurative meaning in Chinese idioms translation, minimizing the errors caused by cultural bridge in translation and in the meantime, achieving the coherence in function. Besides, the author finally bring up a new finding of Nida’s functional equivalence theory, which could help to promote cultural exchange between China and English. They prove this opinion by using an example of Chinese idioms translation ‘三顾茅庐’ which is applied the translation method of Literal Translation with Annotation, as one of the translation method in functional equivalence theory. With the annotation of historical background or its origin (During the period of the Three Kingdoms, AD 220-280, Liu Bei called three times as an unbidden guest at the lonely hut of Zhuge Liang known as the political genius of the age), the target audience could further absorbs the Chinese culture behind the literal meaning of ‘visiting the hut for three times’. Besides, another new result discovered in the process of comparison also supports one of the important notion in functional equivalence theory------there is no total equivalence, but the equivalence to some degree. This result conveys that what translators aim to realize is to maximum the language equivalence for the target audience.</w:t>
      </w:r>
    </w:p>
    <w:p>
      <w:pPr>
        <w:spacing w:line="480" w:lineRule="auto"/>
        <w:jc w:val="center"/>
        <w:rPr>
          <w:rFonts w:hint="eastAsia" w:ascii="Times New Roman" w:hAnsi="Times New Roman" w:cs="Times New Roman"/>
          <w:b/>
          <w:sz w:val="24"/>
        </w:rPr>
      </w:pPr>
      <w:r>
        <w:rPr>
          <w:rFonts w:hint="default" w:ascii="Times New Roman" w:hAnsi="Times New Roman" w:cs="Times New Roman"/>
          <w:b/>
          <w:sz w:val="24"/>
        </w:rPr>
        <w:t>Reference List</w:t>
      </w:r>
    </w:p>
    <w:p>
      <w:pPr>
        <w:pStyle w:val="5"/>
        <w:numPr>
          <w:numId w:val="0"/>
        </w:numPr>
        <w:spacing w:before="0" w:beforeAutospacing="0" w:after="0" w:afterAutospacing="0" w:line="480" w:lineRule="auto"/>
        <w:ind w:leftChars="0"/>
        <w:rPr>
          <w:rFonts w:ascii="Times New Roman" w:hAnsi="Times New Roman" w:cs="Times New Roman"/>
          <w:color w:val="000000"/>
        </w:rPr>
      </w:pPr>
      <w:r>
        <w:rPr>
          <w:rFonts w:ascii="Times New Roman" w:hAnsi="Times New Roman" w:cs="Times New Roman"/>
          <w:color w:val="000000"/>
        </w:rPr>
        <w:t>Zhou (2019). </w:t>
      </w:r>
      <w:r>
        <w:rPr>
          <w:rFonts w:ascii="Times New Roman" w:hAnsi="Times New Roman" w:cs="Times New Roman"/>
          <w:i/>
          <w:iCs/>
          <w:color w:val="000000"/>
        </w:rPr>
        <w:t>The Influence of Chinese and Western Culture on English-Chinese Translation</w:t>
      </w:r>
      <w:r>
        <w:rPr>
          <w:rFonts w:ascii="Times New Roman" w:hAnsi="Times New Roman" w:cs="Times New Roman"/>
          <w:color w:val="000000"/>
        </w:rPr>
        <w:t>. [online] International Journal of Liberal Arts And Social Science. Available at: https://ijlass.org/the-influence-of-chinese-and-western-culture-on-english-chinese-translation/ [Accessed 23 Nov. 2023].</w:t>
      </w:r>
    </w:p>
    <w:p>
      <w:pPr>
        <w:pStyle w:val="5"/>
        <w:spacing w:before="0" w:beforeAutospacing="0" w:after="0" w:afterAutospacing="0" w:line="480" w:lineRule="auto"/>
        <w:ind w:left="360"/>
        <w:rPr>
          <w:rFonts w:hint="eastAsia" w:ascii="Times New Roman" w:hAnsi="Times New Roman" w:cs="Times New Roman"/>
          <w:color w:val="000000"/>
        </w:rPr>
      </w:pPr>
    </w:p>
    <w:p>
      <w:pPr>
        <w:pStyle w:val="5"/>
        <w:numPr>
          <w:numId w:val="0"/>
        </w:numPr>
        <w:spacing w:before="0" w:beforeAutospacing="0" w:after="0" w:afterAutospacing="0" w:line="480" w:lineRule="auto"/>
        <w:ind w:leftChars="0"/>
        <w:rPr>
          <w:rFonts w:ascii="Times New Roman" w:hAnsi="Times New Roman" w:cs="Times New Roman"/>
          <w:color w:val="000000"/>
        </w:rPr>
      </w:pPr>
      <w:r>
        <w:rPr>
          <w:rFonts w:ascii="Times New Roman" w:hAnsi="Times New Roman" w:cs="Times New Roman"/>
          <w:color w:val="1E1D1A"/>
          <w:shd w:val="clear" w:color="auto" w:fill="FFFFFF"/>
        </w:rPr>
        <w:t xml:space="preserve">Zhao, H. (2016). Analyzing chinese english by the functional equivalence theory. Proceedings of the 2016 4th International Conference on Management Science, Education Technology, Arts, Social Science and Econ. </w:t>
      </w:r>
      <w:r>
        <w:fldChar w:fldCharType="begin"/>
      </w:r>
      <w:r>
        <w:instrText xml:space="preserve"> HYPERLINK "https://doi.org/10.2991/msetasse-16.2016.77" </w:instrText>
      </w:r>
      <w:r>
        <w:fldChar w:fldCharType="separate"/>
      </w:r>
      <w:r>
        <w:rPr>
          <w:rStyle w:val="7"/>
          <w:rFonts w:ascii="Times New Roman" w:hAnsi="Times New Roman" w:cs="Times New Roman"/>
          <w:shd w:val="clear" w:color="auto" w:fill="FFFFFF"/>
        </w:rPr>
        <w:t>https://doi.org/10.2991/msetasse-16.2016.77</w:t>
      </w:r>
      <w:r>
        <w:rPr>
          <w:rStyle w:val="7"/>
          <w:rFonts w:ascii="Times New Roman" w:hAnsi="Times New Roman" w:cs="Times New Roman"/>
          <w:shd w:val="clear" w:color="auto" w:fill="FFFFFF"/>
        </w:rPr>
        <w:fldChar w:fldCharType="end"/>
      </w:r>
    </w:p>
    <w:p>
      <w:pPr>
        <w:pStyle w:val="5"/>
        <w:spacing w:before="0" w:beforeAutospacing="0" w:after="0" w:afterAutospacing="0" w:line="480" w:lineRule="auto"/>
        <w:rPr>
          <w:rFonts w:hint="eastAsia" w:ascii="Times New Roman" w:hAnsi="Times New Roman" w:cs="Times New Roman"/>
          <w:color w:val="000000"/>
        </w:rPr>
      </w:pPr>
    </w:p>
    <w:p>
      <w:pPr>
        <w:pStyle w:val="5"/>
        <w:numPr>
          <w:numId w:val="0"/>
        </w:numPr>
        <w:spacing w:before="0" w:beforeAutospacing="0" w:after="0" w:afterAutospacing="0" w:line="480" w:lineRule="auto"/>
        <w:ind w:leftChars="0"/>
        <w:rPr>
          <w:rFonts w:ascii="Times New Roman" w:hAnsi="Times New Roman" w:cs="Times New Roman"/>
          <w:color w:val="000000"/>
        </w:rPr>
      </w:pPr>
      <w:r>
        <w:rPr>
          <w:rFonts w:ascii="Times New Roman" w:hAnsi="Times New Roman" w:cs="Times New Roman"/>
          <w:color w:val="000000"/>
        </w:rPr>
        <w:t>‌Zhang, Q. and Wang, J. (2010). Application of Functional Equivalence Theory in English Translation of Chinese Idioms. </w:t>
      </w:r>
      <w:r>
        <w:rPr>
          <w:rFonts w:ascii="Times New Roman" w:hAnsi="Times New Roman" w:cs="Times New Roman"/>
          <w:i/>
          <w:iCs/>
          <w:color w:val="000000"/>
        </w:rPr>
        <w:t>Journal of Language Teaching and Research</w:t>
      </w:r>
      <w:r>
        <w:rPr>
          <w:rFonts w:ascii="Times New Roman" w:hAnsi="Times New Roman" w:cs="Times New Roman"/>
          <w:color w:val="000000"/>
        </w:rPr>
        <w:t>, 1(6). doi:https://doi.org/10.4304/jltr.1.6.880-888.</w:t>
      </w:r>
    </w:p>
    <w:p>
      <w:pPr>
        <w:pStyle w:val="5"/>
        <w:numPr>
          <w:numId w:val="0"/>
        </w:numPr>
        <w:spacing w:before="0" w:beforeAutospacing="0" w:after="0" w:afterAutospacing="0" w:line="480" w:lineRule="auto"/>
        <w:ind w:leftChars="0"/>
        <w:rPr>
          <w:rFonts w:hint="eastAsia" w:ascii="Times New Roman" w:hAnsi="Times New Roman" w:cs="Times New Roman"/>
          <w:color w:val="000000"/>
        </w:rPr>
      </w:pPr>
    </w:p>
    <w:p>
      <w:pPr>
        <w:pStyle w:val="5"/>
        <w:numPr>
          <w:numId w:val="0"/>
        </w:numPr>
        <w:spacing w:line="480" w:lineRule="auto"/>
        <w:ind w:leftChars="0"/>
        <w:rPr>
          <w:rFonts w:ascii="Times New Roman" w:hAnsi="Times New Roman" w:cs="Times New Roman"/>
        </w:rPr>
      </w:pPr>
      <w:r>
        <w:rPr>
          <w:rFonts w:ascii="Times New Roman" w:hAnsi="Times New Roman" w:cs="Times New Roman"/>
          <w:color w:val="000000"/>
        </w:rPr>
        <w:t>‌</w:t>
      </w:r>
      <w:r>
        <w:rPr>
          <w:rFonts w:ascii="Times New Roman" w:hAnsi="Times New Roman" w:cs="Times New Roman"/>
        </w:rPr>
        <w:t>Nida, Eugene. A. (1993). Language, Culture and Translating. Shanghai: Shanghai Foreign Language Education Press</w:t>
      </w:r>
      <w:r>
        <w:rPr>
          <w:rFonts w:ascii="Times New Roman" w:hAnsi="Times New Roman" w:cs="Times New Roman"/>
        </w:rPr>
        <w:t>.</w:t>
      </w:r>
    </w:p>
    <w:p>
      <w:pPr>
        <w:pStyle w:val="5"/>
        <w:numPr>
          <w:numId w:val="0"/>
        </w:numPr>
        <w:spacing w:line="480" w:lineRule="auto"/>
        <w:ind w:leftChars="0"/>
        <w:rPr>
          <w:rFonts w:ascii="Times New Roman" w:hAnsi="Times New Roman" w:cs="Times New Roman"/>
        </w:rPr>
      </w:pPr>
    </w:p>
    <w:p>
      <w:pPr>
        <w:pStyle w:val="5"/>
        <w:numPr>
          <w:numId w:val="0"/>
        </w:numPr>
        <w:spacing w:line="480" w:lineRule="auto"/>
        <w:ind w:leftChars="0"/>
        <w:rPr>
          <w:rFonts w:ascii="Times New Roman" w:hAnsi="Times New Roman" w:cs="Times New Roman"/>
          <w:color w:val="000000"/>
        </w:rPr>
      </w:pPr>
      <w:r>
        <w:rPr>
          <w:rFonts w:ascii="Times New Roman" w:hAnsi="Times New Roman" w:cs="Times New Roman"/>
        </w:rPr>
        <w:t xml:space="preserve">Zeng Qi. (2001). On Chinese-English Translation of Chinese Idioms from the View of Culture Translation Theory. </w:t>
      </w:r>
      <w:r>
        <w:rPr>
          <w:rFonts w:ascii="Times New Roman" w:hAnsi="Times New Roman" w:cs="Times New Roman"/>
          <w:i/>
        </w:rPr>
        <w:t>Journal of Hubei Institute for Nationalities</w:t>
      </w:r>
      <w:r>
        <w:rPr>
          <w:rFonts w:ascii="Times New Roman" w:hAnsi="Times New Roman" w:cs="Times New Roman"/>
        </w:rPr>
        <w:t xml:space="preserve"> 3, 70-73.</w:t>
      </w:r>
    </w:p>
    <w:p>
      <w:pPr>
        <w:pStyle w:val="5"/>
        <w:numPr>
          <w:numId w:val="0"/>
        </w:numPr>
        <w:spacing w:line="480" w:lineRule="auto"/>
        <w:ind w:leftChars="0"/>
        <w:rPr>
          <w:rFonts w:ascii="Times New Roman" w:hAnsi="Times New Roman" w:cs="Times New Roman"/>
        </w:rPr>
      </w:pPr>
      <w:r>
        <w:rPr>
          <w:rFonts w:ascii="Times New Roman" w:hAnsi="Times New Roman" w:cs="Times New Roman"/>
        </w:rPr>
        <w:t xml:space="preserve">Zhang Jin-hua &amp; Jin Han-sheng. (2003). Interpreting Chinese Idiom Translatability from the View of Relevance Theory. </w:t>
      </w:r>
      <w:r>
        <w:rPr>
          <w:rFonts w:ascii="Times New Roman" w:hAnsi="Times New Roman" w:cs="Times New Roman"/>
          <w:i/>
        </w:rPr>
        <w:t xml:space="preserve">Foreign Language Teaching </w:t>
      </w:r>
      <w:r>
        <w:rPr>
          <w:rFonts w:ascii="Times New Roman" w:hAnsi="Times New Roman" w:cs="Times New Roman"/>
        </w:rPr>
        <w:t>1, 45-50</w:t>
      </w:r>
    </w:p>
    <w:p>
      <w:pPr>
        <w:pStyle w:val="5"/>
        <w:numPr>
          <w:numId w:val="0"/>
        </w:numPr>
        <w:spacing w:line="480" w:lineRule="auto"/>
        <w:ind w:leftChars="0"/>
        <w:rPr>
          <w:rFonts w:hint="eastAsia" w:ascii="Times New Roman" w:hAnsi="Times New Roman" w:cs="Times New Roman"/>
        </w:rPr>
      </w:pPr>
    </w:p>
    <w:p>
      <w:pPr>
        <w:pStyle w:val="5"/>
        <w:numPr>
          <w:numId w:val="0"/>
        </w:numPr>
        <w:spacing w:line="480" w:lineRule="auto"/>
        <w:ind w:leftChars="0"/>
        <w:rPr>
          <w:rFonts w:ascii="Times New Roman" w:hAnsi="Times New Roman" w:cs="Times New Roman"/>
          <w:color w:val="000000"/>
        </w:rPr>
      </w:pPr>
      <w:r>
        <w:rPr>
          <w:rFonts w:ascii="Times New Roman" w:hAnsi="Times New Roman" w:cs="Times New Roman"/>
          <w:color w:val="232323"/>
          <w:shd w:val="clear" w:color="auto" w:fill="FFFFFF"/>
        </w:rPr>
        <w:t>Li, Y. (2021) Nida’s Translation Theory of “Functional Equivalence” and Its Application in Chinese Herbal Medicine Translation. </w:t>
      </w:r>
      <w:r>
        <w:rPr>
          <w:rFonts w:ascii="Times New Roman" w:hAnsi="Times New Roman" w:cs="Times New Roman"/>
          <w:i/>
          <w:iCs/>
          <w:color w:val="232323"/>
          <w:shd w:val="clear" w:color="auto" w:fill="FFFFFF"/>
        </w:rPr>
        <w:t>Advances in Literary Study</w:t>
      </w:r>
      <w:r>
        <w:rPr>
          <w:rFonts w:ascii="Times New Roman" w:hAnsi="Times New Roman" w:cs="Times New Roman"/>
          <w:color w:val="232323"/>
          <w:shd w:val="clear" w:color="auto" w:fill="FFFFFF"/>
        </w:rPr>
        <w:t>, </w:t>
      </w:r>
      <w:r>
        <w:rPr>
          <w:rFonts w:ascii="Times New Roman" w:hAnsi="Times New Roman" w:cs="Times New Roman"/>
          <w:b/>
          <w:bCs/>
          <w:color w:val="232323"/>
          <w:shd w:val="clear" w:color="auto" w:fill="FFFFFF"/>
        </w:rPr>
        <w:t>9</w:t>
      </w:r>
      <w:r>
        <w:rPr>
          <w:rFonts w:ascii="Times New Roman" w:hAnsi="Times New Roman" w:cs="Times New Roman"/>
          <w:color w:val="232323"/>
          <w:shd w:val="clear" w:color="auto" w:fill="FFFFFF"/>
        </w:rPr>
        <w:t>, 11-15. doi: </w:t>
      </w:r>
      <w:r>
        <w:fldChar w:fldCharType="begin"/>
      </w:r>
      <w:r>
        <w:instrText xml:space="preserve"> HYPERLINK "https://doi.org/10.4236/als.2021.91002" \t "_blank" </w:instrText>
      </w:r>
      <w:r>
        <w:fldChar w:fldCharType="separate"/>
      </w:r>
      <w:r>
        <w:rPr>
          <w:rStyle w:val="7"/>
          <w:rFonts w:ascii="Times New Roman" w:hAnsi="Times New Roman" w:cs="Times New Roman"/>
          <w:color w:val="0B4FA7"/>
          <w:shd w:val="clear" w:color="auto" w:fill="FFFFFF"/>
        </w:rPr>
        <w:t>10.4236/als.2021.91002</w:t>
      </w:r>
      <w:r>
        <w:rPr>
          <w:rStyle w:val="7"/>
          <w:rFonts w:ascii="Times New Roman" w:hAnsi="Times New Roman" w:cs="Times New Roman"/>
          <w:color w:val="0B4FA7"/>
          <w:shd w:val="clear" w:color="auto" w:fill="FFFFFF"/>
        </w:rPr>
        <w:fldChar w:fldCharType="end"/>
      </w:r>
      <w:r>
        <w:rPr>
          <w:rFonts w:ascii="Times New Roman" w:hAnsi="Times New Roman" w:cs="Times New Roman"/>
          <w:color w:val="232323"/>
          <w:shd w:val="clear" w:color="auto" w:fill="FFFFFF"/>
        </w:rPr>
        <w:t>.</w:t>
      </w:r>
      <w:r>
        <w:rPr>
          <w:rFonts w:ascii="Times New Roman" w:hAnsi="Times New Roman" w:cs="Times New Roman"/>
          <w:color w:val="000000"/>
        </w:rPr>
        <w:tab/>
      </w:r>
    </w:p>
    <w:p>
      <w:pPr>
        <w:pStyle w:val="5"/>
        <w:spacing w:line="480" w:lineRule="auto"/>
        <w:rPr>
          <w:rFonts w:hint="eastAsia" w:ascii="Times New Roman" w:hAnsi="Times New Roman" w:cs="Times New Roman"/>
          <w:color w:val="000000"/>
        </w:rPr>
      </w:pPr>
    </w:p>
    <w:p>
      <w:pPr>
        <w:pStyle w:val="5"/>
        <w:numPr>
          <w:numId w:val="0"/>
        </w:numPr>
        <w:spacing w:line="480" w:lineRule="auto"/>
        <w:ind w:leftChars="0"/>
        <w:rPr>
          <w:rFonts w:ascii="Times New Roman" w:hAnsi="Times New Roman" w:cs="Times New Roman"/>
          <w:color w:val="000000"/>
        </w:rPr>
      </w:pPr>
      <w:r>
        <w:rPr>
          <w:rFonts w:ascii="Times New Roman" w:hAnsi="Times New Roman" w:cs="Times New Roman"/>
        </w:rPr>
        <w:t>Cao,Xue-qin. (1973-1982). The Story of the Stone. Trans. David Hawkes. Volume 1-3. London: the Penguin Group</w:t>
      </w:r>
    </w:p>
    <w:p>
      <w:pPr>
        <w:pStyle w:val="5"/>
        <w:spacing w:line="480" w:lineRule="auto"/>
        <w:rPr>
          <w:rFonts w:hint="eastAsia" w:ascii="Times New Roman" w:hAnsi="Times New Roman" w:cs="Times New Roman"/>
          <w:color w:val="000000"/>
        </w:rPr>
      </w:pPr>
    </w:p>
    <w:p>
      <w:pPr>
        <w:pStyle w:val="5"/>
        <w:numPr>
          <w:numId w:val="0"/>
        </w:numPr>
        <w:spacing w:before="0" w:beforeAutospacing="0" w:after="0" w:afterAutospacing="0" w:line="480" w:lineRule="auto"/>
        <w:ind w:leftChars="0"/>
        <w:rPr>
          <w:rFonts w:ascii="Times New Roman" w:hAnsi="Times New Roman" w:cs="Times New Roman"/>
          <w:color w:val="000000"/>
        </w:rPr>
      </w:pPr>
      <w:r>
        <w:rPr>
          <w:rFonts w:ascii="Times New Roman" w:hAnsi="Times New Roman" w:cs="Times New Roman"/>
          <w:color w:val="000000"/>
        </w:rPr>
        <w:t>Bartlett, L. and Vavrus, F. (2017). Comparative Case Studies: An Innovative Approach. </w:t>
      </w:r>
      <w:r>
        <w:rPr>
          <w:rFonts w:ascii="Times New Roman" w:hAnsi="Times New Roman" w:cs="Times New Roman"/>
          <w:i/>
          <w:iCs/>
          <w:color w:val="000000"/>
        </w:rPr>
        <w:t>Nordic Journal of Comparative and International Education (NJCIE)</w:t>
      </w:r>
      <w:r>
        <w:rPr>
          <w:rFonts w:ascii="Times New Roman" w:hAnsi="Times New Roman" w:cs="Times New Roman"/>
          <w:color w:val="000000"/>
        </w:rPr>
        <w:t>, 1(1). doi:https://doi.org/10.7577/njcie.1929.</w:t>
      </w:r>
    </w:p>
    <w:p>
      <w:pPr>
        <w:pStyle w:val="5"/>
        <w:numPr>
          <w:numId w:val="0"/>
        </w:numPr>
        <w:spacing w:before="0" w:beforeAutospacing="0" w:after="0" w:afterAutospacing="0" w:line="480" w:lineRule="auto"/>
        <w:ind w:leftChars="0"/>
        <w:rPr>
          <w:rFonts w:hint="eastAsia" w:ascii="Times New Roman" w:hAnsi="Times New Roman" w:cs="Times New Roman"/>
          <w:color w:val="000000"/>
        </w:rPr>
      </w:pPr>
    </w:p>
    <w:p>
      <w:pPr>
        <w:pStyle w:val="5"/>
        <w:numPr>
          <w:numId w:val="0"/>
        </w:numPr>
        <w:spacing w:line="480" w:lineRule="auto"/>
        <w:ind w:leftChars="0"/>
        <w:rPr>
          <w:rFonts w:ascii="Times New Roman" w:hAnsi="Times New Roman" w:cs="Times New Roman"/>
          <w:color w:val="000000"/>
        </w:rPr>
      </w:pPr>
      <w:r>
        <w:rPr>
          <w:rFonts w:ascii="Times New Roman" w:hAnsi="Times New Roman" w:cs="Times New Roman"/>
          <w:color w:val="000000"/>
        </w:rPr>
        <w:t>‌</w:t>
      </w:r>
      <w:r>
        <w:rPr>
          <w:rFonts w:ascii="Times New Roman" w:hAnsi="Times New Roman" w:cs="Times New Roman"/>
        </w:rPr>
        <w:t>Alderson, J. C., &amp; Banerjee, J. (2002). Language testing and assessment (Part 2).</w:t>
      </w:r>
      <w:r>
        <w:rPr>
          <w:rFonts w:ascii="Times New Roman" w:hAnsi="Times New Roman" w:cs="Times New Roman"/>
          <w:i/>
        </w:rPr>
        <w:t xml:space="preserve"> Language Teaching,</w:t>
      </w:r>
      <w:r>
        <w:rPr>
          <w:rFonts w:ascii="Times New Roman" w:hAnsi="Times New Roman" w:cs="Times New Roman"/>
        </w:rPr>
        <w:t xml:space="preserve"> </w:t>
      </w:r>
      <w:r>
        <w:rPr>
          <w:rFonts w:ascii="Times New Roman" w:hAnsi="Times New Roman" w:cs="Times New Roman"/>
          <w:i/>
        </w:rPr>
        <w:t>35</w:t>
      </w:r>
      <w:r>
        <w:rPr>
          <w:rFonts w:ascii="Times New Roman" w:hAnsi="Times New Roman" w:cs="Times New Roman"/>
        </w:rPr>
        <w:t>(2), 79-113.</w:t>
      </w:r>
      <w:r>
        <w:fldChar w:fldCharType="begin"/>
      </w:r>
      <w:r>
        <w:instrText xml:space="preserve"> HYPERLINK "http://dx.doi.org/10.1017/S0261444802001751" </w:instrText>
      </w:r>
      <w:r>
        <w:fldChar w:fldCharType="separate"/>
      </w:r>
      <w:r>
        <w:rPr>
          <w:rStyle w:val="7"/>
          <w:rFonts w:ascii="Times New Roman" w:hAnsi="Times New Roman" w:cs="Times New Roman"/>
        </w:rPr>
        <w:t>http://dx.doi.org/10.1017/S0261444802001751</w:t>
      </w:r>
      <w:r>
        <w:rPr>
          <w:rStyle w:val="7"/>
          <w:rFonts w:ascii="Times New Roman" w:hAnsi="Times New Roman" w:cs="Times New Roman"/>
        </w:rPr>
        <w:fldChar w:fldCharType="end"/>
      </w:r>
    </w:p>
    <w:p>
      <w:pPr>
        <w:pStyle w:val="5"/>
        <w:numPr>
          <w:numId w:val="0"/>
        </w:numPr>
        <w:spacing w:line="480" w:lineRule="auto"/>
        <w:ind w:leftChars="0"/>
        <w:rPr>
          <w:rFonts w:ascii="Times New Roman" w:hAnsi="Times New Roman" w:cs="Times New Roman"/>
        </w:rPr>
      </w:pPr>
    </w:p>
    <w:p>
      <w:pPr>
        <w:pStyle w:val="5"/>
        <w:numPr>
          <w:numId w:val="0"/>
        </w:numPr>
        <w:spacing w:line="480" w:lineRule="auto"/>
        <w:ind w:leftChars="0"/>
        <w:rPr>
          <w:rFonts w:ascii="Times New Roman" w:hAnsi="Times New Roman" w:cs="Times New Roman"/>
          <w:color w:val="000000"/>
        </w:rPr>
      </w:pPr>
      <w:r>
        <w:rPr>
          <w:rFonts w:ascii="Times New Roman" w:hAnsi="Times New Roman" w:cs="Times New Roman"/>
        </w:rPr>
        <w:t>Berg, B. L. (2009).</w:t>
      </w:r>
      <w:r>
        <w:rPr>
          <w:rFonts w:ascii="Times New Roman" w:hAnsi="Times New Roman" w:cs="Times New Roman"/>
          <w:i/>
        </w:rPr>
        <w:t xml:space="preserve"> Qualitative research methods for the social sciences </w:t>
      </w:r>
      <w:r>
        <w:rPr>
          <w:rFonts w:ascii="Times New Roman" w:hAnsi="Times New Roman" w:cs="Times New Roman"/>
        </w:rPr>
        <w:t>(7th ed.). Pearson International</w:t>
      </w:r>
    </w:p>
    <w:p>
      <w:pPr>
        <w:pStyle w:val="5"/>
        <w:spacing w:line="480" w:lineRule="auto"/>
        <w:rPr>
          <w:rFonts w:hint="eastAsia" w:ascii="Times New Roman" w:hAnsi="Times New Roman" w:cs="Times New Roman"/>
          <w:color w:val="000000"/>
        </w:rPr>
      </w:pPr>
    </w:p>
    <w:p>
      <w:pPr>
        <w:pStyle w:val="5"/>
        <w:numPr>
          <w:numId w:val="0"/>
        </w:numPr>
        <w:spacing w:line="480" w:lineRule="auto"/>
        <w:ind w:leftChars="0"/>
        <w:rPr>
          <w:rFonts w:ascii="Times New Roman" w:hAnsi="Times New Roman" w:cs="Times New Roman"/>
          <w:color w:val="000000"/>
        </w:rPr>
      </w:pPr>
      <w:r>
        <w:rPr>
          <w:rFonts w:ascii="Times New Roman" w:hAnsi="Times New Roman" w:cs="Times New Roman"/>
        </w:rPr>
        <w:t xml:space="preserve">Corbin, J., &amp; Strauss, A. (2008). </w:t>
      </w:r>
      <w:r>
        <w:rPr>
          <w:rFonts w:ascii="Times New Roman" w:hAnsi="Times New Roman" w:cs="Times New Roman"/>
          <w:i/>
        </w:rPr>
        <w:t xml:space="preserve">Basics of qualitative research. </w:t>
      </w:r>
      <w:r>
        <w:rPr>
          <w:rFonts w:ascii="Times New Roman" w:hAnsi="Times New Roman" w:cs="Times New Roman"/>
        </w:rPr>
        <w:t>London: SAGE Publications Ltd</w:t>
      </w:r>
    </w:p>
    <w:p>
      <w:pPr>
        <w:pStyle w:val="5"/>
        <w:spacing w:line="480" w:lineRule="auto"/>
        <w:rPr>
          <w:rFonts w:hint="eastAsia" w:ascii="Times New Roman" w:hAnsi="Times New Roman" w:cs="Times New Roman"/>
          <w:color w:val="000000"/>
        </w:rPr>
      </w:pPr>
    </w:p>
    <w:p>
      <w:pPr>
        <w:pStyle w:val="5"/>
        <w:numPr>
          <w:numId w:val="0"/>
        </w:numPr>
        <w:spacing w:line="480" w:lineRule="auto"/>
        <w:ind w:leftChars="0"/>
        <w:rPr>
          <w:rFonts w:ascii="Times New Roman" w:hAnsi="Times New Roman" w:cs="Times New Roman"/>
          <w:color w:val="000000"/>
        </w:rPr>
      </w:pPr>
      <w:r>
        <w:rPr>
          <w:rFonts w:ascii="Times New Roman" w:hAnsi="Times New Roman" w:cs="Times New Roman"/>
        </w:rPr>
        <w:t xml:space="preserve">Darlington, Y., &amp; Scott, D. (2003). Qualitative research in practice: Stories from the field. </w:t>
      </w:r>
      <w:r>
        <w:rPr>
          <w:rFonts w:ascii="Times New Roman" w:hAnsi="Times New Roman" w:cs="Times New Roman"/>
          <w:i/>
        </w:rPr>
        <w:t>Social Work Education: The International Journal, 22</w:t>
      </w:r>
      <w:r>
        <w:rPr>
          <w:rFonts w:ascii="Times New Roman" w:hAnsi="Times New Roman" w:cs="Times New Roman"/>
        </w:rPr>
        <w:t>(1), 115-118</w:t>
      </w:r>
    </w:p>
    <w:p>
      <w:pPr>
        <w:pStyle w:val="5"/>
        <w:spacing w:line="480" w:lineRule="auto"/>
        <w:rPr>
          <w:rFonts w:hint="eastAsia" w:ascii="Times New Roman" w:hAnsi="Times New Roman" w:cs="Times New Roman"/>
          <w:color w:val="000000"/>
        </w:rPr>
      </w:pPr>
    </w:p>
    <w:p>
      <w:pPr>
        <w:pStyle w:val="5"/>
        <w:numPr>
          <w:numId w:val="0"/>
        </w:numPr>
        <w:spacing w:line="480" w:lineRule="auto"/>
        <w:ind w:leftChars="0"/>
        <w:rPr>
          <w:rFonts w:ascii="Times New Roman" w:hAnsi="Times New Roman" w:cs="Times New Roman"/>
          <w:color w:val="000000"/>
        </w:rPr>
      </w:pPr>
      <w:r>
        <w:rPr>
          <w:rFonts w:ascii="Times New Roman" w:hAnsi="Times New Roman" w:cs="Times New Roman"/>
        </w:rPr>
        <w:t xml:space="preserve">Bachman, L. F. (1998). </w:t>
      </w:r>
      <w:r>
        <w:rPr>
          <w:rFonts w:ascii="Times New Roman" w:hAnsi="Times New Roman" w:cs="Times New Roman"/>
          <w:i/>
        </w:rPr>
        <w:t>Interfaces between second language acquisition and language testing research.</w:t>
      </w:r>
      <w:r>
        <w:rPr>
          <w:rFonts w:ascii="Times New Roman" w:hAnsi="Times New Roman" w:cs="Times New Roman"/>
        </w:rPr>
        <w:t xml:space="preserve"> Cambridge: Cambridge University Press</w:t>
      </w:r>
    </w:p>
    <w:p>
      <w:pPr>
        <w:pStyle w:val="5"/>
        <w:spacing w:line="480" w:lineRule="auto"/>
        <w:rPr>
          <w:rFonts w:hint="eastAsia" w:ascii="Times New Roman" w:hAnsi="Times New Roman" w:cs="Times New Roman"/>
          <w:color w:val="000000"/>
        </w:rPr>
      </w:pPr>
      <w:bookmarkStart w:id="0" w:name="_GoBack"/>
      <w:bookmarkEnd w:id="0"/>
    </w:p>
    <w:p>
      <w:pPr>
        <w:pStyle w:val="12"/>
        <w:numPr>
          <w:numId w:val="0"/>
        </w:numPr>
        <w:spacing w:line="480" w:lineRule="auto"/>
        <w:ind w:leftChars="0"/>
        <w:rPr>
          <w:rFonts w:ascii="Times New Roman" w:hAnsi="Times New Roman" w:cs="Times New Roman"/>
          <w:sz w:val="24"/>
          <w:szCs w:val="24"/>
        </w:rPr>
      </w:pPr>
      <w:r>
        <w:rPr>
          <w:rFonts w:ascii="Times New Roman" w:hAnsi="Times New Roman" w:cs="Times New Roman"/>
          <w:sz w:val="24"/>
          <w:szCs w:val="24"/>
        </w:rPr>
        <w:t xml:space="preserve">Denzin, N. K. (1989). </w:t>
      </w:r>
      <w:r>
        <w:rPr>
          <w:rFonts w:ascii="Times New Roman" w:hAnsi="Times New Roman" w:cs="Times New Roman"/>
          <w:i/>
          <w:sz w:val="24"/>
          <w:szCs w:val="24"/>
        </w:rPr>
        <w:t>Interpretive interactionism.</w:t>
      </w:r>
      <w:r>
        <w:rPr>
          <w:rFonts w:ascii="Times New Roman" w:hAnsi="Times New Roman" w:cs="Times New Roman"/>
          <w:sz w:val="24"/>
          <w:szCs w:val="24"/>
        </w:rPr>
        <w:t xml:space="preserve"> Newbury Park, CA: Sage</w:t>
      </w:r>
    </w:p>
    <w:p>
      <w:pPr>
        <w:spacing w:line="480" w:lineRule="auto"/>
        <w:rPr>
          <w:rFonts w:hint="eastAsia" w:ascii="Times New Roman" w:hAnsi="Times New Roman" w:cs="Times New Roman"/>
          <w:sz w:val="24"/>
        </w:rPr>
      </w:pPr>
    </w:p>
    <w:p>
      <w:pPr>
        <w:pStyle w:val="12"/>
        <w:numPr>
          <w:numId w:val="0"/>
        </w:numPr>
        <w:spacing w:line="480" w:lineRule="auto"/>
        <w:ind w:leftChars="0"/>
        <w:rPr>
          <w:rFonts w:hint="eastAsia" w:ascii="Times New Roman" w:hAnsi="Times New Roman" w:cs="Times New Roman"/>
          <w:sz w:val="24"/>
          <w:szCs w:val="24"/>
        </w:rPr>
      </w:pPr>
      <w:r>
        <w:rPr>
          <w:rFonts w:ascii="Times New Roman" w:hAnsi="Times New Roman" w:cs="Times New Roman"/>
          <w:sz w:val="24"/>
          <w:szCs w:val="24"/>
        </w:rPr>
        <w:t>Nida, Eugene. A. and Charles Taber. (1969). The Theory and Practice of Translation. Leiden: E. J. Brill.</w:t>
      </w:r>
    </w:p>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endnote>
  <w:endnote w:type="continuationSeparator" w:id="1">
    <w:p>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Calibri Light">
    <w:altName w:val="Helvetica Neue"/>
    <w:panose1 w:val="020F0302020204030204"/>
    <w:charset w:val="00"/>
    <w:family w:val="swiss"/>
    <w:pitch w:val="default"/>
    <w:sig w:usb0="00000000" w:usb1="00000000"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footnote>
  <w:footnote w:type="continuationSeparator" w:id="1">
    <w:p>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73"/>
  <w:embedSystemFonts/>
  <w:documentProtection w:enforcement="0"/>
  <w:defaultTabStop w:val="420"/>
  <w:drawingGridVerticalSpacing w:val="156"/>
  <w:noPunctuationKerning w:val="1"/>
  <w:characterSpacingControl w:val="compressPunctuation"/>
  <w:footnotePr>
    <w:footnote w:id="0"/>
    <w:footnote w:id="1"/>
  </w:footnotePr>
  <w:endnotePr>
    <w:endnote w:id="0"/>
    <w:endnote w:id="1"/>
  </w:endnotePr>
  <w:compat>
    <w:spaceForUL/>
    <w:balanceSingleByteDoubleByteWidth/>
    <w:doNotLeaveBackslashAlon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E99DC054"/>
    <w:rsid w:val="00027DCD"/>
    <w:rsid w:val="0003123D"/>
    <w:rsid w:val="0005757B"/>
    <w:rsid w:val="00063912"/>
    <w:rsid w:val="0009481A"/>
    <w:rsid w:val="000A1D6C"/>
    <w:rsid w:val="000B49FF"/>
    <w:rsid w:val="000D46C1"/>
    <w:rsid w:val="00112F0C"/>
    <w:rsid w:val="00121E23"/>
    <w:rsid w:val="001252F0"/>
    <w:rsid w:val="0014108C"/>
    <w:rsid w:val="001416E1"/>
    <w:rsid w:val="00154B77"/>
    <w:rsid w:val="0017218A"/>
    <w:rsid w:val="00180AE9"/>
    <w:rsid w:val="0018155F"/>
    <w:rsid w:val="00192086"/>
    <w:rsid w:val="00193C02"/>
    <w:rsid w:val="00193C5F"/>
    <w:rsid w:val="00194BE3"/>
    <w:rsid w:val="001B7D14"/>
    <w:rsid w:val="001D5363"/>
    <w:rsid w:val="00216A27"/>
    <w:rsid w:val="00217A7A"/>
    <w:rsid w:val="00223ED0"/>
    <w:rsid w:val="00224BEA"/>
    <w:rsid w:val="002427E6"/>
    <w:rsid w:val="002515F9"/>
    <w:rsid w:val="00255020"/>
    <w:rsid w:val="00267955"/>
    <w:rsid w:val="002A621C"/>
    <w:rsid w:val="002D084E"/>
    <w:rsid w:val="002D684E"/>
    <w:rsid w:val="002D782B"/>
    <w:rsid w:val="002E6956"/>
    <w:rsid w:val="002F7D7A"/>
    <w:rsid w:val="003106F1"/>
    <w:rsid w:val="00322CA0"/>
    <w:rsid w:val="00340B87"/>
    <w:rsid w:val="00345976"/>
    <w:rsid w:val="00347340"/>
    <w:rsid w:val="003770C8"/>
    <w:rsid w:val="0038106D"/>
    <w:rsid w:val="003A7170"/>
    <w:rsid w:val="003A787B"/>
    <w:rsid w:val="003C0E16"/>
    <w:rsid w:val="003C335E"/>
    <w:rsid w:val="003C75E9"/>
    <w:rsid w:val="003D03C7"/>
    <w:rsid w:val="003E3070"/>
    <w:rsid w:val="003E51E4"/>
    <w:rsid w:val="003F68CC"/>
    <w:rsid w:val="004014A2"/>
    <w:rsid w:val="0041183A"/>
    <w:rsid w:val="0041318E"/>
    <w:rsid w:val="00421212"/>
    <w:rsid w:val="004348E2"/>
    <w:rsid w:val="00442EF9"/>
    <w:rsid w:val="00443261"/>
    <w:rsid w:val="00456BFC"/>
    <w:rsid w:val="00471F49"/>
    <w:rsid w:val="00482ACA"/>
    <w:rsid w:val="0048426C"/>
    <w:rsid w:val="004A7BEA"/>
    <w:rsid w:val="004B1418"/>
    <w:rsid w:val="004C1B8F"/>
    <w:rsid w:val="004C2BA7"/>
    <w:rsid w:val="004D24E7"/>
    <w:rsid w:val="004D339F"/>
    <w:rsid w:val="004D4191"/>
    <w:rsid w:val="004F5849"/>
    <w:rsid w:val="005038C4"/>
    <w:rsid w:val="00504055"/>
    <w:rsid w:val="0050748E"/>
    <w:rsid w:val="00514AA1"/>
    <w:rsid w:val="005220A6"/>
    <w:rsid w:val="005434F0"/>
    <w:rsid w:val="005568D0"/>
    <w:rsid w:val="00562A14"/>
    <w:rsid w:val="00566C0E"/>
    <w:rsid w:val="00583843"/>
    <w:rsid w:val="00590F1F"/>
    <w:rsid w:val="005A0D78"/>
    <w:rsid w:val="005A56B1"/>
    <w:rsid w:val="005B0866"/>
    <w:rsid w:val="006218A0"/>
    <w:rsid w:val="00624C33"/>
    <w:rsid w:val="00694795"/>
    <w:rsid w:val="006A0677"/>
    <w:rsid w:val="006B44A7"/>
    <w:rsid w:val="006B7809"/>
    <w:rsid w:val="006D7C1A"/>
    <w:rsid w:val="006F6E57"/>
    <w:rsid w:val="00701F7E"/>
    <w:rsid w:val="007056C3"/>
    <w:rsid w:val="00712605"/>
    <w:rsid w:val="0071705B"/>
    <w:rsid w:val="00746FA9"/>
    <w:rsid w:val="007564B6"/>
    <w:rsid w:val="00775BA5"/>
    <w:rsid w:val="00777150"/>
    <w:rsid w:val="00786385"/>
    <w:rsid w:val="00791E46"/>
    <w:rsid w:val="00794413"/>
    <w:rsid w:val="00795324"/>
    <w:rsid w:val="007B089F"/>
    <w:rsid w:val="007C77B0"/>
    <w:rsid w:val="007D0813"/>
    <w:rsid w:val="007D6266"/>
    <w:rsid w:val="007D71D3"/>
    <w:rsid w:val="007E76FC"/>
    <w:rsid w:val="007F2F85"/>
    <w:rsid w:val="007F6B2D"/>
    <w:rsid w:val="00801332"/>
    <w:rsid w:val="00816EFF"/>
    <w:rsid w:val="0083224E"/>
    <w:rsid w:val="00850D24"/>
    <w:rsid w:val="00853D61"/>
    <w:rsid w:val="008554BE"/>
    <w:rsid w:val="00864838"/>
    <w:rsid w:val="00867235"/>
    <w:rsid w:val="008702A3"/>
    <w:rsid w:val="00880BFC"/>
    <w:rsid w:val="00887A2E"/>
    <w:rsid w:val="00891F0E"/>
    <w:rsid w:val="00896763"/>
    <w:rsid w:val="00896982"/>
    <w:rsid w:val="008B3258"/>
    <w:rsid w:val="008C1B88"/>
    <w:rsid w:val="008D6317"/>
    <w:rsid w:val="008E07A2"/>
    <w:rsid w:val="008E2D39"/>
    <w:rsid w:val="008E4040"/>
    <w:rsid w:val="008F636B"/>
    <w:rsid w:val="009152D2"/>
    <w:rsid w:val="0093154E"/>
    <w:rsid w:val="0094298B"/>
    <w:rsid w:val="0094429C"/>
    <w:rsid w:val="00947F87"/>
    <w:rsid w:val="00956BBF"/>
    <w:rsid w:val="00967535"/>
    <w:rsid w:val="00972266"/>
    <w:rsid w:val="00975150"/>
    <w:rsid w:val="00985AB6"/>
    <w:rsid w:val="00986207"/>
    <w:rsid w:val="00992851"/>
    <w:rsid w:val="009B4F8B"/>
    <w:rsid w:val="009D3F7F"/>
    <w:rsid w:val="009D7AC3"/>
    <w:rsid w:val="009F2545"/>
    <w:rsid w:val="009F4B6A"/>
    <w:rsid w:val="00A00E1F"/>
    <w:rsid w:val="00A03A47"/>
    <w:rsid w:val="00A2594F"/>
    <w:rsid w:val="00A27EEB"/>
    <w:rsid w:val="00A32447"/>
    <w:rsid w:val="00A5353D"/>
    <w:rsid w:val="00A6477C"/>
    <w:rsid w:val="00A6671D"/>
    <w:rsid w:val="00A94C16"/>
    <w:rsid w:val="00A96021"/>
    <w:rsid w:val="00AB12EF"/>
    <w:rsid w:val="00AB445D"/>
    <w:rsid w:val="00AC5126"/>
    <w:rsid w:val="00AD419C"/>
    <w:rsid w:val="00AE4129"/>
    <w:rsid w:val="00AF0BFD"/>
    <w:rsid w:val="00AF64C4"/>
    <w:rsid w:val="00B10AE0"/>
    <w:rsid w:val="00B23239"/>
    <w:rsid w:val="00B32FA7"/>
    <w:rsid w:val="00B47DE0"/>
    <w:rsid w:val="00B54BB6"/>
    <w:rsid w:val="00B54FA4"/>
    <w:rsid w:val="00B70205"/>
    <w:rsid w:val="00B77273"/>
    <w:rsid w:val="00BA4407"/>
    <w:rsid w:val="00BB6161"/>
    <w:rsid w:val="00BC25B4"/>
    <w:rsid w:val="00BE29E0"/>
    <w:rsid w:val="00C11A5F"/>
    <w:rsid w:val="00C160A6"/>
    <w:rsid w:val="00C36D8A"/>
    <w:rsid w:val="00C36D99"/>
    <w:rsid w:val="00C5308E"/>
    <w:rsid w:val="00C75355"/>
    <w:rsid w:val="00C8688E"/>
    <w:rsid w:val="00C93311"/>
    <w:rsid w:val="00CA7D71"/>
    <w:rsid w:val="00CD3CF8"/>
    <w:rsid w:val="00CD490F"/>
    <w:rsid w:val="00CE4C19"/>
    <w:rsid w:val="00CE5EF9"/>
    <w:rsid w:val="00CF2B80"/>
    <w:rsid w:val="00CF4032"/>
    <w:rsid w:val="00D15827"/>
    <w:rsid w:val="00D23187"/>
    <w:rsid w:val="00D232C9"/>
    <w:rsid w:val="00D25622"/>
    <w:rsid w:val="00D33663"/>
    <w:rsid w:val="00D33755"/>
    <w:rsid w:val="00D45E4F"/>
    <w:rsid w:val="00D61934"/>
    <w:rsid w:val="00D676F6"/>
    <w:rsid w:val="00D67929"/>
    <w:rsid w:val="00D70362"/>
    <w:rsid w:val="00D83B67"/>
    <w:rsid w:val="00D87304"/>
    <w:rsid w:val="00D90D35"/>
    <w:rsid w:val="00DC3476"/>
    <w:rsid w:val="00DC73EC"/>
    <w:rsid w:val="00DD1413"/>
    <w:rsid w:val="00DE1CE8"/>
    <w:rsid w:val="00DE3C6B"/>
    <w:rsid w:val="00DE4AEC"/>
    <w:rsid w:val="00DE630F"/>
    <w:rsid w:val="00E00777"/>
    <w:rsid w:val="00E13155"/>
    <w:rsid w:val="00E32CAE"/>
    <w:rsid w:val="00E4505A"/>
    <w:rsid w:val="00E54A5D"/>
    <w:rsid w:val="00E923EE"/>
    <w:rsid w:val="00EB2AA0"/>
    <w:rsid w:val="00EB594D"/>
    <w:rsid w:val="00EB5BA3"/>
    <w:rsid w:val="00EC319B"/>
    <w:rsid w:val="00ED2855"/>
    <w:rsid w:val="00EE2AD3"/>
    <w:rsid w:val="00F15864"/>
    <w:rsid w:val="00F16887"/>
    <w:rsid w:val="00F30EBE"/>
    <w:rsid w:val="00F3596A"/>
    <w:rsid w:val="00F400AC"/>
    <w:rsid w:val="00F62205"/>
    <w:rsid w:val="00F62693"/>
    <w:rsid w:val="00F7173C"/>
    <w:rsid w:val="00F94B88"/>
    <w:rsid w:val="00F94FF2"/>
    <w:rsid w:val="00FA2746"/>
    <w:rsid w:val="00FB2528"/>
    <w:rsid w:val="00FC190B"/>
    <w:rsid w:val="00FD5695"/>
    <w:rsid w:val="00FE64D9"/>
    <w:rsid w:val="175A5F7D"/>
    <w:rsid w:val="1BEFB80C"/>
    <w:rsid w:val="1FEF6A5D"/>
    <w:rsid w:val="1FFF683F"/>
    <w:rsid w:val="21FE0928"/>
    <w:rsid w:val="27FE481C"/>
    <w:rsid w:val="2F4D3C04"/>
    <w:rsid w:val="2FFF7CE3"/>
    <w:rsid w:val="337FA2B9"/>
    <w:rsid w:val="36F7BBDF"/>
    <w:rsid w:val="377F17F6"/>
    <w:rsid w:val="3DFD9966"/>
    <w:rsid w:val="3F1C1BFF"/>
    <w:rsid w:val="3F3734C7"/>
    <w:rsid w:val="3F7E82B8"/>
    <w:rsid w:val="3FD96C8F"/>
    <w:rsid w:val="3FFF042C"/>
    <w:rsid w:val="43FBE4D8"/>
    <w:rsid w:val="4B7F744C"/>
    <w:rsid w:val="4B7FFF2D"/>
    <w:rsid w:val="4F7EA212"/>
    <w:rsid w:val="4FA51097"/>
    <w:rsid w:val="4FC76DFE"/>
    <w:rsid w:val="4FF72285"/>
    <w:rsid w:val="53B61377"/>
    <w:rsid w:val="57F78850"/>
    <w:rsid w:val="593F1EF0"/>
    <w:rsid w:val="5976FA08"/>
    <w:rsid w:val="5E3DF2CC"/>
    <w:rsid w:val="5FE15825"/>
    <w:rsid w:val="5FF49556"/>
    <w:rsid w:val="6F5B1AA7"/>
    <w:rsid w:val="6F8E6FE6"/>
    <w:rsid w:val="6FBF05F5"/>
    <w:rsid w:val="6FEEB7A2"/>
    <w:rsid w:val="71B94E5A"/>
    <w:rsid w:val="72FB52AB"/>
    <w:rsid w:val="733E3B70"/>
    <w:rsid w:val="73DF70A0"/>
    <w:rsid w:val="75DBD6FC"/>
    <w:rsid w:val="75FF9E3E"/>
    <w:rsid w:val="76DE250F"/>
    <w:rsid w:val="773FAE83"/>
    <w:rsid w:val="779DF736"/>
    <w:rsid w:val="77ED5A3B"/>
    <w:rsid w:val="77FF1ED1"/>
    <w:rsid w:val="77FFB39C"/>
    <w:rsid w:val="77FFD410"/>
    <w:rsid w:val="796B7A9A"/>
    <w:rsid w:val="79D35E4C"/>
    <w:rsid w:val="7A7F292F"/>
    <w:rsid w:val="7B1D8ACF"/>
    <w:rsid w:val="7B468E87"/>
    <w:rsid w:val="7B746848"/>
    <w:rsid w:val="7BE624C2"/>
    <w:rsid w:val="7C5EFDFB"/>
    <w:rsid w:val="7C6BC66C"/>
    <w:rsid w:val="7C9FB546"/>
    <w:rsid w:val="7D7F485B"/>
    <w:rsid w:val="7EBD035F"/>
    <w:rsid w:val="7EDFCA01"/>
    <w:rsid w:val="7F61317A"/>
    <w:rsid w:val="7F6C3559"/>
    <w:rsid w:val="7F8CF7F7"/>
    <w:rsid w:val="7FA74C7C"/>
    <w:rsid w:val="7FBF3FB7"/>
    <w:rsid w:val="7FBFAD28"/>
    <w:rsid w:val="7FDB6CE4"/>
    <w:rsid w:val="7FDD80DE"/>
    <w:rsid w:val="7FDF2676"/>
    <w:rsid w:val="7FEF5647"/>
    <w:rsid w:val="7FFF9BD6"/>
    <w:rsid w:val="7FFFDF40"/>
    <w:rsid w:val="8BF04F1F"/>
    <w:rsid w:val="8FFAFFDB"/>
    <w:rsid w:val="8FFD1A0A"/>
    <w:rsid w:val="92F7F128"/>
    <w:rsid w:val="947F59B5"/>
    <w:rsid w:val="9FBF2070"/>
    <w:rsid w:val="AA9F76A6"/>
    <w:rsid w:val="AEE41222"/>
    <w:rsid w:val="AF7FA3B0"/>
    <w:rsid w:val="B4ED57E9"/>
    <w:rsid w:val="B4F76428"/>
    <w:rsid w:val="B77F6734"/>
    <w:rsid w:val="B79C3885"/>
    <w:rsid w:val="B7AB9645"/>
    <w:rsid w:val="B7FF9D9D"/>
    <w:rsid w:val="BFAF88D2"/>
    <w:rsid w:val="BFF08000"/>
    <w:rsid w:val="BFFF4A99"/>
    <w:rsid w:val="CB5FD219"/>
    <w:rsid w:val="CF9950AA"/>
    <w:rsid w:val="CFDF2B74"/>
    <w:rsid w:val="CFFF1A68"/>
    <w:rsid w:val="D5F9932A"/>
    <w:rsid w:val="D6390C59"/>
    <w:rsid w:val="D7FFA460"/>
    <w:rsid w:val="DA7F1EF2"/>
    <w:rsid w:val="DBBEAEDB"/>
    <w:rsid w:val="DBEF9413"/>
    <w:rsid w:val="DDEB3E00"/>
    <w:rsid w:val="DDF61EF9"/>
    <w:rsid w:val="DEC94ACF"/>
    <w:rsid w:val="DEDF0EC8"/>
    <w:rsid w:val="DF0BFCCC"/>
    <w:rsid w:val="DF49B21E"/>
    <w:rsid w:val="DFAB482A"/>
    <w:rsid w:val="DFBE8BBE"/>
    <w:rsid w:val="DFBF41F3"/>
    <w:rsid w:val="DFFFB4CB"/>
    <w:rsid w:val="E3D5028A"/>
    <w:rsid w:val="E4EE051D"/>
    <w:rsid w:val="E5BF67DD"/>
    <w:rsid w:val="E64F788E"/>
    <w:rsid w:val="E6FBB71C"/>
    <w:rsid w:val="E75FED47"/>
    <w:rsid w:val="E8E187E0"/>
    <w:rsid w:val="E99DC054"/>
    <w:rsid w:val="E9DEE997"/>
    <w:rsid w:val="EAE7DD57"/>
    <w:rsid w:val="EBABAF3D"/>
    <w:rsid w:val="EEEFB1EE"/>
    <w:rsid w:val="EEF7E8F6"/>
    <w:rsid w:val="EEFED02B"/>
    <w:rsid w:val="EF3564F0"/>
    <w:rsid w:val="EF7DA7F1"/>
    <w:rsid w:val="EFB64F78"/>
    <w:rsid w:val="EFEF03B3"/>
    <w:rsid w:val="EFFC73E8"/>
    <w:rsid w:val="EFFC8F7F"/>
    <w:rsid w:val="EFFFE423"/>
    <w:rsid w:val="F37FC40F"/>
    <w:rsid w:val="F3EFDD5F"/>
    <w:rsid w:val="F3FBFA4F"/>
    <w:rsid w:val="F55FA7AE"/>
    <w:rsid w:val="F726C7D2"/>
    <w:rsid w:val="F7553FA2"/>
    <w:rsid w:val="F77F6953"/>
    <w:rsid w:val="F7BAEF31"/>
    <w:rsid w:val="F7DFED23"/>
    <w:rsid w:val="F9FBB0F9"/>
    <w:rsid w:val="FBAF5AA0"/>
    <w:rsid w:val="FBE7CD36"/>
    <w:rsid w:val="FBFFB58E"/>
    <w:rsid w:val="FD3F2ACC"/>
    <w:rsid w:val="FEB70683"/>
    <w:rsid w:val="FEFF8A73"/>
    <w:rsid w:val="FEFFEB0A"/>
    <w:rsid w:val="FF1A6F9D"/>
    <w:rsid w:val="FF3B7E22"/>
    <w:rsid w:val="FF3F5EF6"/>
    <w:rsid w:val="FFA37E44"/>
    <w:rsid w:val="FFBDB8D8"/>
    <w:rsid w:val="FFBFCCF4"/>
    <w:rsid w:val="FFBFD0D7"/>
    <w:rsid w:val="FFDAD6BB"/>
    <w:rsid w:val="FFDD226B"/>
    <w:rsid w:val="FFE10104"/>
    <w:rsid w:val="FFF3BD7F"/>
    <w:rsid w:val="FFFDD83A"/>
    <w:rsid w:val="FFFFBC94"/>
    <w:rsid w:val="FFFFFA4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iPriority="99"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qFormat="1"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iPriority="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6">
    <w:name w:val="Default Paragraph Font"/>
    <w:unhideWhenUsed/>
    <w:qFormat/>
    <w:uiPriority w:val="1"/>
  </w:style>
  <w:style w:type="table" w:default="1" w:styleId="8">
    <w:name w:val="Normal Table"/>
    <w:unhideWhenUsed/>
    <w:qFormat/>
    <w:uiPriority w:val="99"/>
    <w:tblPr>
      <w:tblCellMar>
        <w:top w:w="0" w:type="dxa"/>
        <w:left w:w="108" w:type="dxa"/>
        <w:bottom w:w="0" w:type="dxa"/>
        <w:right w:w="108" w:type="dxa"/>
      </w:tblCellMar>
    </w:tblPr>
  </w:style>
  <w:style w:type="paragraph" w:styleId="2">
    <w:name w:val="footer"/>
    <w:basedOn w:val="1"/>
    <w:link w:val="10"/>
    <w:qFormat/>
    <w:uiPriority w:val="0"/>
    <w:pPr>
      <w:tabs>
        <w:tab w:val="center" w:pos="4153"/>
        <w:tab w:val="right" w:pos="8306"/>
      </w:tabs>
      <w:snapToGrid w:val="0"/>
      <w:jc w:val="left"/>
    </w:pPr>
    <w:rPr>
      <w:sz w:val="18"/>
      <w:szCs w:val="18"/>
    </w:rPr>
  </w:style>
  <w:style w:type="paragraph" w:styleId="3">
    <w:name w:val="header"/>
    <w:basedOn w:val="1"/>
    <w:link w:val="9"/>
    <w:qFormat/>
    <w:uiPriority w:val="0"/>
    <w:pPr>
      <w:pBdr>
        <w:bottom w:val="single" w:color="auto" w:sz="6" w:space="1"/>
      </w:pBdr>
      <w:tabs>
        <w:tab w:val="center" w:pos="4153"/>
        <w:tab w:val="right" w:pos="8306"/>
      </w:tabs>
      <w:snapToGrid w:val="0"/>
      <w:jc w:val="center"/>
    </w:pPr>
    <w:rPr>
      <w:sz w:val="18"/>
      <w:szCs w:val="18"/>
    </w:rPr>
  </w:style>
  <w:style w:type="paragraph" w:styleId="4">
    <w:name w:val="HTML Preformatted"/>
    <w:basedOn w:val="1"/>
    <w:qFormat/>
    <w:uiPriority w:val="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hint="eastAsia" w:ascii="宋体" w:hAnsi="宋体" w:eastAsia="宋体" w:cs="Times New Roman"/>
      <w:kern w:val="0"/>
      <w:sz w:val="24"/>
    </w:rPr>
  </w:style>
  <w:style w:type="paragraph" w:styleId="5">
    <w:name w:val="Normal (Web)"/>
    <w:basedOn w:val="1"/>
    <w:unhideWhenUsed/>
    <w:qFormat/>
    <w:uiPriority w:val="99"/>
    <w:pPr>
      <w:widowControl/>
      <w:spacing w:before="100" w:beforeAutospacing="1" w:after="100" w:afterAutospacing="1"/>
      <w:jc w:val="left"/>
    </w:pPr>
    <w:rPr>
      <w:rFonts w:ascii="宋体" w:hAnsi="宋体" w:eastAsia="宋体" w:cs="宋体"/>
      <w:kern w:val="0"/>
      <w:sz w:val="24"/>
    </w:rPr>
  </w:style>
  <w:style w:type="character" w:styleId="7">
    <w:name w:val="Hyperlink"/>
    <w:basedOn w:val="6"/>
    <w:qFormat/>
    <w:uiPriority w:val="0"/>
    <w:rPr>
      <w:color w:val="0563C1" w:themeColor="hyperlink"/>
      <w:u w:val="single"/>
      <w14:textFill>
        <w14:solidFill>
          <w14:schemeClr w14:val="hlink"/>
        </w14:solidFill>
      </w14:textFill>
    </w:rPr>
  </w:style>
  <w:style w:type="character" w:customStyle="1" w:styleId="9">
    <w:name w:val="页眉 Char"/>
    <w:basedOn w:val="6"/>
    <w:link w:val="3"/>
    <w:qFormat/>
    <w:uiPriority w:val="0"/>
    <w:rPr>
      <w:rFonts w:asciiTheme="minorHAnsi" w:hAnsiTheme="minorHAnsi" w:eastAsiaTheme="minorEastAsia" w:cstheme="minorBidi"/>
      <w:kern w:val="2"/>
      <w:sz w:val="18"/>
      <w:szCs w:val="18"/>
    </w:rPr>
  </w:style>
  <w:style w:type="character" w:customStyle="1" w:styleId="10">
    <w:name w:val="页脚 Char"/>
    <w:basedOn w:val="6"/>
    <w:link w:val="2"/>
    <w:qFormat/>
    <w:uiPriority w:val="0"/>
    <w:rPr>
      <w:rFonts w:asciiTheme="minorHAnsi" w:hAnsiTheme="minorHAnsi" w:eastAsiaTheme="minorEastAsia" w:cstheme="minorBidi"/>
      <w:kern w:val="2"/>
      <w:sz w:val="18"/>
      <w:szCs w:val="18"/>
    </w:rPr>
  </w:style>
  <w:style w:type="paragraph" w:customStyle="1" w:styleId="11">
    <w:name w:val="列出段落1"/>
    <w:basedOn w:val="1"/>
    <w:qFormat/>
    <w:uiPriority w:val="34"/>
    <w:pPr>
      <w:ind w:left="720"/>
      <w:contextualSpacing/>
    </w:pPr>
  </w:style>
  <w:style w:type="paragraph" w:customStyle="1" w:styleId="12">
    <w:name w:val="List Paragraph"/>
    <w:basedOn w:val="1"/>
    <w:qFormat/>
    <w:uiPriority w:val="34"/>
    <w:pPr>
      <w:ind w:firstLine="420" w:firstLineChars="200"/>
    </w:pPr>
    <w:rPr>
      <w:szCs w:val="22"/>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Company>Organization</Company>
  <Pages>12</Pages>
  <Words>2390</Words>
  <Characters>13623</Characters>
  <Lines>113</Lines>
  <Paragraphs>31</Paragraphs>
  <TotalTime>0</TotalTime>
  <ScaleCrop>false</ScaleCrop>
  <LinksUpToDate>false</LinksUpToDate>
  <CharactersWithSpaces>15982</CharactersWithSpaces>
  <Application>WPS Office_3.0.2.4882_F1E327BC-269C-435d-A152-05C5408002CA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2023-11-23T00:54:00Z</dcterms:created>
  <dc:creator>tiankuochu</dc:creator>
  <cp:lastModifiedBy>tiankuochu</cp:lastModifiedBy>
  <dcterms:modified xsi:type="dcterms:W3CDTF">2023-11-26T12:19:04Z</dcterms:modified>
  <cp:revision>197</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2052-3.0.2.4882</vt:lpwstr>
  </property>
</Properties>
</file>