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DFD505" w:rsidP="50DFD505" w:rsidRDefault="50DFD505" w14:paraId="0513925A" w14:textId="72B26CC3">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50DFD505" w:rsidR="50DFD505">
        <w:rPr>
          <w:rFonts w:ascii="Calibri" w:hAnsi="Calibri" w:eastAsia="Calibri" w:cs="Calibri"/>
          <w:b w:val="1"/>
          <w:bCs w:val="1"/>
          <w:i w:val="0"/>
          <w:iCs w:val="0"/>
          <w:caps w:val="0"/>
          <w:smallCaps w:val="0"/>
          <w:noProof w:val="0"/>
          <w:color w:val="000000" w:themeColor="text1" w:themeTint="FF" w:themeShade="FF"/>
          <w:sz w:val="22"/>
          <w:szCs w:val="22"/>
          <w:lang w:val="en-GB"/>
        </w:rPr>
        <w:t>What is the rule of privity of contract?</w:t>
      </w:r>
    </w:p>
    <w:p w:rsidR="50DFD505" w:rsidP="50DFD505" w:rsidRDefault="50DFD505" w14:paraId="68BAE1D4" w14:textId="0AC3924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rule of privity of contract is defined by </w:t>
      </w:r>
      <w:proofErr w:type="spellStart"/>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Osuntogun</w:t>
      </w:r>
      <w:proofErr w:type="spellEnd"/>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(2018) as</w:t>
      </w:r>
      <w:r w:rsidRPr="50DFD505" w:rsidR="50DFD5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nly the parties to a contract and not strangers can enforce rights and contractual obligations from such a contract.” The rule of privity of contract states that only the parties within the contract can enforce within the contract, therefore no third party will have authority upon to act upon the contract</w:t>
      </w:r>
      <w:r w:rsidRPr="50DFD505" w:rsidR="50DFD505">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Jackson v Horizon Holidays (1975) is a case law regarding the doctrine of privity of contract where evidence is shown that third parties have a right to act upon a contract.</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Tweedle v Atkinson (1861) is another case which highlights privity of contract as only the parties in the contract were able to enforce upon it. </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 are various exceptions within the rule of privity of contract such as the </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Contracts (Rights of Third Parties) Act (1999). This Act allows third parties to have the ability to impose contract ob</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ligations which will benefit them where appropriate.</w:t>
      </w:r>
    </w:p>
    <w:p w:rsidR="50DFD505" w:rsidP="50DFD505" w:rsidRDefault="50DFD505" w14:paraId="5167FCF7" w14:textId="10ADA13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DFD505" w:rsidP="50DFD505" w:rsidRDefault="50DFD505" w14:paraId="7E5665F4" w14:textId="2E0AA7A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DFD505" w:rsidP="50DFD505" w:rsidRDefault="50DFD505" w14:paraId="314EE619" w14:textId="6E6A35CC">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50DFD505" w:rsidR="50DFD505">
        <w:rPr>
          <w:rFonts w:ascii="Calibri" w:hAnsi="Calibri" w:eastAsia="Calibri" w:cs="Calibri"/>
          <w:b w:val="1"/>
          <w:bCs w:val="1"/>
          <w:i w:val="0"/>
          <w:iCs w:val="0"/>
          <w:caps w:val="0"/>
          <w:smallCaps w:val="0"/>
          <w:noProof w:val="0"/>
          <w:color w:val="000000" w:themeColor="text1" w:themeTint="FF" w:themeShade="FF"/>
          <w:sz w:val="22"/>
          <w:szCs w:val="22"/>
          <w:lang w:val="en-GB"/>
        </w:rPr>
        <w:t>Explain whether past consideration amounts to good consideration</w:t>
      </w:r>
    </w:p>
    <w:p w:rsidR="50DFD505" w:rsidP="50DFD505" w:rsidRDefault="50DFD505" w14:paraId="4E1FEC1A" w14:textId="1C866EF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“C</w:t>
      </w:r>
      <w:r w:rsidRPr="50DFD505" w:rsidR="50DFD505">
        <w:rPr>
          <w:rFonts w:ascii="Calibri" w:hAnsi="Calibri" w:eastAsia="Calibri" w:cs="Calibri"/>
          <w:noProof w:val="0"/>
          <w:sz w:val="22"/>
          <w:szCs w:val="22"/>
          <w:lang w:val="en-GB"/>
        </w:rPr>
        <w:t xml:space="preserve">onsideration means something in return between the offeror and the acceptor in the contract” (Sapkota, 2020). </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Past consideration is when a promise is created before a contract is produced, in the terms of the law “past consideration is no consideration”. Roscorla v Thomas (1842) represents the case of past consideration due to a sale of a horse as it was not as described correctly however, they could not sue due to it being past the point of the sale. </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Additionally, Re McArdle (1951) is another law case which illustrates past consideration not being valid due to their promise to contribute was made prior consideration, resulting in it being unenforceable.</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exception to the past consideration rule can be seen in </w:t>
      </w:r>
      <w:proofErr w:type="spellStart"/>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Lampleigh</w:t>
      </w:r>
      <w:proofErr w:type="spellEnd"/>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 Braithwait (1615) where if one party performs a normally paid service at the request of the other party, the court will most likely assume that the service was meant to be paid for and will impose a later promise to pay.</w:t>
      </w:r>
    </w:p>
    <w:p w:rsidR="50DFD505" w:rsidP="50DFD505" w:rsidRDefault="50DFD505" w14:paraId="7D86D46D" w14:textId="05D9907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Consideration can be executory meaning the agreement will be performed in the future this can form a valid contract and amounts to good consideration. Consideration can also be executed meaning the promise has been completed on one side of the party, yet the other party is still unperformed and will be executed in the future. In both methods of consideration, it is seen that it is either present or future which will conclude in a valid contract. </w:t>
      </w:r>
    </w:p>
    <w:p w:rsidR="50DFD505" w:rsidP="50DFD505" w:rsidRDefault="50DFD505" w14:paraId="014F0D61" w14:textId="550F9EF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DFD505" w:rsidP="50DFD505" w:rsidRDefault="50DFD505" w14:paraId="626FA280" w14:textId="7302C20E">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50DFD505" w:rsidR="50DFD505">
        <w:rPr>
          <w:rFonts w:ascii="Calibri" w:hAnsi="Calibri" w:eastAsia="Calibri" w:cs="Calibri"/>
          <w:b w:val="1"/>
          <w:bCs w:val="1"/>
          <w:i w:val="0"/>
          <w:iCs w:val="0"/>
          <w:caps w:val="0"/>
          <w:smallCaps w:val="0"/>
          <w:noProof w:val="0"/>
          <w:color w:val="000000" w:themeColor="text1" w:themeTint="FF" w:themeShade="FF"/>
          <w:sz w:val="22"/>
          <w:szCs w:val="22"/>
          <w:lang w:val="en-GB"/>
        </w:rPr>
        <w:t>Identify three of the expectations to the entire performance rule from Cutter v Powell (1795)</w:t>
      </w:r>
    </w:p>
    <w:p w:rsidR="50DFD505" w:rsidP="50DFD505" w:rsidRDefault="50DFD505" w14:paraId="6CCC0EA5" w14:textId="31A30BC8">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Firstly, the doctrine of substantial performance is when a person is fully implementing their part of the contract and believes they have </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accomplished</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gramStart"/>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all of</w:t>
      </w:r>
      <w:proofErr w:type="gramEnd"/>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tasks required by the contract, yet there are tiny faults in the contract's performance. Due to a breach in the contract, the court can investigate the person who has substantially performed, claiming that there will be an allowance to decrease the contract price based on the value of the contract which has been diminished. The doctrine of substantial performance is seen in the case Hong Kong Fir Shipping Co Ltd v Kawasaki Kisen Kaisha Ltd (1962) for a breach of contract.</w:t>
      </w:r>
    </w:p>
    <w:p w:rsidR="50DFD505" w:rsidP="50DFD505" w:rsidRDefault="50DFD505" w14:paraId="7C3EF01B" w14:textId="7D20F16E">
      <w:pPr>
        <w:pStyle w:val="Normal"/>
        <w:spacing w:after="160" w:line="259" w:lineRule="auto"/>
        <w:rPr>
          <w:rFonts w:ascii="Calibri" w:hAnsi="Calibri" w:eastAsia="Calibri" w:cs="Calibri"/>
          <w:b w:val="0"/>
          <w:bCs w:val="0"/>
          <w:i w:val="0"/>
          <w:iCs w:val="0"/>
          <w:caps w:val="0"/>
          <w:smallCaps w:val="0"/>
          <w:noProof w:val="0"/>
          <w:color w:val="555555"/>
          <w:sz w:val="21"/>
          <w:szCs w:val="21"/>
          <w:lang w:val="en-GB"/>
        </w:rPr>
      </w:pP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second expectation seen in the performance rule from Cutter v Powell (1795) is tender of performance. </w:t>
      </w: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Offering a tender to perform is seen to be the same as </w:t>
      </w:r>
      <w:proofErr w:type="gramStart"/>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actually performing</w:t>
      </w:r>
      <w:proofErr w:type="gramEnd"/>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Allowing the </w:t>
      </w:r>
      <w:proofErr w:type="spellStart"/>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promisee</w:t>
      </w:r>
      <w:proofErr w:type="spellEnd"/>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avoid a contract for non-performance because the </w:t>
      </w:r>
      <w:proofErr w:type="spellStart"/>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promisee</w:t>
      </w:r>
      <w:proofErr w:type="spellEnd"/>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has declined to accept the offer of performance is clearly improper (Richards, 2019). In the case of </w:t>
      </w:r>
      <w:proofErr w:type="spellStart"/>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Startup</w:t>
      </w:r>
      <w:proofErr w:type="spellEnd"/>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 Macdonald (1843) there was tender of performance, “</w:t>
      </w:r>
      <w:r w:rsidRPr="50DFD505" w:rsidR="50DFD505">
        <w:rPr>
          <w:rFonts w:ascii="Calibri" w:hAnsi="Calibri" w:eastAsia="Calibri" w:cs="Calibri"/>
          <w:b w:val="0"/>
          <w:bCs w:val="0"/>
          <w:i w:val="0"/>
          <w:iCs w:val="0"/>
          <w:caps w:val="0"/>
          <w:smallCaps w:val="0"/>
          <w:noProof w:val="0"/>
          <w:color w:val="auto"/>
          <w:sz w:val="22"/>
          <w:szCs w:val="22"/>
          <w:lang w:val="en-GB"/>
        </w:rPr>
        <w:t>Demand or tender of delivery may be treated as ineffectual unless made at a reasonable hour; and what is a reasonable hour is a question of fact.”</w:t>
      </w:r>
    </w:p>
    <w:p w:rsidR="50DFD505" w:rsidP="50DFD505" w:rsidRDefault="50DFD505" w14:paraId="597DECA7" w14:textId="4A06BF81">
      <w:pPr>
        <w:pStyle w:val="Normal"/>
        <w:spacing w:after="160" w:line="259" w:lineRule="auto"/>
        <w:rPr>
          <w:rFonts w:ascii="Calibri" w:hAnsi="Calibri" w:eastAsia="Calibri" w:cs="Calibri"/>
          <w:b w:val="0"/>
          <w:bCs w:val="0"/>
          <w:i w:val="0"/>
          <w:iCs w:val="0"/>
          <w:caps w:val="0"/>
          <w:smallCaps w:val="0"/>
          <w:noProof w:val="0"/>
          <w:sz w:val="28"/>
          <w:szCs w:val="28"/>
          <w:lang w:val="en-GB"/>
        </w:rPr>
      </w:pP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third expectation would be divisible contracts, this is a contract in which incomplete performance causes financial requirement for an amount of the consideration. </w:t>
      </w:r>
      <w:proofErr w:type="spellStart"/>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Stoljar</w:t>
      </w:r>
      <w:proofErr w:type="spellEnd"/>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(1956) explains the importance of the Cutter v Powell (1795) rule by indicating that “</w:t>
      </w:r>
      <w:r w:rsidRPr="50DFD505" w:rsidR="50DFD505">
        <w:rPr>
          <w:rFonts w:ascii="Calibri" w:hAnsi="Calibri" w:eastAsia="Calibri" w:cs="Calibri"/>
          <w:b w:val="0"/>
          <w:bCs w:val="0"/>
          <w:i w:val="0"/>
          <w:iCs w:val="0"/>
          <w:caps w:val="0"/>
          <w:smallCaps w:val="0"/>
          <w:noProof w:val="0"/>
          <w:sz w:val="22"/>
          <w:szCs w:val="22"/>
          <w:lang w:val="en-GB"/>
        </w:rPr>
        <w:t>The rule of "entirety" states a fundamental contractual idea, that is, the idea that a promisor must give what he promised and that he cannot, separately, alter the terms of his bargain.” Within this rule, if the promisor unsuccessfully completes the entire contract, they will be authorised to pay a percentage of the money which is due.</w:t>
      </w:r>
    </w:p>
    <w:p w:rsidR="50DFD505" w:rsidP="50DFD505" w:rsidRDefault="50DFD505" w14:paraId="4624B6C6" w14:textId="367BB61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DFD505" w:rsidP="50DFD505" w:rsidRDefault="50DFD505" w14:paraId="480EE864" w14:textId="4644EA9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DFD505" w:rsidP="50DFD505" w:rsidRDefault="50DFD505" w14:paraId="7AE95DD6" w14:textId="77A3150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DFD505" w:rsidP="50DFD505" w:rsidRDefault="50DFD505" w14:paraId="0BDFD9B8" w14:textId="26E52402">
      <w:pPr>
        <w:ind w:firstLine="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pPr>
      <w:r w:rsidRPr="50DFD505" w:rsidR="50DFD505">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Advise Arthur whether any valid contracts exist for the sale of the watch</w:t>
      </w:r>
    </w:p>
    <w:p w:rsidR="50DFD505" w:rsidP="50DFD505" w:rsidRDefault="50DFD505" w14:paraId="305EECF2" w14:textId="77CF6F8A">
      <w:pPr>
        <w:pStyle w:val="Normal"/>
        <w:rPr>
          <w:b w:val="1"/>
          <w:bCs w:val="1"/>
          <w:sz w:val="22"/>
          <w:szCs w:val="22"/>
        </w:rPr>
      </w:pPr>
      <w:r w:rsidRPr="50DFD505" w:rsidR="50DFD5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contract is a legally binding agreement between two or more parties. For a valid contract to exist, it must contain valid agreement, consideration and an intention to create legal relations. </w:t>
      </w:r>
      <w:r w:rsidRPr="50DFD505" w:rsidR="50DFD505">
        <w:rPr>
          <w:b w:val="0"/>
          <w:bCs w:val="0"/>
          <w:sz w:val="22"/>
          <w:szCs w:val="22"/>
        </w:rPr>
        <w:t xml:space="preserve">RTS Flexible Systems Ltd v </w:t>
      </w:r>
      <w:proofErr w:type="spellStart"/>
      <w:r w:rsidRPr="50DFD505" w:rsidR="50DFD505">
        <w:rPr>
          <w:b w:val="0"/>
          <w:bCs w:val="0"/>
          <w:sz w:val="22"/>
          <w:szCs w:val="22"/>
        </w:rPr>
        <w:t>Molkerei</w:t>
      </w:r>
      <w:proofErr w:type="spellEnd"/>
      <w:r w:rsidRPr="50DFD505" w:rsidR="50DFD505">
        <w:rPr>
          <w:b w:val="0"/>
          <w:bCs w:val="0"/>
          <w:sz w:val="22"/>
          <w:szCs w:val="22"/>
        </w:rPr>
        <w:t xml:space="preserve"> Alois Muller GmbH &amp; Co KG (2010) is a law case which states the terms which are essential to form a valid contract.</w:t>
      </w:r>
    </w:p>
    <w:p w:rsidR="50DFD505" w:rsidP="50DFD505" w:rsidRDefault="50DFD505" w14:paraId="72F50C4E" w14:textId="176F5F41">
      <w:pPr>
        <w:pStyle w:val="Normal"/>
        <w:ind w:left="0"/>
        <w:rPr>
          <w:b w:val="0"/>
          <w:bCs w:val="0"/>
          <w:sz w:val="22"/>
          <w:szCs w:val="22"/>
        </w:rPr>
      </w:pPr>
      <w:r w:rsidRPr="50DFD505" w:rsidR="50DFD505">
        <w:rPr>
          <w:b w:val="0"/>
          <w:bCs w:val="0"/>
          <w:sz w:val="22"/>
          <w:szCs w:val="22"/>
        </w:rPr>
        <w:t>An agreement must contain both an offer and acceptance. An offer is an essential term in order to form a valid contract. It refers to a promise which is made from the offerer focusing on a specific act which is then exchanged in consideration to the offeree for the primary promise. Acceptance is when one party accepts the offer of the other</w:t>
      </w:r>
      <w:r w:rsidRPr="50DFD505" w:rsidR="50DFD505">
        <w:rPr>
          <w:b w:val="0"/>
          <w:bCs w:val="0"/>
          <w:sz w:val="22"/>
          <w:szCs w:val="22"/>
        </w:rPr>
        <w:t xml:space="preserve"> party. In the case of </w:t>
      </w:r>
      <w:r w:rsidRPr="50DFD505" w:rsidR="50DFD505">
        <w:rPr>
          <w:b w:val="0"/>
          <w:bCs w:val="0"/>
          <w:sz w:val="22"/>
          <w:szCs w:val="22"/>
        </w:rPr>
        <w:t xml:space="preserve">Kennedy v Lee (1817) it shows that both parties </w:t>
      </w:r>
      <w:r w:rsidRPr="50DFD505" w:rsidR="50DFD505">
        <w:rPr>
          <w:b w:val="0"/>
          <w:bCs w:val="0"/>
          <w:sz w:val="22"/>
          <w:szCs w:val="22"/>
        </w:rPr>
        <w:t>have to</w:t>
      </w:r>
      <w:r w:rsidRPr="50DFD505" w:rsidR="50DFD505">
        <w:rPr>
          <w:b w:val="0"/>
          <w:bCs w:val="0"/>
          <w:sz w:val="22"/>
          <w:szCs w:val="22"/>
        </w:rPr>
        <w:t xml:space="preserve"> show that they both give their assent to the terms of the contract., meaning that both an </w:t>
      </w:r>
      <w:r w:rsidRPr="50DFD505" w:rsidR="50DFD505">
        <w:rPr>
          <w:b w:val="0"/>
          <w:bCs w:val="0"/>
          <w:sz w:val="22"/>
          <w:szCs w:val="22"/>
        </w:rPr>
        <w:t>offer,</w:t>
      </w:r>
      <w:r w:rsidRPr="50DFD505" w:rsidR="50DFD505">
        <w:rPr>
          <w:b w:val="0"/>
          <w:bCs w:val="0"/>
          <w:sz w:val="22"/>
          <w:szCs w:val="22"/>
        </w:rPr>
        <w:t xml:space="preserve"> and acceptance </w:t>
      </w:r>
      <w:r w:rsidRPr="50DFD505" w:rsidR="50DFD505">
        <w:rPr>
          <w:b w:val="0"/>
          <w:bCs w:val="0"/>
          <w:sz w:val="22"/>
          <w:szCs w:val="22"/>
        </w:rPr>
        <w:t>must</w:t>
      </w:r>
      <w:r w:rsidRPr="50DFD505" w:rsidR="50DFD505">
        <w:rPr>
          <w:b w:val="0"/>
          <w:bCs w:val="0"/>
          <w:sz w:val="22"/>
          <w:szCs w:val="22"/>
        </w:rPr>
        <w:t xml:space="preserve"> be valid to form an agreement.</w:t>
      </w:r>
    </w:p>
    <w:p w:rsidR="50DFD505" w:rsidP="50DFD505" w:rsidRDefault="50DFD505" w14:paraId="3A212D49" w14:textId="05587E47">
      <w:pPr>
        <w:pStyle w:val="Normal"/>
        <w:rPr>
          <w:b w:val="0"/>
          <w:bCs w:val="0"/>
          <w:sz w:val="22"/>
          <w:szCs w:val="22"/>
        </w:rPr>
      </w:pPr>
      <w:r w:rsidRPr="50DFD505" w:rsidR="50DFD505">
        <w:rPr>
          <w:b w:val="0"/>
          <w:bCs w:val="0"/>
          <w:sz w:val="22"/>
          <w:szCs w:val="22"/>
        </w:rPr>
        <w:t xml:space="preserve">Arthur puts out an advert of a bilateral contract in a magazine for a watch stating he is ‘open to serious offers’ this advert is seen as an invitation to treat or an intention to negotiate not an offer. An example of this can be seen in the case of Partridge v Crittenden (1968).  People will have to make an offer which can then be accepted by the seller to form a valid contract. </w:t>
      </w:r>
      <w:r w:rsidRPr="50DFD505" w:rsidR="50DFD505">
        <w:rPr>
          <w:b w:val="0"/>
          <w:bCs w:val="0"/>
          <w:sz w:val="22"/>
          <w:szCs w:val="22"/>
        </w:rPr>
        <w:t>Arthurs advert in the magazine indicates a mere statement of price for an invitation to treat. As seen in the case of Clifton v Palumbo (1944) a price was set but it was not an offer, it was a preliminary statement as to price. Additionally, this was also observed in the Gibson v Manchester City Council (1979).</w:t>
      </w:r>
    </w:p>
    <w:p w:rsidR="50DFD505" w:rsidP="50DFD505" w:rsidRDefault="50DFD505" w14:paraId="225D913B" w14:textId="3F1DEAB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Sir Fredrick Pollock (1961) defines consideration as “An act or forbearance of one party, or the promise thereof, is the price for which the promise of the other is bought, and the promise thus given for value is enforceable.”</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There is valid executory consideration within the contract as there is a watch being offered in exchange for money. In the case of Currie v Misa (1875) consideration “May consist wither in some right, interest, profit or benefit accruing to one party, or some forbearance, detriment, loss or responsibility given, suffered or undertaken by the other.” </w:t>
      </w:r>
    </w:p>
    <w:p w:rsidR="50DFD505" w:rsidP="50DFD505" w:rsidRDefault="50DFD505" w14:paraId="01D61211" w14:textId="0EB04CDD">
      <w:pPr>
        <w:pStyle w:val="Normal"/>
        <w:rPr>
          <w:b w:val="0"/>
          <w:bCs w:val="0"/>
          <w:sz w:val="22"/>
          <w:szCs w:val="22"/>
        </w:rPr>
      </w:pPr>
      <w:r w:rsidRPr="50DFD505" w:rsidR="50DFD505">
        <w:rPr>
          <w:b w:val="0"/>
          <w:bCs w:val="0"/>
          <w:sz w:val="22"/>
          <w:szCs w:val="22"/>
        </w:rPr>
        <w:t>The case of Balfour v Balfour (1919) states that if there is no consent towards creating a legal relationship then there will be no contract formed.</w:t>
      </w:r>
      <w:r w:rsidRPr="50DFD505" w:rsidR="50DFD505">
        <w:rPr>
          <w:b w:val="0"/>
          <w:bCs w:val="0"/>
          <w:sz w:val="22"/>
          <w:szCs w:val="22"/>
        </w:rPr>
        <w:t xml:space="preserve"> </w:t>
      </w:r>
      <w:r w:rsidRPr="50DFD505" w:rsidR="50DFD505">
        <w:rPr>
          <w:b w:val="0"/>
          <w:bCs w:val="0"/>
          <w:sz w:val="22"/>
          <w:szCs w:val="22"/>
        </w:rPr>
        <w:t xml:space="preserve">There is intention to create legal relations which is seen in </w:t>
      </w:r>
      <w:proofErr w:type="gramStart"/>
      <w:r w:rsidRPr="50DFD505" w:rsidR="50DFD505">
        <w:rPr>
          <w:b w:val="0"/>
          <w:bCs w:val="0"/>
          <w:sz w:val="22"/>
          <w:szCs w:val="22"/>
        </w:rPr>
        <w:t>all of</w:t>
      </w:r>
      <w:proofErr w:type="gramEnd"/>
      <w:r w:rsidRPr="50DFD505" w:rsidR="50DFD505">
        <w:rPr>
          <w:b w:val="0"/>
          <w:bCs w:val="0"/>
          <w:sz w:val="22"/>
          <w:szCs w:val="22"/>
        </w:rPr>
        <w:t xml:space="preserve"> the respondents to the advert as well as Arthur himself who intend to enter a legally binding contract based on the watch in exchange for money. Without having an intention to create legal relations the contract may lack the binding effect.</w:t>
      </w:r>
    </w:p>
    <w:p w:rsidR="50DFD505" w:rsidP="50DFD505" w:rsidRDefault="50DFD505" w14:paraId="4D25F03B" w14:textId="0A2A2EA3">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50DFD505" w:rsidP="50DFD505" w:rsidRDefault="50DFD505" w14:paraId="41A03924" w14:textId="1B09FE6B">
      <w:pPr>
        <w:pStyle w:val="Normal"/>
        <w:rPr>
          <w:b w:val="0"/>
          <w:bCs w:val="0"/>
          <w:sz w:val="22"/>
          <w:szCs w:val="22"/>
        </w:rPr>
      </w:pPr>
    </w:p>
    <w:p w:rsidR="50DFD505" w:rsidP="50DFD505" w:rsidRDefault="50DFD505" w14:paraId="1FB12D79" w14:textId="03B8BDF0">
      <w:pPr>
        <w:pStyle w:val="Normal"/>
        <w:rPr>
          <w:b w:val="0"/>
          <w:bCs w:val="0"/>
          <w:sz w:val="22"/>
          <w:szCs w:val="22"/>
        </w:rPr>
      </w:pPr>
      <w:r w:rsidRPr="50DFD505" w:rsidR="50DFD505">
        <w:rPr>
          <w:b w:val="1"/>
          <w:bCs w:val="1"/>
          <w:sz w:val="22"/>
          <w:szCs w:val="22"/>
        </w:rPr>
        <w:t>Christine</w:t>
      </w:r>
    </w:p>
    <w:p w:rsidR="50DFD505" w:rsidP="50DFD505" w:rsidRDefault="50DFD505" w14:paraId="0C386C23" w14:textId="5ABDA45B">
      <w:pPr>
        <w:pStyle w:val="Normal"/>
        <w:rPr>
          <w:b w:val="0"/>
          <w:bCs w:val="0"/>
          <w:sz w:val="22"/>
          <w:szCs w:val="22"/>
        </w:rPr>
      </w:pPr>
      <w:r w:rsidRPr="50DFD505" w:rsidR="50DFD505">
        <w:rPr>
          <w:b w:val="0"/>
          <w:bCs w:val="0"/>
          <w:sz w:val="22"/>
          <w:szCs w:val="22"/>
        </w:rPr>
        <w:t>On the 5</w:t>
      </w:r>
      <w:r w:rsidRPr="50DFD505" w:rsidR="50DFD505">
        <w:rPr>
          <w:b w:val="0"/>
          <w:bCs w:val="0"/>
          <w:sz w:val="22"/>
          <w:szCs w:val="22"/>
          <w:vertAlign w:val="superscript"/>
        </w:rPr>
        <w:t>th</w:t>
      </w:r>
      <w:r w:rsidRPr="50DFD505" w:rsidR="50DFD505">
        <w:rPr>
          <w:b w:val="0"/>
          <w:bCs w:val="0"/>
          <w:sz w:val="22"/>
          <w:szCs w:val="22"/>
        </w:rPr>
        <w:t xml:space="preserve"> of May, Christine makes an offer to Arthur stating she will pay £11000 in exchange for the watch. Arthur then replies making a counteroffer to Christine for £13000 for the watch. </w:t>
      </w:r>
      <w:proofErr w:type="gramStart"/>
      <w:r w:rsidRPr="50DFD505" w:rsidR="50DFD505">
        <w:rPr>
          <w:b w:val="0"/>
          <w:bCs w:val="0"/>
          <w:sz w:val="22"/>
          <w:szCs w:val="22"/>
        </w:rPr>
        <w:t>Due to the fact that</w:t>
      </w:r>
      <w:proofErr w:type="gramEnd"/>
      <w:r w:rsidRPr="50DFD505" w:rsidR="50DFD505">
        <w:rPr>
          <w:b w:val="0"/>
          <w:bCs w:val="0"/>
          <w:sz w:val="22"/>
          <w:szCs w:val="22"/>
        </w:rPr>
        <w:t xml:space="preserve"> Arthur makes a counteroffer, the offer that Christine made is no longer valid as it has been cancelled out by the counteroffer. </w:t>
      </w:r>
      <w:r w:rsidRPr="50DFD505" w:rsidR="50DFD505">
        <w:rPr>
          <w:b w:val="0"/>
          <w:bCs w:val="0"/>
          <w:sz w:val="22"/>
          <w:szCs w:val="22"/>
        </w:rPr>
        <w:t xml:space="preserve">Hyde v Wrench (1840) </w:t>
      </w:r>
      <w:r w:rsidRPr="50DFD505" w:rsidR="50DFD505">
        <w:rPr>
          <w:b w:val="0"/>
          <w:bCs w:val="0"/>
          <w:sz w:val="22"/>
          <w:szCs w:val="22"/>
        </w:rPr>
        <w:t>indicates</w:t>
      </w:r>
      <w:r w:rsidRPr="50DFD505" w:rsidR="50DFD505">
        <w:rPr>
          <w:b w:val="0"/>
          <w:bCs w:val="0"/>
          <w:sz w:val="22"/>
          <w:szCs w:val="22"/>
        </w:rPr>
        <w:t xml:space="preserve"> a case where a counteroffer is visible. The counteroffer is used as a term of negoti</w:t>
      </w:r>
      <w:r w:rsidRPr="50DFD505" w:rsidR="50DFD505">
        <w:rPr>
          <w:b w:val="0"/>
          <w:bCs w:val="0"/>
          <w:sz w:val="22"/>
          <w:szCs w:val="22"/>
        </w:rPr>
        <w:t>ation to invalidate the previous offer with a new one.</w:t>
      </w:r>
      <w:r w:rsidRPr="50DFD505" w:rsidR="50DFD505">
        <w:rPr>
          <w:b w:val="0"/>
          <w:bCs w:val="0"/>
          <w:sz w:val="22"/>
          <w:szCs w:val="22"/>
        </w:rPr>
        <w:t xml:space="preserve"> Furthermore, the </w:t>
      </w:r>
      <w:r w:rsidRPr="50DFD505" w:rsidR="401526CF">
        <w:rPr>
          <w:b w:val="0"/>
          <w:bCs w:val="0"/>
          <w:sz w:val="22"/>
          <w:szCs w:val="22"/>
        </w:rPr>
        <w:t>Brogden v Metropolitan Railway Co (1877) case law states that the counteroffer must be accepted and agreed from the other party before it can be valid. In this case, Dennis and Christine have communicated to each other and the counteroffer has been a</w:t>
      </w:r>
      <w:r w:rsidRPr="50DFD505" w:rsidR="50DFD505">
        <w:rPr>
          <w:b w:val="0"/>
          <w:bCs w:val="0"/>
          <w:sz w:val="22"/>
          <w:szCs w:val="22"/>
        </w:rPr>
        <w:t>ccepted, therefore there is a clear agreement between both parties.</w:t>
      </w:r>
    </w:p>
    <w:p w:rsidR="50DFD505" w:rsidP="50DFD505" w:rsidRDefault="50DFD505" w14:paraId="150C13CA" w14:textId="577FBA45">
      <w:pPr>
        <w:pStyle w:val="Normal"/>
        <w:rPr>
          <w:b w:val="0"/>
          <w:bCs w:val="0"/>
          <w:sz w:val="22"/>
          <w:szCs w:val="22"/>
        </w:rPr>
      </w:pPr>
      <w:r w:rsidRPr="50DFD505" w:rsidR="50DFD505">
        <w:rPr>
          <w:b w:val="0"/>
          <w:bCs w:val="0"/>
          <w:sz w:val="22"/>
          <w:szCs w:val="22"/>
        </w:rPr>
        <w:t xml:space="preserve">Christine replies to Arthur’s counteroffer requesting for further information for the watch, expressing that she can pay £11,000 now and £2000 at the end of the month. </w:t>
      </w:r>
      <w:r w:rsidRPr="50DFD505" w:rsidR="50DFD505">
        <w:rPr>
          <w:b w:val="0"/>
          <w:bCs w:val="0"/>
          <w:sz w:val="22"/>
          <w:szCs w:val="22"/>
        </w:rPr>
        <w:t xml:space="preserve">As Christine requests for further </w:t>
      </w:r>
      <w:r w:rsidRPr="50DFD505" w:rsidR="50DFD505">
        <w:rPr>
          <w:b w:val="0"/>
          <w:bCs w:val="0"/>
          <w:sz w:val="22"/>
          <w:szCs w:val="22"/>
        </w:rPr>
        <w:t>information,</w:t>
      </w:r>
      <w:r w:rsidRPr="50DFD505" w:rsidR="50DFD505">
        <w:rPr>
          <w:b w:val="0"/>
          <w:bCs w:val="0"/>
          <w:sz w:val="22"/>
          <w:szCs w:val="22"/>
        </w:rPr>
        <w:t xml:space="preserve"> she is not accepting the offer and she is not rejecting the offer meaning Arthur’s counteroffer is still valid. Stevenson Jaques &amp; Co v Mclean (1880) is a case which provides an example of requesting for further information.</w:t>
      </w:r>
      <w:r w:rsidRPr="50DFD505" w:rsidR="50DFD505">
        <w:rPr>
          <w:b w:val="0"/>
          <w:bCs w:val="0"/>
          <w:sz w:val="22"/>
          <w:szCs w:val="22"/>
        </w:rPr>
        <w:t xml:space="preserve"> The following day, Christine emails Arthur to accept Arthurs offer of £13,000. </w:t>
      </w:r>
    </w:p>
    <w:p w:rsidR="50DFD505" w:rsidP="50DFD505" w:rsidRDefault="50DFD505" w14:paraId="30E392AA" w14:textId="53AEC25F">
      <w:pPr>
        <w:pStyle w:val="Normal"/>
        <w:rPr>
          <w:b w:val="0"/>
          <w:bCs w:val="0"/>
          <w:sz w:val="22"/>
          <w:szCs w:val="22"/>
        </w:rPr>
      </w:pPr>
      <w:r w:rsidRPr="50DFD505" w:rsidR="50DFD505">
        <w:rPr>
          <w:b w:val="0"/>
          <w:bCs w:val="0"/>
          <w:sz w:val="22"/>
          <w:szCs w:val="22"/>
        </w:rPr>
        <w:t xml:space="preserve">Christine has a written contract with Arthur via email. The form of communicating through email does not apply to the postal rule which is stated in </w:t>
      </w:r>
      <w:proofErr w:type="spellStart"/>
      <w:r w:rsidRPr="50DFD505" w:rsidR="50DFD505">
        <w:rPr>
          <w:b w:val="0"/>
          <w:bCs w:val="0"/>
          <w:sz w:val="22"/>
          <w:szCs w:val="22"/>
        </w:rPr>
        <w:t>Brinkibon</w:t>
      </w:r>
      <w:proofErr w:type="spellEnd"/>
      <w:r w:rsidRPr="50DFD505" w:rsidR="50DFD505">
        <w:rPr>
          <w:b w:val="0"/>
          <w:bCs w:val="0"/>
          <w:sz w:val="22"/>
          <w:szCs w:val="22"/>
        </w:rPr>
        <w:t xml:space="preserve"> Ltd v </w:t>
      </w:r>
      <w:proofErr w:type="spellStart"/>
      <w:r w:rsidRPr="50DFD505" w:rsidR="50DFD505">
        <w:rPr>
          <w:b w:val="0"/>
          <w:bCs w:val="0"/>
          <w:sz w:val="22"/>
          <w:szCs w:val="22"/>
        </w:rPr>
        <w:t>Stahag</w:t>
      </w:r>
      <w:proofErr w:type="spellEnd"/>
      <w:r w:rsidRPr="50DFD505" w:rsidR="50DFD505">
        <w:rPr>
          <w:b w:val="0"/>
          <w:bCs w:val="0"/>
          <w:sz w:val="22"/>
          <w:szCs w:val="22"/>
        </w:rPr>
        <w:t xml:space="preserve"> </w:t>
      </w:r>
      <w:r w:rsidRPr="50DFD505" w:rsidR="50DFD505">
        <w:rPr>
          <w:b w:val="0"/>
          <w:bCs w:val="0"/>
          <w:sz w:val="22"/>
          <w:szCs w:val="22"/>
        </w:rPr>
        <w:t xml:space="preserve">und </w:t>
      </w:r>
      <w:proofErr w:type="spellStart"/>
      <w:r w:rsidRPr="50DFD505" w:rsidR="50DFD505">
        <w:rPr>
          <w:b w:val="0"/>
          <w:bCs w:val="0"/>
          <w:sz w:val="22"/>
          <w:szCs w:val="22"/>
        </w:rPr>
        <w:t>Stahlwarenhandelsgesellschaft</w:t>
      </w:r>
      <w:proofErr w:type="spellEnd"/>
      <w:r w:rsidRPr="50DFD505" w:rsidR="50DFD505">
        <w:rPr>
          <w:b w:val="0"/>
          <w:bCs w:val="0"/>
          <w:sz w:val="22"/>
          <w:szCs w:val="22"/>
        </w:rPr>
        <w:t xml:space="preserve"> </w:t>
      </w:r>
      <w:r w:rsidRPr="50DFD505" w:rsidR="50DFD505">
        <w:rPr>
          <w:b w:val="0"/>
          <w:bCs w:val="0"/>
          <w:sz w:val="22"/>
          <w:szCs w:val="22"/>
        </w:rPr>
        <w:t xml:space="preserve">GmbH (1983). </w:t>
      </w:r>
      <w:r w:rsidRPr="50DFD505" w:rsidR="50DFD505">
        <w:rPr>
          <w:b w:val="0"/>
          <w:bCs w:val="0"/>
          <w:sz w:val="22"/>
          <w:szCs w:val="22"/>
        </w:rPr>
        <w:t>Electronic</w:t>
      </w:r>
      <w:r w:rsidRPr="50DFD505" w:rsidR="50DFD505">
        <w:rPr>
          <w:b w:val="0"/>
          <w:bCs w:val="0"/>
          <w:sz w:val="22"/>
          <w:szCs w:val="22"/>
        </w:rPr>
        <w:t xml:space="preserve"> commerce (EC Directive) Regulations 2002 states at reg 11 that a contract constructed via email is formed once the customer can access the acknowledgement of receipt sent from the seller.</w:t>
      </w:r>
    </w:p>
    <w:p w:rsidR="50DFD505" w:rsidP="50DFD505" w:rsidRDefault="50DFD505" w14:paraId="383740E8" w14:textId="19B880B3">
      <w:pPr>
        <w:pStyle w:val="Normal"/>
      </w:pPr>
      <w:r w:rsidRPr="50DFD505" w:rsidR="50DFD505">
        <w:rPr>
          <w:b w:val="0"/>
          <w:bCs w:val="0"/>
          <w:sz w:val="22"/>
          <w:szCs w:val="22"/>
        </w:rPr>
        <w:t>There is a valid contract shown between Christine and Arthur due to having agreement, consideration and intention to create legal relations.</w:t>
      </w:r>
    </w:p>
    <w:p w:rsidR="50DFD505" w:rsidP="50DFD505" w:rsidRDefault="50DFD505" w14:paraId="1E20EE67" w14:textId="3815DD84">
      <w:pPr>
        <w:pStyle w:val="Normal"/>
        <w:rPr>
          <w:b w:val="0"/>
          <w:bCs w:val="0"/>
          <w:sz w:val="22"/>
          <w:szCs w:val="22"/>
        </w:rPr>
      </w:pPr>
    </w:p>
    <w:p w:rsidR="50DFD505" w:rsidP="50DFD505" w:rsidRDefault="50DFD505" w14:paraId="78227462" w14:textId="78A410B1">
      <w:pPr>
        <w:pStyle w:val="Normal"/>
        <w:rPr>
          <w:b w:val="0"/>
          <w:bCs w:val="0"/>
          <w:sz w:val="22"/>
          <w:szCs w:val="22"/>
        </w:rPr>
      </w:pPr>
      <w:r w:rsidRPr="50DFD505" w:rsidR="50DFD505">
        <w:rPr>
          <w:b w:val="1"/>
          <w:bCs w:val="1"/>
          <w:sz w:val="22"/>
          <w:szCs w:val="22"/>
        </w:rPr>
        <w:t>Dennis</w:t>
      </w:r>
    </w:p>
    <w:p w:rsidR="50DFD505" w:rsidP="50DFD505" w:rsidRDefault="50DFD505" w14:paraId="755F74F7" w14:textId="07258F6D">
      <w:pPr>
        <w:pStyle w:val="Normal"/>
        <w:rPr>
          <w:b w:val="0"/>
          <w:bCs w:val="0"/>
          <w:sz w:val="22"/>
          <w:szCs w:val="22"/>
        </w:rPr>
      </w:pPr>
      <w:r w:rsidRPr="50DFD505" w:rsidR="50DFD505">
        <w:rPr>
          <w:b w:val="0"/>
          <w:bCs w:val="0"/>
          <w:sz w:val="22"/>
          <w:szCs w:val="22"/>
        </w:rPr>
        <w:t>On May 6</w:t>
      </w:r>
      <w:r w:rsidRPr="50DFD505" w:rsidR="50DFD505">
        <w:rPr>
          <w:b w:val="0"/>
          <w:bCs w:val="0"/>
          <w:sz w:val="22"/>
          <w:szCs w:val="22"/>
          <w:vertAlign w:val="superscript"/>
        </w:rPr>
        <w:t>th</w:t>
      </w:r>
      <w:r w:rsidRPr="50DFD505" w:rsidR="50DFD505">
        <w:rPr>
          <w:b w:val="0"/>
          <w:bCs w:val="0"/>
          <w:sz w:val="22"/>
          <w:szCs w:val="22"/>
        </w:rPr>
        <w:t xml:space="preserve"> Dennis emailed Athur with an intention to buy the watch. This shows that Dennis has an intention to create legal relations. Arthur emails Dennis making an offer of £13,000 for the watch. Later that day, Dennis accepts Arthurs offer of £13,000. There has been an offer and acceptance present, with valid consideration and intention to create legal relations, therefore there is a valid contract between Arthur and Dennis. </w:t>
      </w:r>
    </w:p>
    <w:p w:rsidR="50DFD505" w:rsidP="50DFD505" w:rsidRDefault="50DFD505" w14:paraId="6F4F8999" w14:textId="3445649E">
      <w:pPr>
        <w:pStyle w:val="Normal"/>
        <w:rPr>
          <w:b w:val="0"/>
          <w:bCs w:val="0"/>
          <w:sz w:val="22"/>
          <w:szCs w:val="22"/>
        </w:rPr>
      </w:pPr>
    </w:p>
    <w:p w:rsidR="50DFD505" w:rsidP="50DFD505" w:rsidRDefault="50DFD505" w14:paraId="2CB6F610" w14:textId="24FC706B">
      <w:pPr>
        <w:pStyle w:val="Normal"/>
        <w:rPr>
          <w:b w:val="0"/>
          <w:bCs w:val="0"/>
          <w:sz w:val="22"/>
          <w:szCs w:val="22"/>
        </w:rPr>
      </w:pPr>
      <w:r w:rsidRPr="50DFD505" w:rsidR="50DFD505">
        <w:rPr>
          <w:b w:val="1"/>
          <w:bCs w:val="1"/>
          <w:sz w:val="22"/>
          <w:szCs w:val="22"/>
        </w:rPr>
        <w:t>Ben</w:t>
      </w:r>
    </w:p>
    <w:p w:rsidR="50DFD505" w:rsidP="50DFD505" w:rsidRDefault="50DFD505" w14:paraId="3283CEA8" w14:textId="6C470DB5">
      <w:pPr>
        <w:pStyle w:val="Normal"/>
        <w:rPr>
          <w:b w:val="0"/>
          <w:bCs w:val="0"/>
          <w:sz w:val="22"/>
          <w:szCs w:val="22"/>
        </w:rPr>
      </w:pPr>
      <w:r w:rsidRPr="50DFD505" w:rsidR="50DFD505">
        <w:rPr>
          <w:b w:val="0"/>
          <w:bCs w:val="0"/>
          <w:sz w:val="22"/>
          <w:szCs w:val="22"/>
        </w:rPr>
        <w:t>On the 4</w:t>
      </w:r>
      <w:r w:rsidRPr="50DFD505" w:rsidR="50DFD505">
        <w:rPr>
          <w:b w:val="0"/>
          <w:bCs w:val="0"/>
          <w:sz w:val="22"/>
          <w:szCs w:val="22"/>
          <w:vertAlign w:val="superscript"/>
        </w:rPr>
        <w:t>th</w:t>
      </w:r>
      <w:r w:rsidRPr="50DFD505" w:rsidR="50DFD505">
        <w:rPr>
          <w:b w:val="0"/>
          <w:bCs w:val="0"/>
          <w:sz w:val="22"/>
          <w:szCs w:val="22"/>
        </w:rPr>
        <w:t xml:space="preserve"> of May, Ben sent a letter to Arthur saying that he would purchase the watch for £15,000, this letter was an offer from Ben. </w:t>
      </w:r>
      <w:r w:rsidRPr="50DFD505" w:rsidR="50DFD505">
        <w:rPr>
          <w:b w:val="0"/>
          <w:bCs w:val="0"/>
          <w:sz w:val="22"/>
          <w:szCs w:val="22"/>
        </w:rPr>
        <w:t>However,</w:t>
      </w:r>
      <w:r w:rsidRPr="50DFD505" w:rsidR="50DFD505">
        <w:rPr>
          <w:b w:val="0"/>
          <w:bCs w:val="0"/>
          <w:sz w:val="22"/>
          <w:szCs w:val="22"/>
        </w:rPr>
        <w:t xml:space="preserve"> Arthur does not respond to this letter therefore there is no agreement to the contract stating that it is not a valid contract.</w:t>
      </w:r>
    </w:p>
    <w:p w:rsidR="50DFD505" w:rsidP="50DFD505" w:rsidRDefault="50DFD505" w14:paraId="0F62580F" w14:textId="2760C238">
      <w:pPr>
        <w:pStyle w:val="Normal"/>
        <w:rPr>
          <w:b w:val="0"/>
          <w:bCs w:val="0"/>
          <w:sz w:val="22"/>
          <w:szCs w:val="22"/>
        </w:rPr>
      </w:pPr>
      <w:r w:rsidRPr="50DFD505" w:rsidR="50DFD505">
        <w:rPr>
          <w:b w:val="0"/>
          <w:bCs w:val="0"/>
          <w:sz w:val="22"/>
          <w:szCs w:val="22"/>
        </w:rPr>
        <w:t>Within the postal rule there are various exceptions to ensure it is used appropriately. In Henthorn v Fraser (1892) it was established that the postal rule as a form of communication in a contract was only used where it was reasonable. Due to Arthur not receiving Ben’s mail until 3 days after it had been sent, Arthur had not formed a contract due to not having accepted Ben’s offer. The Household Fire and Carriage Accident Insurance Co v Grant (1879) supports this. This case states that only if the mail reaches the offeree, it is legally binding. As well as this, Arthur did not respond to Ben showing no sign of acceptance therefore it is not legally binding. The postal rule can be seen to have a few negative impacts such as the offeree being unaware if they have entered a contract or not. This can cause confusion due to the diversion of the general rule of acceptance. This can be seen in the case of Howell Securities v Hughes (1974) through a letter of acceptance posted, but not yet received by the offeror, this would conclude to an insufficient, invalid contract.</w:t>
      </w:r>
    </w:p>
    <w:p w:rsidR="50DFD505" w:rsidP="50DFD505" w:rsidRDefault="50DFD505" w14:paraId="26D06C4A" w14:textId="768B4C6C">
      <w:pPr>
        <w:pStyle w:val="Normal"/>
        <w:rPr>
          <w:b w:val="0"/>
          <w:bCs w:val="0"/>
          <w:sz w:val="22"/>
          <w:szCs w:val="22"/>
        </w:rPr>
      </w:pPr>
      <w:r w:rsidRPr="50DFD505" w:rsidR="50DFD505">
        <w:rPr>
          <w:b w:val="0"/>
          <w:bCs w:val="0"/>
          <w:sz w:val="22"/>
          <w:szCs w:val="22"/>
        </w:rPr>
        <w:t>Overall, we can see that there is a strong argument that there is a valid contract between Christine and Dennis but not Ben.</w:t>
      </w:r>
    </w:p>
    <w:p w:rsidR="50DFD505" w:rsidP="50DFD505" w:rsidRDefault="50DFD505" w14:paraId="6B1CB438" w14:textId="13B4AED1">
      <w:pPr>
        <w:pStyle w:val="Normal"/>
        <w:rPr>
          <w:b w:val="0"/>
          <w:bCs w:val="0"/>
          <w:sz w:val="22"/>
          <w:szCs w:val="22"/>
        </w:rPr>
      </w:pPr>
    </w:p>
    <w:p w:rsidR="50DFD505" w:rsidP="50DFD505" w:rsidRDefault="50DFD505" w14:paraId="5295D8C4" w14:textId="58FDA4CB">
      <w:pPr>
        <w:pStyle w:val="Normal"/>
        <w:rPr>
          <w:b w:val="1"/>
          <w:bCs w:val="1"/>
          <w:sz w:val="22"/>
          <w:szCs w:val="22"/>
        </w:rPr>
      </w:pPr>
    </w:p>
    <w:p w:rsidR="50DFD505" w:rsidP="50DFD505" w:rsidRDefault="50DFD505" w14:paraId="0CD16120" w14:textId="5BB35BA6">
      <w:pPr>
        <w:pStyle w:val="Normal"/>
        <w:rPr>
          <w:b w:val="1"/>
          <w:bCs w:val="1"/>
          <w:sz w:val="22"/>
          <w:szCs w:val="22"/>
        </w:rPr>
      </w:pPr>
    </w:p>
    <w:p w:rsidR="50DFD505" w:rsidP="50DFD505" w:rsidRDefault="50DFD505" w14:paraId="3EB6DA8A" w14:textId="153BFFD3">
      <w:pPr>
        <w:pStyle w:val="Normal"/>
        <w:rPr>
          <w:b w:val="1"/>
          <w:bCs w:val="1"/>
          <w:sz w:val="22"/>
          <w:szCs w:val="22"/>
        </w:rPr>
      </w:pPr>
    </w:p>
    <w:p w:rsidR="50DFD505" w:rsidP="50DFD505" w:rsidRDefault="50DFD505" w14:paraId="6EAB3D7F" w14:textId="06FDB702">
      <w:pPr>
        <w:pStyle w:val="Normal"/>
        <w:rPr>
          <w:b w:val="1"/>
          <w:bCs w:val="1"/>
          <w:sz w:val="22"/>
          <w:szCs w:val="22"/>
        </w:rPr>
      </w:pPr>
    </w:p>
    <w:p w:rsidR="50DFD505" w:rsidP="50DFD505" w:rsidRDefault="50DFD505" w14:paraId="563B9678" w14:textId="7B86B324">
      <w:pPr>
        <w:pStyle w:val="Normal"/>
        <w:rPr>
          <w:b w:val="1"/>
          <w:bCs w:val="1"/>
          <w:sz w:val="22"/>
          <w:szCs w:val="22"/>
        </w:rPr>
      </w:pPr>
    </w:p>
    <w:p w:rsidR="50DFD505" w:rsidP="50DFD505" w:rsidRDefault="50DFD505" w14:paraId="7B1CE943" w14:textId="01728982">
      <w:pPr>
        <w:pStyle w:val="Normal"/>
        <w:rPr>
          <w:b w:val="1"/>
          <w:bCs w:val="1"/>
          <w:sz w:val="22"/>
          <w:szCs w:val="22"/>
        </w:rPr>
      </w:pPr>
    </w:p>
    <w:p w:rsidR="50DFD505" w:rsidP="50DFD505" w:rsidRDefault="50DFD505" w14:paraId="00AE1EA7" w14:textId="59478440">
      <w:pPr>
        <w:pStyle w:val="Normal"/>
        <w:rPr>
          <w:b w:val="1"/>
          <w:bCs w:val="1"/>
          <w:sz w:val="22"/>
          <w:szCs w:val="22"/>
        </w:rPr>
      </w:pPr>
    </w:p>
    <w:p w:rsidR="50DFD505" w:rsidP="50DFD505" w:rsidRDefault="50DFD505" w14:paraId="78644FAC" w14:textId="4E7728E8">
      <w:pPr>
        <w:pStyle w:val="Normal"/>
        <w:rPr>
          <w:b w:val="1"/>
          <w:bCs w:val="1"/>
          <w:sz w:val="22"/>
          <w:szCs w:val="22"/>
        </w:rPr>
      </w:pPr>
    </w:p>
    <w:p w:rsidR="50DFD505" w:rsidP="50DFD505" w:rsidRDefault="50DFD505" w14:paraId="582204D5" w14:textId="43AADFE3">
      <w:pPr>
        <w:pStyle w:val="Normal"/>
        <w:rPr>
          <w:b w:val="1"/>
          <w:bCs w:val="1"/>
          <w:sz w:val="22"/>
          <w:szCs w:val="22"/>
        </w:rPr>
      </w:pPr>
    </w:p>
    <w:p w:rsidR="50DFD505" w:rsidP="50DFD505" w:rsidRDefault="50DFD505" w14:paraId="7CA70BB2" w14:textId="2512FD8F">
      <w:pPr>
        <w:pStyle w:val="Normal"/>
        <w:rPr>
          <w:b w:val="1"/>
          <w:bCs w:val="1"/>
          <w:sz w:val="22"/>
          <w:szCs w:val="22"/>
        </w:rPr>
      </w:pPr>
    </w:p>
    <w:p w:rsidR="50DFD505" w:rsidP="50DFD505" w:rsidRDefault="50DFD505" w14:paraId="49485C34" w14:textId="53A94EAF">
      <w:pPr>
        <w:pStyle w:val="Normal"/>
        <w:rPr>
          <w:b w:val="1"/>
          <w:bCs w:val="1"/>
          <w:sz w:val="22"/>
          <w:szCs w:val="22"/>
        </w:rPr>
      </w:pPr>
    </w:p>
    <w:p w:rsidR="50DFD505" w:rsidP="50DFD505" w:rsidRDefault="50DFD505" w14:paraId="13559E2A" w14:textId="687AA9E6">
      <w:pPr>
        <w:pStyle w:val="Normal"/>
        <w:rPr>
          <w:b w:val="1"/>
          <w:bCs w:val="1"/>
          <w:sz w:val="22"/>
          <w:szCs w:val="22"/>
        </w:rPr>
      </w:pPr>
    </w:p>
    <w:p w:rsidR="50DFD505" w:rsidP="50DFD505" w:rsidRDefault="50DFD505" w14:paraId="4529AE8B" w14:textId="709D45BC">
      <w:pPr>
        <w:pStyle w:val="Normal"/>
        <w:rPr>
          <w:b w:val="1"/>
          <w:bCs w:val="1"/>
          <w:sz w:val="22"/>
          <w:szCs w:val="22"/>
        </w:rPr>
      </w:pPr>
    </w:p>
    <w:p w:rsidR="50DFD505" w:rsidP="50DFD505" w:rsidRDefault="50DFD505" w14:paraId="16C861BC" w14:textId="055AB6E7">
      <w:pPr>
        <w:pStyle w:val="Normal"/>
        <w:rPr>
          <w:b w:val="1"/>
          <w:bCs w:val="1"/>
          <w:sz w:val="22"/>
          <w:szCs w:val="22"/>
        </w:rPr>
      </w:pPr>
    </w:p>
    <w:p w:rsidR="50DFD505" w:rsidP="50DFD505" w:rsidRDefault="50DFD505" w14:paraId="5C0EAB8C" w14:textId="2CF1228F">
      <w:pPr>
        <w:pStyle w:val="Normal"/>
        <w:rPr>
          <w:b w:val="1"/>
          <w:bCs w:val="1"/>
          <w:sz w:val="22"/>
          <w:szCs w:val="22"/>
        </w:rPr>
      </w:pPr>
    </w:p>
    <w:p w:rsidR="50DFD505" w:rsidP="50DFD505" w:rsidRDefault="50DFD505" w14:paraId="29E6E43B" w14:textId="5BB6190B">
      <w:pPr>
        <w:pStyle w:val="Normal"/>
        <w:rPr>
          <w:b w:val="1"/>
          <w:bCs w:val="1"/>
          <w:sz w:val="22"/>
          <w:szCs w:val="22"/>
        </w:rPr>
      </w:pPr>
    </w:p>
    <w:p w:rsidR="50DFD505" w:rsidP="50DFD505" w:rsidRDefault="50DFD505" w14:paraId="6E63F444" w14:textId="389EBFDA">
      <w:pPr>
        <w:pStyle w:val="Normal"/>
        <w:rPr>
          <w:b w:val="1"/>
          <w:bCs w:val="1"/>
          <w:sz w:val="22"/>
          <w:szCs w:val="22"/>
        </w:rPr>
      </w:pPr>
    </w:p>
    <w:p w:rsidR="50DFD505" w:rsidP="50DFD505" w:rsidRDefault="50DFD505" w14:paraId="656351E2" w14:textId="33D14C5A">
      <w:pPr>
        <w:pStyle w:val="Normal"/>
        <w:rPr>
          <w:b w:val="1"/>
          <w:bCs w:val="1"/>
          <w:sz w:val="22"/>
          <w:szCs w:val="22"/>
        </w:rPr>
      </w:pPr>
    </w:p>
    <w:p w:rsidR="50DFD505" w:rsidP="50DFD505" w:rsidRDefault="50DFD505" w14:paraId="75A1250A" w14:textId="153923D1">
      <w:pPr>
        <w:pStyle w:val="Normal"/>
        <w:rPr>
          <w:b w:val="1"/>
          <w:bCs w:val="1"/>
          <w:sz w:val="22"/>
          <w:szCs w:val="22"/>
        </w:rPr>
      </w:pPr>
    </w:p>
    <w:p w:rsidR="50DFD505" w:rsidP="50DFD505" w:rsidRDefault="50DFD505" w14:paraId="2F00C57B" w14:textId="3F8772E5">
      <w:pPr>
        <w:pStyle w:val="Normal"/>
        <w:rPr>
          <w:b w:val="1"/>
          <w:bCs w:val="1"/>
          <w:sz w:val="22"/>
          <w:szCs w:val="22"/>
        </w:rPr>
      </w:pPr>
    </w:p>
    <w:p w:rsidR="50DFD505" w:rsidP="50DFD505" w:rsidRDefault="50DFD505" w14:paraId="2EFF09CA" w14:textId="5A7FE36E">
      <w:pPr>
        <w:pStyle w:val="Normal"/>
        <w:rPr>
          <w:b w:val="1"/>
          <w:bCs w:val="1"/>
          <w:sz w:val="22"/>
          <w:szCs w:val="22"/>
        </w:rPr>
      </w:pPr>
    </w:p>
    <w:p w:rsidR="50DFD505" w:rsidP="50DFD505" w:rsidRDefault="50DFD505" w14:paraId="3623785F" w14:textId="1239C074">
      <w:pPr>
        <w:pStyle w:val="Normal"/>
        <w:rPr>
          <w:b w:val="1"/>
          <w:bCs w:val="1"/>
          <w:sz w:val="22"/>
          <w:szCs w:val="22"/>
        </w:rPr>
      </w:pPr>
    </w:p>
    <w:p w:rsidR="50DFD505" w:rsidP="50DFD505" w:rsidRDefault="50DFD505" w14:paraId="320D9D66" w14:textId="3452A340">
      <w:pPr>
        <w:pStyle w:val="Normal"/>
        <w:rPr>
          <w:b w:val="1"/>
          <w:bCs w:val="1"/>
          <w:sz w:val="22"/>
          <w:szCs w:val="22"/>
        </w:rPr>
      </w:pPr>
    </w:p>
    <w:p w:rsidR="50DFD505" w:rsidP="50DFD505" w:rsidRDefault="50DFD505" w14:paraId="4483AF1A" w14:textId="224B7B48">
      <w:pPr>
        <w:pStyle w:val="Normal"/>
        <w:rPr>
          <w:b w:val="1"/>
          <w:bCs w:val="1"/>
          <w:sz w:val="22"/>
          <w:szCs w:val="22"/>
        </w:rPr>
      </w:pPr>
    </w:p>
    <w:p w:rsidR="50DFD505" w:rsidP="50DFD505" w:rsidRDefault="50DFD505" w14:paraId="789B1EF7" w14:textId="093A5440">
      <w:pPr>
        <w:pStyle w:val="Normal"/>
        <w:rPr>
          <w:b w:val="1"/>
          <w:bCs w:val="1"/>
          <w:sz w:val="22"/>
          <w:szCs w:val="22"/>
        </w:rPr>
      </w:pPr>
    </w:p>
    <w:p w:rsidR="50DFD505" w:rsidP="50DFD505" w:rsidRDefault="50DFD505" w14:paraId="029ED7EB" w14:textId="0F0DE556">
      <w:pPr>
        <w:pStyle w:val="Normal"/>
        <w:rPr>
          <w:b w:val="1"/>
          <w:bCs w:val="1"/>
          <w:sz w:val="22"/>
          <w:szCs w:val="22"/>
        </w:rPr>
      </w:pPr>
      <w:r w:rsidRPr="50DFD505" w:rsidR="50DFD505">
        <w:rPr>
          <w:b w:val="1"/>
          <w:bCs w:val="1"/>
          <w:sz w:val="22"/>
          <w:szCs w:val="22"/>
        </w:rPr>
        <w:t>References:</w:t>
      </w:r>
    </w:p>
    <w:p w:rsidR="50DFD505" w:rsidP="50DFD505" w:rsidRDefault="50DFD505" w14:paraId="3A3CAA0B" w14:textId="382F2619">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21"/>
          <w:szCs w:val="21"/>
          <w:lang w:val="en-GB"/>
        </w:rPr>
      </w:pPr>
    </w:p>
    <w:p w:rsidR="50DFD505" w:rsidP="50DFD505" w:rsidRDefault="50DFD505" w14:paraId="55BB14A9" w14:textId="629AA64C">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Holmes, O.W. and Pollock, F., (1961). </w:t>
      </w:r>
      <w:r w:rsidRPr="50DFD505" w:rsidR="50DFD50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Holmes-Pollock Letters: The Correspondence of Mr. Justice Holmes and Sir Frederick Pollock, 1874-1932</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Harvard University Press.</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50DFD505" w:rsidP="50DFD505" w:rsidRDefault="50DFD505" w14:paraId="4E4FD33C" w14:textId="009C117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Osuntogun</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J., (2018). Privity of Contract and </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Third Party</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Rights in the Twenty-First Century. </w:t>
      </w:r>
      <w:r w:rsidRPr="50DFD505" w:rsidR="50DFD50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 Gravitas Review of Business &amp; Property Law</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DFD505" w:rsidR="50DFD50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9</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(4), pp.46-61.</w:t>
      </w:r>
    </w:p>
    <w:p w:rsidR="50DFD505" w:rsidP="50DFD505" w:rsidRDefault="50DFD505" w14:paraId="0AF18225" w14:textId="3CD1930D">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Richards, P. (2019) </w:t>
      </w:r>
      <w:r w:rsidRPr="50DFD505" w:rsidR="50DFD50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Law of contract</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Fourteenth edition. Harlow, England: Pearson.</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50DFD505" w:rsidP="50DFD505" w:rsidRDefault="50DFD505" w14:paraId="02189E1B" w14:textId="3D5A3D8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Sapkota, L., (2020). The Position of Consideration in Nepal: A Study of Theories, Cases, and Laws. </w:t>
      </w:r>
      <w:r w:rsidRPr="50DFD505" w:rsidR="50DFD50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Kathmandu Sch. L. Rev.</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DFD505" w:rsidR="50DFD50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8</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p.35.</w:t>
      </w:r>
    </w:p>
    <w:p w:rsidR="50DFD505" w:rsidP="50DFD505" w:rsidRDefault="50DFD505" w14:paraId="3DAAD220" w14:textId="6D33EBC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Stoljar</w:t>
      </w:r>
      <w:proofErr w:type="spellEnd"/>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 (1956), The Great Case of Cutter v. </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Powell,</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DFD505" w:rsidR="50DFD50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Canadian Bar Review</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288, 1956 </w:t>
      </w:r>
      <w:proofErr w:type="spellStart"/>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CanLIIDocs</w:t>
      </w:r>
      <w:proofErr w:type="spellEnd"/>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53, &lt;https://canlii.ca/t/t5w5&gt;, retrieved on 2022-03-04</w:t>
      </w:r>
    </w:p>
    <w:p w:rsidR="50DFD505" w:rsidP="50DFD505" w:rsidRDefault="50DFD505" w14:paraId="7C1CECD5" w14:textId="2B86009D">
      <w:pPr>
        <w:pStyle w:val="Normal"/>
        <w:rPr>
          <w:b w:val="1"/>
          <w:bCs w:val="1"/>
          <w:color w:val="auto"/>
          <w:sz w:val="22"/>
          <w:szCs w:val="22"/>
        </w:rPr>
      </w:pPr>
    </w:p>
    <w:p w:rsidR="50DFD505" w:rsidP="50DFD505" w:rsidRDefault="50DFD505" w14:paraId="4CAC7498" w14:textId="2F7D4AA7">
      <w:pPr>
        <w:pStyle w:val="Normal"/>
        <w:rPr>
          <w:b w:val="1"/>
          <w:bCs w:val="1"/>
          <w:sz w:val="22"/>
          <w:szCs w:val="22"/>
        </w:rPr>
      </w:pPr>
    </w:p>
    <w:p w:rsidR="50DFD505" w:rsidP="50DFD505" w:rsidRDefault="50DFD505" w14:paraId="3B1D59F0" w14:textId="74BA0C22">
      <w:pPr>
        <w:pStyle w:val="Normal"/>
        <w:rPr>
          <w:rFonts w:ascii="Calibri" w:hAnsi="Calibri" w:eastAsia="Calibri" w:cs="Calibri" w:asciiTheme="minorAscii" w:hAnsiTheme="minorAscii" w:eastAsiaTheme="minorAscii" w:cstheme="minorAscii"/>
          <w:b w:val="0"/>
          <w:bCs w:val="0"/>
          <w:sz w:val="22"/>
          <w:szCs w:val="22"/>
        </w:rPr>
      </w:pPr>
      <w:r w:rsidRPr="50DFD505" w:rsidR="50DFD505">
        <w:rPr>
          <w:b w:val="1"/>
          <w:bCs w:val="1"/>
          <w:sz w:val="22"/>
          <w:szCs w:val="22"/>
        </w:rPr>
        <w:t>Case list:</w:t>
      </w:r>
    </w:p>
    <w:p w:rsidR="50DFD505" w:rsidP="50DFD505" w:rsidRDefault="50DFD505" w14:paraId="56BB97EA" w14:textId="509A619F">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Balfour v Balfour (1919) 2 KB 571</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1C660788" w14:textId="5495C701">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Brinkibon</w:t>
      </w:r>
      <w:r w:rsidRPr="50DFD505" w:rsidR="50DFD505">
        <w:rPr>
          <w:rFonts w:ascii="Calibri" w:hAnsi="Calibri" w:eastAsia="Calibri" w:cs="Calibri" w:asciiTheme="minorAscii" w:hAnsiTheme="minorAscii" w:eastAsiaTheme="minorAscii" w:cstheme="minorAscii"/>
          <w:b w:val="0"/>
          <w:bCs w:val="0"/>
          <w:sz w:val="22"/>
          <w:szCs w:val="22"/>
        </w:rPr>
        <w:t xml:space="preserve"> Ltd v </w:t>
      </w:r>
      <w:proofErr w:type="spellStart"/>
      <w:r w:rsidRPr="50DFD505" w:rsidR="50DFD505">
        <w:rPr>
          <w:rFonts w:ascii="Calibri" w:hAnsi="Calibri" w:eastAsia="Calibri" w:cs="Calibri" w:asciiTheme="minorAscii" w:hAnsiTheme="minorAscii" w:eastAsiaTheme="minorAscii" w:cstheme="minorAscii"/>
          <w:b w:val="0"/>
          <w:bCs w:val="0"/>
          <w:sz w:val="22"/>
          <w:szCs w:val="22"/>
        </w:rPr>
        <w:t>Stahag</w:t>
      </w:r>
      <w:proofErr w:type="spellEnd"/>
      <w:r w:rsidRPr="50DFD505" w:rsidR="50DFD505">
        <w:rPr>
          <w:rFonts w:ascii="Calibri" w:hAnsi="Calibri" w:eastAsia="Calibri" w:cs="Calibri" w:asciiTheme="minorAscii" w:hAnsiTheme="minorAscii" w:eastAsiaTheme="minorAscii" w:cstheme="minorAscii"/>
          <w:b w:val="0"/>
          <w:bCs w:val="0"/>
          <w:sz w:val="22"/>
          <w:szCs w:val="22"/>
        </w:rPr>
        <w:t xml:space="preserve"> Stahl und </w:t>
      </w:r>
      <w:proofErr w:type="spellStart"/>
      <w:r w:rsidRPr="50DFD505" w:rsidR="50DFD505">
        <w:rPr>
          <w:rFonts w:ascii="Calibri" w:hAnsi="Calibri" w:eastAsia="Calibri" w:cs="Calibri" w:asciiTheme="minorAscii" w:hAnsiTheme="minorAscii" w:eastAsiaTheme="minorAscii" w:cstheme="minorAscii"/>
          <w:b w:val="0"/>
          <w:bCs w:val="0"/>
          <w:sz w:val="22"/>
          <w:szCs w:val="22"/>
        </w:rPr>
        <w:t>Stahlwarenhandelsgesellschaft</w:t>
      </w:r>
      <w:proofErr w:type="spellEnd"/>
      <w:r w:rsidRPr="50DFD505" w:rsidR="50DFD505">
        <w:rPr>
          <w:rFonts w:ascii="Calibri" w:hAnsi="Calibri" w:eastAsia="Calibri" w:cs="Calibri" w:asciiTheme="minorAscii" w:hAnsiTheme="minorAscii" w:eastAsiaTheme="minorAscii" w:cstheme="minorAscii"/>
          <w:b w:val="0"/>
          <w:bCs w:val="0"/>
          <w:sz w:val="22"/>
          <w:szCs w:val="22"/>
        </w:rPr>
        <w:t xml:space="preserve"> GmbH (1983) 2 AC 34</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401526CF" w:rsidP="50DFD505" w:rsidRDefault="401526CF" w14:paraId="475817BD" w14:textId="737346AE">
      <w:pPr>
        <w:pStyle w:val="Normal"/>
        <w:rPr>
          <w:rFonts w:ascii="Calibri" w:hAnsi="Calibri" w:eastAsia="Calibri" w:cs="Calibri" w:asciiTheme="minorAscii" w:hAnsiTheme="minorAscii" w:eastAsiaTheme="minorAscii" w:cstheme="minorAscii"/>
          <w:b w:val="0"/>
          <w:bCs w:val="0"/>
          <w:sz w:val="22"/>
          <w:szCs w:val="22"/>
        </w:rPr>
      </w:pPr>
      <w:r w:rsidRPr="50DFD505" w:rsidR="401526CF">
        <w:rPr>
          <w:rFonts w:ascii="Calibri" w:hAnsi="Calibri" w:eastAsia="Calibri" w:cs="Calibri" w:asciiTheme="minorAscii" w:hAnsiTheme="minorAscii" w:eastAsiaTheme="minorAscii" w:cstheme="minorAscii"/>
          <w:b w:val="0"/>
          <w:bCs w:val="0"/>
          <w:sz w:val="22"/>
          <w:szCs w:val="22"/>
        </w:rPr>
        <w:t>Brogden v Metropolitan Railway Co (1877) 2 App Cas 666</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68F95B6B" w14:textId="0421D74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Contracts (Rights of Third Parties) Act 1999</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w:t>
      </w:r>
    </w:p>
    <w:p w:rsidR="50DFD505" w:rsidP="50DFD505" w:rsidRDefault="50DFD505" w14:paraId="0AD8B71F" w14:textId="0EED1CEE">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Currie v Misa (1875) LR 10 Ex 153</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7A4ABF39" w14:textId="49D73D5B">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Electronic</w:t>
      </w:r>
      <w:r w:rsidRPr="50DFD505" w:rsidR="50DFD505">
        <w:rPr>
          <w:rFonts w:ascii="Calibri" w:hAnsi="Calibri" w:eastAsia="Calibri" w:cs="Calibri" w:asciiTheme="minorAscii" w:hAnsiTheme="minorAscii" w:eastAsiaTheme="minorAscii" w:cstheme="minorAscii"/>
          <w:b w:val="0"/>
          <w:bCs w:val="0"/>
          <w:sz w:val="22"/>
          <w:szCs w:val="22"/>
        </w:rPr>
        <w:t xml:space="preserve"> Commerce (EC Directive) Regulations 2002, reg 11</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30C1D393" w14:textId="677D47DC">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Gibson v Manchester City Council (1979) 1 A11 ER 972</w:t>
      </w:r>
    </w:p>
    <w:p w:rsidR="50DFD505" w:rsidP="50DFD505" w:rsidRDefault="50DFD505" w14:paraId="4DFBE34B" w14:textId="5A59ED9B">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Henthorn v F</w:t>
      </w:r>
      <w:r w:rsidRPr="50DFD505" w:rsidR="50DFD505">
        <w:rPr>
          <w:rFonts w:ascii="Calibri" w:hAnsi="Calibri" w:eastAsia="Calibri" w:cs="Calibri" w:asciiTheme="minorAscii" w:hAnsiTheme="minorAscii" w:eastAsiaTheme="minorAscii" w:cstheme="minorAscii"/>
          <w:b w:val="0"/>
          <w:bCs w:val="0"/>
          <w:sz w:val="22"/>
          <w:szCs w:val="22"/>
        </w:rPr>
        <w:t>raser</w:t>
      </w:r>
      <w:r w:rsidRPr="50DFD505" w:rsidR="50DFD505">
        <w:rPr>
          <w:rFonts w:ascii="Calibri" w:hAnsi="Calibri" w:eastAsia="Calibri" w:cs="Calibri" w:asciiTheme="minorAscii" w:hAnsiTheme="minorAscii" w:eastAsiaTheme="minorAscii" w:cstheme="minorAscii"/>
          <w:b w:val="0"/>
          <w:bCs w:val="0"/>
          <w:sz w:val="22"/>
          <w:szCs w:val="22"/>
        </w:rPr>
        <w:t xml:space="preserve"> (1892) 2 CH 27</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6C0C93B4" w14:textId="3811D995">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Holwell Securities v H</w:t>
      </w:r>
      <w:r w:rsidRPr="50DFD505" w:rsidR="50DFD505">
        <w:rPr>
          <w:rFonts w:ascii="Calibri" w:hAnsi="Calibri" w:eastAsia="Calibri" w:cs="Calibri" w:asciiTheme="minorAscii" w:hAnsiTheme="minorAscii" w:eastAsiaTheme="minorAscii" w:cstheme="minorAscii"/>
          <w:b w:val="0"/>
          <w:bCs w:val="0"/>
          <w:sz w:val="22"/>
          <w:szCs w:val="22"/>
        </w:rPr>
        <w:t>ughes</w:t>
      </w:r>
      <w:r w:rsidRPr="50DFD505" w:rsidR="50DFD505">
        <w:rPr>
          <w:rFonts w:ascii="Calibri" w:hAnsi="Calibri" w:eastAsia="Calibri" w:cs="Calibri" w:asciiTheme="minorAscii" w:hAnsiTheme="minorAscii" w:eastAsiaTheme="minorAscii" w:cstheme="minorAscii"/>
          <w:b w:val="0"/>
          <w:bCs w:val="0"/>
          <w:sz w:val="22"/>
          <w:szCs w:val="22"/>
        </w:rPr>
        <w:t xml:space="preserve"> (1974) 1 WLR 155</w:t>
      </w:r>
    </w:p>
    <w:p w:rsidR="50DFD505" w:rsidP="50DFD505" w:rsidRDefault="50DFD505" w14:paraId="636651D3" w14:textId="71C0484E">
      <w:pPr>
        <w:pStyle w:val="Normal"/>
        <w:spacing w:after="160" w:line="259" w:lineRule="auto"/>
        <w:ind w:left="0"/>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Hong Kong Fir Shipping Co Ltd v Kawasaki Kisen Kaisha Ltd 1962) 1 A11 ER 474</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56451442" w14:textId="2170D302">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Household Fire and Carriage Accident Insurance Co v Grant (1879) 4 EX D 216</w:t>
      </w:r>
    </w:p>
    <w:p w:rsidR="50DFD505" w:rsidP="50DFD505" w:rsidRDefault="50DFD505" w14:paraId="1CE7073C" w14:textId="7292B909">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 xml:space="preserve">Hyde v Wrench (1840) 3 </w:t>
      </w:r>
      <w:proofErr w:type="spellStart"/>
      <w:r w:rsidRPr="50DFD505" w:rsidR="50DFD505">
        <w:rPr>
          <w:rFonts w:ascii="Calibri" w:hAnsi="Calibri" w:eastAsia="Calibri" w:cs="Calibri" w:asciiTheme="minorAscii" w:hAnsiTheme="minorAscii" w:eastAsiaTheme="minorAscii" w:cstheme="minorAscii"/>
          <w:b w:val="0"/>
          <w:bCs w:val="0"/>
          <w:sz w:val="22"/>
          <w:szCs w:val="22"/>
        </w:rPr>
        <w:t>Beav</w:t>
      </w:r>
      <w:proofErr w:type="spellEnd"/>
      <w:r w:rsidRPr="50DFD505" w:rsidR="50DFD505">
        <w:rPr>
          <w:rFonts w:ascii="Calibri" w:hAnsi="Calibri" w:eastAsia="Calibri" w:cs="Calibri" w:asciiTheme="minorAscii" w:hAnsiTheme="minorAscii" w:eastAsiaTheme="minorAscii" w:cstheme="minorAscii"/>
          <w:b w:val="0"/>
          <w:bCs w:val="0"/>
          <w:sz w:val="22"/>
          <w:szCs w:val="22"/>
        </w:rPr>
        <w:t xml:space="preserve"> 334</w:t>
      </w:r>
    </w:p>
    <w:p w:rsidR="50DFD505" w:rsidP="50DFD505" w:rsidRDefault="50DFD505" w14:paraId="1B9AD45C" w14:textId="0F92DC4B">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Jackson v Horizon Holidays Ltd (1975) 1 WLR</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26EB7510" w14:textId="6306536A">
      <w:pPr>
        <w:pStyle w:val="Normal"/>
        <w:ind w:left="0"/>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Kennedy v Lee (1817) 147 Calc. 596</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73C103C8" w14:textId="3953D8AB">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Lampleigh</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 Braithwait (1615) Hob 105</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5D5C3FB5" w14:textId="5EFE944D">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noProof w:val="0"/>
          <w:sz w:val="22"/>
          <w:szCs w:val="22"/>
          <w:lang w:val="en-GB"/>
        </w:rPr>
        <w:t>Partridge v Crittenden (1968) 2 A11 ER 421</w:t>
      </w:r>
    </w:p>
    <w:p w:rsidR="50DFD505" w:rsidP="50DFD505" w:rsidRDefault="50DFD505" w14:paraId="20C83B34" w14:textId="321AE4C9">
      <w:pPr>
        <w:pStyle w:val="Normal"/>
        <w:rPr>
          <w:rFonts w:ascii="Calibri" w:hAnsi="Calibri" w:eastAsia="Calibri" w:cs="Calibri" w:asciiTheme="minorAscii" w:hAnsiTheme="minorAscii" w:eastAsiaTheme="minorAscii" w:cstheme="minorAscii"/>
          <w:b w:val="0"/>
          <w:bCs w:val="0"/>
          <w:noProof w:val="0"/>
          <w:sz w:val="22"/>
          <w:szCs w:val="22"/>
          <w:lang w:val="en-GB"/>
        </w:rPr>
      </w:pPr>
      <w:r w:rsidRPr="50DFD505" w:rsidR="50DFD505">
        <w:rPr>
          <w:rFonts w:ascii="Calibri" w:hAnsi="Calibri" w:eastAsia="Calibri" w:cs="Calibri" w:asciiTheme="minorAscii" w:hAnsiTheme="minorAscii" w:eastAsiaTheme="minorAscii" w:cstheme="minorAscii"/>
          <w:b w:val="0"/>
          <w:bCs w:val="0"/>
          <w:noProof w:val="0"/>
          <w:sz w:val="22"/>
          <w:szCs w:val="22"/>
          <w:lang w:val="en-GB"/>
        </w:rPr>
        <w:t>Re McArdle (1951) Ch 669</w:t>
      </w:r>
    </w:p>
    <w:p w:rsidR="50DFD505" w:rsidP="50DFD505" w:rsidRDefault="50DFD505" w14:paraId="37F8D1AF" w14:textId="0EAC5E1E">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Roscorla v Thomas (1842) 3 QB 234</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382CB210" w14:textId="1528E6E7">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 xml:space="preserve">RTS Flexible Systems Ltd v </w:t>
      </w:r>
      <w:proofErr w:type="spellStart"/>
      <w:r w:rsidRPr="50DFD505" w:rsidR="50DFD505">
        <w:rPr>
          <w:rFonts w:ascii="Calibri" w:hAnsi="Calibri" w:eastAsia="Calibri" w:cs="Calibri" w:asciiTheme="minorAscii" w:hAnsiTheme="minorAscii" w:eastAsiaTheme="minorAscii" w:cstheme="minorAscii"/>
          <w:b w:val="0"/>
          <w:bCs w:val="0"/>
          <w:sz w:val="22"/>
          <w:szCs w:val="22"/>
        </w:rPr>
        <w:t>Molkerei</w:t>
      </w:r>
      <w:proofErr w:type="spellEnd"/>
      <w:r w:rsidRPr="50DFD505" w:rsidR="50DFD505">
        <w:rPr>
          <w:rFonts w:ascii="Calibri" w:hAnsi="Calibri" w:eastAsia="Calibri" w:cs="Calibri" w:asciiTheme="minorAscii" w:hAnsiTheme="minorAscii" w:eastAsiaTheme="minorAscii" w:cstheme="minorAscii"/>
          <w:b w:val="0"/>
          <w:bCs w:val="0"/>
          <w:sz w:val="22"/>
          <w:szCs w:val="22"/>
        </w:rPr>
        <w:t xml:space="preserve"> Alois Muller GmbH &amp; Co KG (2010) UKSC 14</w:t>
      </w:r>
    </w:p>
    <w:p w:rsidR="50DFD505" w:rsidP="50DFD505" w:rsidRDefault="50DFD505" w14:paraId="3883C7BA" w14:textId="46BBFDE5">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Startup</w:t>
      </w: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 Macdonald (1843) 6 Man &amp; G 593</w:t>
      </w:r>
      <w:r w:rsidRPr="50DFD505" w:rsidR="50DFD505">
        <w:rPr>
          <w:rFonts w:ascii="Calibri" w:hAnsi="Calibri" w:eastAsia="Calibri" w:cs="Calibri" w:asciiTheme="minorAscii" w:hAnsiTheme="minorAscii" w:eastAsiaTheme="minorAscii" w:cstheme="minorAscii"/>
          <w:b w:val="0"/>
          <w:bCs w:val="0"/>
          <w:sz w:val="22"/>
          <w:szCs w:val="22"/>
        </w:rPr>
        <w:t xml:space="preserve"> </w:t>
      </w:r>
    </w:p>
    <w:p w:rsidR="50DFD505" w:rsidP="50DFD505" w:rsidRDefault="50DFD505" w14:paraId="5CAC4223" w14:textId="2D0323E6">
      <w:pPr>
        <w:pStyle w:val="Normal"/>
        <w:rPr>
          <w:rFonts w:ascii="Calibri" w:hAnsi="Calibri" w:eastAsia="Calibri" w:cs="Calibri" w:asciiTheme="minorAscii" w:hAnsiTheme="minorAscii" w:eastAsiaTheme="minorAscii" w:cstheme="minorAscii"/>
          <w:b w:val="0"/>
          <w:bCs w:val="0"/>
          <w:sz w:val="22"/>
          <w:szCs w:val="22"/>
        </w:rPr>
      </w:pPr>
      <w:r w:rsidRPr="50DFD505" w:rsidR="50DFD505">
        <w:rPr>
          <w:rFonts w:ascii="Calibri" w:hAnsi="Calibri" w:eastAsia="Calibri" w:cs="Calibri" w:asciiTheme="minorAscii" w:hAnsiTheme="minorAscii" w:eastAsiaTheme="minorAscii" w:cstheme="minorAscii"/>
          <w:b w:val="0"/>
          <w:bCs w:val="0"/>
          <w:sz w:val="22"/>
          <w:szCs w:val="22"/>
        </w:rPr>
        <w:t xml:space="preserve">Stevenson Jaques &amp; Co v Mclean (1880) 5 QBD 346 </w:t>
      </w:r>
    </w:p>
    <w:p w:rsidR="50DFD505" w:rsidP="50DFD505" w:rsidRDefault="50DFD505" w14:paraId="32FBE081" w14:textId="7216C98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0DFD505" w:rsidR="50DFD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Tweedle v Atkinson (1861) 1 B &amp; S 393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e46Mw9Yb+PLPuV" id="PTddbfFB"/>
  </int:Manifest>
  <int:Observations>
    <int:Content id="PTddbfFB">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690FE7"/>
    <w:rsid w:val="0018AE20"/>
    <w:rsid w:val="002EE52E"/>
    <w:rsid w:val="003A67E6"/>
    <w:rsid w:val="0067D5E2"/>
    <w:rsid w:val="0107B64E"/>
    <w:rsid w:val="0123BCDD"/>
    <w:rsid w:val="013588B1"/>
    <w:rsid w:val="014C224B"/>
    <w:rsid w:val="01A47833"/>
    <w:rsid w:val="01C60254"/>
    <w:rsid w:val="01DB6346"/>
    <w:rsid w:val="0207D308"/>
    <w:rsid w:val="02899762"/>
    <w:rsid w:val="0292A8B5"/>
    <w:rsid w:val="031238C8"/>
    <w:rsid w:val="03576288"/>
    <w:rsid w:val="037733A7"/>
    <w:rsid w:val="03A3A369"/>
    <w:rsid w:val="047EC3AF"/>
    <w:rsid w:val="0490E3E3"/>
    <w:rsid w:val="04CF4915"/>
    <w:rsid w:val="0523B33A"/>
    <w:rsid w:val="0573569A"/>
    <w:rsid w:val="05982D7F"/>
    <w:rsid w:val="06019BFC"/>
    <w:rsid w:val="067F1C2A"/>
    <w:rsid w:val="068F52A8"/>
    <w:rsid w:val="06A8A26D"/>
    <w:rsid w:val="06A9A96A"/>
    <w:rsid w:val="06B868DB"/>
    <w:rsid w:val="06BE1527"/>
    <w:rsid w:val="06DF4B5B"/>
    <w:rsid w:val="06EFE6AD"/>
    <w:rsid w:val="074115AD"/>
    <w:rsid w:val="074AC721"/>
    <w:rsid w:val="07748F5A"/>
    <w:rsid w:val="082B2309"/>
    <w:rsid w:val="085125F7"/>
    <w:rsid w:val="0922E2BB"/>
    <w:rsid w:val="09418F58"/>
    <w:rsid w:val="094EA49A"/>
    <w:rsid w:val="09762911"/>
    <w:rsid w:val="09B6BCEC"/>
    <w:rsid w:val="09C6A40C"/>
    <w:rsid w:val="09F0099D"/>
    <w:rsid w:val="09FF5B1D"/>
    <w:rsid w:val="0A70DC00"/>
    <w:rsid w:val="0A84923D"/>
    <w:rsid w:val="0B62746D"/>
    <w:rsid w:val="0BAB84A8"/>
    <w:rsid w:val="0BFEE94F"/>
    <w:rsid w:val="0C08B5DA"/>
    <w:rsid w:val="0C2D67C3"/>
    <w:rsid w:val="0C86455C"/>
    <w:rsid w:val="0C9391FF"/>
    <w:rsid w:val="0CC5FEED"/>
    <w:rsid w:val="0CF1D21F"/>
    <w:rsid w:val="0D7C24A4"/>
    <w:rsid w:val="0E29FC56"/>
    <w:rsid w:val="0E391FBE"/>
    <w:rsid w:val="0E762B5B"/>
    <w:rsid w:val="0EBCA8D5"/>
    <w:rsid w:val="0ED07458"/>
    <w:rsid w:val="0F18E338"/>
    <w:rsid w:val="0F2DF369"/>
    <w:rsid w:val="0F3CB0A9"/>
    <w:rsid w:val="0F62268D"/>
    <w:rsid w:val="0FA87E42"/>
    <w:rsid w:val="1095CCD4"/>
    <w:rsid w:val="10C022F6"/>
    <w:rsid w:val="10F1A967"/>
    <w:rsid w:val="111E7C28"/>
    <w:rsid w:val="11BA9BFD"/>
    <w:rsid w:val="11EE5640"/>
    <w:rsid w:val="124F95C7"/>
    <w:rsid w:val="13307421"/>
    <w:rsid w:val="1387B149"/>
    <w:rsid w:val="138A26A1"/>
    <w:rsid w:val="13F750CC"/>
    <w:rsid w:val="1449D09C"/>
    <w:rsid w:val="144CA760"/>
    <w:rsid w:val="14C4DF95"/>
    <w:rsid w:val="14F9CB90"/>
    <w:rsid w:val="15752691"/>
    <w:rsid w:val="15A1D137"/>
    <w:rsid w:val="15CF2E77"/>
    <w:rsid w:val="15E8BF28"/>
    <w:rsid w:val="163748E1"/>
    <w:rsid w:val="1667F572"/>
    <w:rsid w:val="168DAE6B"/>
    <w:rsid w:val="16BEEF23"/>
    <w:rsid w:val="16DB236B"/>
    <w:rsid w:val="176AFED8"/>
    <w:rsid w:val="17848F89"/>
    <w:rsid w:val="178DBDAC"/>
    <w:rsid w:val="18297ECC"/>
    <w:rsid w:val="18D2A8CB"/>
    <w:rsid w:val="193B632A"/>
    <w:rsid w:val="199AA6C9"/>
    <w:rsid w:val="19A782BF"/>
    <w:rsid w:val="19BD8219"/>
    <w:rsid w:val="19CD3CB3"/>
    <w:rsid w:val="1A1C5B5C"/>
    <w:rsid w:val="1A3FAB70"/>
    <w:rsid w:val="1A419051"/>
    <w:rsid w:val="1ABC304B"/>
    <w:rsid w:val="1B1C1AE0"/>
    <w:rsid w:val="1B3B8606"/>
    <w:rsid w:val="1BAE948E"/>
    <w:rsid w:val="1C51F7C9"/>
    <w:rsid w:val="1C6945F1"/>
    <w:rsid w:val="1C7D4E97"/>
    <w:rsid w:val="1CD96205"/>
    <w:rsid w:val="1D001A60"/>
    <w:rsid w:val="1D218FB9"/>
    <w:rsid w:val="1D45BBAF"/>
    <w:rsid w:val="1DAA474A"/>
    <w:rsid w:val="1DDFA3EF"/>
    <w:rsid w:val="1DEF032E"/>
    <w:rsid w:val="1E08A251"/>
    <w:rsid w:val="1E1C28D0"/>
    <w:rsid w:val="1E3564A1"/>
    <w:rsid w:val="1E54106F"/>
    <w:rsid w:val="1ED2CC9F"/>
    <w:rsid w:val="1F2E259B"/>
    <w:rsid w:val="1F66E9BB"/>
    <w:rsid w:val="1F749784"/>
    <w:rsid w:val="1F9473DD"/>
    <w:rsid w:val="201510F5"/>
    <w:rsid w:val="20193E40"/>
    <w:rsid w:val="2049D63E"/>
    <w:rsid w:val="204D0BF4"/>
    <w:rsid w:val="20C9F5FC"/>
    <w:rsid w:val="2117EBC0"/>
    <w:rsid w:val="2186ECC7"/>
    <w:rsid w:val="21B50EA1"/>
    <w:rsid w:val="21EC568E"/>
    <w:rsid w:val="2238D77C"/>
    <w:rsid w:val="229E8A7D"/>
    <w:rsid w:val="22EA32F6"/>
    <w:rsid w:val="2322BD28"/>
    <w:rsid w:val="2350DF02"/>
    <w:rsid w:val="236EFE92"/>
    <w:rsid w:val="237F24F3"/>
    <w:rsid w:val="23EE2BD9"/>
    <w:rsid w:val="24097778"/>
    <w:rsid w:val="24264596"/>
    <w:rsid w:val="244F8C82"/>
    <w:rsid w:val="251AB5B7"/>
    <w:rsid w:val="25351435"/>
    <w:rsid w:val="25C215F7"/>
    <w:rsid w:val="25CF2425"/>
    <w:rsid w:val="267805EB"/>
    <w:rsid w:val="26887FC4"/>
    <w:rsid w:val="268DF34D"/>
    <w:rsid w:val="26A69F54"/>
    <w:rsid w:val="27D1A177"/>
    <w:rsid w:val="27D2CC9E"/>
    <w:rsid w:val="28601A14"/>
    <w:rsid w:val="28E04797"/>
    <w:rsid w:val="28E0900A"/>
    <w:rsid w:val="294E5624"/>
    <w:rsid w:val="297197F0"/>
    <w:rsid w:val="29C02086"/>
    <w:rsid w:val="2A088558"/>
    <w:rsid w:val="2AB4D312"/>
    <w:rsid w:val="2AC786C8"/>
    <w:rsid w:val="2AE2827E"/>
    <w:rsid w:val="2AF019DC"/>
    <w:rsid w:val="2B094239"/>
    <w:rsid w:val="2B7A1077"/>
    <w:rsid w:val="2CFD34D1"/>
    <w:rsid w:val="2D0BF211"/>
    <w:rsid w:val="2DE6CC8A"/>
    <w:rsid w:val="2E007F4D"/>
    <w:rsid w:val="2E857402"/>
    <w:rsid w:val="2EB1B139"/>
    <w:rsid w:val="2EF0DE5C"/>
    <w:rsid w:val="2F1C1D40"/>
    <w:rsid w:val="2F690FE7"/>
    <w:rsid w:val="2F7DB504"/>
    <w:rsid w:val="2F7E1670"/>
    <w:rsid w:val="2FF4B761"/>
    <w:rsid w:val="303971DD"/>
    <w:rsid w:val="303F1831"/>
    <w:rsid w:val="30CEE325"/>
    <w:rsid w:val="30E2663A"/>
    <w:rsid w:val="30E8074C"/>
    <w:rsid w:val="3114143A"/>
    <w:rsid w:val="315F5B60"/>
    <w:rsid w:val="31DAE892"/>
    <w:rsid w:val="321C302F"/>
    <w:rsid w:val="3248D11A"/>
    <w:rsid w:val="3283D7AD"/>
    <w:rsid w:val="32B97050"/>
    <w:rsid w:val="32BEF55E"/>
    <w:rsid w:val="32C96BAD"/>
    <w:rsid w:val="337B3395"/>
    <w:rsid w:val="3482FEC4"/>
    <w:rsid w:val="3489CA66"/>
    <w:rsid w:val="3497B1FC"/>
    <w:rsid w:val="34E18A81"/>
    <w:rsid w:val="34F4B586"/>
    <w:rsid w:val="351E448C"/>
    <w:rsid w:val="355818F4"/>
    <w:rsid w:val="35B2435C"/>
    <w:rsid w:val="35E29C16"/>
    <w:rsid w:val="35E7855D"/>
    <w:rsid w:val="361ECF25"/>
    <w:rsid w:val="3691FCD8"/>
    <w:rsid w:val="36B2D457"/>
    <w:rsid w:val="373E24A9"/>
    <w:rsid w:val="37628886"/>
    <w:rsid w:val="378355BE"/>
    <w:rsid w:val="3797F697"/>
    <w:rsid w:val="379CDCD0"/>
    <w:rsid w:val="37A53E94"/>
    <w:rsid w:val="3842F200"/>
    <w:rsid w:val="384EA4B8"/>
    <w:rsid w:val="38AC05D4"/>
    <w:rsid w:val="38E51456"/>
    <w:rsid w:val="38F31931"/>
    <w:rsid w:val="38FE58E7"/>
    <w:rsid w:val="38FF4C2A"/>
    <w:rsid w:val="391AFB0B"/>
    <w:rsid w:val="3A0DB556"/>
    <w:rsid w:val="3A122FE4"/>
    <w:rsid w:val="3ACB5B83"/>
    <w:rsid w:val="3AE176E4"/>
    <w:rsid w:val="3B4BE05D"/>
    <w:rsid w:val="3B58B2FA"/>
    <w:rsid w:val="3B8E3300"/>
    <w:rsid w:val="3B9353A8"/>
    <w:rsid w:val="3C1CB518"/>
    <w:rsid w:val="3C1CB518"/>
    <w:rsid w:val="3C801A13"/>
    <w:rsid w:val="3CA20E07"/>
    <w:rsid w:val="3D7F76F7"/>
    <w:rsid w:val="3D9C975A"/>
    <w:rsid w:val="3DC7306B"/>
    <w:rsid w:val="3E0C1E54"/>
    <w:rsid w:val="3E29E10A"/>
    <w:rsid w:val="3E2C7C0D"/>
    <w:rsid w:val="3E944D51"/>
    <w:rsid w:val="3EA1181E"/>
    <w:rsid w:val="3EC5D3C2"/>
    <w:rsid w:val="3F1DD804"/>
    <w:rsid w:val="3F3867BB"/>
    <w:rsid w:val="3F6FBB33"/>
    <w:rsid w:val="3F987776"/>
    <w:rsid w:val="3FC525C6"/>
    <w:rsid w:val="3FC5B16B"/>
    <w:rsid w:val="3FD9AEC9"/>
    <w:rsid w:val="3FEBB6B4"/>
    <w:rsid w:val="401526CF"/>
    <w:rsid w:val="403077C1"/>
    <w:rsid w:val="40596FD8"/>
    <w:rsid w:val="409E29B7"/>
    <w:rsid w:val="40B9A865"/>
    <w:rsid w:val="40E0DA6D"/>
    <w:rsid w:val="416181CC"/>
    <w:rsid w:val="41B711EF"/>
    <w:rsid w:val="41E51670"/>
    <w:rsid w:val="41E8B8F6"/>
    <w:rsid w:val="42FD522D"/>
    <w:rsid w:val="430AF697"/>
    <w:rsid w:val="431D6828"/>
    <w:rsid w:val="439944E5"/>
    <w:rsid w:val="43D5CA79"/>
    <w:rsid w:val="440151FD"/>
    <w:rsid w:val="4455679B"/>
    <w:rsid w:val="446BE899"/>
    <w:rsid w:val="4496F69F"/>
    <w:rsid w:val="44BD68CC"/>
    <w:rsid w:val="44BF06FB"/>
    <w:rsid w:val="44F74247"/>
    <w:rsid w:val="45351546"/>
    <w:rsid w:val="4546CC6E"/>
    <w:rsid w:val="45942FFC"/>
    <w:rsid w:val="45F1188B"/>
    <w:rsid w:val="45F137FC"/>
    <w:rsid w:val="464DD8E1"/>
    <w:rsid w:val="46644684"/>
    <w:rsid w:val="46BB7EBE"/>
    <w:rsid w:val="46D0E5A7"/>
    <w:rsid w:val="486C6F43"/>
    <w:rsid w:val="4887C1B4"/>
    <w:rsid w:val="48C87FF1"/>
    <w:rsid w:val="493549E9"/>
    <w:rsid w:val="4952DFAF"/>
    <w:rsid w:val="49731210"/>
    <w:rsid w:val="4A6DAB27"/>
    <w:rsid w:val="4B0F51B0"/>
    <w:rsid w:val="4B1EBF50"/>
    <w:rsid w:val="4B5599CE"/>
    <w:rsid w:val="4BA630CD"/>
    <w:rsid w:val="4BAB9760"/>
    <w:rsid w:val="4BD1298B"/>
    <w:rsid w:val="4C3FEC36"/>
    <w:rsid w:val="4D02542C"/>
    <w:rsid w:val="4D1463E4"/>
    <w:rsid w:val="4D610C53"/>
    <w:rsid w:val="4D6CF9EC"/>
    <w:rsid w:val="4D782647"/>
    <w:rsid w:val="4E218CAE"/>
    <w:rsid w:val="4E6F6E7B"/>
    <w:rsid w:val="4E9E248D"/>
    <w:rsid w:val="4EDBF78C"/>
    <w:rsid w:val="4EFCDCB4"/>
    <w:rsid w:val="4F08CA4D"/>
    <w:rsid w:val="4F194BB0"/>
    <w:rsid w:val="4F4404A4"/>
    <w:rsid w:val="4F5E0E95"/>
    <w:rsid w:val="4FA10FB8"/>
    <w:rsid w:val="4FBD5D0F"/>
    <w:rsid w:val="4FEFB99A"/>
    <w:rsid w:val="4FF982B8"/>
    <w:rsid w:val="50531915"/>
    <w:rsid w:val="50778128"/>
    <w:rsid w:val="5088B1B8"/>
    <w:rsid w:val="50DFD505"/>
    <w:rsid w:val="51299CE4"/>
    <w:rsid w:val="513CE019"/>
    <w:rsid w:val="513EA264"/>
    <w:rsid w:val="51C2FF31"/>
    <w:rsid w:val="51C682B6"/>
    <w:rsid w:val="5220A67C"/>
    <w:rsid w:val="52326F0D"/>
    <w:rsid w:val="52D8B07A"/>
    <w:rsid w:val="52F821AB"/>
    <w:rsid w:val="53D04DD7"/>
    <w:rsid w:val="54020DEB"/>
    <w:rsid w:val="540F6FAA"/>
    <w:rsid w:val="54587CD4"/>
    <w:rsid w:val="54657FB4"/>
    <w:rsid w:val="547480DB"/>
    <w:rsid w:val="54ECEA09"/>
    <w:rsid w:val="5531C9EE"/>
    <w:rsid w:val="555AB090"/>
    <w:rsid w:val="556A5F2D"/>
    <w:rsid w:val="5575CF56"/>
    <w:rsid w:val="55C31A47"/>
    <w:rsid w:val="55F44D35"/>
    <w:rsid w:val="5610513C"/>
    <w:rsid w:val="56297999"/>
    <w:rsid w:val="562FC26D"/>
    <w:rsid w:val="5679128E"/>
    <w:rsid w:val="56835AC5"/>
    <w:rsid w:val="570E6DF1"/>
    <w:rsid w:val="5719DC12"/>
    <w:rsid w:val="5739AEAD"/>
    <w:rsid w:val="578C0F68"/>
    <w:rsid w:val="57989938"/>
    <w:rsid w:val="57CB92CE"/>
    <w:rsid w:val="57F40B70"/>
    <w:rsid w:val="580637CE"/>
    <w:rsid w:val="5829B11F"/>
    <w:rsid w:val="58696AB0"/>
    <w:rsid w:val="58C1BEA9"/>
    <w:rsid w:val="58D230E2"/>
    <w:rsid w:val="5906BDD2"/>
    <w:rsid w:val="5A3F30A6"/>
    <w:rsid w:val="5A968B6A"/>
    <w:rsid w:val="5BA31925"/>
    <w:rsid w:val="5C57693C"/>
    <w:rsid w:val="5C638EB9"/>
    <w:rsid w:val="5C7F92C0"/>
    <w:rsid w:val="5D8B0B3C"/>
    <w:rsid w:val="5D9CE059"/>
    <w:rsid w:val="5DF974CB"/>
    <w:rsid w:val="5E0E971B"/>
    <w:rsid w:val="5E31D256"/>
    <w:rsid w:val="5E3D3312"/>
    <w:rsid w:val="5E6D30C4"/>
    <w:rsid w:val="5EB0EF24"/>
    <w:rsid w:val="5F073989"/>
    <w:rsid w:val="5F38B0BA"/>
    <w:rsid w:val="5F46BAC1"/>
    <w:rsid w:val="5FAA677C"/>
    <w:rsid w:val="5FB77C7E"/>
    <w:rsid w:val="5FD90373"/>
    <w:rsid w:val="5FE5F4F8"/>
    <w:rsid w:val="5FF35955"/>
    <w:rsid w:val="60090125"/>
    <w:rsid w:val="6076EF1C"/>
    <w:rsid w:val="609D3753"/>
    <w:rsid w:val="60D4811B"/>
    <w:rsid w:val="60DA37FF"/>
    <w:rsid w:val="60FDE655"/>
    <w:rsid w:val="6136FFDC"/>
    <w:rsid w:val="614637DD"/>
    <w:rsid w:val="61579C29"/>
    <w:rsid w:val="61CAA2C8"/>
    <w:rsid w:val="61D09365"/>
    <w:rsid w:val="62429369"/>
    <w:rsid w:val="626F5194"/>
    <w:rsid w:val="62A3D7F5"/>
    <w:rsid w:val="62DC7111"/>
    <w:rsid w:val="6305CD75"/>
    <w:rsid w:val="631EE017"/>
    <w:rsid w:val="63BB0CB5"/>
    <w:rsid w:val="63FB5879"/>
    <w:rsid w:val="643BB6DF"/>
    <w:rsid w:val="647DD89F"/>
    <w:rsid w:val="65195667"/>
    <w:rsid w:val="65195667"/>
    <w:rsid w:val="6589D0D3"/>
    <w:rsid w:val="659728DA"/>
    <w:rsid w:val="65B70C2E"/>
    <w:rsid w:val="65EB5E53"/>
    <w:rsid w:val="66184B4B"/>
    <w:rsid w:val="6619A900"/>
    <w:rsid w:val="667C844D"/>
    <w:rsid w:val="668C1C36"/>
    <w:rsid w:val="669DE80A"/>
    <w:rsid w:val="67010F9C"/>
    <w:rsid w:val="673AD93A"/>
    <w:rsid w:val="6757BFFD"/>
    <w:rsid w:val="676BFBFD"/>
    <w:rsid w:val="67B57961"/>
    <w:rsid w:val="67CC1519"/>
    <w:rsid w:val="67F69E90"/>
    <w:rsid w:val="680FC6ED"/>
    <w:rsid w:val="68378592"/>
    <w:rsid w:val="68538EEC"/>
    <w:rsid w:val="689A0453"/>
    <w:rsid w:val="68A84938"/>
    <w:rsid w:val="68EC144B"/>
    <w:rsid w:val="6967E57A"/>
    <w:rsid w:val="69739832"/>
    <w:rsid w:val="69C3BCF8"/>
    <w:rsid w:val="69CE2AF4"/>
    <w:rsid w:val="69F5AF3B"/>
    <w:rsid w:val="6A42C36B"/>
    <w:rsid w:val="6A441999"/>
    <w:rsid w:val="6A5DA0AB"/>
    <w:rsid w:val="6A6A99FD"/>
    <w:rsid w:val="6A8C1293"/>
    <w:rsid w:val="6B0F21CE"/>
    <w:rsid w:val="6B32A8D0"/>
    <w:rsid w:val="6B581189"/>
    <w:rsid w:val="6B917F9C"/>
    <w:rsid w:val="6BA7B086"/>
    <w:rsid w:val="6C0C156C"/>
    <w:rsid w:val="6C217E6D"/>
    <w:rsid w:val="6C3B2AA2"/>
    <w:rsid w:val="6C6D9490"/>
    <w:rsid w:val="6CFA9004"/>
    <w:rsid w:val="6D2A3D68"/>
    <w:rsid w:val="6D30E3FE"/>
    <w:rsid w:val="6D83D3C5"/>
    <w:rsid w:val="6D94E2B8"/>
    <w:rsid w:val="6DA5A0CF"/>
    <w:rsid w:val="6E0708FF"/>
    <w:rsid w:val="6E182B3F"/>
    <w:rsid w:val="6E470955"/>
    <w:rsid w:val="6E541783"/>
    <w:rsid w:val="6EA9EEB1"/>
    <w:rsid w:val="6EB703F3"/>
    <w:rsid w:val="6EDF5148"/>
    <w:rsid w:val="6F178ABC"/>
    <w:rsid w:val="6F1F1C45"/>
    <w:rsid w:val="6F33E54F"/>
    <w:rsid w:val="6F9410A6"/>
    <w:rsid w:val="6FD61F4C"/>
    <w:rsid w:val="700225AE"/>
    <w:rsid w:val="703D6C78"/>
    <w:rsid w:val="70676712"/>
    <w:rsid w:val="70A7F1E2"/>
    <w:rsid w:val="70BD6AF0"/>
    <w:rsid w:val="70D00D61"/>
    <w:rsid w:val="70F9F9E0"/>
    <w:rsid w:val="71108952"/>
    <w:rsid w:val="714EE029"/>
    <w:rsid w:val="71A1A349"/>
    <w:rsid w:val="72349A0B"/>
    <w:rsid w:val="7243C243"/>
    <w:rsid w:val="724F2B7E"/>
    <w:rsid w:val="72749764"/>
    <w:rsid w:val="729F5B38"/>
    <w:rsid w:val="72F0E18D"/>
    <w:rsid w:val="73010B56"/>
    <w:rsid w:val="732F98AB"/>
    <w:rsid w:val="73BBCD5C"/>
    <w:rsid w:val="73D2C69E"/>
    <w:rsid w:val="73DF92A4"/>
    <w:rsid w:val="73EAFBDF"/>
    <w:rsid w:val="73F50BB2"/>
    <w:rsid w:val="748CB1EE"/>
    <w:rsid w:val="74CB690C"/>
    <w:rsid w:val="751A0248"/>
    <w:rsid w:val="7586CC40"/>
    <w:rsid w:val="75D6FBFA"/>
    <w:rsid w:val="767347CC"/>
    <w:rsid w:val="7693859F"/>
    <w:rsid w:val="76A6BAA5"/>
    <w:rsid w:val="76C9FC71"/>
    <w:rsid w:val="76FFCD54"/>
    <w:rsid w:val="770441F0"/>
    <w:rsid w:val="7704D033"/>
    <w:rsid w:val="7784860B"/>
    <w:rsid w:val="779168F1"/>
    <w:rsid w:val="77D78218"/>
    <w:rsid w:val="780D81F2"/>
    <w:rsid w:val="7816BE49"/>
    <w:rsid w:val="7832245A"/>
    <w:rsid w:val="783A37E3"/>
    <w:rsid w:val="785DE639"/>
    <w:rsid w:val="789B9DB5"/>
    <w:rsid w:val="78B303C7"/>
    <w:rsid w:val="78E391DD"/>
    <w:rsid w:val="79CDF4BB"/>
    <w:rsid w:val="79CE8A88"/>
    <w:rsid w:val="7A36FD6C"/>
    <w:rsid w:val="7A6B9728"/>
    <w:rsid w:val="7A860338"/>
    <w:rsid w:val="7A9874C9"/>
    <w:rsid w:val="7B34D7F9"/>
    <w:rsid w:val="7B5B585D"/>
    <w:rsid w:val="7B9586FB"/>
    <w:rsid w:val="7BF60DC4"/>
    <w:rsid w:val="7C06D76E"/>
    <w:rsid w:val="7C78B127"/>
    <w:rsid w:val="7CB56C9D"/>
    <w:rsid w:val="7D498745"/>
    <w:rsid w:val="7D7411B7"/>
    <w:rsid w:val="7DD0158B"/>
    <w:rsid w:val="7E626121"/>
    <w:rsid w:val="7E9314CC"/>
    <w:rsid w:val="7E9E9784"/>
    <w:rsid w:val="7EA26EC9"/>
    <w:rsid w:val="7ED35785"/>
    <w:rsid w:val="7F25E172"/>
    <w:rsid w:val="7F5B6C53"/>
    <w:rsid w:val="7F6BE5EC"/>
    <w:rsid w:val="7F78DCB3"/>
    <w:rsid w:val="7FB9D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90FE7"/>
  <w15:chartTrackingRefBased/>
  <w15:docId w15:val="{29A3EA16-1B99-4551-876E-A0880A4366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e3e79593d214f2a" /><Relationship Type="http://schemas.microsoft.com/office/2019/09/relationships/intelligence" Target="/word/intelligence.xml" Id="Re0a29f27785a4c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Arianna Yadollahi (2004939)</dc:creator>
  <keywords/>
  <dc:description/>
  <lastModifiedBy>Arianna Yadollahi (2004939)</lastModifiedBy>
  <revision>3</revision>
  <dcterms:created xsi:type="dcterms:W3CDTF">2022-02-16T13:03:08.0956846Z</dcterms:created>
  <dcterms:modified xsi:type="dcterms:W3CDTF">2022-03-04T19:53:04.5701153Z</dcterms:modified>
</coreProperties>
</file>