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F32BF0" w14:textId="77777777" w:rsidR="00541AE1" w:rsidRDefault="00541AE1" w:rsidP="00541AE1">
      <w:pPr>
        <w:spacing w:line="278" w:lineRule="auto"/>
        <w:jc w:val="center"/>
      </w:pPr>
    </w:p>
    <w:p w14:paraId="668DA6FD" w14:textId="77777777" w:rsidR="00541AE1" w:rsidRDefault="00541AE1" w:rsidP="00541AE1">
      <w:pPr>
        <w:spacing w:line="278" w:lineRule="auto"/>
        <w:jc w:val="center"/>
      </w:pPr>
    </w:p>
    <w:p w14:paraId="3B656966" w14:textId="59E94F22" w:rsidR="00541AE1" w:rsidRDefault="00541AE1" w:rsidP="00541AE1">
      <w:pPr>
        <w:spacing w:line="278" w:lineRule="auto"/>
        <w:jc w:val="center"/>
      </w:pPr>
      <w:r>
        <w:rPr>
          <w:noProof/>
        </w:rPr>
        <w:drawing>
          <wp:inline distT="0" distB="0" distL="0" distR="0" wp14:anchorId="3A8BF7E2" wp14:editId="63753DD2">
            <wp:extent cx="3302000" cy="1311842"/>
            <wp:effectExtent l="0" t="0" r="0" b="3175"/>
            <wp:docPr id="592134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134888" name=""/>
                    <pic:cNvPicPr/>
                  </pic:nvPicPr>
                  <pic:blipFill>
                    <a:blip r:embed="rId8"/>
                    <a:stretch>
                      <a:fillRect/>
                    </a:stretch>
                  </pic:blipFill>
                  <pic:spPr>
                    <a:xfrm>
                      <a:off x="0" y="0"/>
                      <a:ext cx="3318308" cy="1318321"/>
                    </a:xfrm>
                    <a:prstGeom prst="rect">
                      <a:avLst/>
                    </a:prstGeom>
                  </pic:spPr>
                </pic:pic>
              </a:graphicData>
            </a:graphic>
          </wp:inline>
        </w:drawing>
      </w:r>
    </w:p>
    <w:p w14:paraId="5ABC06B6" w14:textId="78210E75" w:rsidR="00541AE1" w:rsidRPr="00541AE1" w:rsidRDefault="00541AE1" w:rsidP="00541AE1">
      <w:pPr>
        <w:spacing w:line="278" w:lineRule="auto"/>
        <w:jc w:val="center"/>
        <w:rPr>
          <w:b/>
          <w:bCs/>
        </w:rPr>
      </w:pPr>
      <w:proofErr w:type="spellStart"/>
      <w:r w:rsidRPr="00541AE1">
        <w:rPr>
          <w:b/>
          <w:bCs/>
        </w:rPr>
        <w:t>BSc</w:t>
      </w:r>
      <w:proofErr w:type="spellEnd"/>
      <w:r w:rsidRPr="00541AE1">
        <w:rPr>
          <w:b/>
          <w:bCs/>
        </w:rPr>
        <w:t xml:space="preserve"> (</w:t>
      </w:r>
      <w:proofErr w:type="spellStart"/>
      <w:r w:rsidRPr="00541AE1">
        <w:rPr>
          <w:b/>
          <w:bCs/>
        </w:rPr>
        <w:t>Hons</w:t>
      </w:r>
      <w:proofErr w:type="spellEnd"/>
      <w:r w:rsidRPr="00541AE1">
        <w:rPr>
          <w:b/>
          <w:bCs/>
        </w:rPr>
        <w:t>) Health and Social Care</w:t>
      </w:r>
    </w:p>
    <w:p w14:paraId="7A5A4869" w14:textId="77777777" w:rsidR="00541AE1" w:rsidRPr="00541AE1" w:rsidRDefault="00541AE1" w:rsidP="00541AE1">
      <w:pPr>
        <w:spacing w:line="278" w:lineRule="auto"/>
        <w:jc w:val="center"/>
        <w:rPr>
          <w:b/>
          <w:bCs/>
        </w:rPr>
      </w:pPr>
      <w:r w:rsidRPr="00541AE1">
        <w:rPr>
          <w:b/>
          <w:bCs/>
        </w:rPr>
        <w:t>Module:</w:t>
      </w:r>
    </w:p>
    <w:p w14:paraId="7498CB3E" w14:textId="77777777" w:rsidR="00541AE1" w:rsidRPr="00541AE1" w:rsidRDefault="00541AE1" w:rsidP="00541AE1">
      <w:pPr>
        <w:spacing w:line="278" w:lineRule="auto"/>
        <w:jc w:val="center"/>
        <w:rPr>
          <w:i/>
          <w:iCs/>
        </w:rPr>
      </w:pPr>
      <w:r w:rsidRPr="00541AE1">
        <w:rPr>
          <w:i/>
          <w:iCs/>
        </w:rPr>
        <w:t>BMHP6026 – Digital Transformation in the Health and Care Professions</w:t>
      </w:r>
    </w:p>
    <w:p w14:paraId="24BA0754" w14:textId="77777777" w:rsidR="00541AE1" w:rsidRPr="00541AE1" w:rsidRDefault="00541AE1" w:rsidP="00541AE1">
      <w:pPr>
        <w:spacing w:line="278" w:lineRule="auto"/>
        <w:jc w:val="center"/>
        <w:rPr>
          <w:b/>
          <w:bCs/>
        </w:rPr>
      </w:pPr>
      <w:r w:rsidRPr="00541AE1">
        <w:rPr>
          <w:b/>
          <w:bCs/>
        </w:rPr>
        <w:t>Component 1:</w:t>
      </w:r>
    </w:p>
    <w:p w14:paraId="0FB7FA75" w14:textId="77777777" w:rsidR="00541AE1" w:rsidRPr="00541AE1" w:rsidRDefault="00541AE1" w:rsidP="00541AE1">
      <w:pPr>
        <w:spacing w:line="278" w:lineRule="auto"/>
        <w:jc w:val="center"/>
        <w:rPr>
          <w:i/>
          <w:iCs/>
        </w:rPr>
      </w:pPr>
      <w:r w:rsidRPr="00541AE1">
        <w:rPr>
          <w:i/>
          <w:iCs/>
        </w:rPr>
        <w:t>Written Report – Evaluation of Seizure Detection Technologies as Assistive Digital Innovations for People with Epilepsy</w:t>
      </w:r>
    </w:p>
    <w:p w14:paraId="20102549" w14:textId="77777777" w:rsidR="00541AE1" w:rsidRPr="00541AE1" w:rsidRDefault="00541AE1" w:rsidP="00541AE1">
      <w:pPr>
        <w:spacing w:line="278" w:lineRule="auto"/>
        <w:jc w:val="center"/>
        <w:rPr>
          <w:b/>
          <w:bCs/>
        </w:rPr>
      </w:pPr>
      <w:r w:rsidRPr="00541AE1">
        <w:rPr>
          <w:b/>
          <w:bCs/>
        </w:rPr>
        <w:t>Student Name:</w:t>
      </w:r>
    </w:p>
    <w:p w14:paraId="26731FA3" w14:textId="4904A580" w:rsidR="00541AE1" w:rsidRPr="00541AE1" w:rsidRDefault="00C8183F" w:rsidP="00541AE1">
      <w:pPr>
        <w:spacing w:line="278" w:lineRule="auto"/>
        <w:jc w:val="center"/>
      </w:pPr>
      <w:r>
        <w:t xml:space="preserve">Faith victorious </w:t>
      </w:r>
    </w:p>
    <w:p w14:paraId="299179F2" w14:textId="77777777" w:rsidR="00541AE1" w:rsidRPr="00541AE1" w:rsidRDefault="00541AE1" w:rsidP="00541AE1">
      <w:pPr>
        <w:spacing w:line="278" w:lineRule="auto"/>
        <w:jc w:val="center"/>
        <w:rPr>
          <w:b/>
          <w:bCs/>
        </w:rPr>
      </w:pPr>
      <w:r w:rsidRPr="00541AE1">
        <w:rPr>
          <w:b/>
          <w:bCs/>
        </w:rPr>
        <w:t>Student Number:</w:t>
      </w:r>
    </w:p>
    <w:p w14:paraId="4D000890" w14:textId="7503F2AC" w:rsidR="00541AE1" w:rsidRPr="00541AE1" w:rsidRDefault="00187A84" w:rsidP="00541AE1">
      <w:pPr>
        <w:spacing w:line="278" w:lineRule="auto"/>
        <w:jc w:val="center"/>
      </w:pPr>
      <w:r>
        <w:t>224</w:t>
      </w:r>
      <w:r w:rsidR="00537C42">
        <w:t>7629</w:t>
      </w:r>
    </w:p>
    <w:p w14:paraId="15555960" w14:textId="77777777" w:rsidR="00541AE1" w:rsidRPr="00541AE1" w:rsidRDefault="00541AE1" w:rsidP="00541AE1">
      <w:pPr>
        <w:spacing w:line="278" w:lineRule="auto"/>
        <w:jc w:val="center"/>
        <w:rPr>
          <w:b/>
          <w:bCs/>
        </w:rPr>
      </w:pPr>
      <w:r w:rsidRPr="00541AE1">
        <w:rPr>
          <w:b/>
          <w:bCs/>
        </w:rPr>
        <w:t>Lecturer:</w:t>
      </w:r>
    </w:p>
    <w:p w14:paraId="06528248" w14:textId="76488CD9" w:rsidR="00541AE1" w:rsidRPr="00541AE1" w:rsidRDefault="00541AE1" w:rsidP="00541AE1">
      <w:pPr>
        <w:spacing w:line="278" w:lineRule="auto"/>
        <w:jc w:val="center"/>
      </w:pPr>
      <w:r w:rsidRPr="00541AE1">
        <w:t xml:space="preserve">Dr Laila </w:t>
      </w:r>
      <w:proofErr w:type="spellStart"/>
      <w:r w:rsidRPr="00541AE1">
        <w:t>Surani</w:t>
      </w:r>
      <w:proofErr w:type="spellEnd"/>
      <w:r w:rsidRPr="00541AE1">
        <w:t xml:space="preserve"> </w:t>
      </w:r>
    </w:p>
    <w:p w14:paraId="5DAB332B" w14:textId="77777777" w:rsidR="00541AE1" w:rsidRPr="00541AE1" w:rsidRDefault="00541AE1" w:rsidP="00541AE1">
      <w:pPr>
        <w:spacing w:line="278" w:lineRule="auto"/>
        <w:jc w:val="center"/>
        <w:rPr>
          <w:b/>
          <w:bCs/>
        </w:rPr>
      </w:pPr>
      <w:r w:rsidRPr="00541AE1">
        <w:rPr>
          <w:b/>
          <w:bCs/>
        </w:rPr>
        <w:t>Declaration of Academic Integrity</w:t>
      </w:r>
    </w:p>
    <w:p w14:paraId="0BD6DE27" w14:textId="77777777" w:rsidR="00541AE1" w:rsidRPr="00541AE1" w:rsidRDefault="00541AE1" w:rsidP="00541AE1">
      <w:pPr>
        <w:spacing w:line="278" w:lineRule="auto"/>
        <w:jc w:val="center"/>
      </w:pPr>
      <w:r w:rsidRPr="00541AE1">
        <w:t>I confirm that this work is my own and that all sources used have been properly acknowledged in accordance with the UWTSD Harvard Referencing Style.</w:t>
      </w:r>
    </w:p>
    <w:p w14:paraId="4D15365D" w14:textId="077F8F11" w:rsidR="007732AA" w:rsidRDefault="00541AE1" w:rsidP="00541AE1">
      <w:pPr>
        <w:spacing w:line="278" w:lineRule="auto"/>
        <w:jc w:val="center"/>
      </w:pPr>
      <w:r w:rsidRPr="00541AE1">
        <w:rPr>
          <w:b/>
          <w:bCs/>
        </w:rPr>
        <w:t>Signature:</w:t>
      </w:r>
      <w:r w:rsidRPr="00541AE1">
        <w:t xml:space="preserve"> </w:t>
      </w:r>
      <w:r w:rsidR="001B3DEE">
        <w:t>faith</w:t>
      </w:r>
      <w:r w:rsidRPr="00541AE1">
        <w:t>_____________________</w:t>
      </w:r>
      <w:r w:rsidRPr="00541AE1">
        <w:rPr>
          <w:b/>
          <w:bCs/>
        </w:rPr>
        <w:t>Date:</w:t>
      </w:r>
      <w:r w:rsidRPr="00541AE1">
        <w:t xml:space="preserve"> </w:t>
      </w:r>
      <w:r w:rsidR="000737CF">
        <w:t>24/11/2025</w:t>
      </w:r>
      <w:r w:rsidRPr="00541AE1">
        <w:t>_______________</w:t>
      </w:r>
    </w:p>
    <w:p w14:paraId="29A9AE75" w14:textId="77777777" w:rsidR="007732AA" w:rsidRDefault="007732AA">
      <w:pPr>
        <w:spacing w:line="278" w:lineRule="auto"/>
        <w:jc w:val="left"/>
      </w:pPr>
      <w:r>
        <w:br w:type="page"/>
      </w:r>
    </w:p>
    <w:p w14:paraId="0E296324" w14:textId="6BA82D4B" w:rsidR="00541AE1" w:rsidRDefault="007732AA" w:rsidP="00541AE1">
      <w:pPr>
        <w:spacing w:line="278" w:lineRule="auto"/>
        <w:jc w:val="center"/>
        <w:rPr>
          <w:b/>
          <w:bCs/>
        </w:rPr>
      </w:pPr>
      <w:r w:rsidRPr="007732AA">
        <w:rPr>
          <w:b/>
          <w:bCs/>
        </w:rPr>
        <w:t>Abstract</w:t>
      </w:r>
    </w:p>
    <w:p w14:paraId="50F5C190" w14:textId="26BA34DD" w:rsidR="007732AA" w:rsidRPr="007732AA" w:rsidRDefault="007732AA" w:rsidP="007732AA">
      <w:r w:rsidRPr="007732AA">
        <w:t xml:space="preserve">This report provides a critical evaluation of seizure detection technologies as a key digital innovation within the UK's health and social care system. It examines the transformative impact of wearable and sensor-based devices on workforce dynamics, service delivery, patient experience, and community care over the past decade. The analysis reveals that these technologies necessitate enhanced digital literacy among healthcare professionals and foster new interdisciplinary collaborations, aligning with the NHS Long Term Workforce Plan. For service delivery, they enable a proactive, data-driven model that improves response times and reduces reliance on emergency services. For patients, these devices significantly enhance safety, autonomy, and quality of life by providing continuous monitoring and timely alerts, thereby reducing anxiety and enabling greater social participation. At the community level, they support the creation of safer, more inclusive environments and empower informal caregivers. However, the report also identifies significant challenges, including risks of alarm fatigue, data privacy concerns, and issues of equitable access that risk exacerbating digital exclusion. It concludes that while seizure detection technologies are pivotal in advancing the NHS's digital transformation agenda towards more </w:t>
      </w:r>
      <w:proofErr w:type="spellStart"/>
      <w:r w:rsidRPr="007732AA">
        <w:t>personalised</w:t>
      </w:r>
      <w:proofErr w:type="spellEnd"/>
      <w:r w:rsidRPr="007732AA">
        <w:t xml:space="preserve"> and efficient care, their successful integration depends on robust ethical frameworks, ongoing staff training, and committed policies to ensure digital inclusion, ensuring that technological advancement complements, rather than replaces, compassionate human judgement.</w:t>
      </w:r>
    </w:p>
    <w:p w14:paraId="295A3EF7" w14:textId="77777777" w:rsidR="007732AA" w:rsidRPr="007732AA" w:rsidRDefault="007732AA" w:rsidP="007732AA">
      <w:pPr>
        <w:spacing w:line="278" w:lineRule="auto"/>
      </w:pPr>
    </w:p>
    <w:p w14:paraId="51A59B50" w14:textId="77777777" w:rsidR="007732AA" w:rsidRPr="007732AA" w:rsidRDefault="007732AA" w:rsidP="007732AA">
      <w:pPr>
        <w:spacing w:line="278" w:lineRule="auto"/>
      </w:pPr>
    </w:p>
    <w:p w14:paraId="3C0E1845" w14:textId="23D19C49" w:rsidR="008345D3" w:rsidRDefault="008345D3" w:rsidP="00541AE1">
      <w:pPr>
        <w:spacing w:line="278" w:lineRule="auto"/>
        <w:jc w:val="left"/>
      </w:pPr>
      <w:r>
        <w:br w:type="page"/>
      </w:r>
    </w:p>
    <w:sdt>
      <w:sdtPr>
        <w:rPr>
          <w:rFonts w:ascii="Arial" w:eastAsiaTheme="minorHAnsi" w:hAnsi="Arial" w:cstheme="minorBidi"/>
          <w:color w:val="auto"/>
          <w:kern w:val="2"/>
          <w:sz w:val="24"/>
          <w:szCs w:val="24"/>
          <w14:ligatures w14:val="standardContextual"/>
        </w:rPr>
        <w:id w:val="-1280176663"/>
        <w:docPartObj>
          <w:docPartGallery w:val="Table of Contents"/>
          <w:docPartUnique/>
        </w:docPartObj>
      </w:sdtPr>
      <w:sdtEndPr>
        <w:rPr>
          <w:b/>
          <w:bCs/>
          <w:noProof/>
        </w:rPr>
      </w:sdtEndPr>
      <w:sdtContent>
        <w:p w14:paraId="546C0ECB" w14:textId="029ACF6F" w:rsidR="00AF0B4C" w:rsidRPr="00AF0B4C" w:rsidRDefault="00AF0B4C" w:rsidP="00AF0B4C">
          <w:pPr>
            <w:pStyle w:val="TOCHeading"/>
            <w:jc w:val="center"/>
            <w:rPr>
              <w:rFonts w:ascii="Arial" w:hAnsi="Arial" w:cs="Arial"/>
              <w:b/>
              <w:bCs/>
              <w:color w:val="auto"/>
              <w:sz w:val="24"/>
              <w:szCs w:val="24"/>
            </w:rPr>
          </w:pPr>
          <w:r w:rsidRPr="00AF0B4C">
            <w:rPr>
              <w:rFonts w:ascii="Arial" w:hAnsi="Arial" w:cs="Arial"/>
              <w:b/>
              <w:bCs/>
              <w:color w:val="auto"/>
              <w:sz w:val="24"/>
              <w:szCs w:val="24"/>
            </w:rPr>
            <w:t>Table of Contents</w:t>
          </w:r>
        </w:p>
        <w:p w14:paraId="266BA712" w14:textId="07B915B0" w:rsidR="00AF0B4C" w:rsidRDefault="00AF0B4C">
          <w:pPr>
            <w:pStyle w:val="TOC1"/>
            <w:tabs>
              <w:tab w:val="right" w:leader="dot" w:pos="9350"/>
            </w:tabs>
            <w:rPr>
              <w:noProof/>
            </w:rPr>
          </w:pPr>
          <w:r>
            <w:fldChar w:fldCharType="begin"/>
          </w:r>
          <w:r>
            <w:instrText xml:space="preserve"> TOC \o "1-3" \h \z \u </w:instrText>
          </w:r>
          <w:r>
            <w:fldChar w:fldCharType="separate"/>
          </w:r>
          <w:hyperlink w:anchor="_Toc213536924" w:history="1">
            <w:r w:rsidRPr="00F739CA">
              <w:rPr>
                <w:rStyle w:val="Hyperlink"/>
                <w:noProof/>
              </w:rPr>
              <w:t>1. Introduction</w:t>
            </w:r>
            <w:r>
              <w:rPr>
                <w:noProof/>
                <w:webHidden/>
              </w:rPr>
              <w:tab/>
            </w:r>
            <w:r>
              <w:rPr>
                <w:noProof/>
                <w:webHidden/>
              </w:rPr>
              <w:fldChar w:fldCharType="begin"/>
            </w:r>
            <w:r>
              <w:rPr>
                <w:noProof/>
                <w:webHidden/>
              </w:rPr>
              <w:instrText xml:space="preserve"> PAGEREF _Toc213536924 \h </w:instrText>
            </w:r>
            <w:r>
              <w:rPr>
                <w:noProof/>
                <w:webHidden/>
              </w:rPr>
            </w:r>
            <w:r>
              <w:rPr>
                <w:noProof/>
                <w:webHidden/>
              </w:rPr>
              <w:fldChar w:fldCharType="separate"/>
            </w:r>
            <w:r>
              <w:rPr>
                <w:noProof/>
                <w:webHidden/>
              </w:rPr>
              <w:t>3</w:t>
            </w:r>
            <w:r>
              <w:rPr>
                <w:noProof/>
                <w:webHidden/>
              </w:rPr>
              <w:fldChar w:fldCharType="end"/>
            </w:r>
          </w:hyperlink>
        </w:p>
        <w:p w14:paraId="0AF520AE" w14:textId="22721505" w:rsidR="00AF0B4C" w:rsidRDefault="00AF0B4C">
          <w:pPr>
            <w:pStyle w:val="TOC1"/>
            <w:tabs>
              <w:tab w:val="right" w:leader="dot" w:pos="9350"/>
            </w:tabs>
            <w:rPr>
              <w:noProof/>
            </w:rPr>
          </w:pPr>
          <w:hyperlink w:anchor="_Toc213536925" w:history="1">
            <w:r w:rsidRPr="00F739CA">
              <w:rPr>
                <w:rStyle w:val="Hyperlink"/>
                <w:noProof/>
              </w:rPr>
              <w:t>2. Impact on Workforce</w:t>
            </w:r>
            <w:r>
              <w:rPr>
                <w:noProof/>
                <w:webHidden/>
              </w:rPr>
              <w:tab/>
            </w:r>
            <w:r>
              <w:rPr>
                <w:noProof/>
                <w:webHidden/>
              </w:rPr>
              <w:fldChar w:fldCharType="begin"/>
            </w:r>
            <w:r>
              <w:rPr>
                <w:noProof/>
                <w:webHidden/>
              </w:rPr>
              <w:instrText xml:space="preserve"> PAGEREF _Toc213536925 \h </w:instrText>
            </w:r>
            <w:r>
              <w:rPr>
                <w:noProof/>
                <w:webHidden/>
              </w:rPr>
            </w:r>
            <w:r>
              <w:rPr>
                <w:noProof/>
                <w:webHidden/>
              </w:rPr>
              <w:fldChar w:fldCharType="separate"/>
            </w:r>
            <w:r>
              <w:rPr>
                <w:noProof/>
                <w:webHidden/>
              </w:rPr>
              <w:t>3</w:t>
            </w:r>
            <w:r>
              <w:rPr>
                <w:noProof/>
                <w:webHidden/>
              </w:rPr>
              <w:fldChar w:fldCharType="end"/>
            </w:r>
          </w:hyperlink>
        </w:p>
        <w:p w14:paraId="78F35D18" w14:textId="638CB474" w:rsidR="00AF0B4C" w:rsidRDefault="00AF0B4C">
          <w:pPr>
            <w:pStyle w:val="TOC1"/>
            <w:tabs>
              <w:tab w:val="right" w:leader="dot" w:pos="9350"/>
            </w:tabs>
            <w:rPr>
              <w:noProof/>
            </w:rPr>
          </w:pPr>
          <w:hyperlink w:anchor="_Toc213536926" w:history="1">
            <w:r w:rsidRPr="00F739CA">
              <w:rPr>
                <w:rStyle w:val="Hyperlink"/>
                <w:noProof/>
              </w:rPr>
              <w:t>3. Impact on Service Delivery</w:t>
            </w:r>
            <w:r>
              <w:rPr>
                <w:noProof/>
                <w:webHidden/>
              </w:rPr>
              <w:tab/>
            </w:r>
            <w:r>
              <w:rPr>
                <w:noProof/>
                <w:webHidden/>
              </w:rPr>
              <w:fldChar w:fldCharType="begin"/>
            </w:r>
            <w:r>
              <w:rPr>
                <w:noProof/>
                <w:webHidden/>
              </w:rPr>
              <w:instrText xml:space="preserve"> PAGEREF _Toc213536926 \h </w:instrText>
            </w:r>
            <w:r>
              <w:rPr>
                <w:noProof/>
                <w:webHidden/>
              </w:rPr>
            </w:r>
            <w:r>
              <w:rPr>
                <w:noProof/>
                <w:webHidden/>
              </w:rPr>
              <w:fldChar w:fldCharType="separate"/>
            </w:r>
            <w:r>
              <w:rPr>
                <w:noProof/>
                <w:webHidden/>
              </w:rPr>
              <w:t>5</w:t>
            </w:r>
            <w:r>
              <w:rPr>
                <w:noProof/>
                <w:webHidden/>
              </w:rPr>
              <w:fldChar w:fldCharType="end"/>
            </w:r>
          </w:hyperlink>
        </w:p>
        <w:p w14:paraId="2B47502A" w14:textId="48E58B00" w:rsidR="00AF0B4C" w:rsidRDefault="00AF0B4C">
          <w:pPr>
            <w:pStyle w:val="TOC1"/>
            <w:tabs>
              <w:tab w:val="right" w:leader="dot" w:pos="9350"/>
            </w:tabs>
            <w:rPr>
              <w:noProof/>
            </w:rPr>
          </w:pPr>
          <w:hyperlink w:anchor="_Toc213536927" w:history="1">
            <w:r w:rsidRPr="00F739CA">
              <w:rPr>
                <w:rStyle w:val="Hyperlink"/>
                <w:noProof/>
              </w:rPr>
              <w:t>4. Impact on Patients</w:t>
            </w:r>
            <w:r>
              <w:rPr>
                <w:noProof/>
                <w:webHidden/>
              </w:rPr>
              <w:tab/>
            </w:r>
            <w:r>
              <w:rPr>
                <w:noProof/>
                <w:webHidden/>
              </w:rPr>
              <w:fldChar w:fldCharType="begin"/>
            </w:r>
            <w:r>
              <w:rPr>
                <w:noProof/>
                <w:webHidden/>
              </w:rPr>
              <w:instrText xml:space="preserve"> PAGEREF _Toc213536927 \h </w:instrText>
            </w:r>
            <w:r>
              <w:rPr>
                <w:noProof/>
                <w:webHidden/>
              </w:rPr>
            </w:r>
            <w:r>
              <w:rPr>
                <w:noProof/>
                <w:webHidden/>
              </w:rPr>
              <w:fldChar w:fldCharType="separate"/>
            </w:r>
            <w:r>
              <w:rPr>
                <w:noProof/>
                <w:webHidden/>
              </w:rPr>
              <w:t>6</w:t>
            </w:r>
            <w:r>
              <w:rPr>
                <w:noProof/>
                <w:webHidden/>
              </w:rPr>
              <w:fldChar w:fldCharType="end"/>
            </w:r>
          </w:hyperlink>
        </w:p>
        <w:p w14:paraId="69DB2B34" w14:textId="41990E40" w:rsidR="00AF0B4C" w:rsidRDefault="00AF0B4C">
          <w:pPr>
            <w:pStyle w:val="TOC1"/>
            <w:tabs>
              <w:tab w:val="right" w:leader="dot" w:pos="9350"/>
            </w:tabs>
            <w:rPr>
              <w:noProof/>
            </w:rPr>
          </w:pPr>
          <w:hyperlink w:anchor="_Toc213536928" w:history="1">
            <w:r w:rsidRPr="00F739CA">
              <w:rPr>
                <w:rStyle w:val="Hyperlink"/>
                <w:noProof/>
              </w:rPr>
              <w:t>5. Impact on Community</w:t>
            </w:r>
            <w:r>
              <w:rPr>
                <w:noProof/>
                <w:webHidden/>
              </w:rPr>
              <w:tab/>
            </w:r>
            <w:r>
              <w:rPr>
                <w:noProof/>
                <w:webHidden/>
              </w:rPr>
              <w:fldChar w:fldCharType="begin"/>
            </w:r>
            <w:r>
              <w:rPr>
                <w:noProof/>
                <w:webHidden/>
              </w:rPr>
              <w:instrText xml:space="preserve"> PAGEREF _Toc213536928 \h </w:instrText>
            </w:r>
            <w:r>
              <w:rPr>
                <w:noProof/>
                <w:webHidden/>
              </w:rPr>
            </w:r>
            <w:r>
              <w:rPr>
                <w:noProof/>
                <w:webHidden/>
              </w:rPr>
              <w:fldChar w:fldCharType="separate"/>
            </w:r>
            <w:r>
              <w:rPr>
                <w:noProof/>
                <w:webHidden/>
              </w:rPr>
              <w:t>7</w:t>
            </w:r>
            <w:r>
              <w:rPr>
                <w:noProof/>
                <w:webHidden/>
              </w:rPr>
              <w:fldChar w:fldCharType="end"/>
            </w:r>
          </w:hyperlink>
        </w:p>
        <w:p w14:paraId="181562D4" w14:textId="38293E6B" w:rsidR="00AF0B4C" w:rsidRDefault="00AF0B4C">
          <w:pPr>
            <w:pStyle w:val="TOC1"/>
            <w:tabs>
              <w:tab w:val="right" w:leader="dot" w:pos="9350"/>
            </w:tabs>
            <w:rPr>
              <w:noProof/>
            </w:rPr>
          </w:pPr>
          <w:hyperlink w:anchor="_Toc213536929" w:history="1">
            <w:r w:rsidRPr="00F739CA">
              <w:rPr>
                <w:rStyle w:val="Hyperlink"/>
                <w:noProof/>
              </w:rPr>
              <w:t>6. Conclusion</w:t>
            </w:r>
            <w:r>
              <w:rPr>
                <w:noProof/>
                <w:webHidden/>
              </w:rPr>
              <w:tab/>
            </w:r>
            <w:r>
              <w:rPr>
                <w:noProof/>
                <w:webHidden/>
              </w:rPr>
              <w:fldChar w:fldCharType="begin"/>
            </w:r>
            <w:r>
              <w:rPr>
                <w:noProof/>
                <w:webHidden/>
              </w:rPr>
              <w:instrText xml:space="preserve"> PAGEREF _Toc213536929 \h </w:instrText>
            </w:r>
            <w:r>
              <w:rPr>
                <w:noProof/>
                <w:webHidden/>
              </w:rPr>
            </w:r>
            <w:r>
              <w:rPr>
                <w:noProof/>
                <w:webHidden/>
              </w:rPr>
              <w:fldChar w:fldCharType="separate"/>
            </w:r>
            <w:r>
              <w:rPr>
                <w:noProof/>
                <w:webHidden/>
              </w:rPr>
              <w:t>8</w:t>
            </w:r>
            <w:r>
              <w:rPr>
                <w:noProof/>
                <w:webHidden/>
              </w:rPr>
              <w:fldChar w:fldCharType="end"/>
            </w:r>
          </w:hyperlink>
        </w:p>
        <w:p w14:paraId="077D18F0" w14:textId="0A098EEC" w:rsidR="00AF0B4C" w:rsidRDefault="00AF0B4C">
          <w:pPr>
            <w:pStyle w:val="TOC1"/>
            <w:tabs>
              <w:tab w:val="right" w:leader="dot" w:pos="9350"/>
            </w:tabs>
            <w:rPr>
              <w:noProof/>
            </w:rPr>
          </w:pPr>
          <w:hyperlink w:anchor="_Toc213536930" w:history="1">
            <w:r w:rsidRPr="00F739CA">
              <w:rPr>
                <w:rStyle w:val="Hyperlink"/>
                <w:noProof/>
              </w:rPr>
              <w:t>References</w:t>
            </w:r>
            <w:r>
              <w:rPr>
                <w:noProof/>
                <w:webHidden/>
              </w:rPr>
              <w:tab/>
            </w:r>
            <w:r>
              <w:rPr>
                <w:noProof/>
                <w:webHidden/>
              </w:rPr>
              <w:fldChar w:fldCharType="begin"/>
            </w:r>
            <w:r>
              <w:rPr>
                <w:noProof/>
                <w:webHidden/>
              </w:rPr>
              <w:instrText xml:space="preserve"> PAGEREF _Toc213536930 \h </w:instrText>
            </w:r>
            <w:r>
              <w:rPr>
                <w:noProof/>
                <w:webHidden/>
              </w:rPr>
            </w:r>
            <w:r>
              <w:rPr>
                <w:noProof/>
                <w:webHidden/>
              </w:rPr>
              <w:fldChar w:fldCharType="separate"/>
            </w:r>
            <w:r>
              <w:rPr>
                <w:noProof/>
                <w:webHidden/>
              </w:rPr>
              <w:t>10</w:t>
            </w:r>
            <w:r>
              <w:rPr>
                <w:noProof/>
                <w:webHidden/>
              </w:rPr>
              <w:fldChar w:fldCharType="end"/>
            </w:r>
          </w:hyperlink>
        </w:p>
        <w:p w14:paraId="508069F8" w14:textId="2BBCBC91" w:rsidR="00AF0B4C" w:rsidRDefault="00AF0B4C">
          <w:r>
            <w:rPr>
              <w:b/>
              <w:bCs/>
              <w:noProof/>
            </w:rPr>
            <w:fldChar w:fldCharType="end"/>
          </w:r>
        </w:p>
      </w:sdtContent>
    </w:sdt>
    <w:p w14:paraId="2216B78A" w14:textId="5C8BE8AC" w:rsidR="008345D3" w:rsidRDefault="008345D3">
      <w:pPr>
        <w:spacing w:line="278" w:lineRule="auto"/>
        <w:jc w:val="left"/>
      </w:pPr>
      <w:r>
        <w:br w:type="page"/>
      </w:r>
    </w:p>
    <w:p w14:paraId="670B3A0A" w14:textId="5E682841" w:rsidR="008345D3" w:rsidRPr="008345D3" w:rsidRDefault="008345D3" w:rsidP="00AF0B4C">
      <w:pPr>
        <w:pStyle w:val="Heading1"/>
      </w:pPr>
      <w:bookmarkStart w:id="0" w:name="_Toc213536924"/>
      <w:r w:rsidRPr="008345D3">
        <w:t>1. Introduction</w:t>
      </w:r>
      <w:bookmarkEnd w:id="0"/>
      <w:r w:rsidRPr="008345D3">
        <w:t xml:space="preserve"> </w:t>
      </w:r>
    </w:p>
    <w:p w14:paraId="0905EE10" w14:textId="77777777" w:rsidR="00087347" w:rsidRDefault="00087347" w:rsidP="008345D3">
      <w:r w:rsidRPr="00087347">
        <w:t xml:space="preserve">Digital transformation is now a mainstay of modern healthcare delivery in the UK, spurring innovation in diagnosis, monitoring and </w:t>
      </w:r>
      <w:proofErr w:type="spellStart"/>
      <w:r w:rsidRPr="00087347">
        <w:t>personalised</w:t>
      </w:r>
      <w:proofErr w:type="spellEnd"/>
      <w:r w:rsidRPr="00087347">
        <w:t xml:space="preserve"> treatment (NHS England, 2023a). In this dynamic context, advanced assistive technologies for epilepsy care, including seizure detection devices, have become important tools to enhance patient security and independence and clinical efficiency. Epilepsy has a prevalence of around 600,000 people in the UK and uncontrolled seizures carry risks of injury, sudden unexpected death and reduced quality of life (NICE, 2022; Epilepsy action, 2025). To address the risk, wearable seizure detection technologies such as smart wristbands, bed sensors and under-mattress systems have been increasingly deployed in hospitals and home-based care models (</w:t>
      </w:r>
      <w:proofErr w:type="spellStart"/>
      <w:r w:rsidRPr="00087347">
        <w:t>Onorati</w:t>
      </w:r>
      <w:proofErr w:type="spellEnd"/>
      <w:r w:rsidRPr="00087347">
        <w:t xml:space="preserve"> et al., 2021; </w:t>
      </w:r>
      <w:proofErr w:type="spellStart"/>
      <w:r w:rsidRPr="00087347">
        <w:t>Nouboue</w:t>
      </w:r>
      <w:proofErr w:type="spellEnd"/>
      <w:r w:rsidRPr="00087347">
        <w:t xml:space="preserve"> et al., 2023).</w:t>
      </w:r>
    </w:p>
    <w:p w14:paraId="1B3313B3" w14:textId="77777777" w:rsidR="00087347" w:rsidRDefault="00087347" w:rsidP="008345D3">
      <w:r w:rsidRPr="00087347">
        <w:t xml:space="preserve">The devices use multimodal sensing (heart rate, movement, electrodermal activity) and AI algorithms to identify the seizure activity and warn caregivers improving rapid response and continuity of care (Van </w:t>
      </w:r>
      <w:proofErr w:type="spellStart"/>
      <w:r w:rsidRPr="00087347">
        <w:t>Westrhenen</w:t>
      </w:r>
      <w:proofErr w:type="spellEnd"/>
      <w:r w:rsidRPr="00087347">
        <w:t xml:space="preserve"> et al., 2023; </w:t>
      </w:r>
      <w:proofErr w:type="spellStart"/>
      <w:r w:rsidRPr="00087347">
        <w:t>Naganur</w:t>
      </w:r>
      <w:proofErr w:type="spellEnd"/>
      <w:r w:rsidRPr="00087347">
        <w:t xml:space="preserve"> et al., 2022). Numerous studies </w:t>
      </w:r>
      <w:proofErr w:type="spellStart"/>
      <w:r w:rsidRPr="00087347">
        <w:t>Nabeeh</w:t>
      </w:r>
      <w:proofErr w:type="spellEnd"/>
      <w:r w:rsidRPr="00087347">
        <w:t xml:space="preserve"> </w:t>
      </w:r>
      <w:proofErr w:type="spellStart"/>
      <w:r w:rsidRPr="00087347">
        <w:t>Lazeron</w:t>
      </w:r>
      <w:proofErr w:type="spellEnd"/>
      <w:r w:rsidRPr="00087347">
        <w:t xml:space="preserve"> et al. (2022), </w:t>
      </w:r>
      <w:proofErr w:type="spellStart"/>
      <w:r w:rsidRPr="00087347">
        <w:t>Lieke</w:t>
      </w:r>
      <w:proofErr w:type="spellEnd"/>
      <w:r w:rsidRPr="00087347">
        <w:t xml:space="preserve"> </w:t>
      </w:r>
      <w:proofErr w:type="spellStart"/>
      <w:r w:rsidRPr="00087347">
        <w:t>Engelgeer</w:t>
      </w:r>
      <w:proofErr w:type="spellEnd"/>
      <w:r w:rsidRPr="00087347">
        <w:t xml:space="preserve"> et al. (2022) and Alina </w:t>
      </w:r>
      <w:proofErr w:type="spellStart"/>
      <w:r w:rsidRPr="00087347">
        <w:t>Vakilna</w:t>
      </w:r>
      <w:proofErr w:type="spellEnd"/>
      <w:r w:rsidRPr="00087347">
        <w:t xml:space="preserve"> et al. (2024) have shown increased detection accuracy and potential cost-effectiveness in line with the NHS England digital innovation agenda and long term workforce </w:t>
      </w:r>
      <w:proofErr w:type="spellStart"/>
      <w:r w:rsidRPr="00087347">
        <w:t>programme</w:t>
      </w:r>
      <w:proofErr w:type="spellEnd"/>
      <w:r w:rsidRPr="00087347">
        <w:t xml:space="preserve"> (NHS England, 2023d).</w:t>
      </w:r>
    </w:p>
    <w:p w14:paraId="29957405" w14:textId="77777777" w:rsidR="00087347" w:rsidRDefault="00087347" w:rsidP="00087347">
      <w:r w:rsidRPr="00087347">
        <w:t>This report critically examines the implementation and the impact of seizure detection technologies across the health and social care system in the UK in the last decade, looking at the implications for the workforce, services, patients and the community. Drawing on academic research, NICE guidance, and NHS policy frameworks (Jones et al., 2023; NHS England, 2023b; UK Parliament, 2022), this paper will also explore the benefits and challenges of digital adoption in epilepsy management.</w:t>
      </w:r>
    </w:p>
    <w:p w14:paraId="3818A128" w14:textId="5834031C" w:rsidR="008345D3" w:rsidRPr="008345D3" w:rsidRDefault="008345D3" w:rsidP="00AF0B4C">
      <w:pPr>
        <w:pStyle w:val="Heading1"/>
      </w:pPr>
      <w:bookmarkStart w:id="1" w:name="_Toc213536925"/>
      <w:r w:rsidRPr="008345D3">
        <w:t>2. Impact on Workforce</w:t>
      </w:r>
      <w:bookmarkEnd w:id="1"/>
    </w:p>
    <w:p w14:paraId="392D975F" w14:textId="77777777" w:rsidR="00087347" w:rsidRDefault="00087347" w:rsidP="008345D3">
      <w:r w:rsidRPr="00087347">
        <w:t>The introduction of seizure detection devices has had a major impact upon the roles, competencies, and everyday practices of health and social care professionals within the UK. These digital technologies are demanding new technical skills from clinicians around the interpretation of data, calibration of devices and real-time remote monitoring (NHS England, 2025). According to the NHS Long Term Workforce Plan (NHS England 2023d), digital literacy is a national priority to ensure that healthcare workers are equipped to use technology such as wearable seizure monitors in a safe and effective manner. The Department of Health's digital capability frameworks from Health Education England highlight ongoing professional development for staff to enable them to understand and take appropriate action based on algorithm-generated alerts while exercising clinical judgement (NHS England, 2025).</w:t>
      </w:r>
    </w:p>
    <w:p w14:paraId="73EC4840" w14:textId="77777777" w:rsidR="00087347" w:rsidRDefault="00087347" w:rsidP="008345D3">
      <w:r w:rsidRPr="00087347">
        <w:t>The emergence of wearable and sensor-based systems has also changed the workforce dynamic by allowing for near or virtual care that is preventative in nature. The health exception, including epilepsy highly impacts the quality of living of people, and connected monitoring platforms enable various nurses and epilepsy specialists to supervise high-risk patients at the same time, enhancing incidence rate and response time (</w:t>
      </w:r>
      <w:proofErr w:type="spellStart"/>
      <w:r w:rsidRPr="00087347">
        <w:t>Onorati</w:t>
      </w:r>
      <w:proofErr w:type="spellEnd"/>
      <w:r w:rsidRPr="00087347">
        <w:t xml:space="preserve"> et al., 2021; </w:t>
      </w:r>
      <w:proofErr w:type="spellStart"/>
      <w:r w:rsidRPr="00087347">
        <w:t>Naganur</w:t>
      </w:r>
      <w:proofErr w:type="spellEnd"/>
      <w:r w:rsidRPr="00087347">
        <w:t xml:space="preserve"> et al., 2022). These innovations align with the digital transformation strategy of NHS England, which advocates for data-driven decision-making and integrated models of care (NHS England, 2023a; NHS England, 2023c). Moreover, although automation may help with workflow optimization, it may also lead to alarm fatigue and cognitive overload in case of false positives, underlining the importance of balanced workload management (</w:t>
      </w:r>
      <w:proofErr w:type="spellStart"/>
      <w:r w:rsidRPr="00087347">
        <w:t>Lazeron</w:t>
      </w:r>
      <w:proofErr w:type="spellEnd"/>
      <w:r w:rsidRPr="00087347">
        <w:t xml:space="preserve"> et al., 2022; </w:t>
      </w:r>
      <w:proofErr w:type="spellStart"/>
      <w:r w:rsidRPr="00087347">
        <w:t>Nouboue</w:t>
      </w:r>
      <w:proofErr w:type="spellEnd"/>
      <w:r w:rsidRPr="00087347">
        <w:t xml:space="preserve"> et al., 2023).</w:t>
      </w:r>
    </w:p>
    <w:p w14:paraId="70EB1FB8" w14:textId="77777777" w:rsidR="00087347" w:rsidRDefault="00087347" w:rsidP="008345D3">
      <w:r w:rsidRPr="00087347">
        <w:t xml:space="preserve">In addition, the introduction of seizure detection technologies requires collaboration between clinical and technical teams. Which means biomedical engineers, IT practitioners and healthcare providers must work together to ensure system interoperability, cybersecurity and data governance in accordance with NHS Digital's standards (NHS, 2023). This interdisciplinary strategy promotes a culture of innovation, but it also calls for </w:t>
      </w:r>
      <w:proofErr w:type="spellStart"/>
      <w:r w:rsidRPr="00087347">
        <w:t>organisational</w:t>
      </w:r>
      <w:proofErr w:type="spellEnd"/>
      <w:r w:rsidRPr="00087347">
        <w:t xml:space="preserve"> adaptability and resource investment (UK Parliament, 2022). Leadership is a key factor in the overall ethical integration of digital systems. Nursing leaders and clinical leaders are increasingly charged with the goal of ensuring equitable access to technologies, and managing ethically the tensions between purpose and data use, autonomy, and consent. Integrating digital ethics in </w:t>
      </w:r>
      <w:proofErr w:type="spellStart"/>
      <w:r w:rsidRPr="00087347">
        <w:t>organisational</w:t>
      </w:r>
      <w:proofErr w:type="spellEnd"/>
      <w:r w:rsidRPr="00087347">
        <w:t xml:space="preserve"> training and governance is one way to ensure that innovation is used to augment, not replace, human decision-making in care delivery (NHS England, 2023b; UK Parliament, 2022).</w:t>
      </w:r>
    </w:p>
    <w:p w14:paraId="591ADF3F" w14:textId="77777777" w:rsidR="00087347" w:rsidRDefault="00087347" w:rsidP="00087347">
      <w:r w:rsidRPr="00087347">
        <w:t xml:space="preserve">Despite these challenges, the technologies have provided the staff with a higher degree of confidence in monitoring of high-risk patients, reduced stress levels of night shifts and unsupervised care scenarios (Van </w:t>
      </w:r>
      <w:proofErr w:type="spellStart"/>
      <w:r w:rsidRPr="00087347">
        <w:t>Westrhenen</w:t>
      </w:r>
      <w:proofErr w:type="spellEnd"/>
      <w:r w:rsidRPr="00087347">
        <w:t xml:space="preserve"> et al., 2023; </w:t>
      </w:r>
      <w:proofErr w:type="spellStart"/>
      <w:r w:rsidRPr="00087347">
        <w:t>Engelgeer</w:t>
      </w:r>
      <w:proofErr w:type="spellEnd"/>
      <w:r w:rsidRPr="00087347">
        <w:t xml:space="preserve"> et al., 2022). Finally, the workforce implications of seizure detection devices are part of a wider shift to digitally enabled </w:t>
      </w:r>
      <w:proofErr w:type="spellStart"/>
      <w:r w:rsidRPr="00087347">
        <w:t>patient-centred</w:t>
      </w:r>
      <w:proofErr w:type="spellEnd"/>
      <w:r w:rsidRPr="00087347">
        <w:t xml:space="preserve"> care that is consistent with NHS England's inclusive digital healthcare framework (NHS England, 2023b) and The King's Fund's vision of a digitally enabled workforce (</w:t>
      </w:r>
      <w:proofErr w:type="spellStart"/>
      <w:r w:rsidRPr="00087347">
        <w:t>Mallorie</w:t>
      </w:r>
      <w:proofErr w:type="spellEnd"/>
      <w:r w:rsidRPr="00087347">
        <w:t>, 2024).</w:t>
      </w:r>
    </w:p>
    <w:p w14:paraId="25C82E36" w14:textId="77027E55" w:rsidR="008345D3" w:rsidRPr="008345D3" w:rsidRDefault="008345D3" w:rsidP="00AF0B4C">
      <w:pPr>
        <w:pStyle w:val="Heading1"/>
      </w:pPr>
      <w:bookmarkStart w:id="2" w:name="_Toc213536926"/>
      <w:r w:rsidRPr="008345D3">
        <w:t>3. Impact on Service Delivery</w:t>
      </w:r>
      <w:bookmarkEnd w:id="2"/>
      <w:r w:rsidRPr="008345D3">
        <w:t xml:space="preserve"> </w:t>
      </w:r>
    </w:p>
    <w:p w14:paraId="56C57BD8" w14:textId="77777777" w:rsidR="00234A00" w:rsidRDefault="00234A00" w:rsidP="00234A00">
      <w:r>
        <w:t xml:space="preserve">With the introduction of technologies of seizure detection, the manner that service is delivered in the UK health and social care has changed significantly as it is now possible to provide care in a more proactive and more integrated manner through the use of more data driven solutions to service delivery. The application of wearable and sensor-based devices like NightWatch, Embrace and under-mattress technology has seen the evolution of the traditional approach to the management of epilepsy, which mainly was based on intermittent clinic visits and self-reporting among patients (Van </w:t>
      </w:r>
      <w:proofErr w:type="spellStart"/>
      <w:r>
        <w:t>Westrhenen</w:t>
      </w:r>
      <w:proofErr w:type="spellEnd"/>
      <w:r>
        <w:t xml:space="preserve"> et al., 2023; </w:t>
      </w:r>
      <w:proofErr w:type="spellStart"/>
      <w:r>
        <w:t>Nouboue</w:t>
      </w:r>
      <w:proofErr w:type="spellEnd"/>
      <w:r>
        <w:t xml:space="preserve"> et al., 2023). It is consistent with the Digital Transformation agenda of NHS England that prioritizes on interoperability, digital inclusion and </w:t>
      </w:r>
      <w:proofErr w:type="spellStart"/>
      <w:r>
        <w:t>patient-centred</w:t>
      </w:r>
      <w:proofErr w:type="spellEnd"/>
      <w:r>
        <w:t xml:space="preserve"> service redesign (NHS England, 2023a; NHS England, 2023b).</w:t>
      </w:r>
    </w:p>
    <w:p w14:paraId="66DA2385" w14:textId="59918872" w:rsidR="00234A00" w:rsidRDefault="00234A00" w:rsidP="00234A00">
      <w:r>
        <w:t>Efficiency in service delivery has also been enhanced with real-time alert systems where healthcare staff or family caregivers are automatically notified about seizure events and, therefore, can offer better clinical response and minimize unnecessary hospital admission (</w:t>
      </w:r>
      <w:proofErr w:type="spellStart"/>
      <w:r>
        <w:t>Onorati</w:t>
      </w:r>
      <w:proofErr w:type="spellEnd"/>
      <w:r>
        <w:t xml:space="preserve"> et al., 2021; </w:t>
      </w:r>
      <w:proofErr w:type="spellStart"/>
      <w:r>
        <w:t>Naganur</w:t>
      </w:r>
      <w:proofErr w:type="spellEnd"/>
      <w:r>
        <w:t xml:space="preserve"> et al., 2022). Consequently, NHS has experienced a gradual transition towards preventive and community management with reactive and hospital-based management to meet the targets of the NHS Long Term Workforce Plan (NHS England, 2023d). Research indicates that the use of seizure detection technologies can similarly decrease the amount of emergency resources spent and decrease the amount of money spent to maintain epilepsy in the long-term (</w:t>
      </w:r>
      <w:proofErr w:type="spellStart"/>
      <w:r>
        <w:t>Engelgeer</w:t>
      </w:r>
      <w:proofErr w:type="spellEnd"/>
      <w:r>
        <w:t xml:space="preserve"> et al., 2022).</w:t>
      </w:r>
    </w:p>
    <w:p w14:paraId="25D1B7EA" w14:textId="77777777" w:rsidR="00087347" w:rsidRDefault="00087347" w:rsidP="008345D3">
      <w:r w:rsidRPr="00087347">
        <w:t>Furthermore, these technologies enable multidisciplinary collaboration across clinical networks as data from wearable sensors can be linked with electronic health records to enable better coordination of interventions between neurologists, nurses and allied professionals (</w:t>
      </w:r>
      <w:proofErr w:type="spellStart"/>
      <w:r w:rsidRPr="00087347">
        <w:t>Komal</w:t>
      </w:r>
      <w:proofErr w:type="spellEnd"/>
      <w:r w:rsidRPr="00087347">
        <w:t xml:space="preserve"> et al., 2024; NHS England, 2023c). However, </w:t>
      </w:r>
      <w:proofErr w:type="spellStart"/>
      <w:r w:rsidRPr="00087347">
        <w:t>standardisation</w:t>
      </w:r>
      <w:proofErr w:type="spellEnd"/>
      <w:r w:rsidRPr="00087347">
        <w:t xml:space="preserve"> of services is an ongoing challenge with potential variability in device accuracy and digital infrastructure across NHS Trusts, which may affect equitable access to advanced monitoring (UK Parliament, 2022). Interoperability is a cornerstone of the NHS's digital strategy, and ensuring the capability of seizure monitoring data in integration with national EHRs. A further consolidation of NHS Digital within NHS England in 2023 has further improved data governance and transparency in service coordination (NHS England, 2023c).</w:t>
      </w:r>
    </w:p>
    <w:p w14:paraId="35EE94C0" w14:textId="77777777" w:rsidR="00087347" w:rsidRDefault="00087347" w:rsidP="00087347">
      <w:r w:rsidRPr="00087347">
        <w:t xml:space="preserve">Despite such disparities, seizure detection systems are a major milestone in the UK's journey towards smart healthcare ecosystem - improving continuity, accessibility, and </w:t>
      </w:r>
      <w:proofErr w:type="spellStart"/>
      <w:r w:rsidRPr="00087347">
        <w:t>personalisation</w:t>
      </w:r>
      <w:proofErr w:type="spellEnd"/>
      <w:r w:rsidRPr="00087347">
        <w:t xml:space="preserve"> of care and supporting safer environments at home for the individual with epilepsy (</w:t>
      </w:r>
      <w:proofErr w:type="spellStart"/>
      <w:r w:rsidRPr="00087347">
        <w:t>Sasseville</w:t>
      </w:r>
      <w:proofErr w:type="spellEnd"/>
      <w:r w:rsidRPr="00087347">
        <w:t xml:space="preserve"> et al., 2024; NICE, 2022; Epilepsy Action, 2025).</w:t>
      </w:r>
    </w:p>
    <w:p w14:paraId="74D36A84" w14:textId="7BBF5A92" w:rsidR="008345D3" w:rsidRPr="008345D3" w:rsidRDefault="008345D3" w:rsidP="00AF0B4C">
      <w:pPr>
        <w:pStyle w:val="Heading1"/>
      </w:pPr>
      <w:bookmarkStart w:id="3" w:name="_Toc213536927"/>
      <w:r w:rsidRPr="008345D3">
        <w:t>4. Impact on Patients</w:t>
      </w:r>
      <w:bookmarkEnd w:id="3"/>
    </w:p>
    <w:p w14:paraId="5FBF144D" w14:textId="77777777" w:rsidR="00087347" w:rsidRDefault="00087347" w:rsidP="00087347">
      <w:r w:rsidRPr="00087347">
        <w:t xml:space="preserve">For the people who are living with epilepsy, seizure detection technologies have provided a life-changing safety, independence and wellbeing improvement. Devices like wrist-worn sensors, bed-based detectors and applications linked to smartphones have made it possible to continuously monitor and automatically alert caregivers or clinicians when seizure activity occurs (Van </w:t>
      </w:r>
      <w:proofErr w:type="spellStart"/>
      <w:r w:rsidRPr="00087347">
        <w:t>Westrhenen</w:t>
      </w:r>
      <w:proofErr w:type="spellEnd"/>
      <w:r w:rsidRPr="00087347">
        <w:t xml:space="preserve"> et al., 2023; </w:t>
      </w:r>
      <w:proofErr w:type="spellStart"/>
      <w:r w:rsidRPr="00087347">
        <w:t>Nouboue</w:t>
      </w:r>
      <w:proofErr w:type="spellEnd"/>
      <w:r w:rsidRPr="00087347">
        <w:t xml:space="preserve"> et al., 2023). This has significantly lowered anxiety that comes with periods not supervised by adults, specifically at night when most high-risk seizures occur (</w:t>
      </w:r>
      <w:proofErr w:type="spellStart"/>
      <w:r w:rsidRPr="00087347">
        <w:t>Lazeron</w:t>
      </w:r>
      <w:proofErr w:type="spellEnd"/>
      <w:r w:rsidRPr="00087347">
        <w:t xml:space="preserve"> et al., 2022). The NICE Guideline NG217 (NICE, 2022) supports the embedded use of these types of digital tools in epilepsy management pathways, with a focus on patient empowerment and speed of response to seizure incidents.</w:t>
      </w:r>
    </w:p>
    <w:p w14:paraId="5F3E3179" w14:textId="77777777" w:rsidR="00087347" w:rsidRDefault="00087347" w:rsidP="008345D3">
      <w:r w:rsidRPr="00087347">
        <w:t xml:space="preserve">There is evidence that these devices improve quality of life and patient autonomy as they </w:t>
      </w:r>
      <w:proofErr w:type="spellStart"/>
      <w:r w:rsidRPr="00087347">
        <w:t>minimise</w:t>
      </w:r>
      <w:proofErr w:type="spellEnd"/>
      <w:r w:rsidRPr="00087347">
        <w:t xml:space="preserve"> the need for constant physical supervision (</w:t>
      </w:r>
      <w:proofErr w:type="spellStart"/>
      <w:r w:rsidRPr="00087347">
        <w:t>Engelgeer</w:t>
      </w:r>
      <w:proofErr w:type="spellEnd"/>
      <w:r w:rsidRPr="00087347">
        <w:t xml:space="preserve"> et al., 2022; </w:t>
      </w:r>
      <w:proofErr w:type="spellStart"/>
      <w:r w:rsidRPr="00087347">
        <w:t>Onorati</w:t>
      </w:r>
      <w:proofErr w:type="spellEnd"/>
      <w:r w:rsidRPr="00087347">
        <w:t xml:space="preserve"> et al., 2021). There is a high report of a level of confidence to participate in social and work activities which helps to attain low </w:t>
      </w:r>
      <w:proofErr w:type="spellStart"/>
      <w:r w:rsidRPr="00087347">
        <w:t>stigmatisation</w:t>
      </w:r>
      <w:proofErr w:type="spellEnd"/>
      <w:r w:rsidRPr="00087347">
        <w:t xml:space="preserve"> and better psychosocial wellbeing (Epilepsy Action, 2025). These devices also promote self-management, so patients can see their seizure patterns and seizures via apps on their phones, thus creating better shared decision-making and compliance to treatment plans (</w:t>
      </w:r>
      <w:proofErr w:type="spellStart"/>
      <w:r w:rsidRPr="00087347">
        <w:t>Sasseville</w:t>
      </w:r>
      <w:proofErr w:type="spellEnd"/>
      <w:r w:rsidRPr="00087347">
        <w:t xml:space="preserve"> et al., 2024; </w:t>
      </w:r>
      <w:proofErr w:type="spellStart"/>
      <w:r w:rsidRPr="00087347">
        <w:t>Komal</w:t>
      </w:r>
      <w:proofErr w:type="spellEnd"/>
      <w:r w:rsidRPr="00087347">
        <w:t xml:space="preserve"> et al., 2024). Moreover, wearable technology, such as that used in these studies by </w:t>
      </w:r>
      <w:proofErr w:type="spellStart"/>
      <w:r w:rsidRPr="00087347">
        <w:t>Naganur</w:t>
      </w:r>
      <w:proofErr w:type="spellEnd"/>
      <w:r w:rsidRPr="00087347">
        <w:t xml:space="preserve"> et al. (2022) and </w:t>
      </w:r>
      <w:proofErr w:type="spellStart"/>
      <w:r w:rsidRPr="00087347">
        <w:t>Vakilna</w:t>
      </w:r>
      <w:proofErr w:type="spellEnd"/>
      <w:r w:rsidRPr="00087347">
        <w:t xml:space="preserve"> et al. (2024), show great reliability detecting convulsive seizure, which can be avoided from causing any injury and better able to intervene at the right time.</w:t>
      </w:r>
    </w:p>
    <w:p w14:paraId="3538A7F4" w14:textId="77777777" w:rsidR="00087347" w:rsidRDefault="00087347" w:rsidP="008345D3">
      <w:r w:rsidRPr="00087347">
        <w:t>However, despite its benefits, there are challenges. False alarms and device malfunction can cause alarm fatigue and emotional stress for both patients and families (</w:t>
      </w:r>
      <w:proofErr w:type="spellStart"/>
      <w:r w:rsidRPr="00087347">
        <w:t>Komal</w:t>
      </w:r>
      <w:proofErr w:type="spellEnd"/>
      <w:r w:rsidRPr="00087347">
        <w:t xml:space="preserve"> et al., 2024; </w:t>
      </w:r>
      <w:proofErr w:type="spellStart"/>
      <w:r w:rsidRPr="00087347">
        <w:t>Sasseville</w:t>
      </w:r>
      <w:proofErr w:type="spellEnd"/>
      <w:r w:rsidRPr="00087347">
        <w:t xml:space="preserve"> et al., 2024). Issues about data privacy and consent have also arisen, especially as personal health data are passed between digital platforms (NHS, 2023). Accessibility barriers also exist for those without digital literacy or financial means to access; the importance of equitable provision is reflected in the Inclusive Digital Healthcare Framework (NHS England, 2023b)</w:t>
      </w:r>
    </w:p>
    <w:p w14:paraId="3F2C632B" w14:textId="6804C464" w:rsidR="00234A00" w:rsidRDefault="00234A00" w:rsidP="00087347">
      <w:r w:rsidRPr="00234A00">
        <w:t xml:space="preserve">However, with the support of clear training and integration to professional monitoring systems, the seizure detection technology presents a pro-safety versus pro-empowerment balance. </w:t>
      </w:r>
      <w:proofErr w:type="spellStart"/>
      <w:r w:rsidRPr="00234A00">
        <w:t>Patient-centred</w:t>
      </w:r>
      <w:proofErr w:type="spellEnd"/>
      <w:r w:rsidRPr="00234A00">
        <w:t xml:space="preserve"> digital innovations, which, according to the findings of The King's Fund (</w:t>
      </w:r>
      <w:proofErr w:type="spellStart"/>
      <w:r w:rsidRPr="00234A00">
        <w:t>Mallorie</w:t>
      </w:r>
      <w:proofErr w:type="spellEnd"/>
      <w:r w:rsidRPr="00234A00">
        <w:t>, 2024) and UK Parliament (2022), are ethically regulated, also enhance trust in healthcare systems and continuity of care. All in all, the applications of these tools have allowed epilepsy patients to have back control over their daily lives as well as provide a stable and communicative clinical consultation.</w:t>
      </w:r>
    </w:p>
    <w:p w14:paraId="7939AE95" w14:textId="63598139" w:rsidR="00631B0A" w:rsidRPr="00631B0A" w:rsidRDefault="00631B0A" w:rsidP="00AF0B4C">
      <w:pPr>
        <w:pStyle w:val="Heading1"/>
      </w:pPr>
      <w:bookmarkStart w:id="4" w:name="_Toc213536928"/>
      <w:r w:rsidRPr="00631B0A">
        <w:t>5. Impact on Community</w:t>
      </w:r>
      <w:bookmarkEnd w:id="4"/>
    </w:p>
    <w:p w14:paraId="19EF27D7" w14:textId="66C89634" w:rsidR="00234A00" w:rsidRDefault="00234A00" w:rsidP="00631B0A">
      <w:r w:rsidRPr="00234A00">
        <w:t xml:space="preserve">Seizure detection technologies will be included in the solution at the community level to develop safer and more inclusive environments of individuals with epilepsy and their support circles. They can offer real time alerts and remote monitoring, with the help of which the individuals have a more independent position in the community than when they were observed in hospitals (Epilepsy Action, 2025; NICE, 2022). The presence of monitoring systems to notify the family members about seizure activity even in the absence of caregivers makes families feel more reassured and less stressed (Van </w:t>
      </w:r>
      <w:proofErr w:type="spellStart"/>
      <w:r w:rsidRPr="00234A00">
        <w:t>Westrhenen</w:t>
      </w:r>
      <w:proofErr w:type="spellEnd"/>
      <w:r w:rsidRPr="00234A00">
        <w:t xml:space="preserve"> et al., 2023; </w:t>
      </w:r>
      <w:proofErr w:type="spellStart"/>
      <w:r w:rsidRPr="00234A00">
        <w:t>Nouboue</w:t>
      </w:r>
      <w:proofErr w:type="spellEnd"/>
      <w:r w:rsidRPr="00234A00">
        <w:t xml:space="preserve"> et al., 2023).</w:t>
      </w:r>
    </w:p>
    <w:p w14:paraId="6CB23C4E" w14:textId="77777777" w:rsidR="00087347" w:rsidRDefault="00087347" w:rsidP="00087347">
      <w:r w:rsidRPr="00087347">
        <w:t xml:space="preserve">The broader public health impact is </w:t>
      </w:r>
      <w:proofErr w:type="spellStart"/>
      <w:r w:rsidRPr="00087347">
        <w:t>realised</w:t>
      </w:r>
      <w:proofErr w:type="spellEnd"/>
      <w:r w:rsidRPr="00087347">
        <w:t xml:space="preserve"> in less demand for emergency services and in the capacity building of informal carers to carry out care, reflecting NHS England's desire to have community-based digital health ecosystems (NHS England, 2023a; NHS England, 2023d). Seizure detection technologies also facilitate co-production of care, where patients, families, and clinicians all work together to use data to guide treatment decisions (</w:t>
      </w:r>
      <w:proofErr w:type="spellStart"/>
      <w:r w:rsidRPr="00087347">
        <w:t>Komal</w:t>
      </w:r>
      <w:proofErr w:type="spellEnd"/>
      <w:r w:rsidRPr="00087347">
        <w:t xml:space="preserve"> et al., 2024; </w:t>
      </w:r>
      <w:proofErr w:type="spellStart"/>
      <w:r w:rsidRPr="00087347">
        <w:t>Sasseville</w:t>
      </w:r>
      <w:proofErr w:type="spellEnd"/>
      <w:r w:rsidRPr="00087347">
        <w:t xml:space="preserve"> et al., 2024). This bolsters trust and engagement between healthcare providers and local populations, such as that envisioned in the Inclusive Digital Healthcare Framework (NHS England, 2023b).</w:t>
      </w:r>
    </w:p>
    <w:p w14:paraId="09B5D03D" w14:textId="77777777" w:rsidR="00087347" w:rsidRDefault="00087347" w:rsidP="00AF0B4C">
      <w:r w:rsidRPr="00087347">
        <w:t>However, inequalities in access are also a problem. Increased digital inequality: Digital exclusion, limited broadband coverage, and affordability issues can exclude certain groups, mainly older adults and low-income households, from the benefits (UK Parliament, 2022). In response to these inequities, community level responses are required that understand how to increase digital literacy and accessibility in a way that is consistent with the principles of the Equality Act 2010 and the NHS's Healthy People with Disability Patient Commitment (</w:t>
      </w:r>
      <w:proofErr w:type="spellStart"/>
      <w:r w:rsidRPr="00087347">
        <w:t>Mallorie</w:t>
      </w:r>
      <w:proofErr w:type="spellEnd"/>
      <w:r w:rsidRPr="00087347">
        <w:t>, 2024; NHS, 2023).</w:t>
      </w:r>
    </w:p>
    <w:p w14:paraId="2FACD471" w14:textId="1A91B856" w:rsidR="00631B0A" w:rsidRPr="00631B0A" w:rsidRDefault="00631B0A" w:rsidP="00AF0B4C">
      <w:pPr>
        <w:pStyle w:val="Heading1"/>
      </w:pPr>
      <w:bookmarkStart w:id="5" w:name="_Toc213536929"/>
      <w:r w:rsidRPr="00631B0A">
        <w:t>6. Conclusion</w:t>
      </w:r>
      <w:bookmarkEnd w:id="5"/>
      <w:r w:rsidRPr="00631B0A">
        <w:t xml:space="preserve"> </w:t>
      </w:r>
    </w:p>
    <w:p w14:paraId="6BB7E7A6" w14:textId="77777777" w:rsidR="00087347" w:rsidRDefault="00087347" w:rsidP="00631B0A">
      <w:r w:rsidRPr="00087347">
        <w:t xml:space="preserve">Seizure detection technologies are a new age in the digital transformation of health and social care in the UK. By integrating wearable sensors, artificial intelligence (AI) based analytics, and remote communication, they have improved clinical efficiency, patient safety, and independent living for epilepsy patients (Van </w:t>
      </w:r>
      <w:proofErr w:type="spellStart"/>
      <w:r w:rsidRPr="00087347">
        <w:t>Westrhenen</w:t>
      </w:r>
      <w:proofErr w:type="spellEnd"/>
      <w:r w:rsidRPr="00087347">
        <w:t xml:space="preserve"> et al., 2023; </w:t>
      </w:r>
      <w:proofErr w:type="spellStart"/>
      <w:r w:rsidRPr="00087347">
        <w:t>Naganur</w:t>
      </w:r>
      <w:proofErr w:type="spellEnd"/>
      <w:r w:rsidRPr="00087347">
        <w:t xml:space="preserve"> et al., 2022). Their integration has also brought about and promoted positive change in team working and the need for digital skills and multidisciplinary team working (NHS England, 2025; </w:t>
      </w:r>
      <w:proofErr w:type="spellStart"/>
      <w:r w:rsidRPr="00087347">
        <w:t>Engelgeer</w:t>
      </w:r>
      <w:proofErr w:type="spellEnd"/>
      <w:r w:rsidRPr="00087347">
        <w:t xml:space="preserve"> et al., 2022). Service delivery is becoming proactive and community-based, informed by real time data sharing and enhanced co-ordination (NHS England 2023a; </w:t>
      </w:r>
      <w:proofErr w:type="spellStart"/>
      <w:r w:rsidRPr="00087347">
        <w:t>Komal</w:t>
      </w:r>
      <w:proofErr w:type="spellEnd"/>
      <w:r w:rsidRPr="00087347">
        <w:t xml:space="preserve"> et al., 2024).</w:t>
      </w:r>
    </w:p>
    <w:p w14:paraId="0DF566A8" w14:textId="77777777" w:rsidR="00087347" w:rsidRDefault="00087347" w:rsidP="00087347">
      <w:r w:rsidRPr="00087347">
        <w:t>However, problems remain in relation to providing equitable access, protecting patient data and retaining human control within increasingly automated systems (NHS, 2023; UK Parliament, 2022). Future policy needs to enhance ethical frameworks and digital inclusion (NHS England, 2023b). Overall, epilepsy detectors represent digital innovation that can harmonize clinical excellence with compassionate care, aligning with the long-term vision of the NHS to deliver safe, inclusive, and technology-enabled health services (</w:t>
      </w:r>
      <w:proofErr w:type="spellStart"/>
      <w:r w:rsidRPr="00087347">
        <w:t>Mallorie</w:t>
      </w:r>
      <w:proofErr w:type="spellEnd"/>
      <w:r w:rsidRPr="00087347">
        <w:t>, 2024; NICE, 2022).</w:t>
      </w:r>
    </w:p>
    <w:p w14:paraId="7E69E985" w14:textId="673C4379" w:rsidR="008345D3" w:rsidRDefault="008345D3" w:rsidP="00631B0A">
      <w:r>
        <w:br w:type="page"/>
      </w:r>
    </w:p>
    <w:p w14:paraId="20D4DB72" w14:textId="4795FDC8" w:rsidR="00A748B9" w:rsidRDefault="008345D3" w:rsidP="008345D3">
      <w:pPr>
        <w:pStyle w:val="Heading1"/>
      </w:pPr>
      <w:bookmarkStart w:id="6" w:name="_Toc213536930"/>
      <w:r>
        <w:t>References</w:t>
      </w:r>
      <w:bookmarkEnd w:id="6"/>
    </w:p>
    <w:p w14:paraId="7E61CD75" w14:textId="77777777" w:rsidR="007C3615" w:rsidRPr="008345D3" w:rsidRDefault="007C3615" w:rsidP="007C3615">
      <w:pPr>
        <w:pStyle w:val="BodyText"/>
        <w:ind w:left="720" w:hanging="720"/>
      </w:pPr>
      <w:r w:rsidRPr="008345D3">
        <w:t xml:space="preserve">Anouk van </w:t>
      </w:r>
      <w:proofErr w:type="spellStart"/>
      <w:r w:rsidRPr="008345D3">
        <w:t>Westrhenen</w:t>
      </w:r>
      <w:proofErr w:type="spellEnd"/>
      <w:r w:rsidRPr="008345D3">
        <w:t xml:space="preserve">, Richard, </w:t>
      </w:r>
      <w:proofErr w:type="spellStart"/>
      <w:r w:rsidRPr="008345D3">
        <w:t>Dijk</w:t>
      </w:r>
      <w:proofErr w:type="spellEnd"/>
      <w:r w:rsidRPr="008345D3">
        <w:t xml:space="preserve">, van, Frans and Thijs, R.D. (2023). Multimodal nocturnal seizure detection in children with epilepsy: A prospective, </w:t>
      </w:r>
      <w:proofErr w:type="spellStart"/>
      <w:r w:rsidRPr="008345D3">
        <w:t>multicenter</w:t>
      </w:r>
      <w:proofErr w:type="spellEnd"/>
      <w:r w:rsidRPr="008345D3">
        <w:t>, long</w:t>
      </w:r>
      <w:r w:rsidRPr="008345D3">
        <w:rPr>
          <w:rFonts w:ascii="Cambria Math" w:hAnsi="Cambria Math" w:cs="Cambria Math"/>
        </w:rPr>
        <w:t>‐</w:t>
      </w:r>
      <w:r w:rsidRPr="008345D3">
        <w:t>term, in</w:t>
      </w:r>
      <w:r w:rsidRPr="008345D3">
        <w:rPr>
          <w:rFonts w:ascii="Cambria Math" w:hAnsi="Cambria Math" w:cs="Cambria Math"/>
        </w:rPr>
        <w:t>‐</w:t>
      </w:r>
      <w:r w:rsidRPr="008345D3">
        <w:t xml:space="preserve">home trial. </w:t>
      </w:r>
      <w:proofErr w:type="spellStart"/>
      <w:r w:rsidRPr="008345D3">
        <w:rPr>
          <w:i/>
          <w:iCs/>
        </w:rPr>
        <w:t>Epilepsia</w:t>
      </w:r>
      <w:proofErr w:type="spellEnd"/>
      <w:r w:rsidRPr="008345D3">
        <w:t xml:space="preserve">, 64(8), pp.2137–2152. </w:t>
      </w:r>
      <w:proofErr w:type="spellStart"/>
      <w:r w:rsidRPr="008345D3">
        <w:t>doi:https</w:t>
      </w:r>
      <w:proofErr w:type="spellEnd"/>
      <w:r w:rsidRPr="008345D3">
        <w:t>://doi.org/10.1111/epi.17654.</w:t>
      </w:r>
    </w:p>
    <w:p w14:paraId="0913F7AB" w14:textId="77777777" w:rsidR="007C3615" w:rsidRPr="008345D3" w:rsidRDefault="007C3615" w:rsidP="007C3615">
      <w:pPr>
        <w:pStyle w:val="BodyText"/>
        <w:ind w:left="720" w:hanging="720"/>
      </w:pPr>
      <w:proofErr w:type="spellStart"/>
      <w:r w:rsidRPr="008345D3">
        <w:t>Engelgeer</w:t>
      </w:r>
      <w:proofErr w:type="spellEnd"/>
      <w:r w:rsidRPr="008345D3">
        <w:t xml:space="preserve">, A., van </w:t>
      </w:r>
      <w:proofErr w:type="spellStart"/>
      <w:r w:rsidRPr="008345D3">
        <w:t>Westrhenen</w:t>
      </w:r>
      <w:proofErr w:type="spellEnd"/>
      <w:r w:rsidRPr="008345D3">
        <w:t xml:space="preserve">, A., Thijs, R.D. and Evers, S.M.A.A. (2022). An economic evaluation of the NightWatch for children with refractory epilepsy: Insight into the cost-effectiveness and cost-utility. </w:t>
      </w:r>
      <w:r w:rsidRPr="008345D3">
        <w:rPr>
          <w:i/>
          <w:iCs/>
        </w:rPr>
        <w:t>Seizure</w:t>
      </w:r>
      <w:r w:rsidRPr="008345D3">
        <w:t xml:space="preserve">, 101, pp.156–161. </w:t>
      </w:r>
      <w:proofErr w:type="spellStart"/>
      <w:r w:rsidRPr="008345D3">
        <w:t>doi:https</w:t>
      </w:r>
      <w:proofErr w:type="spellEnd"/>
      <w:r w:rsidRPr="008345D3">
        <w:t>://doi.org/10.1016/j.seizure.2022.08.003.</w:t>
      </w:r>
    </w:p>
    <w:p w14:paraId="5E111FD4" w14:textId="77777777" w:rsidR="007C3615" w:rsidRPr="008345D3" w:rsidRDefault="007C3615" w:rsidP="007C3615">
      <w:pPr>
        <w:pStyle w:val="BodyText"/>
        <w:ind w:left="720" w:hanging="720"/>
      </w:pPr>
      <w:proofErr w:type="spellStart"/>
      <w:r w:rsidRPr="008345D3">
        <w:t>Eoilepsy</w:t>
      </w:r>
      <w:proofErr w:type="spellEnd"/>
      <w:r w:rsidRPr="008345D3">
        <w:t xml:space="preserve"> Action (2025). </w:t>
      </w:r>
      <w:r w:rsidRPr="008345D3">
        <w:rPr>
          <w:i/>
          <w:iCs/>
        </w:rPr>
        <w:t>Alarms and monitors</w:t>
      </w:r>
      <w:r w:rsidRPr="008345D3">
        <w:t xml:space="preserve">. [online] Epilepsy Action. Available at: </w:t>
      </w:r>
      <w:hyperlink r:id="rId9" w:history="1">
        <w:r w:rsidRPr="00301876">
          <w:rPr>
            <w:rStyle w:val="Hyperlink"/>
          </w:rPr>
          <w:t>https://www.epilepsy.org.uk/living/safety-equipment/alarms-and-monitors</w:t>
        </w:r>
      </w:hyperlink>
      <w:r w:rsidRPr="008345D3">
        <w:t>.</w:t>
      </w:r>
    </w:p>
    <w:p w14:paraId="51FEF782" w14:textId="77777777" w:rsidR="007C3615" w:rsidRPr="008345D3" w:rsidRDefault="007C3615" w:rsidP="007C3615">
      <w:pPr>
        <w:pStyle w:val="BodyText"/>
        <w:ind w:left="720" w:hanging="720"/>
      </w:pPr>
      <w:r w:rsidRPr="008345D3">
        <w:t xml:space="preserve">Jones, K., Howells, R., </w:t>
      </w:r>
      <w:proofErr w:type="spellStart"/>
      <w:r w:rsidRPr="008345D3">
        <w:t>Mallick</w:t>
      </w:r>
      <w:proofErr w:type="spellEnd"/>
      <w:r w:rsidRPr="008345D3">
        <w:t xml:space="preserve">, A.A., </w:t>
      </w:r>
      <w:proofErr w:type="spellStart"/>
      <w:r w:rsidRPr="008345D3">
        <w:t>Siba</w:t>
      </w:r>
      <w:proofErr w:type="spellEnd"/>
      <w:r w:rsidRPr="008345D3">
        <w:t xml:space="preserve"> </w:t>
      </w:r>
      <w:proofErr w:type="spellStart"/>
      <w:r w:rsidRPr="008345D3">
        <w:t>Prosad</w:t>
      </w:r>
      <w:proofErr w:type="spellEnd"/>
      <w:r w:rsidRPr="008345D3">
        <w:t xml:space="preserve"> Paul and </w:t>
      </w:r>
      <w:proofErr w:type="spellStart"/>
      <w:r w:rsidRPr="008345D3">
        <w:t>Dey</w:t>
      </w:r>
      <w:proofErr w:type="spellEnd"/>
      <w:r w:rsidRPr="008345D3">
        <w:t xml:space="preserve">, I. (2023). NICE guideline review: Epilepsies in children, young people and adults NG217. </w:t>
      </w:r>
      <w:r w:rsidRPr="008345D3">
        <w:rPr>
          <w:i/>
          <w:iCs/>
        </w:rPr>
        <w:t>Archives of Disease in Childhood: Education &amp; Practice</w:t>
      </w:r>
      <w:r w:rsidRPr="008345D3">
        <w:t xml:space="preserve">, 108(6), pp.416–421. </w:t>
      </w:r>
      <w:proofErr w:type="spellStart"/>
      <w:r w:rsidRPr="008345D3">
        <w:t>doi:https</w:t>
      </w:r>
      <w:proofErr w:type="spellEnd"/>
      <w:r w:rsidRPr="008345D3">
        <w:t>://doi.org/10.1136/archdischild-2022-324427.</w:t>
      </w:r>
    </w:p>
    <w:p w14:paraId="3D6A1ADB" w14:textId="77777777" w:rsidR="007C3615" w:rsidRPr="008345D3" w:rsidRDefault="007C3615" w:rsidP="007C3615">
      <w:pPr>
        <w:pStyle w:val="BodyText"/>
        <w:ind w:left="720" w:hanging="720"/>
      </w:pPr>
      <w:r w:rsidRPr="008345D3">
        <w:t xml:space="preserve">K. </w:t>
      </w:r>
      <w:proofErr w:type="spellStart"/>
      <w:r w:rsidRPr="008345D3">
        <w:t>Komal</w:t>
      </w:r>
      <w:proofErr w:type="spellEnd"/>
      <w:r w:rsidRPr="008345D3">
        <w:t xml:space="preserve">, Cleary, F., J S.G. Wells and Bennett, L. (2024). A systematic review of the literature reporting on remote monitoring epileptic seizure detection devices. </w:t>
      </w:r>
      <w:r w:rsidRPr="008345D3">
        <w:rPr>
          <w:i/>
          <w:iCs/>
        </w:rPr>
        <w:t>Epilepsy Research</w:t>
      </w:r>
      <w:r w:rsidRPr="008345D3">
        <w:t xml:space="preserve">, pp.107334–107334. </w:t>
      </w:r>
      <w:proofErr w:type="spellStart"/>
      <w:r w:rsidRPr="008345D3">
        <w:t>doi:https</w:t>
      </w:r>
      <w:proofErr w:type="spellEnd"/>
      <w:r w:rsidRPr="008345D3">
        <w:t>://doi.org/10.1016/j.eplepsyres.2024.107334.</w:t>
      </w:r>
    </w:p>
    <w:p w14:paraId="2A951B3A" w14:textId="77777777" w:rsidR="007C3615" w:rsidRPr="008345D3" w:rsidRDefault="007C3615" w:rsidP="007C3615">
      <w:pPr>
        <w:pStyle w:val="BodyText"/>
        <w:ind w:left="720" w:hanging="720"/>
      </w:pPr>
      <w:proofErr w:type="spellStart"/>
      <w:r w:rsidRPr="008345D3">
        <w:t>Lazeron</w:t>
      </w:r>
      <w:proofErr w:type="spellEnd"/>
      <w:r w:rsidRPr="008345D3">
        <w:t xml:space="preserve">, R.H.C., Thijs, R.D., </w:t>
      </w:r>
      <w:proofErr w:type="spellStart"/>
      <w:r w:rsidRPr="008345D3">
        <w:t>Arends</w:t>
      </w:r>
      <w:proofErr w:type="spellEnd"/>
      <w:r w:rsidRPr="008345D3">
        <w:t xml:space="preserve">, J., Gutter, T., </w:t>
      </w:r>
      <w:proofErr w:type="spellStart"/>
      <w:r w:rsidRPr="008345D3">
        <w:t>Cluitmans</w:t>
      </w:r>
      <w:proofErr w:type="spellEnd"/>
      <w:r w:rsidRPr="008345D3">
        <w:t xml:space="preserve">, P., Van </w:t>
      </w:r>
      <w:proofErr w:type="spellStart"/>
      <w:r w:rsidRPr="008345D3">
        <w:t>Dijk</w:t>
      </w:r>
      <w:proofErr w:type="spellEnd"/>
      <w:r w:rsidRPr="008345D3">
        <w:t xml:space="preserve">, J., Tan, F.I.Y., Hofstra, W., </w:t>
      </w:r>
      <w:proofErr w:type="spellStart"/>
      <w:r w:rsidRPr="008345D3">
        <w:t>Donjacour</w:t>
      </w:r>
      <w:proofErr w:type="spellEnd"/>
      <w:r w:rsidRPr="008345D3">
        <w:t xml:space="preserve">, C.E.H.M. and </w:t>
      </w:r>
      <w:proofErr w:type="spellStart"/>
      <w:r w:rsidRPr="008345D3">
        <w:t>Leijten</w:t>
      </w:r>
      <w:proofErr w:type="spellEnd"/>
      <w:r w:rsidRPr="008345D3">
        <w:t xml:space="preserve">, F. (2022). Multimodal nocturnal seizure detection: Do we need to adapt algorithms for children? </w:t>
      </w:r>
      <w:proofErr w:type="spellStart"/>
      <w:r w:rsidRPr="008345D3">
        <w:rPr>
          <w:i/>
          <w:iCs/>
        </w:rPr>
        <w:t>Epilepsia</w:t>
      </w:r>
      <w:proofErr w:type="spellEnd"/>
      <w:r w:rsidRPr="008345D3">
        <w:rPr>
          <w:i/>
          <w:iCs/>
        </w:rPr>
        <w:t xml:space="preserve"> Open</w:t>
      </w:r>
      <w:r w:rsidRPr="008345D3">
        <w:t xml:space="preserve">, 7(3), pp.406–413. </w:t>
      </w:r>
      <w:proofErr w:type="spellStart"/>
      <w:r w:rsidRPr="008345D3">
        <w:t>doi:https</w:t>
      </w:r>
      <w:proofErr w:type="spellEnd"/>
      <w:r w:rsidRPr="008345D3">
        <w:t>://doi.org/10.1002/epi4.12618.</w:t>
      </w:r>
    </w:p>
    <w:p w14:paraId="3542477A" w14:textId="77777777" w:rsidR="007C3615" w:rsidRPr="008345D3" w:rsidRDefault="007C3615" w:rsidP="007C3615">
      <w:pPr>
        <w:pStyle w:val="BodyText"/>
        <w:ind w:left="720" w:hanging="720"/>
      </w:pPr>
      <w:proofErr w:type="spellStart"/>
      <w:r w:rsidRPr="008345D3">
        <w:t>Mallorie</w:t>
      </w:r>
      <w:proofErr w:type="spellEnd"/>
      <w:r w:rsidRPr="008345D3">
        <w:t xml:space="preserve">, S. (2024). </w:t>
      </w:r>
      <w:r w:rsidRPr="008345D3">
        <w:rPr>
          <w:i/>
          <w:iCs/>
        </w:rPr>
        <w:t>NHS workforce in a nutshell</w:t>
      </w:r>
      <w:r w:rsidRPr="008345D3">
        <w:t xml:space="preserve">. [online] The King’s Fund. Available at: </w:t>
      </w:r>
      <w:hyperlink r:id="rId10" w:history="1">
        <w:r w:rsidRPr="00301876">
          <w:rPr>
            <w:rStyle w:val="Hyperlink"/>
          </w:rPr>
          <w:t>https://www.kingsfund.org.uk/insight-and-analysis/data-and-charts/nhs-workforce-nutshell</w:t>
        </w:r>
      </w:hyperlink>
      <w:r w:rsidRPr="008345D3">
        <w:t>.</w:t>
      </w:r>
    </w:p>
    <w:p w14:paraId="4ABCF121" w14:textId="77777777" w:rsidR="007C3615" w:rsidRPr="008345D3" w:rsidRDefault="007C3615" w:rsidP="007C3615">
      <w:pPr>
        <w:pStyle w:val="BodyText"/>
        <w:ind w:left="720" w:hanging="720"/>
      </w:pPr>
      <w:proofErr w:type="spellStart"/>
      <w:r w:rsidRPr="008345D3">
        <w:t>Naganur</w:t>
      </w:r>
      <w:proofErr w:type="spellEnd"/>
      <w:r w:rsidRPr="008345D3">
        <w:t xml:space="preserve">, V., </w:t>
      </w:r>
      <w:proofErr w:type="spellStart"/>
      <w:r w:rsidRPr="008345D3">
        <w:t>Sivathamboo</w:t>
      </w:r>
      <w:proofErr w:type="spellEnd"/>
      <w:r w:rsidRPr="008345D3">
        <w:t xml:space="preserve">, S., Chen, Z., </w:t>
      </w:r>
      <w:proofErr w:type="spellStart"/>
      <w:r w:rsidRPr="008345D3">
        <w:t>Kusmakar</w:t>
      </w:r>
      <w:proofErr w:type="spellEnd"/>
      <w:r w:rsidRPr="008345D3">
        <w:t xml:space="preserve">, S., </w:t>
      </w:r>
      <w:proofErr w:type="spellStart"/>
      <w:r w:rsidRPr="008345D3">
        <w:t>Antonic</w:t>
      </w:r>
      <w:r w:rsidRPr="008345D3">
        <w:rPr>
          <w:rFonts w:ascii="Cambria Math" w:hAnsi="Cambria Math" w:cs="Cambria Math"/>
        </w:rPr>
        <w:t>‐</w:t>
      </w:r>
      <w:r w:rsidRPr="008345D3">
        <w:t>Baker</w:t>
      </w:r>
      <w:proofErr w:type="spellEnd"/>
      <w:r w:rsidRPr="008345D3">
        <w:t>, A., O</w:t>
      </w:r>
      <w:r w:rsidRPr="008345D3">
        <w:rPr>
          <w:rFonts w:cs="Arial"/>
        </w:rPr>
        <w:t>’</w:t>
      </w:r>
      <w:r w:rsidRPr="008345D3">
        <w:t>Brien, T.J. and Kwan, P. (2022). Automated seizure detection with noninvasive wearable devices: A systematic review and meta</w:t>
      </w:r>
      <w:r w:rsidRPr="008345D3">
        <w:rPr>
          <w:rFonts w:ascii="Cambria Math" w:hAnsi="Cambria Math" w:cs="Cambria Math"/>
        </w:rPr>
        <w:t>‐</w:t>
      </w:r>
      <w:r w:rsidRPr="008345D3">
        <w:t xml:space="preserve">analysis. </w:t>
      </w:r>
      <w:proofErr w:type="spellStart"/>
      <w:r w:rsidRPr="008345D3">
        <w:rPr>
          <w:i/>
          <w:iCs/>
        </w:rPr>
        <w:t>Epilepsia</w:t>
      </w:r>
      <w:proofErr w:type="spellEnd"/>
      <w:r w:rsidRPr="008345D3">
        <w:t xml:space="preserve">, 63(8), pp.1930–1941. </w:t>
      </w:r>
      <w:proofErr w:type="spellStart"/>
      <w:r w:rsidRPr="008345D3">
        <w:t>doi:https</w:t>
      </w:r>
      <w:proofErr w:type="spellEnd"/>
      <w:r w:rsidRPr="008345D3">
        <w:t>://doi.org/10.1111/epi.17297.</w:t>
      </w:r>
    </w:p>
    <w:p w14:paraId="4D7B68B6" w14:textId="77777777" w:rsidR="007C3615" w:rsidRPr="008345D3" w:rsidRDefault="007C3615" w:rsidP="007C3615">
      <w:pPr>
        <w:pStyle w:val="BodyText"/>
        <w:ind w:left="720" w:hanging="720"/>
      </w:pPr>
      <w:r w:rsidRPr="008345D3">
        <w:t xml:space="preserve">NHS (2023). </w:t>
      </w:r>
      <w:r w:rsidRPr="008345D3">
        <w:rPr>
          <w:i/>
          <w:iCs/>
        </w:rPr>
        <w:t>Data security and information governance</w:t>
      </w:r>
      <w:r w:rsidRPr="008345D3">
        <w:t xml:space="preserve">. [online] NHS Digital. Available at: </w:t>
      </w:r>
      <w:hyperlink r:id="rId11" w:history="1">
        <w:r w:rsidRPr="00301876">
          <w:rPr>
            <w:rStyle w:val="Hyperlink"/>
          </w:rPr>
          <w:t>https://digital.nhs.uk/data-and-information/looking-after-information/data-security-and-information-governance</w:t>
        </w:r>
      </w:hyperlink>
      <w:r w:rsidRPr="008345D3">
        <w:t>.</w:t>
      </w:r>
    </w:p>
    <w:p w14:paraId="126CF346" w14:textId="77777777" w:rsidR="007C3615" w:rsidRPr="008345D3" w:rsidRDefault="007C3615" w:rsidP="007C3615">
      <w:pPr>
        <w:pStyle w:val="BodyText"/>
        <w:ind w:left="720" w:hanging="720"/>
      </w:pPr>
      <w:r w:rsidRPr="008345D3">
        <w:t xml:space="preserve">NHS England (2023a). </w:t>
      </w:r>
      <w:r w:rsidRPr="008345D3">
        <w:rPr>
          <w:i/>
          <w:iCs/>
        </w:rPr>
        <w:t>Digital transformation</w:t>
      </w:r>
      <w:r w:rsidRPr="008345D3">
        <w:t xml:space="preserve">. [online] England.nhs.uk. Available at: </w:t>
      </w:r>
      <w:hyperlink r:id="rId12" w:history="1">
        <w:r w:rsidRPr="00301876">
          <w:rPr>
            <w:rStyle w:val="Hyperlink"/>
          </w:rPr>
          <w:t>https://www.england.nhs.uk/digitaltechnology/</w:t>
        </w:r>
      </w:hyperlink>
      <w:r w:rsidRPr="008345D3">
        <w:t>.</w:t>
      </w:r>
    </w:p>
    <w:p w14:paraId="78BD8025" w14:textId="77777777" w:rsidR="007C3615" w:rsidRPr="008345D3" w:rsidRDefault="007C3615" w:rsidP="007C3615">
      <w:pPr>
        <w:pStyle w:val="BodyText"/>
        <w:ind w:left="720" w:hanging="720"/>
      </w:pPr>
      <w:r w:rsidRPr="008345D3">
        <w:t xml:space="preserve">NHS England (2023b). </w:t>
      </w:r>
      <w:r w:rsidRPr="008345D3">
        <w:rPr>
          <w:i/>
          <w:iCs/>
        </w:rPr>
        <w:t>Inclusive digital healthcare: a framework for NHS action on digital inclusion</w:t>
      </w:r>
      <w:r w:rsidRPr="008345D3">
        <w:t xml:space="preserve">. [online] NHS England. Available at: </w:t>
      </w:r>
      <w:hyperlink r:id="rId13" w:history="1">
        <w:r w:rsidRPr="00301876">
          <w:rPr>
            <w:rStyle w:val="Hyperlink"/>
          </w:rPr>
          <w:t>https://www.england.nhs.uk/long-read/inclusive-digital-healthcare-a-framework-for-nhs-action-on-digital-inclusion/</w:t>
        </w:r>
      </w:hyperlink>
      <w:r w:rsidRPr="008345D3">
        <w:t>.</w:t>
      </w:r>
    </w:p>
    <w:p w14:paraId="18EA02BB" w14:textId="77777777" w:rsidR="007C3615" w:rsidRPr="008345D3" w:rsidRDefault="007C3615" w:rsidP="007C3615">
      <w:pPr>
        <w:pStyle w:val="BodyText"/>
        <w:ind w:left="720" w:hanging="720"/>
      </w:pPr>
      <w:r w:rsidRPr="008345D3">
        <w:t xml:space="preserve">NHS England (2023c). </w:t>
      </w:r>
      <w:r w:rsidRPr="008345D3">
        <w:rPr>
          <w:i/>
          <w:iCs/>
        </w:rPr>
        <w:t>NHS England» Protecting and safely using data in the new NHS England</w:t>
      </w:r>
      <w:r w:rsidRPr="008345D3">
        <w:t xml:space="preserve">. [online] </w:t>
      </w:r>
      <w:hyperlink r:id="rId14" w:history="1">
        <w:r w:rsidRPr="00301876">
          <w:rPr>
            <w:rStyle w:val="Hyperlink"/>
          </w:rPr>
          <w:t>www.england.nhs.uk</w:t>
        </w:r>
      </w:hyperlink>
      <w:r w:rsidRPr="008345D3">
        <w:t xml:space="preserve">. Available at: </w:t>
      </w:r>
      <w:hyperlink r:id="rId15" w:history="1">
        <w:r w:rsidRPr="00301876">
          <w:rPr>
            <w:rStyle w:val="Hyperlink"/>
          </w:rPr>
          <w:t>https://www.england.nhs.uk/about/protecting-and-safely-using-data-in-the-new-nhs-england/</w:t>
        </w:r>
      </w:hyperlink>
      <w:r w:rsidRPr="008345D3">
        <w:t>.</w:t>
      </w:r>
    </w:p>
    <w:p w14:paraId="64777A00" w14:textId="77777777" w:rsidR="007C3615" w:rsidRPr="008345D3" w:rsidRDefault="007C3615" w:rsidP="007C3615">
      <w:pPr>
        <w:pStyle w:val="BodyText"/>
        <w:ind w:left="720" w:hanging="720"/>
      </w:pPr>
      <w:r w:rsidRPr="008345D3">
        <w:t xml:space="preserve">NHS England (2023d). </w:t>
      </w:r>
      <w:r w:rsidRPr="008345D3">
        <w:rPr>
          <w:i/>
          <w:iCs/>
        </w:rPr>
        <w:t>NHS long term workforce plan</w:t>
      </w:r>
      <w:r w:rsidRPr="008345D3">
        <w:t xml:space="preserve">. [online] </w:t>
      </w:r>
      <w:r w:rsidRPr="008345D3">
        <w:rPr>
          <w:i/>
          <w:iCs/>
        </w:rPr>
        <w:t>NHS England</w:t>
      </w:r>
      <w:r w:rsidRPr="008345D3">
        <w:t xml:space="preserve">, NHS England, pp.1–151. Available at: </w:t>
      </w:r>
      <w:hyperlink r:id="rId16" w:history="1">
        <w:r w:rsidRPr="00301876">
          <w:rPr>
            <w:rStyle w:val="Hyperlink"/>
          </w:rPr>
          <w:t>https://www.england.nhs.uk/wp-content/uploads/2023/06/nhs-long-term-workforce-plan-v1.2.pdf</w:t>
        </w:r>
      </w:hyperlink>
      <w:r w:rsidRPr="008345D3">
        <w:t>.</w:t>
      </w:r>
    </w:p>
    <w:p w14:paraId="5690496F" w14:textId="77777777" w:rsidR="007C3615" w:rsidRPr="008345D3" w:rsidRDefault="007C3615" w:rsidP="007C3615">
      <w:pPr>
        <w:pStyle w:val="BodyText"/>
        <w:ind w:left="720" w:hanging="720"/>
      </w:pPr>
      <w:r w:rsidRPr="008345D3">
        <w:t xml:space="preserve">NHS England (2025). </w:t>
      </w:r>
      <w:r w:rsidRPr="008345D3">
        <w:rPr>
          <w:i/>
          <w:iCs/>
        </w:rPr>
        <w:t>Improving the digital literacy of the workforce | Health Education England</w:t>
      </w:r>
      <w:r w:rsidRPr="008345D3">
        <w:t xml:space="preserve">. [online] Health Education England | Digital Transformation. Available at: </w:t>
      </w:r>
      <w:hyperlink r:id="rId17" w:history="1">
        <w:r w:rsidRPr="00301876">
          <w:rPr>
            <w:rStyle w:val="Hyperlink"/>
          </w:rPr>
          <w:t>https://digital-transformation.hee.nhs.uk/building-a-digital-workforce/digital-literacy</w:t>
        </w:r>
      </w:hyperlink>
      <w:r w:rsidRPr="008345D3">
        <w:t>.</w:t>
      </w:r>
    </w:p>
    <w:p w14:paraId="785E15B1" w14:textId="77777777" w:rsidR="007C3615" w:rsidRPr="008345D3" w:rsidRDefault="007C3615" w:rsidP="007C3615">
      <w:pPr>
        <w:pStyle w:val="BodyText"/>
        <w:ind w:left="720" w:hanging="720"/>
      </w:pPr>
      <w:r w:rsidRPr="008345D3">
        <w:t xml:space="preserve">NICE (2022). </w:t>
      </w:r>
      <w:r w:rsidRPr="008345D3">
        <w:rPr>
          <w:i/>
          <w:iCs/>
        </w:rPr>
        <w:t>Overview | Epilepsies in children, Young People and Adults | Guidance | NICE</w:t>
      </w:r>
      <w:r w:rsidRPr="008345D3">
        <w:t xml:space="preserve">. [online] </w:t>
      </w:r>
      <w:hyperlink r:id="rId18" w:history="1">
        <w:r w:rsidRPr="00301876">
          <w:rPr>
            <w:rStyle w:val="Hyperlink"/>
          </w:rPr>
          <w:t>www.nice.org.uk</w:t>
        </w:r>
      </w:hyperlink>
      <w:r w:rsidRPr="008345D3">
        <w:t xml:space="preserve">. Available at: </w:t>
      </w:r>
      <w:hyperlink r:id="rId19" w:history="1">
        <w:r w:rsidRPr="00301876">
          <w:rPr>
            <w:rStyle w:val="Hyperlink"/>
          </w:rPr>
          <w:t>https://www.nice.org.uk/guidance/ng217</w:t>
        </w:r>
      </w:hyperlink>
      <w:r w:rsidRPr="008345D3">
        <w:t>.</w:t>
      </w:r>
    </w:p>
    <w:p w14:paraId="4C73167E" w14:textId="77777777" w:rsidR="007C3615" w:rsidRPr="008345D3" w:rsidRDefault="007C3615" w:rsidP="007C3615">
      <w:pPr>
        <w:pStyle w:val="BodyText"/>
        <w:ind w:left="720" w:hanging="720"/>
      </w:pPr>
      <w:proofErr w:type="spellStart"/>
      <w:r w:rsidRPr="008345D3">
        <w:t>Nouboue</w:t>
      </w:r>
      <w:proofErr w:type="spellEnd"/>
      <w:r w:rsidRPr="008345D3">
        <w:t xml:space="preserve">, C., </w:t>
      </w:r>
      <w:proofErr w:type="spellStart"/>
      <w:r w:rsidRPr="008345D3">
        <w:t>Selfi</w:t>
      </w:r>
      <w:proofErr w:type="spellEnd"/>
      <w:r w:rsidRPr="008345D3">
        <w:t xml:space="preserve">, S., </w:t>
      </w:r>
      <w:proofErr w:type="spellStart"/>
      <w:r w:rsidRPr="008345D3">
        <w:t>Diab</w:t>
      </w:r>
      <w:proofErr w:type="spellEnd"/>
      <w:r w:rsidRPr="008345D3">
        <w:t xml:space="preserve">, E., Chen, S., </w:t>
      </w:r>
      <w:proofErr w:type="spellStart"/>
      <w:r w:rsidRPr="008345D3">
        <w:t>Périn</w:t>
      </w:r>
      <w:proofErr w:type="spellEnd"/>
      <w:r w:rsidRPr="008345D3">
        <w:t xml:space="preserve">, B. and </w:t>
      </w:r>
      <w:proofErr w:type="spellStart"/>
      <w:r w:rsidRPr="008345D3">
        <w:t>Szurhaj</w:t>
      </w:r>
      <w:proofErr w:type="spellEnd"/>
      <w:r w:rsidRPr="008345D3">
        <w:t xml:space="preserve">, W. (2023). Assessment of an under-mattress sensor as a seizure detection tool in an adult epilepsy monitoring unit. </w:t>
      </w:r>
      <w:r w:rsidRPr="008345D3">
        <w:rPr>
          <w:i/>
          <w:iCs/>
        </w:rPr>
        <w:t>Seizure</w:t>
      </w:r>
      <w:r w:rsidRPr="008345D3">
        <w:t xml:space="preserve">, 105, pp.17–21. </w:t>
      </w:r>
      <w:proofErr w:type="spellStart"/>
      <w:r w:rsidRPr="008345D3">
        <w:t>doi:https</w:t>
      </w:r>
      <w:proofErr w:type="spellEnd"/>
      <w:r w:rsidRPr="008345D3">
        <w:t>://doi.org/10.1016/j.seizure.2023.01.005.</w:t>
      </w:r>
    </w:p>
    <w:p w14:paraId="7632CEE4" w14:textId="77777777" w:rsidR="007C3615" w:rsidRPr="008345D3" w:rsidRDefault="007C3615" w:rsidP="007C3615">
      <w:pPr>
        <w:pStyle w:val="BodyText"/>
        <w:ind w:left="720" w:hanging="720"/>
      </w:pPr>
      <w:proofErr w:type="spellStart"/>
      <w:r w:rsidRPr="008345D3">
        <w:t>Onorati</w:t>
      </w:r>
      <w:proofErr w:type="spellEnd"/>
      <w:r w:rsidRPr="008345D3">
        <w:t xml:space="preserve">, F., Regalia, G., </w:t>
      </w:r>
      <w:proofErr w:type="spellStart"/>
      <w:r w:rsidRPr="008345D3">
        <w:t>Caborni</w:t>
      </w:r>
      <w:proofErr w:type="spellEnd"/>
      <w:r w:rsidRPr="008345D3">
        <w:t xml:space="preserve">, C., LaFrance, W.C., Blum, A.S., </w:t>
      </w:r>
      <w:proofErr w:type="spellStart"/>
      <w:r w:rsidRPr="008345D3">
        <w:t>Bidwell</w:t>
      </w:r>
      <w:proofErr w:type="spellEnd"/>
      <w:r w:rsidRPr="008345D3">
        <w:t xml:space="preserve">, J., De </w:t>
      </w:r>
      <w:proofErr w:type="spellStart"/>
      <w:r w:rsidRPr="008345D3">
        <w:t>Liso</w:t>
      </w:r>
      <w:proofErr w:type="spellEnd"/>
      <w:r w:rsidRPr="008345D3">
        <w:t xml:space="preserve">, P., El </w:t>
      </w:r>
      <w:proofErr w:type="spellStart"/>
      <w:r w:rsidRPr="008345D3">
        <w:t>Atrache</w:t>
      </w:r>
      <w:proofErr w:type="spellEnd"/>
      <w:r w:rsidRPr="008345D3">
        <w:t xml:space="preserve">, R., </w:t>
      </w:r>
      <w:proofErr w:type="spellStart"/>
      <w:r w:rsidRPr="008345D3">
        <w:t>Loddenkemper</w:t>
      </w:r>
      <w:proofErr w:type="spellEnd"/>
      <w:r w:rsidRPr="008345D3">
        <w:t xml:space="preserve">, T., </w:t>
      </w:r>
      <w:proofErr w:type="spellStart"/>
      <w:r w:rsidRPr="008345D3">
        <w:t>Mohammadpour-Touserkani</w:t>
      </w:r>
      <w:proofErr w:type="spellEnd"/>
      <w:r w:rsidRPr="008345D3">
        <w:t xml:space="preserve">, F., </w:t>
      </w:r>
      <w:proofErr w:type="spellStart"/>
      <w:r w:rsidRPr="008345D3">
        <w:t>Sarkis</w:t>
      </w:r>
      <w:proofErr w:type="spellEnd"/>
      <w:r w:rsidRPr="008345D3">
        <w:t xml:space="preserve">, R.A., Friedman, D., </w:t>
      </w:r>
      <w:proofErr w:type="spellStart"/>
      <w:r w:rsidRPr="008345D3">
        <w:t>Jeschke</w:t>
      </w:r>
      <w:proofErr w:type="spellEnd"/>
      <w:r w:rsidRPr="008345D3">
        <w:t xml:space="preserve">, J. and Picard, R. (2021). Prospective Study of a Multimodal Convulsive Seizure Detection Wearable System on Pediatric and Adult Patients in the Epilepsy Monitoring Unit. </w:t>
      </w:r>
      <w:r w:rsidRPr="008345D3">
        <w:rPr>
          <w:i/>
          <w:iCs/>
        </w:rPr>
        <w:t>Frontiers in Neurology</w:t>
      </w:r>
      <w:r w:rsidRPr="008345D3">
        <w:t xml:space="preserve">, 12. </w:t>
      </w:r>
      <w:proofErr w:type="spellStart"/>
      <w:r w:rsidRPr="008345D3">
        <w:t>doi:https</w:t>
      </w:r>
      <w:proofErr w:type="spellEnd"/>
      <w:r w:rsidRPr="008345D3">
        <w:t>://doi.org/10.3389/fneur.2021.724904.</w:t>
      </w:r>
    </w:p>
    <w:p w14:paraId="1637E8FB" w14:textId="77777777" w:rsidR="007C3615" w:rsidRPr="008345D3" w:rsidRDefault="007C3615" w:rsidP="007C3615">
      <w:pPr>
        <w:pStyle w:val="BodyText"/>
        <w:ind w:left="720" w:hanging="720"/>
      </w:pPr>
      <w:proofErr w:type="spellStart"/>
      <w:r w:rsidRPr="008345D3">
        <w:t>Sasseville</w:t>
      </w:r>
      <w:proofErr w:type="spellEnd"/>
      <w:r w:rsidRPr="008345D3">
        <w:t xml:space="preserve">, M., </w:t>
      </w:r>
      <w:proofErr w:type="spellStart"/>
      <w:r w:rsidRPr="008345D3">
        <w:t>Attisso</w:t>
      </w:r>
      <w:proofErr w:type="spellEnd"/>
      <w:r w:rsidRPr="008345D3">
        <w:t xml:space="preserve">, E., Gagnon, M.-P., Supper, J.-M.-W., Ouellet, S., </w:t>
      </w:r>
      <w:proofErr w:type="spellStart"/>
      <w:r w:rsidRPr="008345D3">
        <w:t>Amil</w:t>
      </w:r>
      <w:proofErr w:type="spellEnd"/>
      <w:r w:rsidRPr="008345D3">
        <w:t xml:space="preserve">, S., </w:t>
      </w:r>
      <w:proofErr w:type="spellStart"/>
      <w:r w:rsidRPr="008345D3">
        <w:t>Assi</w:t>
      </w:r>
      <w:proofErr w:type="spellEnd"/>
      <w:r w:rsidRPr="008345D3">
        <w:t xml:space="preserve">, E.B. and Nguyen, D.K. (2024). Performance, impact and experiences of using wearable devices for seizure detection in community-based settings: a mixed methods systematic review. </w:t>
      </w:r>
      <w:r w:rsidRPr="008345D3">
        <w:rPr>
          <w:i/>
          <w:iCs/>
        </w:rPr>
        <w:t>mHealth</w:t>
      </w:r>
      <w:r w:rsidRPr="008345D3">
        <w:t xml:space="preserve">, [online] 10, pp.27–27. </w:t>
      </w:r>
      <w:proofErr w:type="spellStart"/>
      <w:r w:rsidRPr="008345D3">
        <w:t>doi:https</w:t>
      </w:r>
      <w:proofErr w:type="spellEnd"/>
      <w:r w:rsidRPr="008345D3">
        <w:t>://doi.org/10.21037/mhealth-24-7.</w:t>
      </w:r>
    </w:p>
    <w:p w14:paraId="79F1AB3D" w14:textId="77777777" w:rsidR="007C3615" w:rsidRPr="008345D3" w:rsidRDefault="007C3615" w:rsidP="007C3615">
      <w:pPr>
        <w:pStyle w:val="BodyText"/>
        <w:ind w:left="720" w:hanging="720"/>
      </w:pPr>
      <w:r w:rsidRPr="008345D3">
        <w:t xml:space="preserve">UK Parliament (2022). </w:t>
      </w:r>
      <w:r w:rsidRPr="008345D3">
        <w:rPr>
          <w:i/>
          <w:iCs/>
        </w:rPr>
        <w:t>Digital transformation in the NHS - Health and Social Care Committee</w:t>
      </w:r>
      <w:r w:rsidRPr="008345D3">
        <w:t xml:space="preserve">. [online] Parliament.uk. Available at: </w:t>
      </w:r>
      <w:hyperlink r:id="rId20" w:history="1">
        <w:r w:rsidRPr="00301876">
          <w:rPr>
            <w:rStyle w:val="Hyperlink"/>
          </w:rPr>
          <w:t>https://publications.parliament.uk/pa/cm5803/cmselect/cmhealth/223/report.html</w:t>
        </w:r>
      </w:hyperlink>
      <w:r w:rsidRPr="008345D3">
        <w:t>.</w:t>
      </w:r>
    </w:p>
    <w:p w14:paraId="47433CFE" w14:textId="77777777" w:rsidR="007C3615" w:rsidRPr="008345D3" w:rsidRDefault="007C3615" w:rsidP="007C3615">
      <w:pPr>
        <w:pStyle w:val="BodyText"/>
        <w:ind w:left="720" w:hanging="720"/>
      </w:pPr>
      <w:r w:rsidRPr="008345D3">
        <w:t xml:space="preserve">Yash Shashank </w:t>
      </w:r>
      <w:proofErr w:type="spellStart"/>
      <w:r w:rsidRPr="008345D3">
        <w:t>Vakilna</w:t>
      </w:r>
      <w:proofErr w:type="spellEnd"/>
      <w:r w:rsidRPr="008345D3">
        <w:t xml:space="preserve">, Li, X., Hampson, J.S., Huang, Y., </w:t>
      </w:r>
      <w:proofErr w:type="spellStart"/>
      <w:r w:rsidRPr="008345D3">
        <w:t>Mosher</w:t>
      </w:r>
      <w:proofErr w:type="spellEnd"/>
      <w:r w:rsidRPr="008345D3">
        <w:t xml:space="preserve">, J.C., </w:t>
      </w:r>
      <w:proofErr w:type="spellStart"/>
      <w:r w:rsidRPr="008345D3">
        <w:t>Dabaghian</w:t>
      </w:r>
      <w:proofErr w:type="spellEnd"/>
      <w:r w:rsidRPr="008345D3">
        <w:t xml:space="preserve">, Y., </w:t>
      </w:r>
      <w:proofErr w:type="spellStart"/>
      <w:r w:rsidRPr="008345D3">
        <w:t>Luo</w:t>
      </w:r>
      <w:proofErr w:type="spellEnd"/>
      <w:r w:rsidRPr="008345D3">
        <w:t xml:space="preserve">, X., </w:t>
      </w:r>
      <w:proofErr w:type="spellStart"/>
      <w:r w:rsidRPr="008345D3">
        <w:t>Talavera</w:t>
      </w:r>
      <w:proofErr w:type="spellEnd"/>
      <w:r w:rsidRPr="008345D3">
        <w:t xml:space="preserve">, B., Pati, S., Todd, M., Hays, R., Szabo, C.A., Zhang, G. and </w:t>
      </w:r>
      <w:proofErr w:type="spellStart"/>
      <w:r w:rsidRPr="008345D3">
        <w:t>Lhatoo</w:t>
      </w:r>
      <w:proofErr w:type="spellEnd"/>
      <w:r w:rsidRPr="008345D3">
        <w:t>, S.D. (2024). Reliable detection of generalized convulsive seizures using an off</w:t>
      </w:r>
      <w:r w:rsidRPr="008345D3">
        <w:rPr>
          <w:rFonts w:ascii="Cambria Math" w:hAnsi="Cambria Math" w:cs="Cambria Math"/>
        </w:rPr>
        <w:t>‐</w:t>
      </w:r>
      <w:r w:rsidRPr="008345D3">
        <w:t>the</w:t>
      </w:r>
      <w:r w:rsidRPr="008345D3">
        <w:rPr>
          <w:rFonts w:ascii="Cambria Math" w:hAnsi="Cambria Math" w:cs="Cambria Math"/>
        </w:rPr>
        <w:t>‐</w:t>
      </w:r>
      <w:r w:rsidRPr="008345D3">
        <w:t xml:space="preserve">shelf digital watch: A multisite phase 2 study. </w:t>
      </w:r>
      <w:proofErr w:type="spellStart"/>
      <w:r w:rsidRPr="008345D3">
        <w:rPr>
          <w:i/>
          <w:iCs/>
        </w:rPr>
        <w:t>Epilepsia</w:t>
      </w:r>
      <w:proofErr w:type="spellEnd"/>
      <w:r w:rsidRPr="008345D3">
        <w:t xml:space="preserve">, [online] 65(7), pp.2054–2068. </w:t>
      </w:r>
      <w:proofErr w:type="spellStart"/>
      <w:r w:rsidRPr="008345D3">
        <w:t>doi:https</w:t>
      </w:r>
      <w:proofErr w:type="spellEnd"/>
      <w:r w:rsidRPr="008345D3">
        <w:t>://doi.org/10.1111/epi.17974.</w:t>
      </w:r>
    </w:p>
    <w:p w14:paraId="063921E7" w14:textId="77777777" w:rsidR="008345D3" w:rsidRPr="008345D3" w:rsidRDefault="008345D3" w:rsidP="008345D3"/>
    <w:sectPr w:rsidR="008345D3" w:rsidRPr="008345D3" w:rsidSect="00AF0B4C">
      <w:headerReference w:type="default" r:id="rId21"/>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C047DA" w14:textId="77777777" w:rsidR="009D3F02" w:rsidRDefault="009D3F02" w:rsidP="00AF0B4C">
      <w:pPr>
        <w:spacing w:after="0" w:line="240" w:lineRule="auto"/>
      </w:pPr>
      <w:r>
        <w:separator/>
      </w:r>
    </w:p>
  </w:endnote>
  <w:endnote w:type="continuationSeparator" w:id="0">
    <w:p w14:paraId="39DBBE73" w14:textId="77777777" w:rsidR="009D3F02" w:rsidRDefault="009D3F02" w:rsidP="00AF0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6219025"/>
      <w:docPartObj>
        <w:docPartGallery w:val="Page Numbers (Bottom of Page)"/>
        <w:docPartUnique/>
      </w:docPartObj>
    </w:sdtPr>
    <w:sdtEndPr>
      <w:rPr>
        <w:noProof/>
      </w:rPr>
    </w:sdtEndPr>
    <w:sdtContent>
      <w:p w14:paraId="64C7023A" w14:textId="5C045E95" w:rsidR="00AF0B4C" w:rsidRDefault="00AF0B4C">
        <w:pPr>
          <w:pStyle w:val="Footer"/>
          <w:jc w:val="center"/>
        </w:pPr>
        <w:r>
          <w:fldChar w:fldCharType="begin"/>
        </w:r>
        <w:r>
          <w:instrText xml:space="preserve"> PAGE   \* MERGEFORMAT </w:instrText>
        </w:r>
        <w:r>
          <w:fldChar w:fldCharType="separate"/>
        </w:r>
        <w:r w:rsidR="00234A00">
          <w:rPr>
            <w:noProof/>
          </w:rPr>
          <w:t>7</w:t>
        </w:r>
        <w:r>
          <w:rPr>
            <w:noProof/>
          </w:rPr>
          <w:fldChar w:fldCharType="end"/>
        </w:r>
      </w:p>
    </w:sdtContent>
  </w:sdt>
  <w:p w14:paraId="7B4445E8" w14:textId="77777777" w:rsidR="00AF0B4C" w:rsidRDefault="00AF0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CDA20" w14:textId="77777777" w:rsidR="009D3F02" w:rsidRDefault="009D3F02" w:rsidP="00AF0B4C">
      <w:pPr>
        <w:spacing w:after="0" w:line="240" w:lineRule="auto"/>
      </w:pPr>
      <w:r>
        <w:separator/>
      </w:r>
    </w:p>
  </w:footnote>
  <w:footnote w:type="continuationSeparator" w:id="0">
    <w:p w14:paraId="45760BA9" w14:textId="77777777" w:rsidR="009D3F02" w:rsidRDefault="009D3F02" w:rsidP="00AF0B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14FF1" w14:textId="121B0687" w:rsidR="00541AE1" w:rsidRPr="00541AE1" w:rsidRDefault="00541AE1" w:rsidP="00541AE1">
    <w:pPr>
      <w:pStyle w:val="Header"/>
    </w:pPr>
    <w:r>
      <w:rPr>
        <w:noProof/>
      </w:rPr>
      <w:drawing>
        <wp:inline distT="0" distB="0" distL="0" distR="0" wp14:anchorId="31D63685" wp14:editId="677330A9">
          <wp:extent cx="1436528" cy="570714"/>
          <wp:effectExtent l="0" t="0" r="0" b="1270"/>
          <wp:docPr id="159371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134888" name=""/>
                  <pic:cNvPicPr/>
                </pic:nvPicPr>
                <pic:blipFill>
                  <a:blip r:embed="rId1"/>
                  <a:stretch>
                    <a:fillRect/>
                  </a:stretch>
                </pic:blipFill>
                <pic:spPr>
                  <a:xfrm>
                    <a:off x="0" y="0"/>
                    <a:ext cx="1482088" cy="58881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4E544C"/>
    <w:multiLevelType w:val="hybridMultilevel"/>
    <w:tmpl w:val="387ECA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6299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5D3"/>
    <w:rsid w:val="000737CF"/>
    <w:rsid w:val="00087347"/>
    <w:rsid w:val="00187A84"/>
    <w:rsid w:val="001B3DEE"/>
    <w:rsid w:val="00234A00"/>
    <w:rsid w:val="00256274"/>
    <w:rsid w:val="003A3394"/>
    <w:rsid w:val="0050136D"/>
    <w:rsid w:val="00537C42"/>
    <w:rsid w:val="00541AE1"/>
    <w:rsid w:val="00553644"/>
    <w:rsid w:val="00631B0A"/>
    <w:rsid w:val="00661496"/>
    <w:rsid w:val="00732474"/>
    <w:rsid w:val="007732AA"/>
    <w:rsid w:val="0078567F"/>
    <w:rsid w:val="007A5F28"/>
    <w:rsid w:val="007C3615"/>
    <w:rsid w:val="00813BDF"/>
    <w:rsid w:val="008345D3"/>
    <w:rsid w:val="00854883"/>
    <w:rsid w:val="009D3F02"/>
    <w:rsid w:val="00A27DF7"/>
    <w:rsid w:val="00A748B9"/>
    <w:rsid w:val="00AF0B4C"/>
    <w:rsid w:val="00C45E9A"/>
    <w:rsid w:val="00C8183F"/>
    <w:rsid w:val="00DF58DB"/>
    <w:rsid w:val="00E27C5E"/>
    <w:rsid w:val="00F157C7"/>
    <w:rsid w:val="00FE694C"/>
    <w:rsid w:val="00FF0B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449B2"/>
  <w15:chartTrackingRefBased/>
  <w15:docId w15:val="{E79D9906-300B-4661-AE33-75444BEA8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94C"/>
    <w:pPr>
      <w:spacing w:line="360" w:lineRule="auto"/>
      <w:jc w:val="both"/>
    </w:pPr>
    <w:rPr>
      <w:rFonts w:ascii="Arial" w:hAnsi="Arial"/>
    </w:rPr>
  </w:style>
  <w:style w:type="paragraph" w:styleId="Heading1">
    <w:name w:val="heading 1"/>
    <w:basedOn w:val="Normal"/>
    <w:next w:val="Normal"/>
    <w:link w:val="Heading1Char"/>
    <w:uiPriority w:val="9"/>
    <w:qFormat/>
    <w:rsid w:val="00FE694C"/>
    <w:pPr>
      <w:outlineLvl w:val="0"/>
    </w:pPr>
    <w:rPr>
      <w:b/>
    </w:rPr>
  </w:style>
  <w:style w:type="paragraph" w:styleId="Heading2">
    <w:name w:val="heading 2"/>
    <w:basedOn w:val="Heading1"/>
    <w:next w:val="Normal"/>
    <w:link w:val="Heading2Char"/>
    <w:uiPriority w:val="9"/>
    <w:unhideWhenUsed/>
    <w:qFormat/>
    <w:rsid w:val="00FE694C"/>
    <w:pPr>
      <w:outlineLvl w:val="1"/>
    </w:pPr>
    <w:rPr>
      <w:i/>
    </w:rPr>
  </w:style>
  <w:style w:type="paragraph" w:styleId="Heading3">
    <w:name w:val="heading 3"/>
    <w:basedOn w:val="Heading2"/>
    <w:next w:val="Normal"/>
    <w:link w:val="Heading3Char"/>
    <w:uiPriority w:val="9"/>
    <w:unhideWhenUsed/>
    <w:qFormat/>
    <w:rsid w:val="00FE694C"/>
    <w:pPr>
      <w:outlineLvl w:val="2"/>
    </w:pPr>
    <w:rPr>
      <w:b w:val="0"/>
    </w:rPr>
  </w:style>
  <w:style w:type="paragraph" w:styleId="Heading4">
    <w:name w:val="heading 4"/>
    <w:basedOn w:val="Normal"/>
    <w:next w:val="Normal"/>
    <w:link w:val="Heading4Char"/>
    <w:uiPriority w:val="9"/>
    <w:semiHidden/>
    <w:unhideWhenUsed/>
    <w:qFormat/>
    <w:rsid w:val="008345D3"/>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345D3"/>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8345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45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45D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45D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94C"/>
    <w:rPr>
      <w:rFonts w:ascii="Arial" w:hAnsi="Arial"/>
      <w:b/>
    </w:rPr>
  </w:style>
  <w:style w:type="character" w:customStyle="1" w:styleId="Heading2Char">
    <w:name w:val="Heading 2 Char"/>
    <w:basedOn w:val="DefaultParagraphFont"/>
    <w:link w:val="Heading2"/>
    <w:uiPriority w:val="9"/>
    <w:rsid w:val="00FE694C"/>
    <w:rPr>
      <w:rFonts w:ascii="Arial" w:hAnsi="Arial"/>
      <w:b/>
      <w:i/>
    </w:rPr>
  </w:style>
  <w:style w:type="character" w:customStyle="1" w:styleId="Heading3Char">
    <w:name w:val="Heading 3 Char"/>
    <w:basedOn w:val="DefaultParagraphFont"/>
    <w:link w:val="Heading3"/>
    <w:uiPriority w:val="9"/>
    <w:rsid w:val="00FE694C"/>
    <w:rPr>
      <w:rFonts w:ascii="Arial" w:hAnsi="Arial"/>
      <w:i/>
    </w:rPr>
  </w:style>
  <w:style w:type="character" w:customStyle="1" w:styleId="Heading4Char">
    <w:name w:val="Heading 4 Char"/>
    <w:basedOn w:val="DefaultParagraphFont"/>
    <w:link w:val="Heading4"/>
    <w:uiPriority w:val="9"/>
    <w:semiHidden/>
    <w:rsid w:val="008345D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345D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345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5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5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5D3"/>
    <w:rPr>
      <w:rFonts w:eastAsiaTheme="majorEastAsia" w:cstheme="majorBidi"/>
      <w:color w:val="272727" w:themeColor="text1" w:themeTint="D8"/>
    </w:rPr>
  </w:style>
  <w:style w:type="paragraph" w:styleId="Title">
    <w:name w:val="Title"/>
    <w:basedOn w:val="Normal"/>
    <w:next w:val="Normal"/>
    <w:link w:val="TitleChar"/>
    <w:uiPriority w:val="10"/>
    <w:qFormat/>
    <w:rsid w:val="008345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5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5D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5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5D3"/>
    <w:pPr>
      <w:spacing w:before="160"/>
      <w:jc w:val="center"/>
    </w:pPr>
    <w:rPr>
      <w:i/>
      <w:iCs/>
      <w:color w:val="404040" w:themeColor="text1" w:themeTint="BF"/>
    </w:rPr>
  </w:style>
  <w:style w:type="character" w:customStyle="1" w:styleId="QuoteChar">
    <w:name w:val="Quote Char"/>
    <w:basedOn w:val="DefaultParagraphFont"/>
    <w:link w:val="Quote"/>
    <w:uiPriority w:val="29"/>
    <w:rsid w:val="008345D3"/>
    <w:rPr>
      <w:rFonts w:ascii="Arial" w:hAnsi="Arial"/>
      <w:i/>
      <w:iCs/>
      <w:color w:val="404040" w:themeColor="text1" w:themeTint="BF"/>
    </w:rPr>
  </w:style>
  <w:style w:type="paragraph" w:styleId="ListParagraph">
    <w:name w:val="List Paragraph"/>
    <w:basedOn w:val="Normal"/>
    <w:uiPriority w:val="34"/>
    <w:qFormat/>
    <w:rsid w:val="008345D3"/>
    <w:pPr>
      <w:ind w:left="720"/>
      <w:contextualSpacing/>
    </w:pPr>
  </w:style>
  <w:style w:type="character" w:styleId="IntenseEmphasis">
    <w:name w:val="Intense Emphasis"/>
    <w:basedOn w:val="DefaultParagraphFont"/>
    <w:uiPriority w:val="21"/>
    <w:qFormat/>
    <w:rsid w:val="008345D3"/>
    <w:rPr>
      <w:i/>
      <w:iCs/>
      <w:color w:val="2E74B5" w:themeColor="accent1" w:themeShade="BF"/>
    </w:rPr>
  </w:style>
  <w:style w:type="paragraph" w:styleId="IntenseQuote">
    <w:name w:val="Intense Quote"/>
    <w:basedOn w:val="Normal"/>
    <w:next w:val="Normal"/>
    <w:link w:val="IntenseQuoteChar"/>
    <w:uiPriority w:val="30"/>
    <w:qFormat/>
    <w:rsid w:val="008345D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345D3"/>
    <w:rPr>
      <w:rFonts w:ascii="Arial" w:hAnsi="Arial"/>
      <w:i/>
      <w:iCs/>
      <w:color w:val="2E74B5" w:themeColor="accent1" w:themeShade="BF"/>
    </w:rPr>
  </w:style>
  <w:style w:type="character" w:styleId="IntenseReference">
    <w:name w:val="Intense Reference"/>
    <w:basedOn w:val="DefaultParagraphFont"/>
    <w:uiPriority w:val="32"/>
    <w:qFormat/>
    <w:rsid w:val="008345D3"/>
    <w:rPr>
      <w:b/>
      <w:bCs/>
      <w:smallCaps/>
      <w:color w:val="2E74B5" w:themeColor="accent1" w:themeShade="BF"/>
      <w:spacing w:val="5"/>
    </w:rPr>
  </w:style>
  <w:style w:type="paragraph" w:styleId="TOCHeading">
    <w:name w:val="TOC Heading"/>
    <w:basedOn w:val="Heading1"/>
    <w:next w:val="Normal"/>
    <w:uiPriority w:val="39"/>
    <w:unhideWhenUsed/>
    <w:qFormat/>
    <w:rsid w:val="00AF0B4C"/>
    <w:pPr>
      <w:keepNext/>
      <w:keepLines/>
      <w:spacing w:before="240" w:after="0" w:line="259" w:lineRule="auto"/>
      <w:jc w:val="left"/>
      <w:outlineLvl w:val="9"/>
    </w:pPr>
    <w:rPr>
      <w:rFonts w:asciiTheme="majorHAnsi" w:eastAsiaTheme="majorEastAsia" w:hAnsiTheme="majorHAnsi" w:cstheme="majorBidi"/>
      <w:b w:val="0"/>
      <w:color w:val="2E74B5" w:themeColor="accent1" w:themeShade="BF"/>
      <w:kern w:val="0"/>
      <w:sz w:val="32"/>
      <w:szCs w:val="32"/>
      <w14:ligatures w14:val="none"/>
    </w:rPr>
  </w:style>
  <w:style w:type="paragraph" w:styleId="TOC1">
    <w:name w:val="toc 1"/>
    <w:basedOn w:val="Normal"/>
    <w:next w:val="Normal"/>
    <w:autoRedefine/>
    <w:uiPriority w:val="39"/>
    <w:unhideWhenUsed/>
    <w:rsid w:val="00AF0B4C"/>
    <w:pPr>
      <w:spacing w:after="100"/>
    </w:pPr>
  </w:style>
  <w:style w:type="character" w:styleId="Hyperlink">
    <w:name w:val="Hyperlink"/>
    <w:basedOn w:val="DefaultParagraphFont"/>
    <w:uiPriority w:val="99"/>
    <w:unhideWhenUsed/>
    <w:rsid w:val="00AF0B4C"/>
    <w:rPr>
      <w:color w:val="0563C1" w:themeColor="hyperlink"/>
      <w:u w:val="single"/>
    </w:rPr>
  </w:style>
  <w:style w:type="paragraph" w:styleId="Header">
    <w:name w:val="header"/>
    <w:basedOn w:val="Normal"/>
    <w:link w:val="HeaderChar"/>
    <w:uiPriority w:val="99"/>
    <w:unhideWhenUsed/>
    <w:rsid w:val="00AF0B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B4C"/>
    <w:rPr>
      <w:rFonts w:ascii="Arial" w:hAnsi="Arial"/>
    </w:rPr>
  </w:style>
  <w:style w:type="paragraph" w:styleId="Footer">
    <w:name w:val="footer"/>
    <w:basedOn w:val="Normal"/>
    <w:link w:val="FooterChar"/>
    <w:uiPriority w:val="99"/>
    <w:unhideWhenUsed/>
    <w:rsid w:val="00AF0B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B4C"/>
    <w:rPr>
      <w:rFonts w:ascii="Arial" w:hAnsi="Arial"/>
    </w:rPr>
  </w:style>
  <w:style w:type="paragraph" w:styleId="BodyText">
    <w:name w:val="Body Text"/>
    <w:basedOn w:val="Normal"/>
    <w:link w:val="BodyTextChar"/>
    <w:uiPriority w:val="99"/>
    <w:unhideWhenUsed/>
    <w:rsid w:val="007C3615"/>
    <w:pPr>
      <w:spacing w:after="120"/>
    </w:pPr>
  </w:style>
  <w:style w:type="character" w:customStyle="1" w:styleId="BodyTextChar">
    <w:name w:val="Body Text Char"/>
    <w:basedOn w:val="DefaultParagraphFont"/>
    <w:link w:val="BodyText"/>
    <w:uiPriority w:val="99"/>
    <w:rsid w:val="007C3615"/>
    <w:rPr>
      <w:rFonts w:ascii="Arial" w:hAnsi="Arial"/>
    </w:rPr>
  </w:style>
  <w:style w:type="character" w:customStyle="1" w:styleId="UnresolvedMention1">
    <w:name w:val="Unresolved Mention1"/>
    <w:basedOn w:val="DefaultParagraphFont"/>
    <w:uiPriority w:val="99"/>
    <w:semiHidden/>
    <w:unhideWhenUsed/>
    <w:rsid w:val="007C3615"/>
    <w:rPr>
      <w:color w:val="605E5C"/>
      <w:shd w:val="clear" w:color="auto" w:fill="E1DFDD"/>
    </w:rPr>
  </w:style>
  <w:style w:type="character" w:styleId="FollowedHyperlink">
    <w:name w:val="FollowedHyperlink"/>
    <w:basedOn w:val="DefaultParagraphFont"/>
    <w:uiPriority w:val="99"/>
    <w:semiHidden/>
    <w:unhideWhenUsed/>
    <w:rsid w:val="001B3D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inclusive-digital-healthcare-a-framework-for-nhs-action-on-digital-inclusion/" TargetMode="External"/><Relationship Id="rId18" Type="http://schemas.openxmlformats.org/officeDocument/2006/relationships/hyperlink" Target="http://www.nice.org.uk"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ngland.nhs.uk/digitaltechnology/" TargetMode="External"/><Relationship Id="rId17" Type="http://schemas.openxmlformats.org/officeDocument/2006/relationships/hyperlink" Target="https://digital-transformation.hee.nhs.uk/building-a-digital-workforce/digital-literacy" TargetMode="External"/><Relationship Id="rId2" Type="http://schemas.openxmlformats.org/officeDocument/2006/relationships/numbering" Target="numbering.xml"/><Relationship Id="rId16" Type="http://schemas.openxmlformats.org/officeDocument/2006/relationships/hyperlink" Target="https://www.england.nhs.uk/wp-content/uploads/2023/06/nhs-long-term-workforce-plan-v1.2.pdf" TargetMode="External"/><Relationship Id="rId20" Type="http://schemas.openxmlformats.org/officeDocument/2006/relationships/hyperlink" Target="https://publications.parliament.uk/pa/cm5803/cmselect/cmhealth/223/repor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looking-after-information/data-security-and-information-governanc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about/protecting-and-safely-using-data-in-the-new-nhs-england/" TargetMode="External"/><Relationship Id="rId23" Type="http://schemas.openxmlformats.org/officeDocument/2006/relationships/fontTable" Target="fontTable.xml"/><Relationship Id="rId10" Type="http://schemas.openxmlformats.org/officeDocument/2006/relationships/hyperlink" Target="https://www.kingsfund.org.uk/insight-and-analysis/data-and-charts/nhs-workforce-nutshell" TargetMode="External"/><Relationship Id="rId19" Type="http://schemas.openxmlformats.org/officeDocument/2006/relationships/hyperlink" Target="https://www.nice.org.uk/guidance/ng217" TargetMode="External"/><Relationship Id="rId4" Type="http://schemas.openxmlformats.org/officeDocument/2006/relationships/settings" Target="settings.xml"/><Relationship Id="rId9" Type="http://schemas.openxmlformats.org/officeDocument/2006/relationships/hyperlink" Target="https://www.epilepsy.org.uk/living/safety-equipment/alarms-and-monitors" TargetMode="External"/><Relationship Id="rId14" Type="http://schemas.openxmlformats.org/officeDocument/2006/relationships/hyperlink" Target="http://www.england.nhs.u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3A931-B574-488D-AD46-ED0BCA31BA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3473</Words>
  <Characters>19802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Maijitech</dc:creator>
  <cp:keywords/>
  <dc:description/>
  <cp:lastModifiedBy>Faith Osanna Victorious (2247629)</cp:lastModifiedBy>
  <cp:revision>9</cp:revision>
  <dcterms:created xsi:type="dcterms:W3CDTF">2025-11-24T05:20:00Z</dcterms:created>
  <dcterms:modified xsi:type="dcterms:W3CDTF">2025-11-24T05:27:00Z</dcterms:modified>
</cp:coreProperties>
</file>