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FF0E8E" w14:textId="778E61C0" w:rsidR="00D60423" w:rsidRPr="00D60423" w:rsidRDefault="00D60423" w:rsidP="00D60423">
      <w:pPr>
        <w:spacing w:after="800"/>
      </w:pPr>
    </w:p>
    <w:p w14:paraId="661032FA" w14:textId="77777777" w:rsidR="005642EE" w:rsidRDefault="005642EE">
      <w:pPr>
        <w:spacing w:after="800"/>
        <w:rPr>
          <w:noProof/>
        </w:rPr>
      </w:pPr>
    </w:p>
    <w:p w14:paraId="0BA28E1B" w14:textId="77777777" w:rsidR="005642EE" w:rsidRDefault="005642EE">
      <w:pPr>
        <w:spacing w:after="800"/>
        <w:rPr>
          <w:noProof/>
        </w:rPr>
      </w:pPr>
    </w:p>
    <w:p w14:paraId="77BFC767" w14:textId="51F6FF07" w:rsidR="00D96BD0" w:rsidRDefault="005642EE">
      <w:pPr>
        <w:spacing w:after="800"/>
      </w:pPr>
      <w:r>
        <w:rPr>
          <w:noProof/>
        </w:rPr>
        <w:drawing>
          <wp:inline distT="0" distB="0" distL="0" distR="0" wp14:anchorId="0F924CCA" wp14:editId="0F8DE781">
            <wp:extent cx="6036310" cy="240982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1585" b="52180"/>
                    <a:stretch/>
                  </pic:blipFill>
                  <pic:spPr bwMode="auto">
                    <a:xfrm>
                      <a:off x="0" y="0"/>
                      <a:ext cx="6036310" cy="2409825"/>
                    </a:xfrm>
                    <a:prstGeom prst="rect">
                      <a:avLst/>
                    </a:prstGeom>
                    <a:ln>
                      <a:noFill/>
                    </a:ln>
                    <a:extLst>
                      <a:ext uri="{53640926-AAD7-44D8-BBD7-CCE9431645EC}">
                        <a14:shadowObscured xmlns:a14="http://schemas.microsoft.com/office/drawing/2010/main"/>
                      </a:ext>
                    </a:extLst>
                  </pic:spPr>
                </pic:pic>
              </a:graphicData>
            </a:graphic>
          </wp:inline>
        </w:drawing>
      </w:r>
    </w:p>
    <w:p w14:paraId="4A39395E" w14:textId="77777777" w:rsidR="005642EE" w:rsidRDefault="005642EE" w:rsidP="005642EE">
      <w:pPr>
        <w:rPr>
          <w:b/>
          <w:bCs/>
          <w:sz w:val="24"/>
          <w:szCs w:val="24"/>
        </w:rPr>
      </w:pPr>
      <w:r>
        <w:t xml:space="preserve">                                             </w:t>
      </w:r>
      <w:r w:rsidRPr="005642EE">
        <w:rPr>
          <w:b/>
          <w:bCs/>
          <w:sz w:val="24"/>
          <w:szCs w:val="24"/>
        </w:rPr>
        <w:t xml:space="preserve">STUDENT NAME: SIMRAN VEDKUMAR YADAV </w:t>
      </w:r>
    </w:p>
    <w:p w14:paraId="2B3522CC" w14:textId="5FA91E4B" w:rsidR="005642EE" w:rsidRPr="005642EE" w:rsidRDefault="005642EE" w:rsidP="005642EE">
      <w:pPr>
        <w:rPr>
          <w:b/>
          <w:bCs/>
          <w:sz w:val="24"/>
          <w:szCs w:val="24"/>
        </w:rPr>
      </w:pPr>
      <w:r>
        <w:rPr>
          <w:b/>
          <w:bCs/>
          <w:sz w:val="24"/>
          <w:szCs w:val="24"/>
        </w:rPr>
        <w:t xml:space="preserve">                                                             </w:t>
      </w:r>
      <w:r w:rsidRPr="005642EE">
        <w:rPr>
          <w:b/>
          <w:bCs/>
          <w:sz w:val="24"/>
          <w:szCs w:val="24"/>
        </w:rPr>
        <w:t xml:space="preserve">  STUDENT ID:2534012</w:t>
      </w:r>
    </w:p>
    <w:p w14:paraId="70BC0C2C" w14:textId="77777777" w:rsidR="005642EE" w:rsidRDefault="005642EE">
      <w:pPr>
        <w:spacing w:after="800"/>
      </w:pPr>
    </w:p>
    <w:p w14:paraId="4CED7A60" w14:textId="137D04AD" w:rsidR="00D60423" w:rsidRDefault="005642EE" w:rsidP="00800053">
      <w:pPr>
        <w:tabs>
          <w:tab w:val="left" w:pos="8640"/>
        </w:tabs>
        <w:spacing w:after="800"/>
      </w:pPr>
      <w:r>
        <w:t xml:space="preserve">                                         </w:t>
      </w:r>
      <w:r w:rsidR="00800053">
        <w:tab/>
      </w:r>
    </w:p>
    <w:p w14:paraId="3F8CE7DE" w14:textId="77777777" w:rsidR="00D60423" w:rsidRDefault="00D60423">
      <w:pPr>
        <w:spacing w:after="800"/>
      </w:pPr>
    </w:p>
    <w:p w14:paraId="1741C071" w14:textId="77777777" w:rsidR="00D60423" w:rsidRDefault="00D60423">
      <w:pPr>
        <w:spacing w:after="800"/>
      </w:pPr>
    </w:p>
    <w:p w14:paraId="27249EC0" w14:textId="77777777" w:rsidR="00D60423" w:rsidRDefault="00D60423">
      <w:pPr>
        <w:spacing w:after="800"/>
      </w:pPr>
    </w:p>
    <w:p w14:paraId="1351A0D9" w14:textId="3B5D37C7" w:rsidR="00D96BD0" w:rsidRDefault="005642EE" w:rsidP="005642EE">
      <w:pPr>
        <w:spacing w:after="80"/>
      </w:pPr>
      <w:r>
        <w:rPr>
          <w:b/>
          <w:bCs/>
          <w:caps/>
          <w:color w:val="2E7D8C"/>
          <w:sz w:val="28"/>
          <w:szCs w:val="28"/>
        </w:rPr>
        <w:lastRenderedPageBreak/>
        <w:t xml:space="preserve">        COMMUNITY CARE AND MANAGEMENT OF LONG-TERM CONDITIONS</w:t>
      </w:r>
    </w:p>
    <w:p w14:paraId="3D9463FF" w14:textId="77777777" w:rsidR="00D96BD0" w:rsidRDefault="00D96BD0">
      <w:pPr>
        <w:spacing w:after="160"/>
      </w:pPr>
    </w:p>
    <w:p w14:paraId="00CD0C33" w14:textId="77777777" w:rsidR="00D96BD0" w:rsidRDefault="00000000">
      <w:pPr>
        <w:pBdr>
          <w:top w:val="single" w:sz="12" w:space="4" w:color="1B3A6B"/>
          <w:bottom w:val="single" w:sz="12" w:space="4" w:color="1B3A6B"/>
        </w:pBdr>
        <w:spacing w:before="120" w:after="120"/>
        <w:jc w:val="center"/>
      </w:pPr>
      <w:r>
        <w:rPr>
          <w:b/>
          <w:bCs/>
          <w:caps/>
          <w:color w:val="1B3A6B"/>
          <w:sz w:val="44"/>
          <w:szCs w:val="44"/>
        </w:rPr>
        <w:t>A CRITICAL EXAMINATION OF CHRONIC KIDNEY DISEASE</w:t>
      </w:r>
    </w:p>
    <w:p w14:paraId="5559BCD8" w14:textId="77777777" w:rsidR="00D96BD0" w:rsidRDefault="00D96BD0">
      <w:pPr>
        <w:spacing w:after="180"/>
      </w:pPr>
    </w:p>
    <w:p w14:paraId="6EAE8CC6" w14:textId="77777777" w:rsidR="00D96BD0" w:rsidRDefault="00000000">
      <w:pPr>
        <w:spacing w:after="60"/>
        <w:jc w:val="center"/>
      </w:pPr>
      <w:r>
        <w:rPr>
          <w:i/>
          <w:iCs/>
          <w:color w:val="5A5A5A"/>
          <w:sz w:val="24"/>
          <w:szCs w:val="24"/>
        </w:rPr>
        <w:t>An Information Booklet for Healthcare Professionals and Patients</w:t>
      </w:r>
    </w:p>
    <w:p w14:paraId="395B7939" w14:textId="77777777" w:rsidR="00D96BD0" w:rsidRDefault="00D96BD0">
      <w:pPr>
        <w:spacing w:after="300"/>
      </w:pPr>
    </w:p>
    <w:p w14:paraId="76244DA6" w14:textId="2C49025B" w:rsidR="00D96BD0" w:rsidRDefault="00000000">
      <w:r>
        <w:br/>
      </w:r>
      <w:r w:rsidR="00D60423" w:rsidRPr="00D60423">
        <w:rPr>
          <w:noProof/>
        </w:rPr>
        <w:drawing>
          <wp:inline distT="0" distB="0" distL="0" distR="0" wp14:anchorId="07EC1D6D" wp14:editId="0A9354E8">
            <wp:extent cx="5908675" cy="52387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08675" cy="5238750"/>
                    </a:xfrm>
                    <a:prstGeom prst="rect">
                      <a:avLst/>
                    </a:prstGeom>
                    <a:noFill/>
                    <a:ln>
                      <a:noFill/>
                    </a:ln>
                  </pic:spPr>
                </pic:pic>
              </a:graphicData>
            </a:graphic>
          </wp:inline>
        </w:drawing>
      </w:r>
    </w:p>
    <w:p w14:paraId="6BD23B94" w14:textId="77777777" w:rsidR="0081594E" w:rsidRDefault="0081594E">
      <w:pPr>
        <w:pStyle w:val="Heading1"/>
        <w:pBdr>
          <w:bottom w:val="single" w:sz="8" w:space="6" w:color="2E7D8C"/>
        </w:pBdr>
      </w:pPr>
    </w:p>
    <w:p w14:paraId="2D58A777" w14:textId="77777777" w:rsidR="005642EE" w:rsidRDefault="005642EE" w:rsidP="00D60423">
      <w:pPr>
        <w:spacing w:after="60"/>
        <w:jc w:val="center"/>
        <w:rPr>
          <w:b/>
          <w:bCs/>
          <w:u w:val="single"/>
        </w:rPr>
      </w:pPr>
    </w:p>
    <w:p w14:paraId="26B6DD03" w14:textId="77777777" w:rsidR="005642EE" w:rsidRDefault="005642EE" w:rsidP="00D60423">
      <w:pPr>
        <w:spacing w:after="60"/>
        <w:jc w:val="center"/>
        <w:rPr>
          <w:b/>
          <w:bCs/>
          <w:u w:val="single"/>
        </w:rPr>
      </w:pPr>
    </w:p>
    <w:tbl>
      <w:tblPr>
        <w:tblStyle w:val="TableGrid"/>
        <w:tblW w:w="0" w:type="auto"/>
        <w:tblLook w:val="04A0" w:firstRow="1" w:lastRow="0" w:firstColumn="1" w:lastColumn="0" w:noHBand="0" w:noVBand="1"/>
      </w:tblPr>
      <w:tblGrid>
        <w:gridCol w:w="9343"/>
      </w:tblGrid>
      <w:tr w:rsidR="009E1D60" w:rsidRPr="009E1D60" w14:paraId="6F22C96B" w14:textId="77777777" w:rsidTr="009E1D60">
        <w:trPr>
          <w:trHeight w:val="937"/>
        </w:trPr>
        <w:tc>
          <w:tcPr>
            <w:tcW w:w="9343" w:type="dxa"/>
          </w:tcPr>
          <w:p w14:paraId="1FD5FB9F" w14:textId="77777777" w:rsidR="009E1D60" w:rsidRPr="009E1D60" w:rsidRDefault="009E1D60" w:rsidP="00806B2E">
            <w:pPr>
              <w:pStyle w:val="Heading1"/>
            </w:pPr>
            <w:r w:rsidRPr="009E1D60">
              <w:lastRenderedPageBreak/>
              <w:t>CONTENTS AT A GLANCE</w:t>
            </w:r>
          </w:p>
        </w:tc>
      </w:tr>
      <w:tr w:rsidR="009E1D60" w:rsidRPr="009E1D60" w14:paraId="278D8FEE" w14:textId="77777777" w:rsidTr="009E1D60">
        <w:trPr>
          <w:trHeight w:val="312"/>
        </w:trPr>
        <w:tc>
          <w:tcPr>
            <w:tcW w:w="9343" w:type="dxa"/>
          </w:tcPr>
          <w:p w14:paraId="2495F2BA" w14:textId="1B4B2F65" w:rsidR="009E1D60" w:rsidRPr="009E1D60" w:rsidRDefault="009E1D60" w:rsidP="00806B2E">
            <w:pPr>
              <w:pStyle w:val="Heading1"/>
              <w:spacing w:before="0" w:after="0"/>
              <w:jc w:val="both"/>
              <w:rPr>
                <w:color w:val="auto"/>
                <w:sz w:val="28"/>
                <w:szCs w:val="28"/>
              </w:rPr>
            </w:pPr>
            <w:r w:rsidRPr="009E1D60">
              <w:rPr>
                <w:color w:val="auto"/>
                <w:sz w:val="28"/>
                <w:szCs w:val="28"/>
              </w:rPr>
              <w:t>Introduction…………………………………………………………………………………………</w:t>
            </w:r>
            <w:r>
              <w:rPr>
                <w:color w:val="auto"/>
                <w:sz w:val="28"/>
                <w:szCs w:val="28"/>
              </w:rPr>
              <w:t>….</w:t>
            </w:r>
            <w:r w:rsidRPr="009E1D60">
              <w:rPr>
                <w:b w:val="0"/>
                <w:bCs w:val="0"/>
                <w:color w:val="auto"/>
                <w:sz w:val="28"/>
                <w:szCs w:val="28"/>
              </w:rPr>
              <w:t>4</w:t>
            </w:r>
          </w:p>
        </w:tc>
      </w:tr>
      <w:tr w:rsidR="009E1D60" w:rsidRPr="009E1D60" w14:paraId="6E81D3BE" w14:textId="77777777" w:rsidTr="009E1D60">
        <w:trPr>
          <w:trHeight w:val="284"/>
        </w:trPr>
        <w:tc>
          <w:tcPr>
            <w:tcW w:w="9343" w:type="dxa"/>
          </w:tcPr>
          <w:p w14:paraId="7CD76670" w14:textId="1E005BE7" w:rsidR="009E1D60" w:rsidRPr="009E1D60" w:rsidRDefault="009E1D60" w:rsidP="00806B2E">
            <w:pPr>
              <w:pStyle w:val="Heading1"/>
              <w:spacing w:before="0" w:after="0"/>
              <w:jc w:val="both"/>
              <w:rPr>
                <w:color w:val="auto"/>
                <w:sz w:val="24"/>
                <w:szCs w:val="24"/>
              </w:rPr>
            </w:pPr>
            <w:r w:rsidRPr="009E1D60">
              <w:rPr>
                <w:color w:val="auto"/>
                <w:sz w:val="24"/>
                <w:szCs w:val="24"/>
              </w:rPr>
              <w:t>Section 1: Definition, Burden and Aetiology of Chronic Kidney Disease…………</w:t>
            </w:r>
            <w:r>
              <w:rPr>
                <w:color w:val="auto"/>
                <w:sz w:val="24"/>
                <w:szCs w:val="24"/>
              </w:rPr>
              <w:t>….</w:t>
            </w:r>
            <w:r w:rsidRPr="009E1D60">
              <w:rPr>
                <w:color w:val="auto"/>
                <w:sz w:val="24"/>
                <w:szCs w:val="24"/>
              </w:rPr>
              <w:t>4</w:t>
            </w:r>
          </w:p>
        </w:tc>
      </w:tr>
      <w:tr w:rsidR="009E1D60" w:rsidRPr="009E1D60" w14:paraId="25FE1A6E" w14:textId="77777777" w:rsidTr="009E1D60">
        <w:trPr>
          <w:trHeight w:val="241"/>
        </w:trPr>
        <w:tc>
          <w:tcPr>
            <w:tcW w:w="9343" w:type="dxa"/>
          </w:tcPr>
          <w:p w14:paraId="05A50003" w14:textId="51C92B7F" w:rsidR="009E1D60" w:rsidRPr="009E1D60" w:rsidRDefault="009E1D60" w:rsidP="00806B2E">
            <w:pPr>
              <w:pStyle w:val="Heading2"/>
              <w:numPr>
                <w:ilvl w:val="1"/>
                <w:numId w:val="3"/>
              </w:numPr>
              <w:spacing w:before="0" w:after="0"/>
              <w:jc w:val="both"/>
              <w:rPr>
                <w:b w:val="0"/>
                <w:bCs w:val="0"/>
                <w:color w:val="auto"/>
                <w:sz w:val="22"/>
                <w:szCs w:val="22"/>
                <w:lang w:val="en-GB"/>
              </w:rPr>
            </w:pPr>
            <w:r w:rsidRPr="009E1D60">
              <w:rPr>
                <w:b w:val="0"/>
                <w:bCs w:val="0"/>
                <w:color w:val="auto"/>
                <w:sz w:val="22"/>
                <w:szCs w:val="22"/>
                <w:lang w:val="en-GB"/>
              </w:rPr>
              <w:t>Classification and Definition……………………………………………………………………………………………………</w:t>
            </w:r>
            <w:r>
              <w:rPr>
                <w:b w:val="0"/>
                <w:bCs w:val="0"/>
                <w:color w:val="auto"/>
                <w:sz w:val="22"/>
                <w:szCs w:val="22"/>
                <w:lang w:val="en-GB"/>
              </w:rPr>
              <w:t>….</w:t>
            </w:r>
            <w:r w:rsidRPr="009E1D60">
              <w:rPr>
                <w:b w:val="0"/>
                <w:bCs w:val="0"/>
                <w:color w:val="auto"/>
                <w:sz w:val="22"/>
                <w:szCs w:val="22"/>
                <w:lang w:val="en-GB"/>
              </w:rPr>
              <w:t>4</w:t>
            </w:r>
          </w:p>
        </w:tc>
      </w:tr>
      <w:tr w:rsidR="009E1D60" w:rsidRPr="009E1D60" w14:paraId="1F79DF70" w14:textId="77777777" w:rsidTr="009E1D60">
        <w:trPr>
          <w:trHeight w:val="255"/>
        </w:trPr>
        <w:tc>
          <w:tcPr>
            <w:tcW w:w="9343" w:type="dxa"/>
          </w:tcPr>
          <w:p w14:paraId="2048AF4D" w14:textId="4C3268AC" w:rsidR="009E1D60" w:rsidRPr="009E1D60" w:rsidRDefault="009E1D60" w:rsidP="00806B2E">
            <w:pPr>
              <w:pStyle w:val="Heading2"/>
              <w:numPr>
                <w:ilvl w:val="1"/>
                <w:numId w:val="3"/>
              </w:numPr>
              <w:spacing w:before="0" w:after="0"/>
              <w:jc w:val="both"/>
              <w:rPr>
                <w:b w:val="0"/>
                <w:bCs w:val="0"/>
                <w:color w:val="auto"/>
                <w:sz w:val="22"/>
                <w:szCs w:val="22"/>
                <w:lang w:val="en-GB"/>
              </w:rPr>
            </w:pPr>
            <w:r w:rsidRPr="009E1D60">
              <w:rPr>
                <w:b w:val="0"/>
                <w:bCs w:val="0"/>
                <w:color w:val="auto"/>
                <w:sz w:val="22"/>
                <w:szCs w:val="22"/>
                <w:lang w:val="en-GB"/>
              </w:rPr>
              <w:t>Global and UK Burden……………………………………………………………………………………………………………</w:t>
            </w:r>
            <w:r>
              <w:rPr>
                <w:b w:val="0"/>
                <w:bCs w:val="0"/>
                <w:color w:val="auto"/>
                <w:sz w:val="22"/>
                <w:szCs w:val="22"/>
                <w:lang w:val="en-GB"/>
              </w:rPr>
              <w:t>…..</w:t>
            </w:r>
            <w:r w:rsidRPr="009E1D60">
              <w:rPr>
                <w:b w:val="0"/>
                <w:bCs w:val="0"/>
                <w:color w:val="auto"/>
                <w:sz w:val="22"/>
                <w:szCs w:val="22"/>
                <w:lang w:val="en-GB"/>
              </w:rPr>
              <w:t>4</w:t>
            </w:r>
          </w:p>
        </w:tc>
      </w:tr>
      <w:tr w:rsidR="009E1D60" w:rsidRPr="009E1D60" w14:paraId="672DD84C" w14:textId="77777777" w:rsidTr="009E1D60">
        <w:trPr>
          <w:trHeight w:val="241"/>
        </w:trPr>
        <w:tc>
          <w:tcPr>
            <w:tcW w:w="9343" w:type="dxa"/>
          </w:tcPr>
          <w:p w14:paraId="217D8396" w14:textId="032B25BF" w:rsidR="009E1D60" w:rsidRPr="009E1D60" w:rsidRDefault="009E1D60" w:rsidP="00806B2E">
            <w:pPr>
              <w:pStyle w:val="Heading2"/>
              <w:numPr>
                <w:ilvl w:val="1"/>
                <w:numId w:val="3"/>
              </w:numPr>
              <w:spacing w:before="0" w:after="0"/>
              <w:jc w:val="both"/>
              <w:rPr>
                <w:b w:val="0"/>
                <w:bCs w:val="0"/>
                <w:color w:val="auto"/>
                <w:sz w:val="22"/>
                <w:szCs w:val="22"/>
                <w:lang w:val="en-GB"/>
              </w:rPr>
            </w:pPr>
            <w:r w:rsidRPr="009E1D60">
              <w:rPr>
                <w:b w:val="0"/>
                <w:bCs w:val="0"/>
                <w:color w:val="auto"/>
                <w:sz w:val="22"/>
                <w:szCs w:val="22"/>
                <w:lang w:val="en-GB"/>
              </w:rPr>
              <w:t>Aetiology and Risk Factors………………………………………………………………………………………………………</w:t>
            </w:r>
            <w:r>
              <w:rPr>
                <w:b w:val="0"/>
                <w:bCs w:val="0"/>
                <w:color w:val="auto"/>
                <w:sz w:val="22"/>
                <w:szCs w:val="22"/>
                <w:lang w:val="en-GB"/>
              </w:rPr>
              <w:t>….</w:t>
            </w:r>
            <w:r w:rsidRPr="009E1D60">
              <w:rPr>
                <w:b w:val="0"/>
                <w:bCs w:val="0"/>
                <w:color w:val="auto"/>
                <w:sz w:val="22"/>
                <w:szCs w:val="22"/>
                <w:lang w:val="en-GB"/>
              </w:rPr>
              <w:t>5</w:t>
            </w:r>
          </w:p>
        </w:tc>
      </w:tr>
      <w:tr w:rsidR="009E1D60" w:rsidRPr="009E1D60" w14:paraId="132E0363" w14:textId="77777777" w:rsidTr="009E1D60">
        <w:trPr>
          <w:trHeight w:val="284"/>
        </w:trPr>
        <w:tc>
          <w:tcPr>
            <w:tcW w:w="9343" w:type="dxa"/>
          </w:tcPr>
          <w:p w14:paraId="64CFCE66" w14:textId="1468BF97" w:rsidR="009E1D60" w:rsidRPr="009E1D60" w:rsidRDefault="009E1D60" w:rsidP="00806B2E">
            <w:pPr>
              <w:jc w:val="both"/>
              <w:rPr>
                <w:b/>
                <w:bCs/>
                <w:color w:val="auto"/>
                <w:sz w:val="24"/>
                <w:szCs w:val="24"/>
              </w:rPr>
            </w:pPr>
            <w:r w:rsidRPr="009E1D60">
              <w:rPr>
                <w:b/>
                <w:bCs/>
                <w:color w:val="auto"/>
                <w:sz w:val="24"/>
                <w:szCs w:val="24"/>
              </w:rPr>
              <w:t>SECTION 2: IMPACT ON INDIVIDUALS, FAMILIES AND SOCIETY………………………………………</w:t>
            </w:r>
            <w:r>
              <w:rPr>
                <w:b/>
                <w:bCs/>
                <w:color w:val="auto"/>
                <w:sz w:val="24"/>
                <w:szCs w:val="24"/>
              </w:rPr>
              <w:t>….</w:t>
            </w:r>
            <w:r w:rsidRPr="009E1D60">
              <w:rPr>
                <w:b/>
                <w:bCs/>
                <w:color w:val="auto"/>
                <w:sz w:val="24"/>
                <w:szCs w:val="24"/>
              </w:rPr>
              <w:t>5</w:t>
            </w:r>
          </w:p>
        </w:tc>
      </w:tr>
      <w:tr w:rsidR="009E1D60" w:rsidRPr="009E1D60" w14:paraId="500AF25E" w14:textId="77777777" w:rsidTr="009E1D60">
        <w:trPr>
          <w:trHeight w:val="241"/>
        </w:trPr>
        <w:tc>
          <w:tcPr>
            <w:tcW w:w="9343" w:type="dxa"/>
          </w:tcPr>
          <w:p w14:paraId="6744A8C1" w14:textId="6BBDB92C" w:rsidR="009E1D60" w:rsidRPr="009E1D60" w:rsidRDefault="009E1D60" w:rsidP="00806B2E">
            <w:pPr>
              <w:pStyle w:val="Heading2"/>
              <w:spacing w:before="0" w:after="0"/>
              <w:jc w:val="both"/>
              <w:rPr>
                <w:b w:val="0"/>
                <w:bCs w:val="0"/>
                <w:color w:val="auto"/>
                <w:sz w:val="22"/>
                <w:szCs w:val="22"/>
              </w:rPr>
            </w:pPr>
            <w:r w:rsidRPr="009E1D60">
              <w:rPr>
                <w:b w:val="0"/>
                <w:bCs w:val="0"/>
                <w:color w:val="auto"/>
                <w:sz w:val="22"/>
                <w:szCs w:val="22"/>
              </w:rPr>
              <w:t>2.1  Physical Impact</w:t>
            </w:r>
            <w:r w:rsidRPr="009E1D60">
              <w:rPr>
                <w:b w:val="0"/>
                <w:bCs w:val="0"/>
                <w:color w:val="auto"/>
                <w:sz w:val="22"/>
                <w:szCs w:val="22"/>
                <w:lang w:val="en-GB"/>
              </w:rPr>
              <w:t>…………………………………………………………………………………………………………………………</w:t>
            </w:r>
            <w:r>
              <w:rPr>
                <w:b w:val="0"/>
                <w:bCs w:val="0"/>
                <w:color w:val="auto"/>
                <w:sz w:val="22"/>
                <w:szCs w:val="22"/>
                <w:lang w:val="en-GB"/>
              </w:rPr>
              <w:t>…</w:t>
            </w:r>
            <w:r w:rsidRPr="009E1D60">
              <w:rPr>
                <w:b w:val="0"/>
                <w:bCs w:val="0"/>
                <w:color w:val="auto"/>
                <w:sz w:val="22"/>
                <w:szCs w:val="22"/>
                <w:lang w:val="en-GB"/>
              </w:rPr>
              <w:t>5</w:t>
            </w:r>
          </w:p>
        </w:tc>
      </w:tr>
      <w:tr w:rsidR="009E1D60" w:rsidRPr="009E1D60" w14:paraId="6F166C50" w14:textId="77777777" w:rsidTr="009E1D60">
        <w:trPr>
          <w:trHeight w:val="255"/>
        </w:trPr>
        <w:tc>
          <w:tcPr>
            <w:tcW w:w="9343" w:type="dxa"/>
          </w:tcPr>
          <w:p w14:paraId="4F00DC76" w14:textId="2F4C1B5E" w:rsidR="009E1D60" w:rsidRPr="009E1D60" w:rsidRDefault="009E1D60" w:rsidP="00806B2E">
            <w:pPr>
              <w:pStyle w:val="Heading2"/>
              <w:spacing w:before="0" w:after="0"/>
              <w:jc w:val="both"/>
              <w:rPr>
                <w:b w:val="0"/>
                <w:bCs w:val="0"/>
                <w:color w:val="auto"/>
                <w:sz w:val="22"/>
                <w:szCs w:val="22"/>
              </w:rPr>
            </w:pPr>
            <w:r w:rsidRPr="009E1D60">
              <w:rPr>
                <w:b w:val="0"/>
                <w:bCs w:val="0"/>
                <w:color w:val="auto"/>
                <w:sz w:val="22"/>
                <w:szCs w:val="22"/>
              </w:rPr>
              <w:t>2.2  Psychological Impact</w:t>
            </w:r>
            <w:r w:rsidRPr="009E1D60">
              <w:rPr>
                <w:b w:val="0"/>
                <w:bCs w:val="0"/>
                <w:color w:val="auto"/>
                <w:sz w:val="22"/>
                <w:szCs w:val="22"/>
                <w:lang w:val="en-GB"/>
              </w:rPr>
              <w:t>………………………………………………………………………………………………………………</w:t>
            </w:r>
            <w:r>
              <w:rPr>
                <w:b w:val="0"/>
                <w:bCs w:val="0"/>
                <w:color w:val="auto"/>
                <w:sz w:val="22"/>
                <w:szCs w:val="22"/>
                <w:lang w:val="en-GB"/>
              </w:rPr>
              <w:t>…..</w:t>
            </w:r>
            <w:r w:rsidRPr="009E1D60">
              <w:rPr>
                <w:b w:val="0"/>
                <w:bCs w:val="0"/>
                <w:color w:val="auto"/>
                <w:sz w:val="22"/>
                <w:szCs w:val="22"/>
                <w:lang w:val="en-GB"/>
              </w:rPr>
              <w:t>5</w:t>
            </w:r>
          </w:p>
        </w:tc>
      </w:tr>
      <w:tr w:rsidR="009E1D60" w:rsidRPr="009E1D60" w14:paraId="7FDC7C61" w14:textId="77777777" w:rsidTr="009E1D60">
        <w:trPr>
          <w:trHeight w:val="241"/>
        </w:trPr>
        <w:tc>
          <w:tcPr>
            <w:tcW w:w="9343" w:type="dxa"/>
          </w:tcPr>
          <w:p w14:paraId="4A4623E9" w14:textId="32D36F33" w:rsidR="009E1D60" w:rsidRPr="009E1D60" w:rsidRDefault="009E1D60" w:rsidP="00806B2E">
            <w:pPr>
              <w:jc w:val="both"/>
              <w:rPr>
                <w:color w:val="auto"/>
              </w:rPr>
            </w:pPr>
            <w:r w:rsidRPr="009E1D60">
              <w:rPr>
                <w:color w:val="auto"/>
              </w:rPr>
              <w:t>2.3  Social and Family Impact</w:t>
            </w:r>
            <w:r w:rsidRPr="009E1D60">
              <w:rPr>
                <w:b/>
                <w:bCs/>
                <w:color w:val="auto"/>
              </w:rPr>
              <w:t>………………………………………………………………………………………………………</w:t>
            </w:r>
            <w:r>
              <w:rPr>
                <w:b/>
                <w:bCs/>
                <w:color w:val="auto"/>
              </w:rPr>
              <w:t>….</w:t>
            </w:r>
            <w:r w:rsidRPr="009E1D60">
              <w:rPr>
                <w:b/>
                <w:bCs/>
                <w:color w:val="auto"/>
              </w:rPr>
              <w:t>6</w:t>
            </w:r>
          </w:p>
        </w:tc>
      </w:tr>
      <w:tr w:rsidR="009E1D60" w:rsidRPr="009E1D60" w14:paraId="39ED0412" w14:textId="77777777" w:rsidTr="009E1D60">
        <w:trPr>
          <w:trHeight w:val="269"/>
        </w:trPr>
        <w:tc>
          <w:tcPr>
            <w:tcW w:w="9343" w:type="dxa"/>
          </w:tcPr>
          <w:p w14:paraId="489C942B" w14:textId="6EB06B77" w:rsidR="009E1D60" w:rsidRPr="009E1D60" w:rsidRDefault="009E1D60" w:rsidP="00806B2E">
            <w:pPr>
              <w:jc w:val="both"/>
              <w:rPr>
                <w:b/>
                <w:bCs/>
                <w:color w:val="auto"/>
                <w:sz w:val="24"/>
                <w:szCs w:val="24"/>
              </w:rPr>
            </w:pPr>
            <w:r w:rsidRPr="009E1D60">
              <w:rPr>
                <w:b/>
                <w:bCs/>
                <w:color w:val="auto"/>
                <w:sz w:val="24"/>
                <w:szCs w:val="24"/>
              </w:rPr>
              <w:t>SECTION 3: EVIDENCE-BASED NHS TREATMENTS……………………………………………………………</w:t>
            </w:r>
            <w:r>
              <w:rPr>
                <w:b/>
                <w:bCs/>
                <w:color w:val="auto"/>
                <w:sz w:val="24"/>
                <w:szCs w:val="24"/>
              </w:rPr>
              <w:t>…</w:t>
            </w:r>
            <w:r w:rsidRPr="009E1D60">
              <w:rPr>
                <w:b/>
                <w:bCs/>
                <w:color w:val="auto"/>
                <w:sz w:val="24"/>
                <w:szCs w:val="24"/>
              </w:rPr>
              <w:t>6</w:t>
            </w:r>
          </w:p>
        </w:tc>
      </w:tr>
      <w:tr w:rsidR="009E1D60" w:rsidRPr="009E1D60" w14:paraId="329AEF25" w14:textId="77777777" w:rsidTr="009E1D60">
        <w:trPr>
          <w:trHeight w:val="255"/>
        </w:trPr>
        <w:tc>
          <w:tcPr>
            <w:tcW w:w="9343" w:type="dxa"/>
          </w:tcPr>
          <w:p w14:paraId="54C20732" w14:textId="43EB15D7" w:rsidR="009E1D60" w:rsidRPr="009E1D60" w:rsidRDefault="009E1D60" w:rsidP="00806B2E">
            <w:pPr>
              <w:jc w:val="both"/>
              <w:rPr>
                <w:color w:val="auto"/>
              </w:rPr>
            </w:pPr>
            <w:r w:rsidRPr="009E1D60">
              <w:rPr>
                <w:color w:val="auto"/>
              </w:rPr>
              <w:t>3.1  RAAS Inhibition  The Pharmacological Cornerstone…………………………………………………………………</w:t>
            </w:r>
            <w:r>
              <w:rPr>
                <w:color w:val="auto"/>
              </w:rPr>
              <w:t>….</w:t>
            </w:r>
            <w:r w:rsidRPr="009E1D60">
              <w:rPr>
                <w:color w:val="auto"/>
              </w:rPr>
              <w:t>6</w:t>
            </w:r>
          </w:p>
        </w:tc>
      </w:tr>
      <w:tr w:rsidR="009E1D60" w:rsidRPr="009E1D60" w14:paraId="165687F3" w14:textId="77777777" w:rsidTr="009E1D60">
        <w:trPr>
          <w:trHeight w:val="255"/>
        </w:trPr>
        <w:tc>
          <w:tcPr>
            <w:tcW w:w="9343" w:type="dxa"/>
          </w:tcPr>
          <w:p w14:paraId="7CD51A15" w14:textId="52BB3D47" w:rsidR="009E1D60" w:rsidRPr="009E1D60" w:rsidRDefault="009E1D60" w:rsidP="00806B2E">
            <w:pPr>
              <w:jc w:val="both"/>
              <w:rPr>
                <w:color w:val="auto"/>
              </w:rPr>
            </w:pPr>
            <w:r w:rsidRPr="009E1D60">
              <w:rPr>
                <w:color w:val="auto"/>
              </w:rPr>
              <w:t>3.2  SGLT2 Inhibitors  A Transformative Advance……………………………………………………………………………</w:t>
            </w:r>
            <w:r>
              <w:rPr>
                <w:color w:val="auto"/>
              </w:rPr>
              <w:t>….</w:t>
            </w:r>
            <w:r w:rsidRPr="009E1D60">
              <w:rPr>
                <w:color w:val="auto"/>
              </w:rPr>
              <w:t>6</w:t>
            </w:r>
          </w:p>
        </w:tc>
      </w:tr>
      <w:tr w:rsidR="009E1D60" w:rsidRPr="009E1D60" w14:paraId="6C883329" w14:textId="77777777" w:rsidTr="009E1D60">
        <w:trPr>
          <w:trHeight w:val="241"/>
        </w:trPr>
        <w:tc>
          <w:tcPr>
            <w:tcW w:w="9343" w:type="dxa"/>
          </w:tcPr>
          <w:p w14:paraId="10AA338C" w14:textId="07101EB4" w:rsidR="009E1D60" w:rsidRPr="009E1D60" w:rsidRDefault="009E1D60" w:rsidP="00806B2E">
            <w:pPr>
              <w:jc w:val="both"/>
              <w:rPr>
                <w:color w:val="auto"/>
              </w:rPr>
            </w:pPr>
            <w:r w:rsidRPr="009E1D60">
              <w:rPr>
                <w:color w:val="auto"/>
              </w:rPr>
              <w:t>3.3  Additional Treatments and Community MDT Care……………………………………………………………………</w:t>
            </w:r>
            <w:r>
              <w:rPr>
                <w:color w:val="auto"/>
              </w:rPr>
              <w:t>…</w:t>
            </w:r>
            <w:r w:rsidRPr="009E1D60">
              <w:rPr>
                <w:color w:val="auto"/>
              </w:rPr>
              <w:t>7</w:t>
            </w:r>
          </w:p>
        </w:tc>
      </w:tr>
      <w:tr w:rsidR="009E1D60" w:rsidRPr="009E1D60" w14:paraId="1756ECA5" w14:textId="77777777" w:rsidTr="009E1D60">
        <w:trPr>
          <w:trHeight w:val="269"/>
        </w:trPr>
        <w:tc>
          <w:tcPr>
            <w:tcW w:w="9343" w:type="dxa"/>
          </w:tcPr>
          <w:p w14:paraId="401F99AA" w14:textId="13E9CED3" w:rsidR="009E1D60" w:rsidRPr="009E1D60" w:rsidRDefault="009E1D60" w:rsidP="00806B2E">
            <w:pPr>
              <w:jc w:val="both"/>
              <w:rPr>
                <w:b/>
                <w:bCs/>
                <w:color w:val="auto"/>
                <w:sz w:val="24"/>
                <w:szCs w:val="24"/>
              </w:rPr>
            </w:pPr>
            <w:r w:rsidRPr="009E1D60">
              <w:rPr>
                <w:b/>
                <w:bCs/>
                <w:color w:val="auto"/>
                <w:sz w:val="24"/>
                <w:szCs w:val="24"/>
              </w:rPr>
              <w:t>SECTION 4: THEORETICAL MODELS AND FRAMEWORKS…………………………………………………</w:t>
            </w:r>
            <w:r>
              <w:rPr>
                <w:b/>
                <w:bCs/>
                <w:color w:val="auto"/>
                <w:sz w:val="24"/>
                <w:szCs w:val="24"/>
              </w:rPr>
              <w:t>…</w:t>
            </w:r>
            <w:r w:rsidRPr="009E1D60">
              <w:rPr>
                <w:b/>
                <w:bCs/>
                <w:color w:val="auto"/>
                <w:sz w:val="24"/>
                <w:szCs w:val="24"/>
              </w:rPr>
              <w:t>7</w:t>
            </w:r>
          </w:p>
        </w:tc>
      </w:tr>
      <w:tr w:rsidR="009E1D60" w:rsidRPr="009E1D60" w14:paraId="1CCB781A" w14:textId="77777777" w:rsidTr="009E1D60">
        <w:trPr>
          <w:trHeight w:val="255"/>
        </w:trPr>
        <w:tc>
          <w:tcPr>
            <w:tcW w:w="9343" w:type="dxa"/>
          </w:tcPr>
          <w:p w14:paraId="7CC14044" w14:textId="0105DFE5" w:rsidR="009E1D60" w:rsidRPr="009E1D60" w:rsidRDefault="009E1D60" w:rsidP="00806B2E">
            <w:pPr>
              <w:jc w:val="both"/>
              <w:rPr>
                <w:color w:val="auto"/>
              </w:rPr>
            </w:pPr>
            <w:r w:rsidRPr="009E1D60">
              <w:rPr>
                <w:color w:val="auto"/>
              </w:rPr>
              <w:t>4.1  UK Model: The House of Care Framework…………………………………………………………………………………</w:t>
            </w:r>
            <w:r>
              <w:rPr>
                <w:color w:val="auto"/>
              </w:rPr>
              <w:t>..</w:t>
            </w:r>
            <w:r w:rsidRPr="009E1D60">
              <w:rPr>
                <w:color w:val="auto"/>
              </w:rPr>
              <w:t>7</w:t>
            </w:r>
          </w:p>
        </w:tc>
      </w:tr>
      <w:tr w:rsidR="009E1D60" w:rsidRPr="009E1D60" w14:paraId="436E1068" w14:textId="77777777" w:rsidTr="009E1D60">
        <w:trPr>
          <w:trHeight w:val="255"/>
        </w:trPr>
        <w:tc>
          <w:tcPr>
            <w:tcW w:w="9343" w:type="dxa"/>
          </w:tcPr>
          <w:p w14:paraId="44CB399D" w14:textId="7268EC54" w:rsidR="009E1D60" w:rsidRPr="009E1D60" w:rsidRDefault="009E1D60" w:rsidP="00806B2E">
            <w:pPr>
              <w:jc w:val="both"/>
              <w:rPr>
                <w:color w:val="auto"/>
              </w:rPr>
            </w:pPr>
            <w:r w:rsidRPr="009E1D60">
              <w:rPr>
                <w:color w:val="auto"/>
              </w:rPr>
              <w:t>4.2  International Model: Wagner's Chronic Care Model…………………………………………………………………</w:t>
            </w:r>
            <w:r>
              <w:rPr>
                <w:color w:val="auto"/>
              </w:rPr>
              <w:t>…</w:t>
            </w:r>
            <w:r w:rsidRPr="009E1D60">
              <w:rPr>
                <w:color w:val="auto"/>
              </w:rPr>
              <w:t>8</w:t>
            </w:r>
          </w:p>
        </w:tc>
      </w:tr>
      <w:tr w:rsidR="009E1D60" w:rsidRPr="009E1D60" w14:paraId="4D75E7BB" w14:textId="77777777" w:rsidTr="009E1D60">
        <w:trPr>
          <w:trHeight w:val="269"/>
        </w:trPr>
        <w:tc>
          <w:tcPr>
            <w:tcW w:w="9343" w:type="dxa"/>
          </w:tcPr>
          <w:p w14:paraId="70782D7C" w14:textId="0D8DDBE4" w:rsidR="009E1D60" w:rsidRPr="009E1D60" w:rsidRDefault="009E1D60" w:rsidP="00806B2E">
            <w:pPr>
              <w:jc w:val="both"/>
              <w:rPr>
                <w:b/>
                <w:bCs/>
                <w:color w:val="auto"/>
                <w:sz w:val="24"/>
                <w:szCs w:val="24"/>
              </w:rPr>
            </w:pPr>
            <w:r w:rsidRPr="009E1D60">
              <w:rPr>
                <w:b/>
                <w:bCs/>
                <w:color w:val="auto"/>
                <w:sz w:val="24"/>
                <w:szCs w:val="24"/>
              </w:rPr>
              <w:t>SECTION 5: NATIONAL AND LOCAL POLITICAL HEALTH AND SOCIAL CARE AGENDAS………</w:t>
            </w:r>
            <w:r>
              <w:rPr>
                <w:b/>
                <w:bCs/>
                <w:color w:val="auto"/>
                <w:sz w:val="24"/>
                <w:szCs w:val="24"/>
              </w:rPr>
              <w:t>…</w:t>
            </w:r>
            <w:r w:rsidRPr="009E1D60">
              <w:rPr>
                <w:b/>
                <w:bCs/>
                <w:color w:val="auto"/>
                <w:sz w:val="24"/>
                <w:szCs w:val="24"/>
              </w:rPr>
              <w:t>8</w:t>
            </w:r>
          </w:p>
        </w:tc>
      </w:tr>
      <w:tr w:rsidR="009E1D60" w:rsidRPr="009E1D60" w14:paraId="4023E0A3" w14:textId="77777777" w:rsidTr="009E1D60">
        <w:trPr>
          <w:trHeight w:val="241"/>
        </w:trPr>
        <w:tc>
          <w:tcPr>
            <w:tcW w:w="9343" w:type="dxa"/>
          </w:tcPr>
          <w:p w14:paraId="3F47CA2C" w14:textId="3E996228" w:rsidR="009E1D60" w:rsidRPr="009E1D60" w:rsidRDefault="009E1D60" w:rsidP="00806B2E">
            <w:pPr>
              <w:jc w:val="both"/>
              <w:rPr>
                <w:color w:val="auto"/>
              </w:rPr>
            </w:pPr>
            <w:r w:rsidRPr="009E1D60">
              <w:rPr>
                <w:color w:val="auto"/>
              </w:rPr>
              <w:t>5.1  NICE NG203 and Albuminuria  The Primary Policy Framework…………………………………………………</w:t>
            </w:r>
            <w:r>
              <w:rPr>
                <w:color w:val="auto"/>
              </w:rPr>
              <w:t>….</w:t>
            </w:r>
            <w:r w:rsidRPr="009E1D60">
              <w:rPr>
                <w:color w:val="auto"/>
              </w:rPr>
              <w:t>8</w:t>
            </w:r>
          </w:p>
        </w:tc>
      </w:tr>
      <w:tr w:rsidR="009E1D60" w:rsidRPr="009E1D60" w14:paraId="77CE5FD8" w14:textId="77777777" w:rsidTr="009E1D60">
        <w:trPr>
          <w:trHeight w:val="255"/>
        </w:trPr>
        <w:tc>
          <w:tcPr>
            <w:tcW w:w="9343" w:type="dxa"/>
          </w:tcPr>
          <w:p w14:paraId="3B6DA136" w14:textId="6BF10F0C" w:rsidR="009E1D60" w:rsidRPr="009E1D60" w:rsidRDefault="009E1D60" w:rsidP="00806B2E">
            <w:pPr>
              <w:jc w:val="both"/>
              <w:rPr>
                <w:color w:val="auto"/>
              </w:rPr>
            </w:pPr>
            <w:r w:rsidRPr="009E1D60">
              <w:rPr>
                <w:color w:val="auto"/>
              </w:rPr>
              <w:t>5.2  NHS Long Term Plan and the 10-Year Health Plan (2025) …………………………………………………………</w:t>
            </w:r>
            <w:r>
              <w:rPr>
                <w:color w:val="auto"/>
              </w:rPr>
              <w:t>…</w:t>
            </w:r>
            <w:r w:rsidRPr="009E1D60">
              <w:rPr>
                <w:color w:val="auto"/>
              </w:rPr>
              <w:t>8</w:t>
            </w:r>
          </w:p>
        </w:tc>
      </w:tr>
      <w:tr w:rsidR="009E1D60" w:rsidRPr="009E1D60" w14:paraId="011DFF23" w14:textId="77777777" w:rsidTr="009E1D60">
        <w:trPr>
          <w:trHeight w:val="241"/>
        </w:trPr>
        <w:tc>
          <w:tcPr>
            <w:tcW w:w="9343" w:type="dxa"/>
          </w:tcPr>
          <w:p w14:paraId="433FC965" w14:textId="7D0EF03D" w:rsidR="009E1D60" w:rsidRPr="009E1D60" w:rsidRDefault="009E1D60" w:rsidP="00806B2E">
            <w:pPr>
              <w:jc w:val="both"/>
              <w:rPr>
                <w:color w:val="auto"/>
              </w:rPr>
            </w:pPr>
            <w:r w:rsidRPr="009E1D60">
              <w:rPr>
                <w:color w:val="auto"/>
              </w:rPr>
              <w:t>5.3  Core20PLUS5  Health Equity in CKD…………………………………………………………………………………………</w:t>
            </w:r>
            <w:r>
              <w:rPr>
                <w:color w:val="auto"/>
              </w:rPr>
              <w:t>….</w:t>
            </w:r>
            <w:r w:rsidRPr="009E1D60">
              <w:rPr>
                <w:color w:val="auto"/>
              </w:rPr>
              <w:t>9</w:t>
            </w:r>
          </w:p>
        </w:tc>
      </w:tr>
      <w:tr w:rsidR="009E1D60" w:rsidRPr="009E1D60" w14:paraId="612FEC27" w14:textId="77777777" w:rsidTr="009E1D60">
        <w:trPr>
          <w:trHeight w:val="255"/>
        </w:trPr>
        <w:tc>
          <w:tcPr>
            <w:tcW w:w="9343" w:type="dxa"/>
          </w:tcPr>
          <w:p w14:paraId="76D19437" w14:textId="04F7D3A2" w:rsidR="009E1D60" w:rsidRPr="009E1D60" w:rsidRDefault="009E1D60" w:rsidP="00806B2E">
            <w:pPr>
              <w:jc w:val="both"/>
              <w:rPr>
                <w:color w:val="auto"/>
              </w:rPr>
            </w:pPr>
            <w:r w:rsidRPr="009E1D60">
              <w:rPr>
                <w:color w:val="auto"/>
              </w:rPr>
              <w:t>5.4  Local Policy in Action  London and Leicestershire………………………………………………………………………</w:t>
            </w:r>
            <w:r>
              <w:rPr>
                <w:color w:val="auto"/>
              </w:rPr>
              <w:t>..</w:t>
            </w:r>
            <w:r w:rsidRPr="009E1D60">
              <w:rPr>
                <w:color w:val="auto"/>
              </w:rPr>
              <w:t>9</w:t>
            </w:r>
          </w:p>
        </w:tc>
      </w:tr>
      <w:tr w:rsidR="009E1D60" w:rsidRPr="009E1D60" w14:paraId="7F13E6DF" w14:textId="77777777" w:rsidTr="009E1D60">
        <w:trPr>
          <w:trHeight w:val="269"/>
        </w:trPr>
        <w:tc>
          <w:tcPr>
            <w:tcW w:w="9343" w:type="dxa"/>
          </w:tcPr>
          <w:p w14:paraId="06838863" w14:textId="77777777" w:rsidR="009E1D60" w:rsidRPr="009E1D60" w:rsidRDefault="009E1D60" w:rsidP="00806B2E">
            <w:pPr>
              <w:jc w:val="both"/>
              <w:rPr>
                <w:b/>
                <w:bCs/>
                <w:color w:val="auto"/>
                <w:sz w:val="24"/>
                <w:szCs w:val="24"/>
              </w:rPr>
            </w:pPr>
            <w:r w:rsidRPr="009E1D60">
              <w:rPr>
                <w:b/>
                <w:bCs/>
                <w:color w:val="auto"/>
                <w:sz w:val="24"/>
                <w:szCs w:val="24"/>
              </w:rPr>
              <w:t>SECTION 6: RECOMMENDATIONS FOR PERSON-CENTRED, SELF-MANAGEMENT AND</w:t>
            </w:r>
          </w:p>
        </w:tc>
      </w:tr>
      <w:tr w:rsidR="009E1D60" w:rsidRPr="009E1D60" w14:paraId="71443916" w14:textId="77777777" w:rsidTr="009E1D60">
        <w:trPr>
          <w:trHeight w:val="269"/>
        </w:trPr>
        <w:tc>
          <w:tcPr>
            <w:tcW w:w="9343" w:type="dxa"/>
          </w:tcPr>
          <w:p w14:paraId="398CFFF5" w14:textId="6E035DD5" w:rsidR="009E1D60" w:rsidRPr="009E1D60" w:rsidRDefault="009E1D60" w:rsidP="00806B2E">
            <w:pPr>
              <w:jc w:val="both"/>
              <w:rPr>
                <w:b/>
                <w:bCs/>
                <w:color w:val="auto"/>
                <w:sz w:val="24"/>
                <w:szCs w:val="24"/>
              </w:rPr>
            </w:pPr>
            <w:r w:rsidRPr="009E1D60">
              <w:rPr>
                <w:b/>
                <w:bCs/>
                <w:color w:val="auto"/>
                <w:sz w:val="24"/>
                <w:szCs w:val="24"/>
              </w:rPr>
              <w:t xml:space="preserve"> END-OF-LIFE CARE</w:t>
            </w:r>
            <w:r w:rsidRPr="009E1D60">
              <w:rPr>
                <w:color w:val="auto"/>
              </w:rPr>
              <w:t>………………………………………………………………………………………………………………………</w:t>
            </w:r>
            <w:r>
              <w:rPr>
                <w:color w:val="auto"/>
              </w:rPr>
              <w:t>….</w:t>
            </w:r>
            <w:r w:rsidRPr="009E1D60">
              <w:rPr>
                <w:color w:val="auto"/>
              </w:rPr>
              <w:t>9</w:t>
            </w:r>
          </w:p>
        </w:tc>
      </w:tr>
      <w:tr w:rsidR="009E1D60" w:rsidRPr="009E1D60" w14:paraId="2C10ADD1" w14:textId="77777777" w:rsidTr="009E1D60">
        <w:trPr>
          <w:trHeight w:val="255"/>
        </w:trPr>
        <w:tc>
          <w:tcPr>
            <w:tcW w:w="9343" w:type="dxa"/>
          </w:tcPr>
          <w:p w14:paraId="614EEE16" w14:textId="16D3638C" w:rsidR="009E1D60" w:rsidRPr="009E1D60" w:rsidRDefault="009E1D60" w:rsidP="00806B2E">
            <w:pPr>
              <w:jc w:val="both"/>
              <w:rPr>
                <w:color w:val="auto"/>
              </w:rPr>
            </w:pPr>
            <w:r w:rsidRPr="009E1D60">
              <w:rPr>
                <w:color w:val="auto"/>
              </w:rPr>
              <w:t>6.1  Shared Decision-Making……………………………………………………………………………………………………………</w:t>
            </w:r>
            <w:r>
              <w:rPr>
                <w:color w:val="auto"/>
              </w:rPr>
              <w:t>…</w:t>
            </w:r>
            <w:r w:rsidRPr="009E1D60">
              <w:rPr>
                <w:color w:val="auto"/>
              </w:rPr>
              <w:t>9</w:t>
            </w:r>
          </w:p>
        </w:tc>
      </w:tr>
      <w:tr w:rsidR="009E1D60" w:rsidRPr="009E1D60" w14:paraId="00D96DE0" w14:textId="77777777" w:rsidTr="009E1D60">
        <w:trPr>
          <w:trHeight w:val="255"/>
        </w:trPr>
        <w:tc>
          <w:tcPr>
            <w:tcW w:w="9343" w:type="dxa"/>
          </w:tcPr>
          <w:p w14:paraId="16E8ED04" w14:textId="469EB931" w:rsidR="009E1D60" w:rsidRPr="009E1D60" w:rsidRDefault="009E1D60" w:rsidP="00806B2E">
            <w:pPr>
              <w:jc w:val="both"/>
              <w:rPr>
                <w:color w:val="auto"/>
              </w:rPr>
            </w:pPr>
            <w:r w:rsidRPr="009E1D60">
              <w:rPr>
                <w:color w:val="auto"/>
              </w:rPr>
              <w:t>6.2  Supported Self-Management…………………………………………………………………………………………………….</w:t>
            </w:r>
            <w:r>
              <w:rPr>
                <w:color w:val="auto"/>
              </w:rPr>
              <w:t>.</w:t>
            </w:r>
            <w:r w:rsidRPr="009E1D60">
              <w:rPr>
                <w:color w:val="auto"/>
              </w:rPr>
              <w:t>10</w:t>
            </w:r>
          </w:p>
        </w:tc>
      </w:tr>
      <w:tr w:rsidR="009E1D60" w:rsidRPr="009E1D60" w14:paraId="5C802327" w14:textId="77777777" w:rsidTr="009E1D60">
        <w:trPr>
          <w:trHeight w:val="241"/>
        </w:trPr>
        <w:tc>
          <w:tcPr>
            <w:tcW w:w="9343" w:type="dxa"/>
          </w:tcPr>
          <w:p w14:paraId="3058DF6D" w14:textId="523363A4" w:rsidR="009E1D60" w:rsidRPr="009E1D60" w:rsidRDefault="009E1D60" w:rsidP="00806B2E">
            <w:pPr>
              <w:jc w:val="both"/>
              <w:rPr>
                <w:color w:val="auto"/>
              </w:rPr>
            </w:pPr>
            <w:r w:rsidRPr="009E1D60">
              <w:rPr>
                <w:color w:val="auto"/>
              </w:rPr>
              <w:t>6.3  Conservative Kidney Management and End-of-Life Care……………………………………………………………</w:t>
            </w:r>
            <w:r>
              <w:rPr>
                <w:color w:val="auto"/>
              </w:rPr>
              <w:t>.</w:t>
            </w:r>
            <w:r w:rsidRPr="009E1D60">
              <w:rPr>
                <w:color w:val="auto"/>
              </w:rPr>
              <w:t>10</w:t>
            </w:r>
          </w:p>
        </w:tc>
      </w:tr>
      <w:tr w:rsidR="009E1D60" w:rsidRPr="009E1D60" w14:paraId="0EE5B13B" w14:textId="77777777" w:rsidTr="009E1D60">
        <w:trPr>
          <w:trHeight w:val="255"/>
        </w:trPr>
        <w:tc>
          <w:tcPr>
            <w:tcW w:w="9343" w:type="dxa"/>
          </w:tcPr>
          <w:p w14:paraId="3AD16A3E" w14:textId="1882786D" w:rsidR="009E1D60" w:rsidRPr="009E1D60" w:rsidRDefault="009E1D60" w:rsidP="00806B2E">
            <w:pPr>
              <w:jc w:val="both"/>
              <w:rPr>
                <w:color w:val="auto"/>
              </w:rPr>
            </w:pPr>
            <w:r w:rsidRPr="009E1D60">
              <w:rPr>
                <w:color w:val="auto"/>
              </w:rPr>
              <w:t>6.4  Advance Care Planning………………………………………………………………………………………………………………</w:t>
            </w:r>
            <w:r>
              <w:rPr>
                <w:color w:val="auto"/>
              </w:rPr>
              <w:t>.</w:t>
            </w:r>
            <w:r w:rsidRPr="009E1D60">
              <w:rPr>
                <w:color w:val="auto"/>
              </w:rPr>
              <w:t>10</w:t>
            </w:r>
          </w:p>
        </w:tc>
      </w:tr>
      <w:tr w:rsidR="009E1D60" w:rsidRPr="009E1D60" w14:paraId="7A3BCF09" w14:textId="77777777" w:rsidTr="009E1D60">
        <w:trPr>
          <w:trHeight w:val="269"/>
        </w:trPr>
        <w:tc>
          <w:tcPr>
            <w:tcW w:w="9343" w:type="dxa"/>
          </w:tcPr>
          <w:p w14:paraId="1CCCDCB5" w14:textId="5E9DD4B1" w:rsidR="009E1D60" w:rsidRPr="009E1D60" w:rsidRDefault="009E1D60" w:rsidP="00806B2E">
            <w:pPr>
              <w:jc w:val="both"/>
              <w:rPr>
                <w:color w:val="auto"/>
              </w:rPr>
            </w:pPr>
            <w:r w:rsidRPr="009E1D60">
              <w:rPr>
                <w:b/>
                <w:bCs/>
                <w:color w:val="auto"/>
                <w:sz w:val="24"/>
                <w:szCs w:val="24"/>
              </w:rPr>
              <w:t>CONCLUSION</w:t>
            </w:r>
            <w:r w:rsidRPr="009E1D60">
              <w:rPr>
                <w:color w:val="auto"/>
              </w:rPr>
              <w:t>………………………………………………………………………………………………………………………………….</w:t>
            </w:r>
            <w:r w:rsidRPr="009E1D60">
              <w:rPr>
                <w:b/>
                <w:bCs/>
                <w:color w:val="auto"/>
              </w:rPr>
              <w:t>10</w:t>
            </w:r>
          </w:p>
        </w:tc>
      </w:tr>
      <w:tr w:rsidR="009E1D60" w:rsidRPr="009E1D60" w14:paraId="22FA8834" w14:textId="77777777" w:rsidTr="009E1D60">
        <w:trPr>
          <w:trHeight w:val="433"/>
        </w:trPr>
        <w:tc>
          <w:tcPr>
            <w:tcW w:w="9343" w:type="dxa"/>
          </w:tcPr>
          <w:p w14:paraId="638290D1" w14:textId="77777777" w:rsidR="009E1D60" w:rsidRPr="009E1D60" w:rsidRDefault="009E1D60" w:rsidP="00806B2E">
            <w:pPr>
              <w:pStyle w:val="Heading1"/>
              <w:pBdr>
                <w:bottom w:val="single" w:sz="8" w:space="31" w:color="2E7D8C"/>
              </w:pBdr>
              <w:spacing w:before="0"/>
              <w:jc w:val="both"/>
              <w:rPr>
                <w:color w:val="000000" w:themeColor="text1"/>
                <w:sz w:val="24"/>
                <w:szCs w:val="24"/>
              </w:rPr>
            </w:pPr>
            <w:r w:rsidRPr="009E1D60">
              <w:rPr>
                <w:color w:val="000000" w:themeColor="text1"/>
                <w:sz w:val="24"/>
                <w:szCs w:val="24"/>
              </w:rPr>
              <w:t>References</w:t>
            </w:r>
            <w:r w:rsidRPr="009E1D60">
              <w:rPr>
                <w:color w:val="000000" w:themeColor="text1"/>
                <w:sz w:val="24"/>
                <w:szCs w:val="24"/>
              </w:rPr>
              <w:t>…………………………………………………………………………………………………………………….11</w:t>
            </w:r>
          </w:p>
        </w:tc>
      </w:tr>
    </w:tbl>
    <w:p w14:paraId="218B5D30" w14:textId="495E01F1" w:rsidR="00591512" w:rsidRPr="00800053" w:rsidRDefault="00591512" w:rsidP="00472B7D">
      <w:pPr>
        <w:rPr>
          <w:b/>
          <w:bCs/>
          <w:color w:val="auto"/>
        </w:rPr>
      </w:pPr>
    </w:p>
    <w:p w14:paraId="176DDB03" w14:textId="77777777" w:rsidR="002B5BF9" w:rsidRDefault="002B5BF9" w:rsidP="002B5BF9"/>
    <w:p w14:paraId="42F0C2A8" w14:textId="77777777" w:rsidR="002B5BF9" w:rsidRDefault="002B5BF9" w:rsidP="002B5BF9"/>
    <w:p w14:paraId="45EDE034" w14:textId="77777777" w:rsidR="002B5BF9" w:rsidRDefault="002B5BF9" w:rsidP="002B5BF9"/>
    <w:p w14:paraId="4FD64107" w14:textId="77777777" w:rsidR="002B5BF9" w:rsidRDefault="002B5BF9" w:rsidP="002B5BF9"/>
    <w:p w14:paraId="4E213F47" w14:textId="77777777" w:rsidR="002B5BF9" w:rsidRDefault="002B5BF9" w:rsidP="002B5BF9"/>
    <w:p w14:paraId="15688C32" w14:textId="77777777" w:rsidR="002B5BF9" w:rsidRDefault="002B5BF9" w:rsidP="002B5BF9"/>
    <w:p w14:paraId="1300C048" w14:textId="77777777" w:rsidR="002B5BF9" w:rsidRDefault="002B5BF9" w:rsidP="002B5BF9"/>
    <w:p w14:paraId="773618E6" w14:textId="77777777" w:rsidR="002B5BF9" w:rsidRDefault="002B5BF9" w:rsidP="002B5BF9"/>
    <w:p w14:paraId="7FA04287" w14:textId="77777777" w:rsidR="002B5BF9" w:rsidRDefault="002B5BF9" w:rsidP="002B5BF9"/>
    <w:p w14:paraId="45D11051" w14:textId="77777777" w:rsidR="002B5BF9" w:rsidRDefault="002B5BF9" w:rsidP="002B5BF9"/>
    <w:p w14:paraId="409E9401" w14:textId="77777777" w:rsidR="002B5BF9" w:rsidRDefault="002B5BF9" w:rsidP="002B5BF9"/>
    <w:p w14:paraId="79BF491A" w14:textId="77777777" w:rsidR="002B5BF9" w:rsidRDefault="002B5BF9" w:rsidP="002B5BF9"/>
    <w:p w14:paraId="76CF0623" w14:textId="77777777" w:rsidR="00216BBB" w:rsidRDefault="00216BBB">
      <w:pPr>
        <w:pStyle w:val="Heading1"/>
        <w:pBdr>
          <w:bottom w:val="single" w:sz="8" w:space="6" w:color="2E7D8C"/>
        </w:pBdr>
        <w:sectPr w:rsidR="00216BBB">
          <w:headerReference w:type="default" r:id="rId10"/>
          <w:footerReference w:type="default" r:id="rId11"/>
          <w:pgSz w:w="11906" w:h="16838"/>
          <w:pgMar w:top="1440" w:right="1200" w:bottom="1440" w:left="1200" w:header="708" w:footer="708" w:gutter="0"/>
          <w:cols w:space="720"/>
          <w:docGrid w:linePitch="360"/>
        </w:sectPr>
      </w:pPr>
    </w:p>
    <w:p w14:paraId="55F867DF" w14:textId="77777777" w:rsidR="00216BBB" w:rsidRDefault="00216BBB" w:rsidP="00216BBB">
      <w:pPr>
        <w:pStyle w:val="Heading1"/>
      </w:pPr>
      <w:r>
        <w:lastRenderedPageBreak/>
        <w:t>Introduction</w:t>
      </w:r>
    </w:p>
    <w:p w14:paraId="35B5B47F" w14:textId="1CC38912" w:rsidR="00216BBB" w:rsidRDefault="00216BBB" w:rsidP="00216BBB">
      <w:pPr>
        <w:spacing w:after="200"/>
      </w:pPr>
      <w:r>
        <w:rPr>
          <w:i/>
          <w:iCs/>
          <w:color w:val="555555"/>
        </w:rPr>
        <w:t xml:space="preserve"> Why Chronic Kidney Disease Demands Urgent Community Attention</w:t>
      </w:r>
    </w:p>
    <w:p w14:paraId="16DA47DA" w14:textId="77777777" w:rsidR="00216BBB" w:rsidRDefault="00216BBB" w:rsidP="00216BBB">
      <w:pPr>
        <w:spacing w:after="200"/>
        <w:jc w:val="both"/>
      </w:pPr>
      <w:r>
        <w:t>Chronic kidney disease (CKD) is a serious and growing public health problem. The Kidney Disease Improving Global Outcomes (KDIGO) guidelines define CKD as changes in kidney structure or function that last more than three months and affect health. CKD is a long-term condition that usually cannot be reversed and has major physical, psychological, and social effects on patients and those who support them (KDIGO, 2024). In England, the Quality and Outcomes Framework (QOF) shows that about 1.85 million people with CKD stages 3 to 5 are in primary care, representing a 45% increase over the past 10 years (NHS Digital, 2023). Globally, the Global Burden of Disease (GBD) Study 2023 found 788 million adults living with CKD, more than double the 378 million in 1990. CKD is now the ninth leading cause of death worldwide (GBD Chronic Kidney Disease Collaboration, 2025). This booklet examines CKD in the context of community care and the management of long-term conditions. It explains what CKD is, how common it is, and its causes. It also covers the physical, psychological, and social impacts on patients and families; NHS evidence-based treatments; the UK House of Care framework and Wagner's Chronic Care Model; national and local policy; and concludes with recommendations for person-centred, self-management, and end-of-life care.</w:t>
      </w:r>
    </w:p>
    <w:p w14:paraId="4F033642" w14:textId="77777777" w:rsidR="00216BBB" w:rsidRPr="00216BBB" w:rsidRDefault="00216BBB" w:rsidP="00216BBB">
      <w:pPr>
        <w:pStyle w:val="Heading1"/>
        <w:rPr>
          <w:sz w:val="32"/>
          <w:szCs w:val="32"/>
        </w:rPr>
      </w:pPr>
      <w:r w:rsidRPr="00216BBB">
        <w:rPr>
          <w:sz w:val="32"/>
          <w:szCs w:val="32"/>
        </w:rPr>
        <w:t>Section 1: Definition, Burden and Aetiology of Chronic Kidney Disease</w:t>
      </w:r>
    </w:p>
    <w:p w14:paraId="4945676E" w14:textId="77777777" w:rsidR="00216BBB" w:rsidRDefault="00216BBB" w:rsidP="00216BBB">
      <w:pPr>
        <w:spacing w:after="200"/>
        <w:rPr>
          <w:i/>
          <w:iCs/>
          <w:color w:val="555555"/>
        </w:rPr>
      </w:pPr>
      <w:r>
        <w:rPr>
          <w:i/>
          <w:iCs/>
          <w:color w:val="555555"/>
        </w:rPr>
        <w:t>Understanding the Scale, Classification and Root Causes of CKD</w:t>
      </w:r>
    </w:p>
    <w:p w14:paraId="23046887" w14:textId="77777777" w:rsidR="00216BBB" w:rsidRDefault="00216BBB" w:rsidP="00216BBB">
      <w:pPr>
        <w:spacing w:after="200"/>
        <w:rPr>
          <w:i/>
          <w:iCs/>
          <w:color w:val="555555"/>
        </w:rPr>
      </w:pPr>
    </w:p>
    <w:p w14:paraId="35D2A232" w14:textId="77777777" w:rsidR="00216BBB" w:rsidRDefault="00216BBB" w:rsidP="00216BBB">
      <w:pPr>
        <w:spacing w:after="200"/>
        <w:rPr>
          <w:i/>
          <w:iCs/>
          <w:color w:val="555555"/>
        </w:rPr>
      </w:pPr>
    </w:p>
    <w:p w14:paraId="3606E02C" w14:textId="77777777" w:rsidR="00216BBB" w:rsidRDefault="00216BBB" w:rsidP="00216BBB">
      <w:pPr>
        <w:spacing w:after="200"/>
      </w:pPr>
    </w:p>
    <w:p w14:paraId="1CE62D78" w14:textId="77777777" w:rsidR="00CE4086" w:rsidRDefault="00CE4086" w:rsidP="00216BBB">
      <w:pPr>
        <w:spacing w:after="200"/>
      </w:pPr>
    </w:p>
    <w:tbl>
      <w:tblPr>
        <w:tblW w:w="4580" w:type="dxa"/>
        <w:tblBorders>
          <w:top w:val="single" w:sz="4" w:space="0" w:color="CCCCCC"/>
          <w:left w:val="single" w:sz="4" w:space="0" w:color="CCCCCC"/>
          <w:bottom w:val="single" w:sz="4" w:space="0" w:color="CCCCCC"/>
          <w:right w:val="single" w:sz="4" w:space="0" w:color="CCCCCC"/>
          <w:insideH w:val="single" w:sz="4" w:space="0" w:color="CCCCCC"/>
          <w:insideV w:val="single" w:sz="4" w:space="0" w:color="CCCCCC"/>
        </w:tblBorders>
        <w:tblCellMar>
          <w:left w:w="10" w:type="dxa"/>
          <w:right w:w="10" w:type="dxa"/>
        </w:tblCellMar>
        <w:tblLook w:val="04A0" w:firstRow="1" w:lastRow="0" w:firstColumn="1" w:lastColumn="0" w:noHBand="0" w:noVBand="1"/>
      </w:tblPr>
      <w:tblGrid>
        <w:gridCol w:w="1145"/>
        <w:gridCol w:w="1145"/>
        <w:gridCol w:w="1145"/>
        <w:gridCol w:w="1145"/>
      </w:tblGrid>
      <w:tr w:rsidR="00216BBB" w14:paraId="70FAD3EF" w14:textId="77777777" w:rsidTr="00216BBB">
        <w:tc>
          <w:tcPr>
            <w:tcW w:w="1145" w:type="dxa"/>
            <w:shd w:val="clear" w:color="auto" w:fill="1F4E5F"/>
            <w:tcMar>
              <w:top w:w="100" w:type="dxa"/>
              <w:left w:w="100" w:type="dxa"/>
              <w:bottom w:w="60" w:type="dxa"/>
              <w:right w:w="100" w:type="dxa"/>
            </w:tcMar>
            <w:vAlign w:val="center"/>
          </w:tcPr>
          <w:p w14:paraId="069DBE8E" w14:textId="77777777" w:rsidR="00216BBB" w:rsidRDefault="00216BBB" w:rsidP="00EA4CDF">
            <w:pPr>
              <w:jc w:val="center"/>
            </w:pPr>
            <w:r>
              <w:rPr>
                <w:b/>
                <w:bCs/>
                <w:color w:val="FFFFFF"/>
                <w:sz w:val="26"/>
                <w:szCs w:val="26"/>
              </w:rPr>
              <w:t>788M</w:t>
            </w:r>
          </w:p>
        </w:tc>
        <w:tc>
          <w:tcPr>
            <w:tcW w:w="1145" w:type="dxa"/>
            <w:shd w:val="clear" w:color="auto" w:fill="1F4E5F"/>
            <w:tcMar>
              <w:top w:w="100" w:type="dxa"/>
              <w:left w:w="100" w:type="dxa"/>
              <w:bottom w:w="60" w:type="dxa"/>
              <w:right w:w="100" w:type="dxa"/>
            </w:tcMar>
            <w:vAlign w:val="center"/>
          </w:tcPr>
          <w:p w14:paraId="6CA40E06" w14:textId="77777777" w:rsidR="00216BBB" w:rsidRDefault="00216BBB" w:rsidP="00EA4CDF">
            <w:pPr>
              <w:jc w:val="center"/>
            </w:pPr>
            <w:r>
              <w:rPr>
                <w:b/>
                <w:bCs/>
                <w:color w:val="FFFFFF"/>
                <w:sz w:val="26"/>
                <w:szCs w:val="26"/>
              </w:rPr>
              <w:t>1.85M</w:t>
            </w:r>
          </w:p>
        </w:tc>
        <w:tc>
          <w:tcPr>
            <w:tcW w:w="1145" w:type="dxa"/>
            <w:shd w:val="clear" w:color="auto" w:fill="1F4E5F"/>
            <w:tcMar>
              <w:top w:w="100" w:type="dxa"/>
              <w:left w:w="100" w:type="dxa"/>
              <w:bottom w:w="60" w:type="dxa"/>
              <w:right w:w="100" w:type="dxa"/>
            </w:tcMar>
            <w:vAlign w:val="center"/>
          </w:tcPr>
          <w:p w14:paraId="6CBADE1C" w14:textId="77777777" w:rsidR="00216BBB" w:rsidRDefault="00216BBB" w:rsidP="00EA4CDF">
            <w:pPr>
              <w:jc w:val="center"/>
            </w:pPr>
            <w:r>
              <w:rPr>
                <w:b/>
                <w:bCs/>
                <w:color w:val="FFFFFF"/>
                <w:sz w:val="26"/>
                <w:szCs w:val="26"/>
              </w:rPr>
              <w:t>1.5M</w:t>
            </w:r>
          </w:p>
        </w:tc>
        <w:tc>
          <w:tcPr>
            <w:tcW w:w="1145" w:type="dxa"/>
            <w:shd w:val="clear" w:color="auto" w:fill="1F4E5F"/>
            <w:tcMar>
              <w:top w:w="100" w:type="dxa"/>
              <w:left w:w="100" w:type="dxa"/>
              <w:bottom w:w="60" w:type="dxa"/>
              <w:right w:w="100" w:type="dxa"/>
            </w:tcMar>
            <w:vAlign w:val="center"/>
          </w:tcPr>
          <w:p w14:paraId="57E7C198" w14:textId="77777777" w:rsidR="00216BBB" w:rsidRDefault="00216BBB" w:rsidP="00EA4CDF">
            <w:pPr>
              <w:jc w:val="center"/>
            </w:pPr>
            <w:r>
              <w:rPr>
                <w:b/>
                <w:bCs/>
                <w:color w:val="FFFFFF"/>
                <w:sz w:val="26"/>
                <w:szCs w:val="26"/>
              </w:rPr>
              <w:t>£6.4bn</w:t>
            </w:r>
          </w:p>
        </w:tc>
      </w:tr>
      <w:tr w:rsidR="00216BBB" w14:paraId="317FDDFB" w14:textId="77777777" w:rsidTr="00216BBB">
        <w:tc>
          <w:tcPr>
            <w:tcW w:w="1145" w:type="dxa"/>
            <w:shd w:val="clear" w:color="auto" w:fill="EAF1F4"/>
            <w:tcMar>
              <w:top w:w="60" w:type="dxa"/>
              <w:left w:w="100" w:type="dxa"/>
              <w:bottom w:w="20" w:type="dxa"/>
              <w:right w:w="100" w:type="dxa"/>
            </w:tcMar>
          </w:tcPr>
          <w:p w14:paraId="61A1715B" w14:textId="77777777" w:rsidR="00216BBB" w:rsidRDefault="00216BBB" w:rsidP="00EA4CDF">
            <w:pPr>
              <w:jc w:val="center"/>
            </w:pPr>
            <w:r>
              <w:rPr>
                <w:sz w:val="18"/>
                <w:szCs w:val="18"/>
              </w:rPr>
              <w:t>Adults with CKD globally (2023)</w:t>
            </w:r>
          </w:p>
        </w:tc>
        <w:tc>
          <w:tcPr>
            <w:tcW w:w="1145" w:type="dxa"/>
            <w:shd w:val="clear" w:color="auto" w:fill="EAF1F4"/>
            <w:tcMar>
              <w:top w:w="60" w:type="dxa"/>
              <w:left w:w="100" w:type="dxa"/>
              <w:bottom w:w="20" w:type="dxa"/>
              <w:right w:w="100" w:type="dxa"/>
            </w:tcMar>
          </w:tcPr>
          <w:p w14:paraId="0986A1E1" w14:textId="77777777" w:rsidR="00216BBB" w:rsidRDefault="00216BBB" w:rsidP="00EA4CDF">
            <w:pPr>
              <w:jc w:val="center"/>
            </w:pPr>
            <w:r>
              <w:rPr>
                <w:sz w:val="18"/>
                <w:szCs w:val="18"/>
              </w:rPr>
              <w:t>UK patients on CKD register</w:t>
            </w:r>
          </w:p>
        </w:tc>
        <w:tc>
          <w:tcPr>
            <w:tcW w:w="1145" w:type="dxa"/>
            <w:shd w:val="clear" w:color="auto" w:fill="EAF1F4"/>
            <w:tcMar>
              <w:top w:w="60" w:type="dxa"/>
              <w:left w:w="100" w:type="dxa"/>
              <w:bottom w:w="20" w:type="dxa"/>
              <w:right w:w="100" w:type="dxa"/>
            </w:tcMar>
          </w:tcPr>
          <w:p w14:paraId="0CFCE4D8" w14:textId="77777777" w:rsidR="00216BBB" w:rsidRDefault="00216BBB" w:rsidP="00EA4CDF">
            <w:pPr>
              <w:jc w:val="center"/>
            </w:pPr>
            <w:r>
              <w:rPr>
                <w:sz w:val="18"/>
                <w:szCs w:val="18"/>
              </w:rPr>
              <w:t>Deaths per year (1 every 20 sec)</w:t>
            </w:r>
          </w:p>
        </w:tc>
        <w:tc>
          <w:tcPr>
            <w:tcW w:w="1145" w:type="dxa"/>
            <w:shd w:val="clear" w:color="auto" w:fill="EAF1F4"/>
            <w:tcMar>
              <w:top w:w="60" w:type="dxa"/>
              <w:left w:w="100" w:type="dxa"/>
              <w:bottom w:w="20" w:type="dxa"/>
              <w:right w:w="100" w:type="dxa"/>
            </w:tcMar>
          </w:tcPr>
          <w:p w14:paraId="5CE3FD78" w14:textId="77777777" w:rsidR="00216BBB" w:rsidRDefault="00216BBB" w:rsidP="00EA4CDF">
            <w:pPr>
              <w:jc w:val="center"/>
            </w:pPr>
            <w:r>
              <w:rPr>
                <w:sz w:val="18"/>
                <w:szCs w:val="18"/>
              </w:rPr>
              <w:t>Annual NHS cost — rising to £10.9bn</w:t>
            </w:r>
          </w:p>
        </w:tc>
      </w:tr>
      <w:tr w:rsidR="00216BBB" w14:paraId="2F16CD61" w14:textId="77777777" w:rsidTr="00216BBB">
        <w:trPr>
          <w:trHeight w:val="590"/>
        </w:trPr>
        <w:tc>
          <w:tcPr>
            <w:tcW w:w="1145" w:type="dxa"/>
            <w:shd w:val="clear" w:color="auto" w:fill="EAF1F4"/>
            <w:tcMar>
              <w:top w:w="20" w:type="dxa"/>
              <w:left w:w="100" w:type="dxa"/>
              <w:bottom w:w="100" w:type="dxa"/>
              <w:right w:w="100" w:type="dxa"/>
            </w:tcMar>
          </w:tcPr>
          <w:p w14:paraId="1173A38E" w14:textId="77777777" w:rsidR="00216BBB" w:rsidRDefault="00216BBB" w:rsidP="00EA4CDF">
            <w:pPr>
              <w:jc w:val="center"/>
            </w:pPr>
            <w:r>
              <w:rPr>
                <w:i/>
                <w:iCs/>
                <w:color w:val="555555"/>
                <w:sz w:val="16"/>
                <w:szCs w:val="16"/>
              </w:rPr>
              <w:t>GBD Study 2023, The Lancet</w:t>
            </w:r>
          </w:p>
        </w:tc>
        <w:tc>
          <w:tcPr>
            <w:tcW w:w="1145" w:type="dxa"/>
            <w:shd w:val="clear" w:color="auto" w:fill="EAF1F4"/>
            <w:tcMar>
              <w:top w:w="20" w:type="dxa"/>
              <w:left w:w="100" w:type="dxa"/>
              <w:bottom w:w="100" w:type="dxa"/>
              <w:right w:w="100" w:type="dxa"/>
            </w:tcMar>
          </w:tcPr>
          <w:p w14:paraId="1C5628FF" w14:textId="77777777" w:rsidR="00216BBB" w:rsidRDefault="00216BBB" w:rsidP="00EA4CDF">
            <w:pPr>
              <w:jc w:val="center"/>
            </w:pPr>
            <w:r>
              <w:rPr>
                <w:i/>
                <w:iCs/>
                <w:color w:val="555555"/>
                <w:sz w:val="16"/>
                <w:szCs w:val="16"/>
              </w:rPr>
              <w:t>NHS QOF 2023–24</w:t>
            </w:r>
          </w:p>
        </w:tc>
        <w:tc>
          <w:tcPr>
            <w:tcW w:w="1145" w:type="dxa"/>
            <w:shd w:val="clear" w:color="auto" w:fill="EAF1F4"/>
            <w:tcMar>
              <w:top w:w="20" w:type="dxa"/>
              <w:left w:w="100" w:type="dxa"/>
              <w:bottom w:w="100" w:type="dxa"/>
              <w:right w:w="100" w:type="dxa"/>
            </w:tcMar>
          </w:tcPr>
          <w:p w14:paraId="306F9122" w14:textId="77777777" w:rsidR="00216BBB" w:rsidRDefault="00216BBB" w:rsidP="00EA4CDF">
            <w:pPr>
              <w:jc w:val="center"/>
            </w:pPr>
            <w:r>
              <w:rPr>
                <w:i/>
                <w:iCs/>
                <w:color w:val="555555"/>
                <w:sz w:val="16"/>
                <w:szCs w:val="16"/>
              </w:rPr>
              <w:t>Jager et al., 2026</w:t>
            </w:r>
          </w:p>
        </w:tc>
        <w:tc>
          <w:tcPr>
            <w:tcW w:w="1145" w:type="dxa"/>
            <w:shd w:val="clear" w:color="auto" w:fill="EAF1F4"/>
            <w:tcMar>
              <w:top w:w="20" w:type="dxa"/>
              <w:left w:w="100" w:type="dxa"/>
              <w:bottom w:w="100" w:type="dxa"/>
              <w:right w:w="100" w:type="dxa"/>
            </w:tcMar>
          </w:tcPr>
          <w:p w14:paraId="431F9EAB" w14:textId="77777777" w:rsidR="00216BBB" w:rsidRDefault="00216BBB" w:rsidP="00EA4CDF">
            <w:pPr>
              <w:jc w:val="center"/>
            </w:pPr>
            <w:r>
              <w:rPr>
                <w:i/>
                <w:iCs/>
                <w:color w:val="555555"/>
                <w:sz w:val="16"/>
                <w:szCs w:val="16"/>
              </w:rPr>
              <w:t>Kidney Care UK, 2025</w:t>
            </w:r>
          </w:p>
        </w:tc>
      </w:tr>
    </w:tbl>
    <w:p w14:paraId="18D1D21D" w14:textId="77777777" w:rsidR="00216BBB" w:rsidRDefault="00216BBB" w:rsidP="00216BBB">
      <w:pPr>
        <w:spacing w:after="100"/>
      </w:pPr>
    </w:p>
    <w:p w14:paraId="44766E23" w14:textId="77777777" w:rsidR="00216BBB" w:rsidRDefault="00216BBB" w:rsidP="00216BBB">
      <w:pPr>
        <w:pStyle w:val="Heading2"/>
        <w:spacing w:before="300"/>
      </w:pPr>
      <w:r>
        <w:t>1.1  Classification and Definition</w:t>
      </w:r>
    </w:p>
    <w:p w14:paraId="0E6C191F" w14:textId="77777777" w:rsidR="00216BBB" w:rsidRDefault="00216BBB" w:rsidP="00216BBB">
      <w:pPr>
        <w:spacing w:after="200"/>
        <w:jc w:val="both"/>
      </w:pPr>
      <w:r>
        <w:t>CKD is classified by KDIGO (2024) into five stages (G1–G5) based on estimated glomerular filtration rate (eGFR) and three albuminuria categories (A1–A3). Stage three, characterised by an eGFR of 30–59 ml/min/1.73m², accounts for the majority of the registered population in England and is the principal focus of community management, while stage five, or kidney failure (eGFR below 15 ml/min/1.73m²), typically requires renal replacement therapy (NICE, 2021). Critically, CKD is often asymptomatic in early stages, a factor that contributes substantially to an estimated one million undiagnosed cases in England alone (Sinha et al., 2024).</w:t>
      </w:r>
    </w:p>
    <w:p w14:paraId="640C7D05" w14:textId="77777777" w:rsidR="00216BBB" w:rsidRDefault="00216BBB" w:rsidP="00216BBB">
      <w:pPr>
        <w:pStyle w:val="Heading2"/>
        <w:spacing w:before="300"/>
      </w:pPr>
      <w:r>
        <w:t>1.2  Global and UK Burden</w:t>
      </w:r>
    </w:p>
    <w:p w14:paraId="4E2522F3" w14:textId="77777777" w:rsidR="00216BBB" w:rsidRDefault="00216BBB" w:rsidP="00216BBB">
      <w:pPr>
        <w:spacing w:after="200"/>
        <w:jc w:val="both"/>
      </w:pPr>
      <w:r>
        <w:t xml:space="preserve">CKD has a major and growing impact worldwide. The GBD 2023 analysis, which covered 204 countries and territories from 1990 to 2023, found that 788 million adults have CKD. This is more than double the 1990 figure of 378 million, and the global age-standardised prevalence is now 14.2% (GBD Chronic Kidney Disease Collaboration, 2025). New estimates show there are 1.5 million deaths from CKD each year, or one every twenty seconds, and predict CKD will become the third leading cause of death in Western Europe by 2050 (Jager et al., 2026). CKD also causes 11.5% of all cardiovascular deaths worldwide, showing its strong link to heart disease (GBD Chronic Kidney Disease Collaboration, 2025). It is estimated that CKD stages one to five affect about 7.2 million people. However, the Quality and Outcomes Framework (QOF) records 1.85 million patients with stages three to five, which suggests that many cases are not recorded in primary care (Health Innovation East Midlands, 2024; NHS Digital, 2023). The OxRen cohort study found that 44% of people </w:t>
      </w:r>
      <w:r>
        <w:lastRenderedPageBreak/>
        <w:t>with CKD had not been formally diagnosed, showing that community identification still needs improvement (Hirst et al., 2020). A 2025 economic review showed that CKD costs the NHS about £6.4 billion each year, and this could rise to £10.9 billion by 2033 without major changes. In-centre haemodialysis costs about £32,259 per patient per year (Agathangelou et al., 2025). Health inequalities are a serious problem: Black, Asian, and minority ethnic groups are five times more likely to develop CKD than white people, mainly because of higher rates of diabetes and high blood pressure, as well as barriers to healthcare access (Kidney Care UK, 2023).</w:t>
      </w:r>
    </w:p>
    <w:p w14:paraId="01BAA0F8" w14:textId="77777777" w:rsidR="00216BBB" w:rsidRDefault="00216BBB" w:rsidP="00216BBB">
      <w:pPr>
        <w:pStyle w:val="Heading2"/>
        <w:spacing w:before="300"/>
      </w:pPr>
      <w:r>
        <w:t>1.3  Aetiology and Risk Factors</w:t>
      </w:r>
    </w:p>
    <w:p w14:paraId="6FBDF1A7" w14:textId="77777777" w:rsidR="00216BBB" w:rsidRDefault="00216BBB" w:rsidP="00216BBB">
      <w:pPr>
        <w:spacing w:after="200"/>
        <w:jc w:val="both"/>
      </w:pPr>
      <w:r>
        <w:t>The aetiology of CKD is multifactorial. Diabetes mellitus is the leading cause, responsible for approximately 30–40% of cases, with around 40% of people with diabetes ultimately developing diabetic nephropathy (Kidney Care UK, 2023). Hypertension is the second most common cause, producing glomerulosclerosis through sustained intraglomerular pressure. Further causes include glomerulonephritis, polycystic kidney disease, obstructive uropathy and recurrent urinary tract infections. GBD 2023 identified high fasting plasma glucose, elevated body mass index and raised systolic blood pressure as the three leading modifiable risk factors, reinforcing the primacy of metabolic and cardiovascular risk factor management in both prevention and community-based CKD care (GBD Chronic Kidney Disease Collaboration, 2025).</w:t>
      </w:r>
    </w:p>
    <w:p w14:paraId="64EC9046" w14:textId="77777777" w:rsidR="00216BBB" w:rsidRDefault="00216BBB" w:rsidP="00216BBB">
      <w:pPr>
        <w:pStyle w:val="Heading1"/>
      </w:pPr>
      <w:r>
        <w:t>Section 2: Impact on Individuals, Families and Society</w:t>
      </w:r>
    </w:p>
    <w:p w14:paraId="4447877D" w14:textId="456B06CC" w:rsidR="00216BBB" w:rsidRDefault="00216BBB" w:rsidP="00216BBB">
      <w:pPr>
        <w:spacing w:after="200"/>
        <w:rPr>
          <w:i/>
          <w:iCs/>
          <w:color w:val="555555"/>
        </w:rPr>
      </w:pPr>
      <w:r>
        <w:rPr>
          <w:i/>
          <w:iCs/>
          <w:color w:val="555555"/>
        </w:rPr>
        <w:t>A Critical Evaluation of the Physical, Psychological and Social Burden of CKD</w:t>
      </w:r>
    </w:p>
    <w:p w14:paraId="46CEAF61" w14:textId="77777777" w:rsidR="00CE4086" w:rsidRDefault="00CE4086" w:rsidP="00216BBB">
      <w:pPr>
        <w:spacing w:after="200"/>
        <w:rPr>
          <w:i/>
          <w:iCs/>
          <w:color w:val="555555"/>
        </w:rPr>
      </w:pPr>
    </w:p>
    <w:p w14:paraId="4340C52F" w14:textId="77777777" w:rsidR="00CE4086" w:rsidRDefault="00CE4086" w:rsidP="00216BBB">
      <w:pPr>
        <w:spacing w:after="200"/>
        <w:rPr>
          <w:i/>
          <w:iCs/>
          <w:color w:val="555555"/>
        </w:rPr>
      </w:pPr>
    </w:p>
    <w:p w14:paraId="7C79DE1D" w14:textId="77777777" w:rsidR="00CE4086" w:rsidRPr="00CE4086" w:rsidRDefault="00CE4086" w:rsidP="00216BBB">
      <w:pPr>
        <w:spacing w:after="200"/>
        <w:rPr>
          <w:i/>
          <w:iCs/>
          <w:color w:val="555555"/>
        </w:rPr>
      </w:pPr>
    </w:p>
    <w:tbl>
      <w:tblPr>
        <w:tblW w:w="4708" w:type="dxa"/>
        <w:tblBorders>
          <w:top w:val="single" w:sz="4" w:space="0" w:color="CCCCCC"/>
          <w:left w:val="single" w:sz="4" w:space="0" w:color="CCCCCC"/>
          <w:bottom w:val="single" w:sz="4" w:space="0" w:color="CCCCCC"/>
          <w:right w:val="single" w:sz="4" w:space="0" w:color="CCCCCC"/>
          <w:insideH w:val="single" w:sz="4" w:space="0" w:color="CCCCCC"/>
          <w:insideV w:val="single" w:sz="4" w:space="0" w:color="CCCCCC"/>
        </w:tblBorders>
        <w:tblCellMar>
          <w:left w:w="10" w:type="dxa"/>
          <w:right w:w="10" w:type="dxa"/>
        </w:tblCellMar>
        <w:tblLook w:val="04A0" w:firstRow="1" w:lastRow="0" w:firstColumn="1" w:lastColumn="0" w:noHBand="0" w:noVBand="1"/>
      </w:tblPr>
      <w:tblGrid>
        <w:gridCol w:w="1177"/>
        <w:gridCol w:w="1177"/>
        <w:gridCol w:w="1177"/>
        <w:gridCol w:w="1177"/>
      </w:tblGrid>
      <w:tr w:rsidR="00216BBB" w14:paraId="04ABDDE4" w14:textId="77777777" w:rsidTr="00216BBB">
        <w:trPr>
          <w:trHeight w:val="382"/>
        </w:trPr>
        <w:tc>
          <w:tcPr>
            <w:tcW w:w="1177" w:type="dxa"/>
            <w:shd w:val="clear" w:color="auto" w:fill="1F4E5F"/>
            <w:tcMar>
              <w:top w:w="100" w:type="dxa"/>
              <w:left w:w="100" w:type="dxa"/>
              <w:bottom w:w="60" w:type="dxa"/>
              <w:right w:w="100" w:type="dxa"/>
            </w:tcMar>
            <w:vAlign w:val="center"/>
          </w:tcPr>
          <w:p w14:paraId="415FE782" w14:textId="77777777" w:rsidR="00216BBB" w:rsidRDefault="00216BBB" w:rsidP="00EA4CDF">
            <w:pPr>
              <w:jc w:val="center"/>
            </w:pPr>
            <w:r>
              <w:rPr>
                <w:b/>
                <w:bCs/>
                <w:color w:val="FFFFFF"/>
                <w:sz w:val="26"/>
                <w:szCs w:val="26"/>
              </w:rPr>
              <w:t>20–88.8%</w:t>
            </w:r>
          </w:p>
        </w:tc>
        <w:tc>
          <w:tcPr>
            <w:tcW w:w="1177" w:type="dxa"/>
            <w:shd w:val="clear" w:color="auto" w:fill="1F4E5F"/>
            <w:tcMar>
              <w:top w:w="100" w:type="dxa"/>
              <w:left w:w="100" w:type="dxa"/>
              <w:bottom w:w="60" w:type="dxa"/>
              <w:right w:w="100" w:type="dxa"/>
            </w:tcMar>
            <w:vAlign w:val="center"/>
          </w:tcPr>
          <w:p w14:paraId="174149A9" w14:textId="77777777" w:rsidR="00216BBB" w:rsidRDefault="00216BBB" w:rsidP="00EA4CDF">
            <w:pPr>
              <w:jc w:val="center"/>
            </w:pPr>
            <w:r>
              <w:rPr>
                <w:b/>
                <w:bCs/>
                <w:color w:val="FFFFFF"/>
                <w:sz w:val="26"/>
                <w:szCs w:val="26"/>
              </w:rPr>
              <w:t>&gt;30%</w:t>
            </w:r>
          </w:p>
        </w:tc>
        <w:tc>
          <w:tcPr>
            <w:tcW w:w="1177" w:type="dxa"/>
            <w:shd w:val="clear" w:color="auto" w:fill="1F4E5F"/>
            <w:tcMar>
              <w:top w:w="100" w:type="dxa"/>
              <w:left w:w="100" w:type="dxa"/>
              <w:bottom w:w="60" w:type="dxa"/>
              <w:right w:w="100" w:type="dxa"/>
            </w:tcMar>
            <w:vAlign w:val="center"/>
          </w:tcPr>
          <w:p w14:paraId="3EB38D4B" w14:textId="77777777" w:rsidR="00216BBB" w:rsidRDefault="00216BBB" w:rsidP="00EA4CDF">
            <w:pPr>
              <w:jc w:val="center"/>
            </w:pPr>
            <w:r>
              <w:rPr>
                <w:b/>
                <w:bCs/>
                <w:color w:val="FFFFFF"/>
                <w:sz w:val="26"/>
                <w:szCs w:val="26"/>
              </w:rPr>
              <w:t>9 hrs/wk</w:t>
            </w:r>
          </w:p>
        </w:tc>
        <w:tc>
          <w:tcPr>
            <w:tcW w:w="1177" w:type="dxa"/>
            <w:shd w:val="clear" w:color="auto" w:fill="1F4E5F"/>
            <w:tcMar>
              <w:top w:w="100" w:type="dxa"/>
              <w:left w:w="100" w:type="dxa"/>
              <w:bottom w:w="60" w:type="dxa"/>
              <w:right w:w="100" w:type="dxa"/>
            </w:tcMar>
            <w:vAlign w:val="center"/>
          </w:tcPr>
          <w:p w14:paraId="0940593B" w14:textId="77777777" w:rsidR="00216BBB" w:rsidRDefault="00216BBB" w:rsidP="00EA4CDF">
            <w:pPr>
              <w:jc w:val="center"/>
            </w:pPr>
            <w:r>
              <w:rPr>
                <w:b/>
                <w:bCs/>
                <w:color w:val="FFFFFF"/>
                <w:sz w:val="26"/>
                <w:szCs w:val="26"/>
              </w:rPr>
              <w:t>11.5%</w:t>
            </w:r>
          </w:p>
        </w:tc>
      </w:tr>
      <w:tr w:rsidR="00216BBB" w14:paraId="1F7E4D3D" w14:textId="77777777" w:rsidTr="00216BBB">
        <w:trPr>
          <w:trHeight w:val="545"/>
        </w:trPr>
        <w:tc>
          <w:tcPr>
            <w:tcW w:w="1177" w:type="dxa"/>
            <w:shd w:val="clear" w:color="auto" w:fill="EAF1F4"/>
            <w:tcMar>
              <w:top w:w="60" w:type="dxa"/>
              <w:left w:w="100" w:type="dxa"/>
              <w:bottom w:w="20" w:type="dxa"/>
              <w:right w:w="100" w:type="dxa"/>
            </w:tcMar>
          </w:tcPr>
          <w:p w14:paraId="506C22CF" w14:textId="77777777" w:rsidR="00216BBB" w:rsidRDefault="00216BBB" w:rsidP="00EA4CDF">
            <w:pPr>
              <w:jc w:val="center"/>
            </w:pPr>
            <w:r>
              <w:rPr>
                <w:sz w:val="18"/>
                <w:szCs w:val="18"/>
              </w:rPr>
              <w:t>Depression prevalence across CKD stages</w:t>
            </w:r>
          </w:p>
        </w:tc>
        <w:tc>
          <w:tcPr>
            <w:tcW w:w="1177" w:type="dxa"/>
            <w:shd w:val="clear" w:color="auto" w:fill="EAF1F4"/>
            <w:tcMar>
              <w:top w:w="60" w:type="dxa"/>
              <w:left w:w="100" w:type="dxa"/>
              <w:bottom w:w="20" w:type="dxa"/>
              <w:right w:w="100" w:type="dxa"/>
            </w:tcMar>
          </w:tcPr>
          <w:p w14:paraId="5F8034C4" w14:textId="77777777" w:rsidR="00216BBB" w:rsidRDefault="00216BBB" w:rsidP="00EA4CDF">
            <w:pPr>
              <w:jc w:val="center"/>
            </w:pPr>
            <w:r>
              <w:rPr>
                <w:sz w:val="18"/>
                <w:szCs w:val="18"/>
              </w:rPr>
              <w:t>UK kidney centres lacking psych. support</w:t>
            </w:r>
          </w:p>
        </w:tc>
        <w:tc>
          <w:tcPr>
            <w:tcW w:w="1177" w:type="dxa"/>
            <w:shd w:val="clear" w:color="auto" w:fill="EAF1F4"/>
            <w:tcMar>
              <w:top w:w="60" w:type="dxa"/>
              <w:left w:w="100" w:type="dxa"/>
              <w:bottom w:w="20" w:type="dxa"/>
              <w:right w:w="100" w:type="dxa"/>
            </w:tcMar>
          </w:tcPr>
          <w:p w14:paraId="54752DAD" w14:textId="77777777" w:rsidR="00216BBB" w:rsidRDefault="00216BBB" w:rsidP="00EA4CDF">
            <w:pPr>
              <w:jc w:val="center"/>
            </w:pPr>
            <w:r>
              <w:rPr>
                <w:sz w:val="18"/>
                <w:szCs w:val="18"/>
              </w:rPr>
              <w:t>Average carer time for dialysis patients</w:t>
            </w:r>
          </w:p>
        </w:tc>
        <w:tc>
          <w:tcPr>
            <w:tcW w:w="1177" w:type="dxa"/>
            <w:shd w:val="clear" w:color="auto" w:fill="EAF1F4"/>
            <w:tcMar>
              <w:top w:w="60" w:type="dxa"/>
              <w:left w:w="100" w:type="dxa"/>
              <w:bottom w:w="20" w:type="dxa"/>
              <w:right w:w="100" w:type="dxa"/>
            </w:tcMar>
          </w:tcPr>
          <w:p w14:paraId="2E6623F6" w14:textId="77777777" w:rsidR="00216BBB" w:rsidRDefault="00216BBB" w:rsidP="00EA4CDF">
            <w:pPr>
              <w:jc w:val="center"/>
            </w:pPr>
            <w:r>
              <w:rPr>
                <w:sz w:val="18"/>
                <w:szCs w:val="18"/>
              </w:rPr>
              <w:t>CVD deaths globally linked to CKD</w:t>
            </w:r>
          </w:p>
        </w:tc>
      </w:tr>
      <w:tr w:rsidR="00216BBB" w14:paraId="4B99E93D" w14:textId="77777777" w:rsidTr="00216BBB">
        <w:trPr>
          <w:trHeight w:val="236"/>
        </w:trPr>
        <w:tc>
          <w:tcPr>
            <w:tcW w:w="1177" w:type="dxa"/>
            <w:shd w:val="clear" w:color="auto" w:fill="EAF1F4"/>
            <w:tcMar>
              <w:top w:w="20" w:type="dxa"/>
              <w:left w:w="100" w:type="dxa"/>
              <w:bottom w:w="100" w:type="dxa"/>
              <w:right w:w="100" w:type="dxa"/>
            </w:tcMar>
          </w:tcPr>
          <w:p w14:paraId="4B65F1D4" w14:textId="77777777" w:rsidR="00216BBB" w:rsidRDefault="00216BBB" w:rsidP="00EA4CDF">
            <w:pPr>
              <w:jc w:val="center"/>
            </w:pPr>
            <w:r>
              <w:rPr>
                <w:i/>
                <w:iCs/>
                <w:color w:val="555555"/>
                <w:sz w:val="16"/>
                <w:szCs w:val="16"/>
              </w:rPr>
              <w:t>Al-Omari et al., 2025</w:t>
            </w:r>
          </w:p>
        </w:tc>
        <w:tc>
          <w:tcPr>
            <w:tcW w:w="1177" w:type="dxa"/>
            <w:shd w:val="clear" w:color="auto" w:fill="EAF1F4"/>
            <w:tcMar>
              <w:top w:w="20" w:type="dxa"/>
              <w:left w:w="100" w:type="dxa"/>
              <w:bottom w:w="100" w:type="dxa"/>
              <w:right w:w="100" w:type="dxa"/>
            </w:tcMar>
          </w:tcPr>
          <w:p w14:paraId="20FB3599" w14:textId="77777777" w:rsidR="00216BBB" w:rsidRDefault="00216BBB" w:rsidP="00EA4CDF">
            <w:pPr>
              <w:jc w:val="center"/>
            </w:pPr>
            <w:r>
              <w:rPr>
                <w:i/>
                <w:iCs/>
                <w:color w:val="555555"/>
                <w:sz w:val="16"/>
                <w:szCs w:val="16"/>
              </w:rPr>
              <w:t>Kidney Research UK, 2024</w:t>
            </w:r>
          </w:p>
        </w:tc>
        <w:tc>
          <w:tcPr>
            <w:tcW w:w="1177" w:type="dxa"/>
            <w:shd w:val="clear" w:color="auto" w:fill="EAF1F4"/>
            <w:tcMar>
              <w:top w:w="20" w:type="dxa"/>
              <w:left w:w="100" w:type="dxa"/>
              <w:bottom w:w="100" w:type="dxa"/>
              <w:right w:w="100" w:type="dxa"/>
            </w:tcMar>
          </w:tcPr>
          <w:p w14:paraId="6043F16B" w14:textId="77777777" w:rsidR="00216BBB" w:rsidRDefault="00216BBB" w:rsidP="00EA4CDF">
            <w:pPr>
              <w:jc w:val="center"/>
            </w:pPr>
            <w:r>
              <w:rPr>
                <w:i/>
                <w:iCs/>
                <w:color w:val="555555"/>
                <w:sz w:val="16"/>
                <w:szCs w:val="16"/>
              </w:rPr>
              <w:t>Kidney Research UK, 2023</w:t>
            </w:r>
          </w:p>
        </w:tc>
        <w:tc>
          <w:tcPr>
            <w:tcW w:w="1177" w:type="dxa"/>
            <w:shd w:val="clear" w:color="auto" w:fill="EAF1F4"/>
            <w:tcMar>
              <w:top w:w="20" w:type="dxa"/>
              <w:left w:w="100" w:type="dxa"/>
              <w:bottom w:w="100" w:type="dxa"/>
              <w:right w:w="100" w:type="dxa"/>
            </w:tcMar>
          </w:tcPr>
          <w:p w14:paraId="2991709C" w14:textId="77777777" w:rsidR="00216BBB" w:rsidRDefault="00216BBB" w:rsidP="00EA4CDF">
            <w:pPr>
              <w:jc w:val="center"/>
            </w:pPr>
            <w:r>
              <w:rPr>
                <w:i/>
                <w:iCs/>
                <w:color w:val="555555"/>
                <w:sz w:val="16"/>
                <w:szCs w:val="16"/>
              </w:rPr>
              <w:t>GBD Study 2023</w:t>
            </w:r>
          </w:p>
        </w:tc>
      </w:tr>
    </w:tbl>
    <w:p w14:paraId="6A959775" w14:textId="77777777" w:rsidR="00216BBB" w:rsidRDefault="00216BBB" w:rsidP="00216BBB">
      <w:pPr>
        <w:spacing w:after="100"/>
      </w:pPr>
    </w:p>
    <w:p w14:paraId="07E05C97" w14:textId="77777777" w:rsidR="00216BBB" w:rsidRDefault="00216BBB" w:rsidP="00216BBB">
      <w:pPr>
        <w:pStyle w:val="Heading2"/>
        <w:spacing w:before="300"/>
      </w:pPr>
      <w:r>
        <w:t>2.1  Physical Impact</w:t>
      </w:r>
    </w:p>
    <w:p w14:paraId="454CD4B6" w14:textId="77777777" w:rsidR="00216BBB" w:rsidRDefault="00216BBB" w:rsidP="00216BBB">
      <w:pPr>
        <w:pStyle w:val="Heading3"/>
      </w:pPr>
      <w:r>
        <w:t>Progressive Physiological Deterioration Across All Body Systems</w:t>
      </w:r>
    </w:p>
    <w:p w14:paraId="2F892B60" w14:textId="77777777" w:rsidR="00216BBB" w:rsidRDefault="00216BBB" w:rsidP="00216BBB">
      <w:pPr>
        <w:spacing w:after="200"/>
        <w:jc w:val="both"/>
      </w:pPr>
      <w:r>
        <w:t>CKD leads to many physical problems that get worse over time. In the early stages, most people do not notice symptoms, but as kidney function declines, waste builds up in the body, causing fatigue, nausea, itching, swelling, and shortness of breath. Anaemia, which happens when the kidneys make less erythropoietin, can make it hard to exercise or think clearly. Problems with minerals and bones, due to poor phosphate control, can raise parathyroid hormone levels, cause bone disease, and increase the risk of fractures (NICE, 2021). Heart problems are especially serious for people with CKD and are the main cause of death in this group. CKD speeds up the hardening of the arteries, thickens the heart, and greatly increases the risk of heart attack, stroke, and death from heart disease. It causes 11.5% of all deaths from cardiovascular disease worldwide (GBD Chronic Kidney Disease Collaboration, 2025). These physical problems often make each other worse, so care should be well coordinated between kidney and heart specialists.</w:t>
      </w:r>
    </w:p>
    <w:p w14:paraId="3C51D2DF" w14:textId="77777777" w:rsidR="00216BBB" w:rsidRDefault="00216BBB" w:rsidP="00216BBB">
      <w:pPr>
        <w:pStyle w:val="Heading2"/>
        <w:spacing w:before="300"/>
      </w:pPr>
      <w:r>
        <w:t>2.2  Psychological Impact</w:t>
      </w:r>
    </w:p>
    <w:p w14:paraId="2A139C6A" w14:textId="77777777" w:rsidR="00216BBB" w:rsidRDefault="00216BBB" w:rsidP="00216BBB">
      <w:pPr>
        <w:pStyle w:val="Heading3"/>
      </w:pPr>
      <w:r>
        <w:t>The Hidden Burden: Depression, Anxiety and Emotional Adjustment in CKD</w:t>
      </w:r>
    </w:p>
    <w:p w14:paraId="4D645B75" w14:textId="77777777" w:rsidR="00216BBB" w:rsidRDefault="00216BBB" w:rsidP="00216BBB">
      <w:pPr>
        <w:spacing w:after="200"/>
        <w:jc w:val="both"/>
      </w:pPr>
      <w:r>
        <w:t xml:space="preserve">CKD places a heavy psychological burden on patients, which is often missed in both clinics and the community. Depression is the most common mental health issue, affecting between 20% of people with early CKD and up to 88.8% of those on haemodialysis (Al-Omari et al., 2025). A review </w:t>
      </w:r>
      <w:r>
        <w:lastRenderedPageBreak/>
        <w:t>by Palmer et al. (2013) found that depression is much more common in people with CKD than in the general population, and anxiety is also higher, especially as patients approach end-stage disease. Mental health problems are linked to poorer treatment adherence, more hospital stays, and higher death rates (Davison et al., 2015). A 2024 survey found that over 30% of UK kidney centres do not offer both psychological and social care services, showing a big gap between what patients need and what is available (Kidney Research UK, 2024). Adjusting to CKD is hard. Patients must accept a serious diagnosis, manage complex treatments, and make tough choices about dialysis or conservative care. For community nurses, it is important to screen for psychological distress using tools such as the Patient Health Questionnaire-9 (PHQ-9) as part of a full CKD assessment.</w:t>
      </w:r>
    </w:p>
    <w:p w14:paraId="1E158640" w14:textId="77777777" w:rsidR="00216BBB" w:rsidRDefault="00216BBB" w:rsidP="00216BBB">
      <w:pPr>
        <w:pStyle w:val="Heading2"/>
        <w:spacing w:before="300"/>
      </w:pPr>
      <w:r>
        <w:t>2.3  Social and Family Impact</w:t>
      </w:r>
    </w:p>
    <w:p w14:paraId="3ACC0A8F" w14:textId="77777777" w:rsidR="00216BBB" w:rsidRDefault="00216BBB" w:rsidP="00216BBB">
      <w:pPr>
        <w:pStyle w:val="Heading3"/>
      </w:pPr>
      <w:r>
        <w:t>Widening Ripples: Employment, Social Participation and the Burden on Informal Carers</w:t>
      </w:r>
    </w:p>
    <w:p w14:paraId="40BDEA76" w14:textId="77777777" w:rsidR="00216BBB" w:rsidRDefault="00216BBB" w:rsidP="00216BBB">
      <w:pPr>
        <w:spacing w:after="200"/>
        <w:jc w:val="both"/>
      </w:pPr>
      <w:r>
        <w:t>The social consequences of CKD extend beyond the individual to encompass families and informal carers. Fatigue, dietary restrictions, demanding dialysis schedules and frequent appointments make sustained employment difficult, generating financial hardship, loss of occupational identity and social isolation (Kidney Care UK, 2024). The burden on informal carers is substantial and often invisible: a person caring for a family member receiving dialysis provides, on average, nine hours of informal care per week, equivalent to approximately £9,200 in lost productivity annually (Kidney Research UK, 2023). Critically, carers of patients managed conservatively report a 15-point higher quality-of-life score compared with carers of dialysis patients, evidence with direct implications for community care planning, where proactive access to carer assessment, respite and psychological support must be explicitly integrated (Kidney Research UK, 2023).</w:t>
      </w:r>
    </w:p>
    <w:p w14:paraId="2AEF64CD" w14:textId="77777777" w:rsidR="000F6B7A" w:rsidRDefault="000F6B7A" w:rsidP="00216BBB">
      <w:pPr>
        <w:pStyle w:val="Heading1"/>
      </w:pPr>
    </w:p>
    <w:p w14:paraId="50D89AE4" w14:textId="69422E19" w:rsidR="00216BBB" w:rsidRDefault="00216BBB" w:rsidP="00216BBB">
      <w:pPr>
        <w:pStyle w:val="Heading1"/>
      </w:pPr>
      <w:r>
        <w:t>Section 3: Evidence-Based NHS Treatments</w:t>
      </w:r>
    </w:p>
    <w:p w14:paraId="20BAF77E" w14:textId="77777777" w:rsidR="00216BBB" w:rsidRDefault="00216BBB" w:rsidP="00216BBB">
      <w:pPr>
        <w:spacing w:after="200"/>
      </w:pPr>
      <w:r>
        <w:rPr>
          <w:i/>
          <w:iCs/>
          <w:color w:val="555555"/>
        </w:rPr>
        <w:t>From RAAS Inhibition to SGLT2 Inhibitors and Community Multidisciplinary Care</w:t>
      </w:r>
    </w:p>
    <w:tbl>
      <w:tblPr>
        <w:tblW w:w="4740" w:type="dxa"/>
        <w:tblBorders>
          <w:top w:val="single" w:sz="4" w:space="0" w:color="CCCCCC"/>
          <w:left w:val="single" w:sz="4" w:space="0" w:color="CCCCCC"/>
          <w:bottom w:val="single" w:sz="4" w:space="0" w:color="CCCCCC"/>
          <w:right w:val="single" w:sz="4" w:space="0" w:color="CCCCCC"/>
          <w:insideH w:val="single" w:sz="4" w:space="0" w:color="CCCCCC"/>
          <w:insideV w:val="single" w:sz="4" w:space="0" w:color="CCCCCC"/>
        </w:tblBorders>
        <w:tblCellMar>
          <w:left w:w="10" w:type="dxa"/>
          <w:right w:w="10" w:type="dxa"/>
        </w:tblCellMar>
        <w:tblLook w:val="04A0" w:firstRow="1" w:lastRow="0" w:firstColumn="1" w:lastColumn="0" w:noHBand="0" w:noVBand="1"/>
      </w:tblPr>
      <w:tblGrid>
        <w:gridCol w:w="1185"/>
        <w:gridCol w:w="1185"/>
        <w:gridCol w:w="1185"/>
        <w:gridCol w:w="1185"/>
      </w:tblGrid>
      <w:tr w:rsidR="00216BBB" w14:paraId="2736C54A" w14:textId="77777777" w:rsidTr="00216BBB">
        <w:trPr>
          <w:trHeight w:val="311"/>
        </w:trPr>
        <w:tc>
          <w:tcPr>
            <w:tcW w:w="1185" w:type="dxa"/>
            <w:shd w:val="clear" w:color="auto" w:fill="1F4E5F"/>
            <w:tcMar>
              <w:top w:w="100" w:type="dxa"/>
              <w:left w:w="100" w:type="dxa"/>
              <w:bottom w:w="60" w:type="dxa"/>
              <w:right w:w="100" w:type="dxa"/>
            </w:tcMar>
            <w:vAlign w:val="center"/>
          </w:tcPr>
          <w:p w14:paraId="3FB56E5F" w14:textId="77777777" w:rsidR="00216BBB" w:rsidRDefault="00216BBB" w:rsidP="00EA4CDF">
            <w:pPr>
              <w:jc w:val="center"/>
            </w:pPr>
            <w:r>
              <w:rPr>
                <w:b/>
                <w:bCs/>
                <w:color w:val="FFFFFF"/>
                <w:sz w:val="26"/>
                <w:szCs w:val="26"/>
              </w:rPr>
              <w:t>NICE NG203</w:t>
            </w:r>
          </w:p>
        </w:tc>
        <w:tc>
          <w:tcPr>
            <w:tcW w:w="1185" w:type="dxa"/>
            <w:shd w:val="clear" w:color="auto" w:fill="1F4E5F"/>
            <w:tcMar>
              <w:top w:w="100" w:type="dxa"/>
              <w:left w:w="100" w:type="dxa"/>
              <w:bottom w:w="60" w:type="dxa"/>
              <w:right w:w="100" w:type="dxa"/>
            </w:tcMar>
            <w:vAlign w:val="center"/>
          </w:tcPr>
          <w:p w14:paraId="2E5804EF" w14:textId="77777777" w:rsidR="00216BBB" w:rsidRDefault="00216BBB" w:rsidP="00EA4CDF">
            <w:pPr>
              <w:jc w:val="center"/>
            </w:pPr>
            <w:r>
              <w:rPr>
                <w:b/>
                <w:bCs/>
                <w:color w:val="FFFFFF"/>
                <w:sz w:val="26"/>
                <w:szCs w:val="26"/>
              </w:rPr>
              <w:t>DAPA-CKD</w:t>
            </w:r>
          </w:p>
        </w:tc>
        <w:tc>
          <w:tcPr>
            <w:tcW w:w="1185" w:type="dxa"/>
            <w:shd w:val="clear" w:color="auto" w:fill="1F4E5F"/>
            <w:tcMar>
              <w:top w:w="100" w:type="dxa"/>
              <w:left w:w="100" w:type="dxa"/>
              <w:bottom w:w="60" w:type="dxa"/>
              <w:right w:w="100" w:type="dxa"/>
            </w:tcMar>
            <w:vAlign w:val="center"/>
          </w:tcPr>
          <w:p w14:paraId="01C2172D" w14:textId="77777777" w:rsidR="00216BBB" w:rsidRDefault="00216BBB" w:rsidP="00EA4CDF">
            <w:pPr>
              <w:jc w:val="center"/>
            </w:pPr>
            <w:r>
              <w:rPr>
                <w:b/>
                <w:bCs/>
                <w:color w:val="FFFFFF"/>
                <w:sz w:val="26"/>
                <w:szCs w:val="26"/>
              </w:rPr>
              <w:t>EMPA-KIDNEY</w:t>
            </w:r>
          </w:p>
        </w:tc>
        <w:tc>
          <w:tcPr>
            <w:tcW w:w="1185" w:type="dxa"/>
            <w:shd w:val="clear" w:color="auto" w:fill="1F4E5F"/>
            <w:tcMar>
              <w:top w:w="100" w:type="dxa"/>
              <w:left w:w="100" w:type="dxa"/>
              <w:bottom w:w="60" w:type="dxa"/>
              <w:right w:w="100" w:type="dxa"/>
            </w:tcMar>
            <w:vAlign w:val="center"/>
          </w:tcPr>
          <w:p w14:paraId="0DFFBE5E" w14:textId="77777777" w:rsidR="00216BBB" w:rsidRDefault="00216BBB" w:rsidP="00EA4CDF">
            <w:pPr>
              <w:jc w:val="center"/>
            </w:pPr>
            <w:r>
              <w:rPr>
                <w:b/>
                <w:bCs/>
                <w:color w:val="FFFFFF"/>
                <w:sz w:val="26"/>
                <w:szCs w:val="26"/>
              </w:rPr>
              <w:t>£1,200</w:t>
            </w:r>
          </w:p>
        </w:tc>
      </w:tr>
      <w:tr w:rsidR="00216BBB" w14:paraId="72A2B51A" w14:textId="77777777" w:rsidTr="00216BBB">
        <w:trPr>
          <w:trHeight w:val="444"/>
        </w:trPr>
        <w:tc>
          <w:tcPr>
            <w:tcW w:w="1185" w:type="dxa"/>
            <w:shd w:val="clear" w:color="auto" w:fill="EAF1F4"/>
            <w:tcMar>
              <w:top w:w="60" w:type="dxa"/>
              <w:left w:w="100" w:type="dxa"/>
              <w:bottom w:w="20" w:type="dxa"/>
              <w:right w:w="100" w:type="dxa"/>
            </w:tcMar>
          </w:tcPr>
          <w:p w14:paraId="7B3B67A5" w14:textId="77777777" w:rsidR="00216BBB" w:rsidRDefault="00216BBB" w:rsidP="00EA4CDF">
            <w:pPr>
              <w:jc w:val="center"/>
            </w:pPr>
            <w:r>
              <w:rPr>
                <w:sz w:val="18"/>
                <w:szCs w:val="18"/>
              </w:rPr>
              <w:t>Primary CKD clinical guideline (2021)</w:t>
            </w:r>
          </w:p>
        </w:tc>
        <w:tc>
          <w:tcPr>
            <w:tcW w:w="1185" w:type="dxa"/>
            <w:shd w:val="clear" w:color="auto" w:fill="EAF1F4"/>
            <w:tcMar>
              <w:top w:w="60" w:type="dxa"/>
              <w:left w:w="100" w:type="dxa"/>
              <w:bottom w:w="20" w:type="dxa"/>
              <w:right w:w="100" w:type="dxa"/>
            </w:tcMar>
          </w:tcPr>
          <w:p w14:paraId="310414E3" w14:textId="77777777" w:rsidR="00216BBB" w:rsidRDefault="00216BBB" w:rsidP="00EA4CDF">
            <w:pPr>
              <w:jc w:val="center"/>
            </w:pPr>
            <w:r>
              <w:rPr>
                <w:sz w:val="18"/>
                <w:szCs w:val="18"/>
              </w:rPr>
              <w:t>Landmark dapagliflozin trial in CKD</w:t>
            </w:r>
          </w:p>
        </w:tc>
        <w:tc>
          <w:tcPr>
            <w:tcW w:w="1185" w:type="dxa"/>
            <w:shd w:val="clear" w:color="auto" w:fill="EAF1F4"/>
            <w:tcMar>
              <w:top w:w="60" w:type="dxa"/>
              <w:left w:w="100" w:type="dxa"/>
              <w:bottom w:w="20" w:type="dxa"/>
              <w:right w:w="100" w:type="dxa"/>
            </w:tcMar>
          </w:tcPr>
          <w:p w14:paraId="04A20A55" w14:textId="77777777" w:rsidR="00216BBB" w:rsidRDefault="00216BBB" w:rsidP="00EA4CDF">
            <w:pPr>
              <w:jc w:val="center"/>
            </w:pPr>
            <w:r>
              <w:rPr>
                <w:sz w:val="18"/>
                <w:szCs w:val="18"/>
              </w:rPr>
              <w:t>Empagliflozin benefit at eGFR as low as 20</w:t>
            </w:r>
          </w:p>
        </w:tc>
        <w:tc>
          <w:tcPr>
            <w:tcW w:w="1185" w:type="dxa"/>
            <w:shd w:val="clear" w:color="auto" w:fill="EAF1F4"/>
            <w:tcMar>
              <w:top w:w="60" w:type="dxa"/>
              <w:left w:w="100" w:type="dxa"/>
              <w:bottom w:w="20" w:type="dxa"/>
              <w:right w:w="100" w:type="dxa"/>
            </w:tcMar>
          </w:tcPr>
          <w:p w14:paraId="57730564" w14:textId="77777777" w:rsidR="00216BBB" w:rsidRDefault="00216BBB" w:rsidP="00EA4CDF">
            <w:pPr>
              <w:jc w:val="center"/>
            </w:pPr>
            <w:r>
              <w:rPr>
                <w:sz w:val="18"/>
                <w:szCs w:val="18"/>
              </w:rPr>
              <w:t>Cost benefit per integrated CKD clinic</w:t>
            </w:r>
          </w:p>
        </w:tc>
      </w:tr>
      <w:tr w:rsidR="00216BBB" w14:paraId="153AE86A" w14:textId="77777777" w:rsidTr="00216BBB">
        <w:trPr>
          <w:trHeight w:val="192"/>
        </w:trPr>
        <w:tc>
          <w:tcPr>
            <w:tcW w:w="1185" w:type="dxa"/>
            <w:shd w:val="clear" w:color="auto" w:fill="EAF1F4"/>
            <w:tcMar>
              <w:top w:w="20" w:type="dxa"/>
              <w:left w:w="100" w:type="dxa"/>
              <w:bottom w:w="100" w:type="dxa"/>
              <w:right w:w="100" w:type="dxa"/>
            </w:tcMar>
          </w:tcPr>
          <w:p w14:paraId="670A963C" w14:textId="77777777" w:rsidR="00216BBB" w:rsidRDefault="00216BBB" w:rsidP="00EA4CDF">
            <w:pPr>
              <w:jc w:val="center"/>
            </w:pPr>
            <w:r>
              <w:rPr>
                <w:i/>
                <w:iCs/>
                <w:color w:val="555555"/>
                <w:sz w:val="16"/>
                <w:szCs w:val="16"/>
              </w:rPr>
              <w:t>NICE, 2021</w:t>
            </w:r>
          </w:p>
        </w:tc>
        <w:tc>
          <w:tcPr>
            <w:tcW w:w="1185" w:type="dxa"/>
            <w:shd w:val="clear" w:color="auto" w:fill="EAF1F4"/>
            <w:tcMar>
              <w:top w:w="20" w:type="dxa"/>
              <w:left w:w="100" w:type="dxa"/>
              <w:bottom w:w="100" w:type="dxa"/>
              <w:right w:w="100" w:type="dxa"/>
            </w:tcMar>
          </w:tcPr>
          <w:p w14:paraId="1C327C4D" w14:textId="77777777" w:rsidR="00216BBB" w:rsidRDefault="00216BBB" w:rsidP="00EA4CDF">
            <w:pPr>
              <w:jc w:val="center"/>
            </w:pPr>
            <w:r>
              <w:rPr>
                <w:i/>
                <w:iCs/>
                <w:color w:val="555555"/>
                <w:sz w:val="16"/>
                <w:szCs w:val="16"/>
              </w:rPr>
              <w:t>Heerspink et al., 2020</w:t>
            </w:r>
          </w:p>
        </w:tc>
        <w:tc>
          <w:tcPr>
            <w:tcW w:w="1185" w:type="dxa"/>
            <w:shd w:val="clear" w:color="auto" w:fill="EAF1F4"/>
            <w:tcMar>
              <w:top w:w="20" w:type="dxa"/>
              <w:left w:w="100" w:type="dxa"/>
              <w:bottom w:w="100" w:type="dxa"/>
              <w:right w:w="100" w:type="dxa"/>
            </w:tcMar>
          </w:tcPr>
          <w:p w14:paraId="57D75D27" w14:textId="77777777" w:rsidR="00216BBB" w:rsidRDefault="00216BBB" w:rsidP="00EA4CDF">
            <w:pPr>
              <w:jc w:val="center"/>
            </w:pPr>
            <w:r>
              <w:rPr>
                <w:i/>
                <w:iCs/>
                <w:color w:val="555555"/>
                <w:sz w:val="16"/>
                <w:szCs w:val="16"/>
              </w:rPr>
              <w:t>Herrington et al., 2023</w:t>
            </w:r>
          </w:p>
        </w:tc>
        <w:tc>
          <w:tcPr>
            <w:tcW w:w="1185" w:type="dxa"/>
            <w:shd w:val="clear" w:color="auto" w:fill="EAF1F4"/>
            <w:tcMar>
              <w:top w:w="20" w:type="dxa"/>
              <w:left w:w="100" w:type="dxa"/>
              <w:bottom w:w="100" w:type="dxa"/>
              <w:right w:w="100" w:type="dxa"/>
            </w:tcMar>
          </w:tcPr>
          <w:p w14:paraId="7C1D906F" w14:textId="77777777" w:rsidR="00216BBB" w:rsidRDefault="00216BBB" w:rsidP="00EA4CDF">
            <w:pPr>
              <w:jc w:val="center"/>
            </w:pPr>
            <w:r>
              <w:rPr>
                <w:i/>
                <w:iCs/>
                <w:color w:val="555555"/>
                <w:sz w:val="16"/>
                <w:szCs w:val="16"/>
              </w:rPr>
              <w:t>Health Innovation EM, 2024</w:t>
            </w:r>
          </w:p>
        </w:tc>
      </w:tr>
    </w:tbl>
    <w:p w14:paraId="0FF2E82D" w14:textId="77777777" w:rsidR="00216BBB" w:rsidRDefault="00216BBB" w:rsidP="00216BBB">
      <w:pPr>
        <w:spacing w:after="100"/>
      </w:pPr>
    </w:p>
    <w:p w14:paraId="74C1CCA1" w14:textId="77777777" w:rsidR="00216BBB" w:rsidRDefault="00216BBB" w:rsidP="00216BBB">
      <w:pPr>
        <w:pStyle w:val="Heading2"/>
        <w:spacing w:before="300"/>
      </w:pPr>
      <w:r>
        <w:t>3.1  RAAS Inhibition — The Pharmacological Cornerstone</w:t>
      </w:r>
    </w:p>
    <w:p w14:paraId="49D424DD" w14:textId="77777777" w:rsidR="00216BBB" w:rsidRDefault="00216BBB" w:rsidP="00216BBB">
      <w:pPr>
        <w:spacing w:after="200"/>
        <w:jc w:val="both"/>
      </w:pPr>
      <w:r>
        <w:t>NHS management of CKD mainly follows NICE guideline NG203 (2021) and the KDIGO 2024 clinical practice guideline. The main goals are to slow disease progression, manage complications, and prepare patients for kidney replacement therapy if needed. The main drug treatment is to block the renin-angiotensin-aldosterone system (RAAS) with ACE inhibitors or angiotensin receptor blockers (ARBs). This is especially important for patients with high blood pressure or significant protein in their urine, as it lowers pressure in the kidneys, reduces protein loss, and slows the decline in kidney function. NG203 recommends keeping blood pressure below 140/90 mmHg in CKD without proteinuria and below 130/80 mmHg when proteinuria is present (NICE, 2021).</w:t>
      </w:r>
    </w:p>
    <w:p w14:paraId="6A970D2C" w14:textId="77777777" w:rsidR="00216BBB" w:rsidRDefault="00216BBB" w:rsidP="00216BBB">
      <w:pPr>
        <w:pStyle w:val="Heading2"/>
        <w:spacing w:before="300"/>
      </w:pPr>
      <w:r>
        <w:t>3.2  SGLT2 Inhibitors — A Transformative Advance</w:t>
      </w:r>
    </w:p>
    <w:p w14:paraId="3FE1377D" w14:textId="77777777" w:rsidR="00216BBB" w:rsidRDefault="00216BBB" w:rsidP="00216BBB">
      <w:pPr>
        <w:pStyle w:val="Heading3"/>
      </w:pPr>
      <w:r>
        <w:t>Dapagliflozin, Empagliflozin and Canagliflozin: The New First-Line Standard</w:t>
      </w:r>
    </w:p>
    <w:p w14:paraId="3E1A7C78" w14:textId="77777777" w:rsidR="00216BBB" w:rsidRDefault="00216BBB" w:rsidP="00216BBB">
      <w:pPr>
        <w:spacing w:after="200"/>
        <w:jc w:val="both"/>
      </w:pPr>
      <w:r>
        <w:t xml:space="preserve">In the past five years, SGLT2 inhibitors have become an important advance in CKD treatment. The DAPA-CKD trial showed that dapagliflozin greatly reduced the risk of ongoing kidney function loss, end-stage kidney disease, and death from kidney or heart causes in both diabetic and non-diabetic CKD patients </w:t>
      </w:r>
      <w:r>
        <w:lastRenderedPageBreak/>
        <w:t>(Heerspink et al., 2020). The CREDENCE and EMPA-KIDNEY trials found similar results for canagliflozin and empagliflozin, with EMPA-KIDNEY showing benefits even in patients with very low kidney function (Perkovic et al., 2019; Herrington et al., 2023). The latest KDIGO 2024 guidelines recommend SGLT2 inhibitors as a first-choice treatment, alongside RAAS blockers (KDIGO, 2024). However, these drugs remain underused in UK primary care, making this an important area for improvement (Sinha et al., 2024).</w:t>
      </w:r>
    </w:p>
    <w:p w14:paraId="1925DB11" w14:textId="77777777" w:rsidR="00216BBB" w:rsidRDefault="00216BBB" w:rsidP="00216BBB">
      <w:pPr>
        <w:pStyle w:val="Heading2"/>
        <w:spacing w:before="300"/>
      </w:pPr>
      <w:r>
        <w:t>3.3  Additional Treatments and Community MDT Care</w:t>
      </w:r>
    </w:p>
    <w:p w14:paraId="5C51DBFD" w14:textId="77777777" w:rsidR="00216BBB" w:rsidRDefault="00216BBB" w:rsidP="00216BBB">
      <w:pPr>
        <w:spacing w:after="200"/>
        <w:jc w:val="both"/>
      </w:pPr>
      <w:r>
        <w:t>Other drug treatments for CKD include statins to lower heart risk, medicines to boost red blood cell production and iron for anaemia, phosphate binders for bone problems, bicarbonate for acid balance, and finerenone for diabetic kidney disease. For patients nearing kidney failure, education before dialysis covers options like in-centre haemodialysis, home haemodialysis, peritoneal dialysis, and transplantation. Getting a live-donor transplant before starting dialysis is the best option for survival and quality of life (Agathangelou et al., 2025). Dietary advice, especially about sodium, potassium, and phosphate, is very important in the later stages of CKD. Community care should involve a team that includes the GP, kidney nurse, dietitian, pharmacist, social worker, and palliative care specialist. The Leicestershire LUCID model showed that joint clinics between primary and secondary care can save about £1,200 per clinic, with possible yearly savings of nearly £3 million if used more widely (Health Innovation East Midlands, 2024).</w:t>
      </w:r>
    </w:p>
    <w:p w14:paraId="4B715752" w14:textId="77777777" w:rsidR="00216BBB" w:rsidRDefault="00216BBB" w:rsidP="00216BBB">
      <w:pPr>
        <w:pStyle w:val="Heading1"/>
      </w:pPr>
      <w:r>
        <w:t>Section 4: Theoretical Models and Frameworks</w:t>
      </w:r>
    </w:p>
    <w:p w14:paraId="562FB988" w14:textId="77777777" w:rsidR="00216BBB" w:rsidRDefault="00216BBB" w:rsidP="00216BBB">
      <w:pPr>
        <w:spacing w:after="200"/>
        <w:rPr>
          <w:i/>
          <w:iCs/>
          <w:color w:val="555555"/>
        </w:rPr>
      </w:pPr>
      <w:r>
        <w:rPr>
          <w:i/>
          <w:iCs/>
          <w:color w:val="555555"/>
        </w:rPr>
        <w:t>The UK House of Care and Wagner's Chronic Care Model Applied to CKD</w:t>
      </w:r>
    </w:p>
    <w:p w14:paraId="47CF7C73" w14:textId="77777777" w:rsidR="00216BBB" w:rsidRDefault="00216BBB" w:rsidP="00216BBB">
      <w:pPr>
        <w:spacing w:after="200"/>
        <w:rPr>
          <w:i/>
          <w:iCs/>
          <w:color w:val="555555"/>
        </w:rPr>
      </w:pPr>
    </w:p>
    <w:p w14:paraId="01D80E3D" w14:textId="77777777" w:rsidR="00216BBB" w:rsidRDefault="00216BBB" w:rsidP="00216BBB">
      <w:pPr>
        <w:spacing w:after="200"/>
        <w:rPr>
          <w:i/>
          <w:iCs/>
          <w:color w:val="555555"/>
        </w:rPr>
      </w:pPr>
    </w:p>
    <w:p w14:paraId="1411B942" w14:textId="77777777" w:rsidR="00216BBB" w:rsidRDefault="00216BBB" w:rsidP="00216BBB">
      <w:pPr>
        <w:spacing w:after="200"/>
      </w:pPr>
    </w:p>
    <w:p w14:paraId="7A5D43F6" w14:textId="77777777" w:rsidR="00216BBB" w:rsidRDefault="00216BBB" w:rsidP="00216BBB">
      <w:pPr>
        <w:spacing w:after="200"/>
      </w:pPr>
    </w:p>
    <w:tbl>
      <w:tblPr>
        <w:tblW w:w="4140" w:type="dxa"/>
        <w:tblBorders>
          <w:top w:val="single" w:sz="4" w:space="0" w:color="CCCCCC"/>
          <w:left w:val="single" w:sz="4" w:space="0" w:color="CCCCCC"/>
          <w:bottom w:val="single" w:sz="4" w:space="0" w:color="CCCCCC"/>
          <w:right w:val="single" w:sz="4" w:space="0" w:color="CCCCCC"/>
          <w:insideH w:val="single" w:sz="4" w:space="0" w:color="CCCCCC"/>
          <w:insideV w:val="single" w:sz="4" w:space="0" w:color="CCCCCC"/>
        </w:tblBorders>
        <w:tblCellMar>
          <w:left w:w="10" w:type="dxa"/>
          <w:right w:w="10" w:type="dxa"/>
        </w:tblCellMar>
        <w:tblLook w:val="04A0" w:firstRow="1" w:lastRow="0" w:firstColumn="1" w:lastColumn="0" w:noHBand="0" w:noVBand="1"/>
      </w:tblPr>
      <w:tblGrid>
        <w:gridCol w:w="878"/>
        <w:gridCol w:w="1152"/>
        <w:gridCol w:w="1114"/>
        <w:gridCol w:w="1198"/>
      </w:tblGrid>
      <w:tr w:rsidR="00216BBB" w14:paraId="5D18504F" w14:textId="77777777" w:rsidTr="00216BBB">
        <w:trPr>
          <w:trHeight w:val="318"/>
        </w:trPr>
        <w:tc>
          <w:tcPr>
            <w:tcW w:w="1035" w:type="dxa"/>
            <w:shd w:val="clear" w:color="auto" w:fill="1F4E5F"/>
            <w:tcMar>
              <w:top w:w="100" w:type="dxa"/>
              <w:left w:w="100" w:type="dxa"/>
              <w:bottom w:w="60" w:type="dxa"/>
              <w:right w:w="100" w:type="dxa"/>
            </w:tcMar>
            <w:vAlign w:val="center"/>
          </w:tcPr>
          <w:p w14:paraId="7FED80F3" w14:textId="77777777" w:rsidR="00216BBB" w:rsidRDefault="00216BBB" w:rsidP="00EA4CDF">
            <w:pPr>
              <w:jc w:val="center"/>
            </w:pPr>
            <w:r>
              <w:rPr>
                <w:b/>
                <w:bCs/>
                <w:color w:val="FFFFFF"/>
                <w:sz w:val="26"/>
                <w:szCs w:val="26"/>
              </w:rPr>
              <w:t>House of Care</w:t>
            </w:r>
          </w:p>
        </w:tc>
        <w:tc>
          <w:tcPr>
            <w:tcW w:w="1035" w:type="dxa"/>
            <w:shd w:val="clear" w:color="auto" w:fill="1F4E5F"/>
            <w:tcMar>
              <w:top w:w="100" w:type="dxa"/>
              <w:left w:w="100" w:type="dxa"/>
              <w:bottom w:w="60" w:type="dxa"/>
              <w:right w:w="100" w:type="dxa"/>
            </w:tcMar>
            <w:vAlign w:val="center"/>
          </w:tcPr>
          <w:p w14:paraId="5578F5B8" w14:textId="77777777" w:rsidR="00216BBB" w:rsidRDefault="00216BBB" w:rsidP="00EA4CDF">
            <w:pPr>
              <w:jc w:val="center"/>
            </w:pPr>
            <w:r>
              <w:rPr>
                <w:b/>
                <w:bCs/>
                <w:color w:val="FFFFFF"/>
                <w:sz w:val="26"/>
                <w:szCs w:val="26"/>
              </w:rPr>
              <w:t>Wagner CCM</w:t>
            </w:r>
          </w:p>
        </w:tc>
        <w:tc>
          <w:tcPr>
            <w:tcW w:w="1035" w:type="dxa"/>
            <w:shd w:val="clear" w:color="auto" w:fill="1F4E5F"/>
            <w:tcMar>
              <w:top w:w="100" w:type="dxa"/>
              <w:left w:w="100" w:type="dxa"/>
              <w:bottom w:w="60" w:type="dxa"/>
              <w:right w:w="100" w:type="dxa"/>
            </w:tcMar>
            <w:vAlign w:val="center"/>
          </w:tcPr>
          <w:p w14:paraId="1C776F09" w14:textId="77777777" w:rsidR="00216BBB" w:rsidRDefault="00216BBB" w:rsidP="00EA4CDF">
            <w:pPr>
              <w:jc w:val="center"/>
            </w:pPr>
            <w:r>
              <w:rPr>
                <w:b/>
                <w:bCs/>
                <w:color w:val="FFFFFF"/>
                <w:sz w:val="26"/>
                <w:szCs w:val="26"/>
              </w:rPr>
              <w:t>4 Pillars</w:t>
            </w:r>
          </w:p>
        </w:tc>
        <w:tc>
          <w:tcPr>
            <w:tcW w:w="1035" w:type="dxa"/>
            <w:shd w:val="clear" w:color="auto" w:fill="1F4E5F"/>
            <w:tcMar>
              <w:top w:w="100" w:type="dxa"/>
              <w:left w:w="100" w:type="dxa"/>
              <w:bottom w:w="60" w:type="dxa"/>
              <w:right w:w="100" w:type="dxa"/>
            </w:tcMar>
            <w:vAlign w:val="center"/>
          </w:tcPr>
          <w:p w14:paraId="2CEB61EB" w14:textId="77777777" w:rsidR="00216BBB" w:rsidRDefault="00216BBB" w:rsidP="00EA4CDF">
            <w:pPr>
              <w:jc w:val="center"/>
            </w:pPr>
            <w:r>
              <w:rPr>
                <w:b/>
                <w:bCs/>
                <w:color w:val="FFFFFF"/>
                <w:sz w:val="26"/>
                <w:szCs w:val="26"/>
              </w:rPr>
              <w:t>6 Elements</w:t>
            </w:r>
          </w:p>
        </w:tc>
      </w:tr>
      <w:tr w:rsidR="00216BBB" w14:paraId="302F5674" w14:textId="77777777" w:rsidTr="00216BBB">
        <w:trPr>
          <w:trHeight w:val="455"/>
        </w:trPr>
        <w:tc>
          <w:tcPr>
            <w:tcW w:w="1035" w:type="dxa"/>
            <w:shd w:val="clear" w:color="auto" w:fill="EAF1F4"/>
            <w:tcMar>
              <w:top w:w="60" w:type="dxa"/>
              <w:left w:w="100" w:type="dxa"/>
              <w:bottom w:w="20" w:type="dxa"/>
              <w:right w:w="100" w:type="dxa"/>
            </w:tcMar>
          </w:tcPr>
          <w:p w14:paraId="08CDBBAC" w14:textId="77777777" w:rsidR="00216BBB" w:rsidRDefault="00216BBB" w:rsidP="00EA4CDF">
            <w:pPr>
              <w:jc w:val="center"/>
            </w:pPr>
            <w:r>
              <w:rPr>
                <w:sz w:val="18"/>
                <w:szCs w:val="18"/>
              </w:rPr>
              <w:t>UK model — NHS England / King's Fund (2013)</w:t>
            </w:r>
          </w:p>
        </w:tc>
        <w:tc>
          <w:tcPr>
            <w:tcW w:w="1035" w:type="dxa"/>
            <w:shd w:val="clear" w:color="auto" w:fill="EAF1F4"/>
            <w:tcMar>
              <w:top w:w="60" w:type="dxa"/>
              <w:left w:w="100" w:type="dxa"/>
              <w:bottom w:w="20" w:type="dxa"/>
              <w:right w:w="100" w:type="dxa"/>
            </w:tcMar>
          </w:tcPr>
          <w:p w14:paraId="57A56836" w14:textId="77777777" w:rsidR="00216BBB" w:rsidRDefault="00216BBB" w:rsidP="00EA4CDF">
            <w:pPr>
              <w:jc w:val="center"/>
            </w:pPr>
            <w:r>
              <w:rPr>
                <w:sz w:val="18"/>
                <w:szCs w:val="18"/>
              </w:rPr>
              <w:t>International model — MacColl Institute (1998)</w:t>
            </w:r>
          </w:p>
        </w:tc>
        <w:tc>
          <w:tcPr>
            <w:tcW w:w="1035" w:type="dxa"/>
            <w:shd w:val="clear" w:color="auto" w:fill="EAF1F4"/>
            <w:tcMar>
              <w:top w:w="60" w:type="dxa"/>
              <w:left w:w="100" w:type="dxa"/>
              <w:bottom w:w="20" w:type="dxa"/>
              <w:right w:w="100" w:type="dxa"/>
            </w:tcMar>
          </w:tcPr>
          <w:p w14:paraId="7F9BB854" w14:textId="77777777" w:rsidR="00216BBB" w:rsidRDefault="00216BBB" w:rsidP="00EA4CDF">
            <w:pPr>
              <w:jc w:val="center"/>
            </w:pPr>
            <w:r>
              <w:rPr>
                <w:sz w:val="18"/>
                <w:szCs w:val="18"/>
              </w:rPr>
              <w:t>Core structural components of House of Care</w:t>
            </w:r>
          </w:p>
        </w:tc>
        <w:tc>
          <w:tcPr>
            <w:tcW w:w="1035" w:type="dxa"/>
            <w:shd w:val="clear" w:color="auto" w:fill="EAF1F4"/>
            <w:tcMar>
              <w:top w:w="60" w:type="dxa"/>
              <w:left w:w="100" w:type="dxa"/>
              <w:bottom w:w="20" w:type="dxa"/>
              <w:right w:w="100" w:type="dxa"/>
            </w:tcMar>
          </w:tcPr>
          <w:p w14:paraId="13FB711E" w14:textId="77777777" w:rsidR="00216BBB" w:rsidRDefault="00216BBB" w:rsidP="00EA4CDF">
            <w:pPr>
              <w:jc w:val="center"/>
            </w:pPr>
            <w:r>
              <w:rPr>
                <w:sz w:val="18"/>
                <w:szCs w:val="18"/>
              </w:rPr>
              <w:t>System components of the Chronic Care Model</w:t>
            </w:r>
          </w:p>
        </w:tc>
      </w:tr>
      <w:tr w:rsidR="00216BBB" w14:paraId="39ECA010" w14:textId="77777777" w:rsidTr="00216BBB">
        <w:trPr>
          <w:trHeight w:val="197"/>
        </w:trPr>
        <w:tc>
          <w:tcPr>
            <w:tcW w:w="1035" w:type="dxa"/>
            <w:shd w:val="clear" w:color="auto" w:fill="EAF1F4"/>
            <w:tcMar>
              <w:top w:w="20" w:type="dxa"/>
              <w:left w:w="100" w:type="dxa"/>
              <w:bottom w:w="100" w:type="dxa"/>
              <w:right w:w="100" w:type="dxa"/>
            </w:tcMar>
          </w:tcPr>
          <w:p w14:paraId="23146FB7" w14:textId="77777777" w:rsidR="00216BBB" w:rsidRDefault="00216BBB" w:rsidP="00EA4CDF">
            <w:pPr>
              <w:jc w:val="center"/>
            </w:pPr>
            <w:r>
              <w:rPr>
                <w:i/>
                <w:iCs/>
                <w:color w:val="555555"/>
                <w:sz w:val="16"/>
                <w:szCs w:val="16"/>
              </w:rPr>
              <w:t>Coulter et al., 2016</w:t>
            </w:r>
          </w:p>
        </w:tc>
        <w:tc>
          <w:tcPr>
            <w:tcW w:w="1035" w:type="dxa"/>
            <w:shd w:val="clear" w:color="auto" w:fill="EAF1F4"/>
            <w:tcMar>
              <w:top w:w="20" w:type="dxa"/>
              <w:left w:w="100" w:type="dxa"/>
              <w:bottom w:w="100" w:type="dxa"/>
              <w:right w:w="100" w:type="dxa"/>
            </w:tcMar>
          </w:tcPr>
          <w:p w14:paraId="620E9592" w14:textId="77777777" w:rsidR="00216BBB" w:rsidRDefault="00216BBB" w:rsidP="00EA4CDF">
            <w:pPr>
              <w:jc w:val="center"/>
            </w:pPr>
            <w:r>
              <w:rPr>
                <w:i/>
                <w:iCs/>
                <w:color w:val="555555"/>
                <w:sz w:val="16"/>
                <w:szCs w:val="16"/>
              </w:rPr>
              <w:t>Wagner, 1998; Barr et al., 2003</w:t>
            </w:r>
          </w:p>
        </w:tc>
        <w:tc>
          <w:tcPr>
            <w:tcW w:w="1035" w:type="dxa"/>
            <w:shd w:val="clear" w:color="auto" w:fill="EAF1F4"/>
            <w:tcMar>
              <w:top w:w="20" w:type="dxa"/>
              <w:left w:w="100" w:type="dxa"/>
              <w:bottom w:w="100" w:type="dxa"/>
              <w:right w:w="100" w:type="dxa"/>
            </w:tcMar>
          </w:tcPr>
          <w:p w14:paraId="648CF6ED" w14:textId="77777777" w:rsidR="00216BBB" w:rsidRDefault="00216BBB" w:rsidP="00EA4CDF">
            <w:pPr>
              <w:jc w:val="center"/>
            </w:pPr>
            <w:r>
              <w:rPr>
                <w:i/>
                <w:iCs/>
                <w:color w:val="555555"/>
                <w:sz w:val="16"/>
                <w:szCs w:val="16"/>
              </w:rPr>
              <w:t>BHF / King's Fund, 2013</w:t>
            </w:r>
          </w:p>
        </w:tc>
        <w:tc>
          <w:tcPr>
            <w:tcW w:w="1035" w:type="dxa"/>
            <w:shd w:val="clear" w:color="auto" w:fill="EAF1F4"/>
            <w:tcMar>
              <w:top w:w="20" w:type="dxa"/>
              <w:left w:w="100" w:type="dxa"/>
              <w:bottom w:w="100" w:type="dxa"/>
              <w:right w:w="100" w:type="dxa"/>
            </w:tcMar>
          </w:tcPr>
          <w:p w14:paraId="0EE9C9BA" w14:textId="77777777" w:rsidR="00216BBB" w:rsidRDefault="00216BBB" w:rsidP="00EA4CDF">
            <w:pPr>
              <w:jc w:val="center"/>
            </w:pPr>
            <w:r>
              <w:rPr>
                <w:i/>
                <w:iCs/>
                <w:color w:val="555555"/>
                <w:sz w:val="16"/>
                <w:szCs w:val="16"/>
              </w:rPr>
              <w:t>Wagner, 1998</w:t>
            </w:r>
          </w:p>
        </w:tc>
      </w:tr>
    </w:tbl>
    <w:p w14:paraId="45C56831" w14:textId="77777777" w:rsidR="00216BBB" w:rsidRDefault="00216BBB" w:rsidP="00216BBB">
      <w:pPr>
        <w:spacing w:after="100"/>
      </w:pPr>
    </w:p>
    <w:p w14:paraId="413B0C99" w14:textId="77777777" w:rsidR="00216BBB" w:rsidRDefault="00216BBB" w:rsidP="00216BBB">
      <w:pPr>
        <w:pStyle w:val="Heading2"/>
        <w:spacing w:before="300"/>
      </w:pPr>
      <w:r>
        <w:t>4.1  UK Model: The House of Care Framework</w:t>
      </w:r>
    </w:p>
    <w:p w14:paraId="115F1989" w14:textId="77777777" w:rsidR="00216BBB" w:rsidRDefault="00216BBB" w:rsidP="00216BBB">
      <w:pPr>
        <w:pStyle w:val="Heading3"/>
      </w:pPr>
      <w:r>
        <w:t>A Coordinated, Person-Centred Architecture for NHS Long-Term Condition Management</w:t>
      </w:r>
    </w:p>
    <w:p w14:paraId="086348FB" w14:textId="77777777" w:rsidR="00216BBB" w:rsidRDefault="00216BBB" w:rsidP="00216BBB">
      <w:pPr>
        <w:spacing w:after="200"/>
        <w:jc w:val="both"/>
      </w:pPr>
      <w:r>
        <w:t>The House of Care (HoC), developed by NHS England and the King's Fund and introduced in 2013, was designed in response to evidence that fragmented, disease-specific care was inadequately meeting the complex, multimorbid needs of people with long-term conditions (Coulter et al., 2016). The house metaphor communicates the interdependence of four structural components: two walls representing an engaged, informed patient and a healthcare professional committed to a partnership approach; a floor of organisational and supporting processes; and a roof of community resources and services (BHF, 2017).</w:t>
      </w:r>
    </w:p>
    <w:p w14:paraId="63F37F1A" w14:textId="7B427EEA" w:rsidR="00216BBB" w:rsidRDefault="00216BBB" w:rsidP="00216BBB">
      <w:pPr>
        <w:spacing w:after="200"/>
        <w:jc w:val="both"/>
      </w:pPr>
      <w:r>
        <w:t xml:space="preserve">Applied to CKD, the engaged-patient wall requires tailored information about disease stage and personalised goal-setting; the committed-professional wall demands a shift from directive consultation to shared decision-making, particularly critical for patients approaching consequential choices about dialysis modality or conservative management; the organisational floor encompasses digital eGFR registers, urine albumin-to-creatinine ratio (uACR) monitoring and multi-professional communication platforms; and the community roof recognises the vital role of organisations such as Kidney Care UK and peer support networks (Davison et al., </w:t>
      </w:r>
      <w:r>
        <w:lastRenderedPageBreak/>
        <w:t>2015). The Health Select Committee (2014) endorsed the model's principles strongly but identified that NHS payment mechanisms particularly the payment-by-results tariff remained poorly aligned with its delivery, creating financial disincentives for proactive, planned care. This systemic tension between person-centred care principles and activity-based funding represents a significant and unresolved implementation challenge.</w:t>
      </w:r>
    </w:p>
    <w:p w14:paraId="0F5FF1F3" w14:textId="77777777" w:rsidR="00216BBB" w:rsidRDefault="00216BBB" w:rsidP="00216BBB">
      <w:pPr>
        <w:pStyle w:val="Heading2"/>
        <w:spacing w:before="300"/>
      </w:pPr>
      <w:r>
        <w:t>4.2  International Model: Wagner's Chronic Care Model</w:t>
      </w:r>
    </w:p>
    <w:p w14:paraId="6ED1A129" w14:textId="77777777" w:rsidR="00216BBB" w:rsidRDefault="00216BBB" w:rsidP="00216BBB">
      <w:pPr>
        <w:pStyle w:val="Heading3"/>
      </w:pPr>
      <w:r>
        <w:t>A Six-Element Framework for Transforming Chronic Illness Care Systems Globally</w:t>
      </w:r>
    </w:p>
    <w:p w14:paraId="7B209056" w14:textId="77777777" w:rsidR="00216BBB" w:rsidRDefault="00216BBB" w:rsidP="00216BBB">
      <w:pPr>
        <w:spacing w:after="200"/>
        <w:jc w:val="both"/>
      </w:pPr>
      <w:r>
        <w:t>Wagner's Chronic Care Model (CCM), developed at the MacColl Institute for Healthcare Innovation in the late 1990s and refined in 2003, provides the dominant international framework for chronic illness management (Wagner, 1998; Barr et al., 2003). It proposes that high-quality chronic illness care emerges from productive interactions between an informed, activated patient and a prepared, proactive practice team, facilitated by six interrelated system components: self-management support, delivery system design, decision support, clinical information systems, healthcare organisation, and community resources and policies. Applied to CKD, the model facilitates effective multidisciplinary care, enables proactive rather than reactive management and empowers informed patient decision-making; its clinical information systems component is especially pertinent to population-level eGFR registers and the NICE-recommended Kidney Failure Risk Equation (Health Innovation East Midlands, 2024).</w:t>
      </w:r>
    </w:p>
    <w:p w14:paraId="2B4E298E" w14:textId="0EABAD44" w:rsidR="00216BBB" w:rsidRDefault="00216BBB" w:rsidP="00216BBB">
      <w:pPr>
        <w:spacing w:after="200"/>
        <w:jc w:val="both"/>
      </w:pPr>
      <w:r>
        <w:t xml:space="preserve">Comparing the two models, the House of Care, designed specifically for the NHS, offers a more immediately actionable and contextually appropriate framework for English commissioners and practitioners. The CCM, by contrast, has a broader international evidence base and a more detailed organisational architecture. Both converge on a shared principle: transforming CKD outcomes requires reorienting health systems from reactive, episodic care towards proactive, relationship-based, person-centred, community-anchored </w:t>
      </w:r>
      <w:r>
        <w:t>care — a reorientation that, as the Health Select Committee (2014) noted, current NHS incentive structures do not yet fully support.</w:t>
      </w:r>
    </w:p>
    <w:p w14:paraId="709CFF3B" w14:textId="77777777" w:rsidR="00216BBB" w:rsidRDefault="00216BBB" w:rsidP="00216BBB">
      <w:pPr>
        <w:pStyle w:val="Heading1"/>
      </w:pPr>
      <w:r>
        <w:t>Section 5: National and Local Political Health and Social Care Agendas</w:t>
      </w:r>
    </w:p>
    <w:p w14:paraId="51F861AF" w14:textId="77777777" w:rsidR="00216BBB" w:rsidRDefault="00216BBB" w:rsidP="00216BBB">
      <w:pPr>
        <w:spacing w:after="200"/>
      </w:pPr>
      <w:r>
        <w:rPr>
          <w:i/>
          <w:iCs/>
          <w:color w:val="555555"/>
        </w:rPr>
        <w:t>NICE NG203, Core20PLUS5 and the NHS 10-Year Plan: Policy Shaping CKD Care Delivery</w:t>
      </w:r>
    </w:p>
    <w:tbl>
      <w:tblPr>
        <w:tblW w:w="4768" w:type="dxa"/>
        <w:tblBorders>
          <w:top w:val="single" w:sz="4" w:space="0" w:color="CCCCCC"/>
          <w:left w:val="single" w:sz="4" w:space="0" w:color="CCCCCC"/>
          <w:bottom w:val="single" w:sz="4" w:space="0" w:color="CCCCCC"/>
          <w:right w:val="single" w:sz="4" w:space="0" w:color="CCCCCC"/>
          <w:insideH w:val="single" w:sz="4" w:space="0" w:color="CCCCCC"/>
          <w:insideV w:val="single" w:sz="4" w:space="0" w:color="CCCCCC"/>
        </w:tblBorders>
        <w:tblCellMar>
          <w:left w:w="10" w:type="dxa"/>
          <w:right w:w="10" w:type="dxa"/>
        </w:tblCellMar>
        <w:tblLook w:val="04A0" w:firstRow="1" w:lastRow="0" w:firstColumn="1" w:lastColumn="0" w:noHBand="0" w:noVBand="1"/>
      </w:tblPr>
      <w:tblGrid>
        <w:gridCol w:w="933"/>
        <w:gridCol w:w="1637"/>
        <w:gridCol w:w="1336"/>
        <w:gridCol w:w="914"/>
      </w:tblGrid>
      <w:tr w:rsidR="00216BBB" w14:paraId="587BD8CD" w14:textId="77777777" w:rsidTr="00216BBB">
        <w:trPr>
          <w:trHeight w:val="368"/>
        </w:trPr>
        <w:tc>
          <w:tcPr>
            <w:tcW w:w="1192" w:type="dxa"/>
            <w:shd w:val="clear" w:color="auto" w:fill="1F4E5F"/>
            <w:tcMar>
              <w:top w:w="100" w:type="dxa"/>
              <w:left w:w="100" w:type="dxa"/>
              <w:bottom w:w="60" w:type="dxa"/>
              <w:right w:w="100" w:type="dxa"/>
            </w:tcMar>
            <w:vAlign w:val="center"/>
          </w:tcPr>
          <w:p w14:paraId="40C85C1A" w14:textId="77777777" w:rsidR="00216BBB" w:rsidRDefault="00216BBB" w:rsidP="00EA4CDF">
            <w:pPr>
              <w:jc w:val="center"/>
            </w:pPr>
            <w:r>
              <w:rPr>
                <w:b/>
                <w:bCs/>
                <w:color w:val="FFFFFF"/>
                <w:sz w:val="26"/>
                <w:szCs w:val="26"/>
              </w:rPr>
              <w:t>NG203</w:t>
            </w:r>
          </w:p>
        </w:tc>
        <w:tc>
          <w:tcPr>
            <w:tcW w:w="1192" w:type="dxa"/>
            <w:shd w:val="clear" w:color="auto" w:fill="1F4E5F"/>
            <w:tcMar>
              <w:top w:w="100" w:type="dxa"/>
              <w:left w:w="100" w:type="dxa"/>
              <w:bottom w:w="60" w:type="dxa"/>
              <w:right w:w="100" w:type="dxa"/>
            </w:tcMar>
            <w:vAlign w:val="center"/>
          </w:tcPr>
          <w:p w14:paraId="61823001" w14:textId="77777777" w:rsidR="00216BBB" w:rsidRDefault="00216BBB" w:rsidP="00EA4CDF">
            <w:pPr>
              <w:jc w:val="center"/>
            </w:pPr>
            <w:r>
              <w:rPr>
                <w:b/>
                <w:bCs/>
                <w:color w:val="FFFFFF"/>
                <w:sz w:val="26"/>
                <w:szCs w:val="26"/>
              </w:rPr>
              <w:t>Core20PLUS5</w:t>
            </w:r>
          </w:p>
        </w:tc>
        <w:tc>
          <w:tcPr>
            <w:tcW w:w="1192" w:type="dxa"/>
            <w:shd w:val="clear" w:color="auto" w:fill="1F4E5F"/>
            <w:tcMar>
              <w:top w:w="100" w:type="dxa"/>
              <w:left w:w="100" w:type="dxa"/>
              <w:bottom w:w="60" w:type="dxa"/>
              <w:right w:w="100" w:type="dxa"/>
            </w:tcMar>
            <w:vAlign w:val="center"/>
          </w:tcPr>
          <w:p w14:paraId="5A78790B" w14:textId="77777777" w:rsidR="00216BBB" w:rsidRDefault="00216BBB" w:rsidP="00EA4CDF">
            <w:pPr>
              <w:jc w:val="center"/>
            </w:pPr>
            <w:r>
              <w:rPr>
                <w:b/>
                <w:bCs/>
                <w:color w:val="FFFFFF"/>
                <w:sz w:val="26"/>
                <w:szCs w:val="26"/>
              </w:rPr>
              <w:t>£10M</w:t>
            </w:r>
          </w:p>
        </w:tc>
        <w:tc>
          <w:tcPr>
            <w:tcW w:w="1192" w:type="dxa"/>
            <w:shd w:val="clear" w:color="auto" w:fill="1F4E5F"/>
            <w:tcMar>
              <w:top w:w="100" w:type="dxa"/>
              <w:left w:w="100" w:type="dxa"/>
              <w:bottom w:w="60" w:type="dxa"/>
              <w:right w:w="100" w:type="dxa"/>
            </w:tcMar>
            <w:vAlign w:val="center"/>
          </w:tcPr>
          <w:p w14:paraId="5AC87D4D" w14:textId="77777777" w:rsidR="00216BBB" w:rsidRDefault="00216BBB" w:rsidP="00EA4CDF">
            <w:pPr>
              <w:jc w:val="center"/>
            </w:pPr>
            <w:r>
              <w:rPr>
                <w:b/>
                <w:bCs/>
                <w:color w:val="FFFFFF"/>
                <w:sz w:val="26"/>
                <w:szCs w:val="26"/>
              </w:rPr>
              <w:t>NHS 10-yr Plan</w:t>
            </w:r>
          </w:p>
        </w:tc>
      </w:tr>
      <w:tr w:rsidR="00216BBB" w14:paraId="77AB2E0F" w14:textId="77777777" w:rsidTr="00216BBB">
        <w:trPr>
          <w:trHeight w:val="525"/>
        </w:trPr>
        <w:tc>
          <w:tcPr>
            <w:tcW w:w="1192" w:type="dxa"/>
            <w:shd w:val="clear" w:color="auto" w:fill="EAF1F4"/>
            <w:tcMar>
              <w:top w:w="60" w:type="dxa"/>
              <w:left w:w="100" w:type="dxa"/>
              <w:bottom w:w="20" w:type="dxa"/>
              <w:right w:w="100" w:type="dxa"/>
            </w:tcMar>
          </w:tcPr>
          <w:p w14:paraId="2239048B" w14:textId="77777777" w:rsidR="00216BBB" w:rsidRDefault="00216BBB" w:rsidP="00EA4CDF">
            <w:pPr>
              <w:jc w:val="center"/>
            </w:pPr>
            <w:r>
              <w:rPr>
                <w:sz w:val="18"/>
                <w:szCs w:val="18"/>
              </w:rPr>
              <w:t>NICE CKD guideline — updated 2021, current 2025</w:t>
            </w:r>
          </w:p>
        </w:tc>
        <w:tc>
          <w:tcPr>
            <w:tcW w:w="1192" w:type="dxa"/>
            <w:shd w:val="clear" w:color="auto" w:fill="EAF1F4"/>
            <w:tcMar>
              <w:top w:w="60" w:type="dxa"/>
              <w:left w:w="100" w:type="dxa"/>
              <w:bottom w:w="20" w:type="dxa"/>
              <w:right w:w="100" w:type="dxa"/>
            </w:tcMar>
          </w:tcPr>
          <w:p w14:paraId="00701AB2" w14:textId="77777777" w:rsidR="00216BBB" w:rsidRDefault="00216BBB" w:rsidP="00EA4CDF">
            <w:pPr>
              <w:jc w:val="center"/>
            </w:pPr>
            <w:r>
              <w:rPr>
                <w:sz w:val="18"/>
                <w:szCs w:val="18"/>
              </w:rPr>
              <w:t>NHS health inequalities framework, 2021</w:t>
            </w:r>
          </w:p>
        </w:tc>
        <w:tc>
          <w:tcPr>
            <w:tcW w:w="1192" w:type="dxa"/>
            <w:shd w:val="clear" w:color="auto" w:fill="EAF1F4"/>
            <w:tcMar>
              <w:top w:w="60" w:type="dxa"/>
              <w:left w:w="100" w:type="dxa"/>
              <w:bottom w:w="20" w:type="dxa"/>
              <w:right w:w="100" w:type="dxa"/>
            </w:tcMar>
          </w:tcPr>
          <w:p w14:paraId="67BCDC1A" w14:textId="77777777" w:rsidR="00216BBB" w:rsidRDefault="00216BBB" w:rsidP="00EA4CDF">
            <w:pPr>
              <w:jc w:val="center"/>
            </w:pPr>
            <w:r>
              <w:rPr>
                <w:sz w:val="18"/>
                <w:szCs w:val="18"/>
              </w:rPr>
              <w:t>London Kidney Transformation Programme</w:t>
            </w:r>
          </w:p>
        </w:tc>
        <w:tc>
          <w:tcPr>
            <w:tcW w:w="1192" w:type="dxa"/>
            <w:shd w:val="clear" w:color="auto" w:fill="EAF1F4"/>
            <w:tcMar>
              <w:top w:w="60" w:type="dxa"/>
              <w:left w:w="100" w:type="dxa"/>
              <w:bottom w:w="20" w:type="dxa"/>
              <w:right w:w="100" w:type="dxa"/>
            </w:tcMar>
          </w:tcPr>
          <w:p w14:paraId="5354CF8D" w14:textId="77777777" w:rsidR="00216BBB" w:rsidRDefault="00216BBB" w:rsidP="00EA4CDF">
            <w:pPr>
              <w:jc w:val="center"/>
            </w:pPr>
            <w:r>
              <w:rPr>
                <w:sz w:val="18"/>
                <w:szCs w:val="18"/>
              </w:rPr>
              <w:t>Published 2025 — kidney disease a priority</w:t>
            </w:r>
          </w:p>
        </w:tc>
      </w:tr>
      <w:tr w:rsidR="00216BBB" w14:paraId="3068641D" w14:textId="77777777" w:rsidTr="00216BBB">
        <w:trPr>
          <w:trHeight w:val="227"/>
        </w:trPr>
        <w:tc>
          <w:tcPr>
            <w:tcW w:w="1192" w:type="dxa"/>
            <w:shd w:val="clear" w:color="auto" w:fill="EAF1F4"/>
            <w:tcMar>
              <w:top w:w="20" w:type="dxa"/>
              <w:left w:w="100" w:type="dxa"/>
              <w:bottom w:w="100" w:type="dxa"/>
              <w:right w:w="100" w:type="dxa"/>
            </w:tcMar>
          </w:tcPr>
          <w:p w14:paraId="7D12ED7B" w14:textId="77777777" w:rsidR="00216BBB" w:rsidRDefault="00216BBB" w:rsidP="00EA4CDF">
            <w:pPr>
              <w:jc w:val="center"/>
            </w:pPr>
            <w:r>
              <w:rPr>
                <w:i/>
                <w:iCs/>
                <w:color w:val="555555"/>
                <w:sz w:val="16"/>
                <w:szCs w:val="16"/>
              </w:rPr>
              <w:t>NICE, 2021</w:t>
            </w:r>
          </w:p>
        </w:tc>
        <w:tc>
          <w:tcPr>
            <w:tcW w:w="1192" w:type="dxa"/>
            <w:shd w:val="clear" w:color="auto" w:fill="EAF1F4"/>
            <w:tcMar>
              <w:top w:w="20" w:type="dxa"/>
              <w:left w:w="100" w:type="dxa"/>
              <w:bottom w:w="100" w:type="dxa"/>
              <w:right w:w="100" w:type="dxa"/>
            </w:tcMar>
          </w:tcPr>
          <w:p w14:paraId="5A2D8796" w14:textId="77777777" w:rsidR="00216BBB" w:rsidRDefault="00216BBB" w:rsidP="00EA4CDF">
            <w:pPr>
              <w:jc w:val="center"/>
            </w:pPr>
            <w:r>
              <w:rPr>
                <w:i/>
                <w:iCs/>
                <w:color w:val="555555"/>
                <w:sz w:val="16"/>
                <w:szCs w:val="16"/>
              </w:rPr>
              <w:t>NHS England, 2021</w:t>
            </w:r>
          </w:p>
        </w:tc>
        <w:tc>
          <w:tcPr>
            <w:tcW w:w="1192" w:type="dxa"/>
            <w:shd w:val="clear" w:color="auto" w:fill="EAF1F4"/>
            <w:tcMar>
              <w:top w:w="20" w:type="dxa"/>
              <w:left w:w="100" w:type="dxa"/>
              <w:bottom w:w="100" w:type="dxa"/>
              <w:right w:w="100" w:type="dxa"/>
            </w:tcMar>
          </w:tcPr>
          <w:p w14:paraId="1FB761BB" w14:textId="77777777" w:rsidR="00216BBB" w:rsidRDefault="00216BBB" w:rsidP="00EA4CDF">
            <w:pPr>
              <w:jc w:val="center"/>
            </w:pPr>
            <w:r>
              <w:rPr>
                <w:i/>
                <w:iCs/>
                <w:color w:val="555555"/>
                <w:sz w:val="16"/>
                <w:szCs w:val="16"/>
              </w:rPr>
              <w:t>London Kidney Network, 2024</w:t>
            </w:r>
          </w:p>
        </w:tc>
        <w:tc>
          <w:tcPr>
            <w:tcW w:w="1192" w:type="dxa"/>
            <w:shd w:val="clear" w:color="auto" w:fill="EAF1F4"/>
            <w:tcMar>
              <w:top w:w="20" w:type="dxa"/>
              <w:left w:w="100" w:type="dxa"/>
              <w:bottom w:w="100" w:type="dxa"/>
              <w:right w:w="100" w:type="dxa"/>
            </w:tcMar>
          </w:tcPr>
          <w:p w14:paraId="592D0D69" w14:textId="77777777" w:rsidR="00216BBB" w:rsidRDefault="00216BBB" w:rsidP="00EA4CDF">
            <w:pPr>
              <w:jc w:val="center"/>
            </w:pPr>
            <w:r>
              <w:rPr>
                <w:i/>
                <w:iCs/>
                <w:color w:val="555555"/>
                <w:sz w:val="16"/>
                <w:szCs w:val="16"/>
              </w:rPr>
              <w:t>NHS England, 2025</w:t>
            </w:r>
          </w:p>
        </w:tc>
      </w:tr>
    </w:tbl>
    <w:p w14:paraId="2FD586C0" w14:textId="77777777" w:rsidR="00216BBB" w:rsidRDefault="00216BBB" w:rsidP="00216BBB">
      <w:pPr>
        <w:spacing w:after="100"/>
      </w:pPr>
    </w:p>
    <w:p w14:paraId="2D9F41E7" w14:textId="77777777" w:rsidR="00216BBB" w:rsidRDefault="00216BBB" w:rsidP="00216BBB">
      <w:pPr>
        <w:pStyle w:val="Heading2"/>
        <w:spacing w:before="300"/>
      </w:pPr>
      <w:r>
        <w:t>5.1  NICE NG203 and Albuminuria — The Primary Policy Framework</w:t>
      </w:r>
    </w:p>
    <w:p w14:paraId="51AFFFB4" w14:textId="77777777" w:rsidR="00216BBB" w:rsidRDefault="00216BBB" w:rsidP="00216BBB">
      <w:pPr>
        <w:spacing w:after="200"/>
        <w:jc w:val="both"/>
      </w:pPr>
      <w:r>
        <w:t>NICE guideline NG203 (2021), the primary clinical policy framework for CKD in England, updated key recommendations to include urine albumin-to-creatinine ratio (uACR) testing alongside eGFR as a mandatory component of CKD staging. A 2024 analysis confirmed that failure to assess albuminuria remains prevalent in English general practice, resulting in systematic underestimation of disease severity and missed opportunities to initiate SGLT2 inhibitors in eligible patients (Sinha et al., 2024). NG203 also sets out clear referral pathways to nephrology and expectations for community-based multidisciplinary team involvement, both of which remain incompletely implemented in many areas.</w:t>
      </w:r>
    </w:p>
    <w:p w14:paraId="67F16C7D" w14:textId="77777777" w:rsidR="00216BBB" w:rsidRDefault="00216BBB" w:rsidP="00216BBB">
      <w:pPr>
        <w:pStyle w:val="Heading2"/>
        <w:spacing w:before="300"/>
      </w:pPr>
      <w:r>
        <w:t>5.2  NHS Long Term Plan and the 10-Year Health Plan (2025)</w:t>
      </w:r>
    </w:p>
    <w:p w14:paraId="33DBD7EB" w14:textId="77777777" w:rsidR="00216BBB" w:rsidRDefault="00216BBB" w:rsidP="00216BBB">
      <w:pPr>
        <w:spacing w:after="200"/>
        <w:jc w:val="both"/>
      </w:pPr>
      <w:r>
        <w:t xml:space="preserve">The NHS Long Term Plan (NHS England, 2019) and its 2025 successor, the NHS 10-Year Health Plan, </w:t>
      </w:r>
      <w:r>
        <w:lastRenderedPageBreak/>
        <w:t>provide the overarching strategic architecture within which CKD management must be understood. Kidney Care UK's response to the 10-Year Plan consultation called for explicit CKD commitments including increasing screening uptake among high-risk groups to 70% by 2035, achieving the highest rate of organ transplants in Europe, and guaranteeing all patients clear pathways to renal social work and psychological support (Kidney Care UK, 2025). These policy ambitions align directly with the community care and self-management recommendations developed in this assignment.</w:t>
      </w:r>
    </w:p>
    <w:p w14:paraId="13F72A6A" w14:textId="77777777" w:rsidR="00216BBB" w:rsidRDefault="00216BBB" w:rsidP="00216BBB">
      <w:pPr>
        <w:pStyle w:val="Heading2"/>
        <w:spacing w:before="300"/>
      </w:pPr>
      <w:r>
        <w:t>5.3  Core20PLUS5 — Health Equity in CKD</w:t>
      </w:r>
    </w:p>
    <w:p w14:paraId="0C22E865" w14:textId="77777777" w:rsidR="00216BBB" w:rsidRDefault="00216BBB" w:rsidP="00216BBB">
      <w:pPr>
        <w:spacing w:after="200"/>
        <w:jc w:val="both"/>
      </w:pPr>
      <w:r>
        <w:t>NHS England's Core20PLUS5 framework (2021) is particularly significant for CKD, given the condition's strong associations with social deprivation and ethnic minority status. It designates the most deprived 20% of the population, plus further priority groups, across five clinical areas including hypertension case-finding — directly relevant to CKD's aetiology and early detection. Integrated care boards are expected to develop local implementation plans actively targeting CKD inequalities through community outreach and culturally sensitive education (NHS England, 2021).</w:t>
      </w:r>
    </w:p>
    <w:p w14:paraId="323A33E6" w14:textId="77777777" w:rsidR="00216BBB" w:rsidRDefault="00216BBB" w:rsidP="00216BBB">
      <w:pPr>
        <w:pStyle w:val="Heading2"/>
        <w:spacing w:before="300"/>
      </w:pPr>
      <w:r>
        <w:t>5.4  Local Policy in Action — London and Leicestershire</w:t>
      </w:r>
    </w:p>
    <w:p w14:paraId="7DE5C3C9" w14:textId="77777777" w:rsidR="00216BBB" w:rsidRDefault="00216BBB" w:rsidP="00216BBB">
      <w:pPr>
        <w:pStyle w:val="Heading3"/>
      </w:pPr>
      <w:r>
        <w:t>The LUCID Pilot and the London Kidney Transformation Programme as National Exemplars</w:t>
      </w:r>
    </w:p>
    <w:p w14:paraId="7294EFED" w14:textId="77777777" w:rsidR="00216BBB" w:rsidRDefault="00216BBB" w:rsidP="00216BBB">
      <w:pPr>
        <w:spacing w:after="200"/>
        <w:jc w:val="both"/>
      </w:pPr>
      <w:r>
        <w:t xml:space="preserve">At a local level, the NHS England-funded London Kidney Transformation Programme, a £10 million initiative launched across five integrated care boards in 2023, placed proactive, predictive and preventative community CKD care at its centre. Modelling demonstrated that without intervention, in-centre haemodialysis demand would exceed London NHS capacity by 2030 (London Kidney Network, 2024). The Leicestershire LUCID pilot demonstrated significant improvements in patient outcomes, wider uptake of the Kidney Failure Risk Equation, and estimated cost savings of nearly £3 million annually if scaled across the region, and has since </w:t>
      </w:r>
      <w:r>
        <w:t>been expanded as a national exemplar (Health Innovation East Midlands, 2024).</w:t>
      </w:r>
    </w:p>
    <w:p w14:paraId="56C54551" w14:textId="77777777" w:rsidR="00216BBB" w:rsidRDefault="00216BBB" w:rsidP="00216BBB">
      <w:pPr>
        <w:pStyle w:val="Heading1"/>
      </w:pPr>
      <w:r>
        <w:t>Section 6: Recommendations for Person-Centred, Self-Management and End-of-Life Care</w:t>
      </w:r>
    </w:p>
    <w:p w14:paraId="690115C1" w14:textId="77777777" w:rsidR="00216BBB" w:rsidRDefault="00216BBB" w:rsidP="00216BBB">
      <w:pPr>
        <w:spacing w:after="200"/>
      </w:pPr>
      <w:r>
        <w:rPr>
          <w:i/>
          <w:iCs/>
          <w:color w:val="555555"/>
        </w:rPr>
        <w:t>Beyond Disease Management: The Whole Person at the Centre of CKD Care from Diagnosis to End of Life</w:t>
      </w:r>
    </w:p>
    <w:tbl>
      <w:tblPr>
        <w:tblW w:w="4800" w:type="dxa"/>
        <w:tblBorders>
          <w:top w:val="single" w:sz="4" w:space="0" w:color="CCCCCC"/>
          <w:left w:val="single" w:sz="4" w:space="0" w:color="CCCCCC"/>
          <w:bottom w:val="single" w:sz="4" w:space="0" w:color="CCCCCC"/>
          <w:right w:val="single" w:sz="4" w:space="0" w:color="CCCCCC"/>
          <w:insideH w:val="single" w:sz="4" w:space="0" w:color="CCCCCC"/>
          <w:insideV w:val="single" w:sz="4" w:space="0" w:color="CCCCCC"/>
        </w:tblBorders>
        <w:tblCellMar>
          <w:left w:w="10" w:type="dxa"/>
          <w:right w:w="10" w:type="dxa"/>
        </w:tblCellMar>
        <w:tblLook w:val="04A0" w:firstRow="1" w:lastRow="0" w:firstColumn="1" w:lastColumn="0" w:noHBand="0" w:noVBand="1"/>
      </w:tblPr>
      <w:tblGrid>
        <w:gridCol w:w="1200"/>
        <w:gridCol w:w="1200"/>
        <w:gridCol w:w="1200"/>
        <w:gridCol w:w="1200"/>
      </w:tblGrid>
      <w:tr w:rsidR="00216BBB" w14:paraId="17FA3CAE" w14:textId="77777777" w:rsidTr="00216BBB">
        <w:trPr>
          <w:trHeight w:val="333"/>
        </w:trPr>
        <w:tc>
          <w:tcPr>
            <w:tcW w:w="1200" w:type="dxa"/>
            <w:shd w:val="clear" w:color="auto" w:fill="1F4E5F"/>
            <w:tcMar>
              <w:top w:w="100" w:type="dxa"/>
              <w:left w:w="100" w:type="dxa"/>
              <w:bottom w:w="60" w:type="dxa"/>
              <w:right w:w="100" w:type="dxa"/>
            </w:tcMar>
            <w:vAlign w:val="center"/>
          </w:tcPr>
          <w:p w14:paraId="69AC8B71" w14:textId="77777777" w:rsidR="00216BBB" w:rsidRDefault="00216BBB" w:rsidP="00EA4CDF">
            <w:pPr>
              <w:jc w:val="center"/>
            </w:pPr>
            <w:r>
              <w:rPr>
                <w:b/>
                <w:bCs/>
                <w:color w:val="FFFFFF"/>
                <w:sz w:val="26"/>
                <w:szCs w:val="26"/>
              </w:rPr>
              <w:t>SDM</w:t>
            </w:r>
          </w:p>
        </w:tc>
        <w:tc>
          <w:tcPr>
            <w:tcW w:w="1200" w:type="dxa"/>
            <w:shd w:val="clear" w:color="auto" w:fill="1F4E5F"/>
            <w:tcMar>
              <w:top w:w="100" w:type="dxa"/>
              <w:left w:w="100" w:type="dxa"/>
              <w:bottom w:w="60" w:type="dxa"/>
              <w:right w:w="100" w:type="dxa"/>
            </w:tcMar>
            <w:vAlign w:val="center"/>
          </w:tcPr>
          <w:p w14:paraId="1B6E5155" w14:textId="77777777" w:rsidR="00216BBB" w:rsidRDefault="00216BBB" w:rsidP="00EA4CDF">
            <w:pPr>
              <w:jc w:val="center"/>
            </w:pPr>
            <w:r>
              <w:rPr>
                <w:b/>
                <w:bCs/>
                <w:color w:val="FFFFFF"/>
                <w:sz w:val="26"/>
                <w:szCs w:val="26"/>
              </w:rPr>
              <w:t>CKM</w:t>
            </w:r>
          </w:p>
        </w:tc>
        <w:tc>
          <w:tcPr>
            <w:tcW w:w="1200" w:type="dxa"/>
            <w:shd w:val="clear" w:color="auto" w:fill="1F4E5F"/>
            <w:tcMar>
              <w:top w:w="100" w:type="dxa"/>
              <w:left w:w="100" w:type="dxa"/>
              <w:bottom w:w="60" w:type="dxa"/>
              <w:right w:w="100" w:type="dxa"/>
            </w:tcMar>
            <w:vAlign w:val="center"/>
          </w:tcPr>
          <w:p w14:paraId="7232F734" w14:textId="77777777" w:rsidR="00216BBB" w:rsidRDefault="00216BBB" w:rsidP="00EA4CDF">
            <w:pPr>
              <w:jc w:val="center"/>
            </w:pPr>
            <w:r>
              <w:rPr>
                <w:b/>
                <w:bCs/>
                <w:color w:val="FFFFFF"/>
                <w:sz w:val="26"/>
                <w:szCs w:val="26"/>
              </w:rPr>
              <w:t>ACP</w:t>
            </w:r>
          </w:p>
        </w:tc>
        <w:tc>
          <w:tcPr>
            <w:tcW w:w="1200" w:type="dxa"/>
            <w:shd w:val="clear" w:color="auto" w:fill="1F4E5F"/>
            <w:tcMar>
              <w:top w:w="100" w:type="dxa"/>
              <w:left w:w="100" w:type="dxa"/>
              <w:bottom w:w="60" w:type="dxa"/>
              <w:right w:w="100" w:type="dxa"/>
            </w:tcMar>
            <w:vAlign w:val="center"/>
          </w:tcPr>
          <w:p w14:paraId="2842711D" w14:textId="77777777" w:rsidR="00216BBB" w:rsidRDefault="00216BBB" w:rsidP="00EA4CDF">
            <w:pPr>
              <w:jc w:val="center"/>
            </w:pPr>
            <w:r>
              <w:rPr>
                <w:b/>
                <w:bCs/>
                <w:color w:val="FFFFFF"/>
                <w:sz w:val="26"/>
                <w:szCs w:val="26"/>
              </w:rPr>
              <w:t>ReSPECT</w:t>
            </w:r>
          </w:p>
        </w:tc>
      </w:tr>
      <w:tr w:rsidR="00216BBB" w14:paraId="09B82224" w14:textId="77777777" w:rsidTr="00216BBB">
        <w:trPr>
          <w:trHeight w:val="699"/>
        </w:trPr>
        <w:tc>
          <w:tcPr>
            <w:tcW w:w="1200" w:type="dxa"/>
            <w:shd w:val="clear" w:color="auto" w:fill="EAF1F4"/>
            <w:tcMar>
              <w:top w:w="60" w:type="dxa"/>
              <w:left w:w="100" w:type="dxa"/>
              <w:bottom w:w="20" w:type="dxa"/>
              <w:right w:w="100" w:type="dxa"/>
            </w:tcMar>
          </w:tcPr>
          <w:p w14:paraId="75F69C33" w14:textId="77777777" w:rsidR="00216BBB" w:rsidRDefault="00216BBB" w:rsidP="00EA4CDF">
            <w:pPr>
              <w:jc w:val="center"/>
            </w:pPr>
            <w:r>
              <w:rPr>
                <w:sz w:val="18"/>
                <w:szCs w:val="18"/>
              </w:rPr>
              <w:t>Shared Decision-Making — core of person-centred CKD</w:t>
            </w:r>
          </w:p>
        </w:tc>
        <w:tc>
          <w:tcPr>
            <w:tcW w:w="1200" w:type="dxa"/>
            <w:shd w:val="clear" w:color="auto" w:fill="EAF1F4"/>
            <w:tcMar>
              <w:top w:w="60" w:type="dxa"/>
              <w:left w:w="100" w:type="dxa"/>
              <w:bottom w:w="20" w:type="dxa"/>
              <w:right w:w="100" w:type="dxa"/>
            </w:tcMar>
          </w:tcPr>
          <w:p w14:paraId="10D34B30" w14:textId="77777777" w:rsidR="00216BBB" w:rsidRDefault="00216BBB" w:rsidP="00EA4CDF">
            <w:pPr>
              <w:jc w:val="center"/>
            </w:pPr>
            <w:r>
              <w:rPr>
                <w:sz w:val="18"/>
                <w:szCs w:val="18"/>
              </w:rPr>
              <w:t>Conservative Kidney Management — validated alternative</w:t>
            </w:r>
          </w:p>
        </w:tc>
        <w:tc>
          <w:tcPr>
            <w:tcW w:w="1200" w:type="dxa"/>
            <w:shd w:val="clear" w:color="auto" w:fill="EAF1F4"/>
            <w:tcMar>
              <w:top w:w="60" w:type="dxa"/>
              <w:left w:w="100" w:type="dxa"/>
              <w:bottom w:w="20" w:type="dxa"/>
              <w:right w:w="100" w:type="dxa"/>
            </w:tcMar>
          </w:tcPr>
          <w:p w14:paraId="14F83141" w14:textId="77777777" w:rsidR="00216BBB" w:rsidRDefault="00216BBB" w:rsidP="00EA4CDF">
            <w:pPr>
              <w:jc w:val="center"/>
            </w:pPr>
            <w:r>
              <w:rPr>
                <w:sz w:val="18"/>
                <w:szCs w:val="18"/>
              </w:rPr>
              <w:t>Advance Care Planning — improves EoL outcomes</w:t>
            </w:r>
          </w:p>
        </w:tc>
        <w:tc>
          <w:tcPr>
            <w:tcW w:w="1200" w:type="dxa"/>
            <w:shd w:val="clear" w:color="auto" w:fill="EAF1F4"/>
            <w:tcMar>
              <w:top w:w="60" w:type="dxa"/>
              <w:left w:w="100" w:type="dxa"/>
              <w:bottom w:w="20" w:type="dxa"/>
              <w:right w:w="100" w:type="dxa"/>
            </w:tcMar>
          </w:tcPr>
          <w:p w14:paraId="108642AA" w14:textId="77777777" w:rsidR="00216BBB" w:rsidRDefault="00216BBB" w:rsidP="00EA4CDF">
            <w:pPr>
              <w:jc w:val="center"/>
            </w:pPr>
            <w:r>
              <w:rPr>
                <w:sz w:val="18"/>
                <w:szCs w:val="18"/>
              </w:rPr>
              <w:t>Structured EoL tool for CKD community care</w:t>
            </w:r>
          </w:p>
        </w:tc>
      </w:tr>
      <w:tr w:rsidR="00216BBB" w14:paraId="338CFBCE" w14:textId="77777777" w:rsidTr="00216BBB">
        <w:trPr>
          <w:trHeight w:val="429"/>
        </w:trPr>
        <w:tc>
          <w:tcPr>
            <w:tcW w:w="1200" w:type="dxa"/>
            <w:shd w:val="clear" w:color="auto" w:fill="EAF1F4"/>
            <w:tcMar>
              <w:top w:w="20" w:type="dxa"/>
              <w:left w:w="100" w:type="dxa"/>
              <w:bottom w:w="100" w:type="dxa"/>
              <w:right w:w="100" w:type="dxa"/>
            </w:tcMar>
          </w:tcPr>
          <w:p w14:paraId="78028343" w14:textId="77777777" w:rsidR="00216BBB" w:rsidRDefault="00216BBB" w:rsidP="00EA4CDF">
            <w:pPr>
              <w:jc w:val="center"/>
            </w:pPr>
            <w:r>
              <w:rPr>
                <w:i/>
                <w:iCs/>
                <w:color w:val="555555"/>
                <w:sz w:val="16"/>
                <w:szCs w:val="16"/>
              </w:rPr>
              <w:t>NICE NG203; Coulter et al., 2016</w:t>
            </w:r>
          </w:p>
        </w:tc>
        <w:tc>
          <w:tcPr>
            <w:tcW w:w="1200" w:type="dxa"/>
            <w:shd w:val="clear" w:color="auto" w:fill="EAF1F4"/>
            <w:tcMar>
              <w:top w:w="20" w:type="dxa"/>
              <w:left w:w="100" w:type="dxa"/>
              <w:bottom w:w="100" w:type="dxa"/>
              <w:right w:w="100" w:type="dxa"/>
            </w:tcMar>
          </w:tcPr>
          <w:p w14:paraId="1372866C" w14:textId="77777777" w:rsidR="00216BBB" w:rsidRDefault="00216BBB" w:rsidP="00EA4CDF">
            <w:pPr>
              <w:jc w:val="center"/>
            </w:pPr>
            <w:r>
              <w:rPr>
                <w:i/>
                <w:iCs/>
                <w:color w:val="555555"/>
                <w:sz w:val="16"/>
                <w:szCs w:val="16"/>
              </w:rPr>
              <w:t>Davison et al., 2015; Brown et al., 2023</w:t>
            </w:r>
          </w:p>
        </w:tc>
        <w:tc>
          <w:tcPr>
            <w:tcW w:w="1200" w:type="dxa"/>
            <w:shd w:val="clear" w:color="auto" w:fill="EAF1F4"/>
            <w:tcMar>
              <w:top w:w="20" w:type="dxa"/>
              <w:left w:w="100" w:type="dxa"/>
              <w:bottom w:w="100" w:type="dxa"/>
              <w:right w:w="100" w:type="dxa"/>
            </w:tcMar>
          </w:tcPr>
          <w:p w14:paraId="2B9B920F" w14:textId="77777777" w:rsidR="00216BBB" w:rsidRDefault="00216BBB" w:rsidP="00EA4CDF">
            <w:pPr>
              <w:jc w:val="center"/>
            </w:pPr>
            <w:r>
              <w:rPr>
                <w:i/>
                <w:iCs/>
                <w:color w:val="555555"/>
                <w:sz w:val="16"/>
                <w:szCs w:val="16"/>
              </w:rPr>
              <w:t>Davison et al., 2021</w:t>
            </w:r>
          </w:p>
        </w:tc>
        <w:tc>
          <w:tcPr>
            <w:tcW w:w="1200" w:type="dxa"/>
            <w:shd w:val="clear" w:color="auto" w:fill="EAF1F4"/>
            <w:tcMar>
              <w:top w:w="20" w:type="dxa"/>
              <w:left w:w="100" w:type="dxa"/>
              <w:bottom w:w="100" w:type="dxa"/>
              <w:right w:w="100" w:type="dxa"/>
            </w:tcMar>
          </w:tcPr>
          <w:p w14:paraId="0A3F2577" w14:textId="77777777" w:rsidR="00216BBB" w:rsidRDefault="00216BBB" w:rsidP="00EA4CDF">
            <w:pPr>
              <w:jc w:val="center"/>
            </w:pPr>
            <w:r>
              <w:rPr>
                <w:i/>
                <w:iCs/>
                <w:color w:val="555555"/>
                <w:sz w:val="16"/>
                <w:szCs w:val="16"/>
              </w:rPr>
              <w:t>NHS England, 2020</w:t>
            </w:r>
          </w:p>
        </w:tc>
      </w:tr>
    </w:tbl>
    <w:p w14:paraId="42A4E2CE" w14:textId="77777777" w:rsidR="00216BBB" w:rsidRDefault="00216BBB" w:rsidP="00216BBB">
      <w:pPr>
        <w:spacing w:after="100"/>
      </w:pPr>
    </w:p>
    <w:p w14:paraId="4A9DD1ED" w14:textId="77777777" w:rsidR="00216BBB" w:rsidRDefault="00216BBB" w:rsidP="00216BBB">
      <w:pPr>
        <w:pStyle w:val="Heading2"/>
        <w:spacing w:before="300"/>
      </w:pPr>
      <w:r>
        <w:t>6.1  Shared Decision-Making</w:t>
      </w:r>
    </w:p>
    <w:p w14:paraId="238B49D1" w14:textId="77777777" w:rsidR="00216BBB" w:rsidRDefault="00216BBB" w:rsidP="00216BBB">
      <w:pPr>
        <w:pStyle w:val="Heading3"/>
      </w:pPr>
      <w:r>
        <w:t>Partnership, Not Prescription: Transforming the Clinician–Patient Relationship</w:t>
      </w:r>
    </w:p>
    <w:p w14:paraId="319B8CCD" w14:textId="77777777" w:rsidR="00216BBB" w:rsidRDefault="00216BBB" w:rsidP="00216BBB">
      <w:pPr>
        <w:spacing w:after="200"/>
        <w:jc w:val="both"/>
      </w:pPr>
      <w:r>
        <w:t xml:space="preserve">A person-centred approach to CKD means changing how care is delivered, focusing on supporting the whole person rather than just treating the disease. NHS England's Comprehensive Model of Personalised Care (2019b) describes this approach, which includes shared decision-making, personalised care planning, social prescribing, personal health budgets, and support for self-management. Shared decision-making is especially important in CKD, as patients often have to make big and sometimes permanent choices about kidney replacement treatments as their disease progresses. Research shows that patients who are well-informed and involved in decisions have better outcomes and are more satisfied with their care (Coulter et al., 2016). Community nurses play a key role in supporting shared decision-making from diagnosis onwards, building ongoing </w:t>
      </w:r>
      <w:r>
        <w:lastRenderedPageBreak/>
        <w:t>relationships so that patient goals and preferences can be updated and kept at the centre of care planning.</w:t>
      </w:r>
    </w:p>
    <w:p w14:paraId="37755EF4" w14:textId="77777777" w:rsidR="00216BBB" w:rsidRDefault="00216BBB" w:rsidP="00216BBB">
      <w:pPr>
        <w:pStyle w:val="Heading2"/>
        <w:spacing w:before="300"/>
      </w:pPr>
      <w:r>
        <w:t>6.2  Supported Self-Management</w:t>
      </w:r>
    </w:p>
    <w:p w14:paraId="2CC87F3F" w14:textId="77777777" w:rsidR="00216BBB" w:rsidRDefault="00216BBB" w:rsidP="00216BBB">
      <w:pPr>
        <w:pStyle w:val="Heading3"/>
      </w:pPr>
      <w:r>
        <w:t>Empowering Patients Through Education, Social Prescribing and Structured Support</w:t>
      </w:r>
    </w:p>
    <w:p w14:paraId="22C66E1A" w14:textId="77777777" w:rsidR="00216BBB" w:rsidRDefault="00216BBB" w:rsidP="00216BBB">
      <w:pPr>
        <w:spacing w:after="200"/>
        <w:jc w:val="both"/>
      </w:pPr>
      <w:r>
        <w:t>Supported self-management, recommended in NICE NG203, includes daily blood pressure monitoring, dietary changes, following fluid management advice, taking medication as prescribed, and staying physically active. A 2025 analysis confirmed that structured, community-based self-management support can significantly slow CKD progression and reduce cardiovascular events (Luyckx et al., 2025). Social prescribing, which connects patients with peer support groups, exercise referral schemes, employment support, and voluntary sector services, addresses the social factors that directly affect CKD outcomes. Developing structured kidney self-management education programmes, similar to the DESMOND programme for type 2 diabetes, is a significant and underused opportunity in the NHS.</w:t>
      </w:r>
    </w:p>
    <w:p w14:paraId="317AA999" w14:textId="77777777" w:rsidR="00216BBB" w:rsidRDefault="00216BBB" w:rsidP="00216BBB">
      <w:pPr>
        <w:pStyle w:val="Heading2"/>
        <w:spacing w:before="300"/>
      </w:pPr>
      <w:r>
        <w:t>6.3  Conservative Kidney Management and End-of-Life Care</w:t>
      </w:r>
    </w:p>
    <w:p w14:paraId="49C9175E" w14:textId="77777777" w:rsidR="00216BBB" w:rsidRDefault="00216BBB" w:rsidP="00216BBB">
      <w:pPr>
        <w:pStyle w:val="Heading3"/>
      </w:pPr>
      <w:r>
        <w:t>Compassionate, Person-Centred Care for Advanced CKD Without Dialysis</w:t>
      </w:r>
    </w:p>
    <w:p w14:paraId="4292413F" w14:textId="77777777" w:rsidR="00216BBB" w:rsidRDefault="00216BBB" w:rsidP="00216BBB">
      <w:pPr>
        <w:spacing w:after="200"/>
        <w:jc w:val="both"/>
      </w:pPr>
      <w:r>
        <w:t>Conservative kidney management (CKM) is a growing and evidence-based option for patients with advanced CKD, especially older, frail people with other health problems, where the burdens of dialysis may outweigh the benefits (Davison et al., 2015). CKM includes active medical management to slow disease progression, nutritional and symptom support, psychosocial and spiritual care, and advance care planning, without dialysis or transplantation. Research shows that for the right patients, survival with CKM may be similar to dialysis, while quality of life, time at home, and carer burden are often better (Brown et al., 2023).</w:t>
      </w:r>
    </w:p>
    <w:p w14:paraId="5B2C7E32" w14:textId="77777777" w:rsidR="00CE4086" w:rsidRDefault="00CE4086" w:rsidP="00216BBB">
      <w:pPr>
        <w:spacing w:after="200"/>
        <w:jc w:val="both"/>
      </w:pPr>
    </w:p>
    <w:p w14:paraId="684D7455" w14:textId="77777777" w:rsidR="00CE4086" w:rsidRDefault="00CE4086" w:rsidP="00216BBB">
      <w:pPr>
        <w:spacing w:after="200"/>
        <w:jc w:val="both"/>
      </w:pPr>
    </w:p>
    <w:p w14:paraId="7FDDEE64" w14:textId="77777777" w:rsidR="00216BBB" w:rsidRDefault="00216BBB" w:rsidP="00216BBB">
      <w:pPr>
        <w:pStyle w:val="Heading2"/>
        <w:spacing w:before="300"/>
      </w:pPr>
      <w:r>
        <w:t>6.4  Advance Care Planning</w:t>
      </w:r>
    </w:p>
    <w:p w14:paraId="000F70BD" w14:textId="77777777" w:rsidR="00216BBB" w:rsidRDefault="00216BBB" w:rsidP="00216BBB">
      <w:pPr>
        <w:pStyle w:val="Heading3"/>
      </w:pPr>
      <w:r>
        <w:t>Normalising End-of-Life Discussions Throughout the CKD Journey</w:t>
      </w:r>
    </w:p>
    <w:p w14:paraId="6B64A041" w14:textId="77777777" w:rsidR="00216BBB" w:rsidRDefault="00216BBB" w:rsidP="00216BBB">
      <w:pPr>
        <w:spacing w:after="200"/>
        <w:jc w:val="both"/>
      </w:pPr>
      <w:r>
        <w:t>Advance care planning (ACP) should start early and involve both patients and families, well before a crisis, so they can share their preferences about future treatments, resuscitation, and where they want to receive care. Despite the high symptom burden and mortality of end-stage kidney disease, many patients do not have timely ACP conversations (Davison et al., 2021). Community nurses and primary care teams play a key role in making these discussions routine, using structured tools like the ReSPECT process to record and share preferences across care settings. Clear pathways between primary care, nephrology, and specialist palliative care are essential for fair and compassionate end-of-life care for everyone with advanced CKD.</w:t>
      </w:r>
    </w:p>
    <w:p w14:paraId="0E64D428" w14:textId="77777777" w:rsidR="00216BBB" w:rsidRDefault="00216BBB" w:rsidP="00216BBB">
      <w:pPr>
        <w:pStyle w:val="Heading1"/>
      </w:pPr>
      <w:r>
        <w:t>Conclusion</w:t>
      </w:r>
    </w:p>
    <w:p w14:paraId="4D2BAB11" w14:textId="77777777" w:rsidR="00216BBB" w:rsidRDefault="00216BBB" w:rsidP="00216BBB">
      <w:pPr>
        <w:spacing w:after="200"/>
      </w:pPr>
      <w:r>
        <w:rPr>
          <w:i/>
          <w:iCs/>
          <w:color w:val="555555"/>
        </w:rPr>
        <w:t>Closing the Gap Between Evidence and Practice: A Call for Transformative Community CKD Care</w:t>
      </w:r>
    </w:p>
    <w:p w14:paraId="2DC4FA77" w14:textId="6CD32DCB" w:rsidR="00461EEA" w:rsidRDefault="00216BBB" w:rsidP="002C77DB">
      <w:pPr>
        <w:spacing w:after="200"/>
        <w:jc w:val="both"/>
      </w:pPr>
      <w:r>
        <w:t>Chronic kidney disease is a complex, long-term condition that is becoming more common worldwide and has a big impact on health and healthcare costs. This booklet uses the latest evidence from 2023 to 2025, including the GBD 2023 Lancet study, KDIGO 2024 guidelines, NICE NG203, and the NHS 10-Year Health Plan, to show that there remains a significant gap between best practice and real-world practice. Community care is important but often underused in closing this gap. Combining new drug treatments, especially SGLT2 inhibitors, with person-centred, team-based community care based on the House of Care and Wagner's Chronic Care Model, and guided by Core20PLUS5 health equity principles, offers a clear way to improve CKD outcomes. The main focus should always be on shared decision-making, supporting patients to manage their own care, and providing compassionate, person-centred end-of-life care that sees the whole person, not just the disease. Nurses, working closely with patients, families, and the community, are uniquely positioned to lead this change.</w:t>
      </w:r>
    </w:p>
    <w:p w14:paraId="2FF973E3" w14:textId="7284D503" w:rsidR="00D96BD0" w:rsidRDefault="00000000" w:rsidP="00472B7D">
      <w:pPr>
        <w:pStyle w:val="Heading1"/>
        <w:pBdr>
          <w:bottom w:val="single" w:sz="8" w:space="6" w:color="2E7D8C"/>
        </w:pBdr>
      </w:pPr>
      <w:bookmarkStart w:id="0" w:name="_Hlk235064498"/>
      <w:r>
        <w:lastRenderedPageBreak/>
        <w:t>References</w:t>
      </w:r>
    </w:p>
    <w:p w14:paraId="0FDF9DD0" w14:textId="77777777" w:rsidR="00D96BD0" w:rsidRPr="00C4565B" w:rsidRDefault="00000000">
      <w:pPr>
        <w:spacing w:after="100"/>
        <w:ind w:left="720" w:hanging="720"/>
        <w:rPr>
          <w:color w:val="000000" w:themeColor="text1"/>
        </w:rPr>
      </w:pPr>
      <w:r w:rsidRPr="00C4565B">
        <w:rPr>
          <w:color w:val="000000" w:themeColor="text1"/>
          <w:sz w:val="20"/>
          <w:szCs w:val="20"/>
        </w:rPr>
        <w:t>1.  Agathangelou, G., Graham-Brown, M., McMahon, A.C., Xydopoulos, G., Gofman, L. and Jaffe, J. (2025) 'Economic evaluation of population-level chronic kidney disease interventions in the UK National Health Service', Journal of Health Economics and Outcomes Research, 12(1), pp. 184–190.</w:t>
      </w:r>
    </w:p>
    <w:p w14:paraId="10B5FFF2" w14:textId="1E989553" w:rsidR="00D96BD0" w:rsidRPr="00C4565B" w:rsidRDefault="00000000">
      <w:pPr>
        <w:spacing w:after="100"/>
        <w:ind w:left="720" w:hanging="720"/>
        <w:rPr>
          <w:color w:val="000000" w:themeColor="text1"/>
        </w:rPr>
      </w:pPr>
      <w:r w:rsidRPr="00C4565B">
        <w:rPr>
          <w:color w:val="000000" w:themeColor="text1"/>
          <w:sz w:val="20"/>
          <w:szCs w:val="20"/>
        </w:rPr>
        <w:t xml:space="preserve">2.  </w:t>
      </w:r>
      <w:r w:rsidR="00033C7C" w:rsidRPr="00C4565B">
        <w:rPr>
          <w:color w:val="000000" w:themeColor="text1"/>
          <w:sz w:val="20"/>
          <w:szCs w:val="20"/>
        </w:rPr>
        <w:t>Nablawi, R.A., Alghamdi, L.S., Alshaikh, A.E., Alagha, A.M., Alharbi, N.T., Ali, A.H., Khafaji, H.A., Zarei, E.W.E. and Alzahrani, N.A. (2025)</w:t>
      </w:r>
      <w:r w:rsidRPr="00C4565B">
        <w:rPr>
          <w:color w:val="000000" w:themeColor="text1"/>
          <w:sz w:val="20"/>
          <w:szCs w:val="20"/>
        </w:rPr>
        <w:t>'Quality of life and depression among chronic kidney disease patients: a tertiary care center cross-sectional study', Frontiers in Nephrology. Available at: https://www.frontiersin.org/journals/nephrology/articles/10.3389/fneph.2025.1600296/full (Accessed: 11 June 2026).</w:t>
      </w:r>
    </w:p>
    <w:p w14:paraId="3128900D" w14:textId="77777777" w:rsidR="00D96BD0" w:rsidRPr="00C4565B" w:rsidRDefault="00000000">
      <w:pPr>
        <w:spacing w:after="100"/>
        <w:ind w:left="720" w:hanging="720"/>
        <w:rPr>
          <w:color w:val="000000" w:themeColor="text1"/>
        </w:rPr>
      </w:pPr>
      <w:r w:rsidRPr="00C4565B">
        <w:rPr>
          <w:color w:val="000000" w:themeColor="text1"/>
          <w:sz w:val="20"/>
          <w:szCs w:val="20"/>
        </w:rPr>
        <w:t>3.  Barr, V.J., Robinson, S., Marin-Link, B., Underhill, L., Dotts, A., Ravensdale, D. and Salivaras, S. (2003) 'The expanded chronic care model: an integration of concepts and strategies from population health promotion and the chronic care model', Healthcare Quarterly, 7(1), pp. 73–82.</w:t>
      </w:r>
    </w:p>
    <w:p w14:paraId="7C2B11D8" w14:textId="77777777" w:rsidR="00D96BD0" w:rsidRPr="00C4565B" w:rsidRDefault="00000000">
      <w:pPr>
        <w:spacing w:after="100"/>
        <w:ind w:left="720" w:hanging="720"/>
        <w:rPr>
          <w:color w:val="000000" w:themeColor="text1"/>
        </w:rPr>
      </w:pPr>
      <w:r w:rsidRPr="00C4565B">
        <w:rPr>
          <w:color w:val="000000" w:themeColor="text1"/>
          <w:sz w:val="20"/>
          <w:szCs w:val="20"/>
        </w:rPr>
        <w:t>4.  British Heart Foundation (BHF) (2017) The House of Care: an innovative approach to person-centred care. London: BHF. Available at: https://www.bhf.org.uk (Accessed: 11 June 2026).</w:t>
      </w:r>
    </w:p>
    <w:p w14:paraId="1B58847B" w14:textId="77777777" w:rsidR="00D96BD0" w:rsidRPr="00C4565B" w:rsidRDefault="00000000">
      <w:pPr>
        <w:spacing w:after="100"/>
        <w:ind w:left="720" w:hanging="720"/>
        <w:rPr>
          <w:color w:val="000000" w:themeColor="text1"/>
        </w:rPr>
      </w:pPr>
      <w:r w:rsidRPr="00C4565B">
        <w:rPr>
          <w:color w:val="000000" w:themeColor="text1"/>
          <w:sz w:val="20"/>
          <w:szCs w:val="20"/>
        </w:rPr>
        <w:t>5.  Brown, M., Chou, A., Li, C., Farshid, S. and Hoffman, A. (2023) 'Survival, symptoms and hospitalisation of older patients with advanced CKD managed without dialysis', Nephrology Dialysis Transplantation, 38(2), pp. 405–413.</w:t>
      </w:r>
    </w:p>
    <w:p w14:paraId="2DDF23A6" w14:textId="59C4DE22" w:rsidR="00D96BD0" w:rsidRPr="00C4565B" w:rsidRDefault="00000000">
      <w:pPr>
        <w:spacing w:after="100"/>
        <w:ind w:left="720" w:hanging="720"/>
        <w:rPr>
          <w:color w:val="000000" w:themeColor="text1"/>
        </w:rPr>
      </w:pPr>
      <w:r w:rsidRPr="00C4565B">
        <w:rPr>
          <w:color w:val="000000" w:themeColor="text1"/>
          <w:sz w:val="20"/>
          <w:szCs w:val="20"/>
        </w:rPr>
        <w:t>6.  Coulter, A</w:t>
      </w:r>
      <w:r w:rsidRPr="00C4565B">
        <w:rPr>
          <w:b/>
          <w:bCs/>
          <w:color w:val="000000" w:themeColor="text1"/>
          <w:sz w:val="20"/>
          <w:szCs w:val="20"/>
        </w:rPr>
        <w:t xml:space="preserve">., </w:t>
      </w:r>
      <w:r w:rsidR="00C4565B" w:rsidRPr="00C4565B">
        <w:rPr>
          <w:b/>
          <w:bCs/>
          <w:color w:val="000000" w:themeColor="text1"/>
          <w:sz w:val="20"/>
          <w:szCs w:val="20"/>
        </w:rPr>
        <w:t xml:space="preserve"> </w:t>
      </w:r>
      <w:r w:rsidR="00C4565B" w:rsidRPr="00C4565B">
        <w:rPr>
          <w:color w:val="000000" w:themeColor="text1"/>
          <w:sz w:val="20"/>
          <w:szCs w:val="20"/>
        </w:rPr>
        <w:t>Kramer, G., Warren, T. and Salisbury, C. (2016),</w:t>
      </w:r>
      <w:r w:rsidRPr="00C4565B">
        <w:rPr>
          <w:color w:val="000000" w:themeColor="text1"/>
          <w:sz w:val="20"/>
          <w:szCs w:val="20"/>
        </w:rPr>
        <w:t>'Building the House of Care for people with long-term conditions: the foundation of the House of Care framework', British Journal of General Practice, 66(645), pp. e288–e290.</w:t>
      </w:r>
    </w:p>
    <w:p w14:paraId="64675D49" w14:textId="77777777" w:rsidR="00D96BD0" w:rsidRPr="00C4565B" w:rsidRDefault="00000000">
      <w:pPr>
        <w:spacing w:after="100"/>
        <w:ind w:left="720" w:hanging="720"/>
        <w:rPr>
          <w:color w:val="000000" w:themeColor="text1"/>
        </w:rPr>
      </w:pPr>
      <w:r w:rsidRPr="00C4565B">
        <w:rPr>
          <w:color w:val="000000" w:themeColor="text1"/>
          <w:sz w:val="20"/>
          <w:szCs w:val="20"/>
        </w:rPr>
        <w:t>7.  Davison, S.N., Levin, A., Moss, A.H., Jha, V., Brown, E.A., Brennan, F. and Murtagh, F.E.M. (2015) 'Executive summary of the KDIGO Controversies Conference on Supportive Care in Chronic Kidney Disease: developing a roadmap to improving quality care', Kidney International, 88(3), pp. 447–459.</w:t>
      </w:r>
    </w:p>
    <w:p w14:paraId="6C72AC62" w14:textId="65BD2791" w:rsidR="00D96BD0" w:rsidRPr="00C4565B" w:rsidRDefault="00000000">
      <w:pPr>
        <w:spacing w:after="100"/>
        <w:ind w:left="720" w:hanging="720"/>
        <w:rPr>
          <w:color w:val="000000" w:themeColor="text1"/>
        </w:rPr>
      </w:pPr>
      <w:r w:rsidRPr="00C4565B">
        <w:rPr>
          <w:color w:val="000000" w:themeColor="text1"/>
          <w:sz w:val="20"/>
          <w:szCs w:val="20"/>
        </w:rPr>
        <w:t>8.  Davison, S.N., Tupala, B., Wasylynuk, B.A., Siu, V., Sinnarajah, A. and Triscott, J. (20</w:t>
      </w:r>
      <w:r w:rsidR="00C4565B" w:rsidRPr="00C4565B">
        <w:rPr>
          <w:color w:val="000000" w:themeColor="text1"/>
          <w:sz w:val="20"/>
          <w:szCs w:val="20"/>
        </w:rPr>
        <w:t>19</w:t>
      </w:r>
      <w:r w:rsidRPr="00C4565B">
        <w:rPr>
          <w:color w:val="000000" w:themeColor="text1"/>
          <w:sz w:val="20"/>
          <w:szCs w:val="20"/>
        </w:rPr>
        <w:t xml:space="preserve">) 'Recommendations for the care of patients </w:t>
      </w:r>
      <w:r w:rsidRPr="00C4565B">
        <w:rPr>
          <w:color w:val="000000" w:themeColor="text1"/>
          <w:sz w:val="20"/>
          <w:szCs w:val="20"/>
        </w:rPr>
        <w:t>receiving conservative kidney management', Clinical Journal of the American Society of Nephrology, 14(4), pp. 626–634.</w:t>
      </w:r>
    </w:p>
    <w:p w14:paraId="064C16E7" w14:textId="77777777" w:rsidR="00D96BD0" w:rsidRPr="00C4565B" w:rsidRDefault="00000000">
      <w:pPr>
        <w:spacing w:after="100"/>
        <w:ind w:left="720" w:hanging="720"/>
        <w:rPr>
          <w:color w:val="000000" w:themeColor="text1"/>
        </w:rPr>
      </w:pPr>
      <w:r w:rsidRPr="00C4565B">
        <w:rPr>
          <w:color w:val="000000" w:themeColor="text1"/>
          <w:sz w:val="20"/>
          <w:szCs w:val="20"/>
        </w:rPr>
        <w:t>9.  GBD Chronic Kidney Disease Collaboration (2025) 'Global, regional, and national burden of chronic kidney disease in adults, 1990–2023, and its attributable risk factors: a systematic analysis for the Global Burden of Disease Study 2023', The Lancet.</w:t>
      </w:r>
    </w:p>
    <w:p w14:paraId="30175397" w14:textId="77777777" w:rsidR="00D96BD0" w:rsidRPr="00C4565B" w:rsidRDefault="00000000">
      <w:pPr>
        <w:spacing w:after="100"/>
        <w:ind w:left="720" w:hanging="720"/>
        <w:rPr>
          <w:color w:val="000000" w:themeColor="text1"/>
        </w:rPr>
      </w:pPr>
      <w:r w:rsidRPr="00C4565B">
        <w:rPr>
          <w:color w:val="000000" w:themeColor="text1"/>
          <w:sz w:val="20"/>
          <w:szCs w:val="20"/>
        </w:rPr>
        <w:t>10. Health Innovation East Midlands (2024) Pilot programme for patients with chronic kidney disease will be expanded following its success. Available at: https://leicesterleicestershireandrutland.icb.nhs.uk (Accessed: 11 June 2026).</w:t>
      </w:r>
    </w:p>
    <w:p w14:paraId="09EEA020" w14:textId="77777777" w:rsidR="00D96BD0" w:rsidRPr="00C4565B" w:rsidRDefault="00000000">
      <w:pPr>
        <w:spacing w:after="100"/>
        <w:ind w:left="720" w:hanging="720"/>
        <w:rPr>
          <w:color w:val="000000" w:themeColor="text1"/>
        </w:rPr>
      </w:pPr>
      <w:r w:rsidRPr="00C4565B">
        <w:rPr>
          <w:color w:val="000000" w:themeColor="text1"/>
          <w:sz w:val="20"/>
          <w:szCs w:val="20"/>
        </w:rPr>
        <w:t>11. Heerspink, H.J.L., Stefánsson, B.V., Correa-Rotter, R., Chertow, G.M., Greene, T., Hou, F.F. and Wheeler, D.C. (2020) 'Dapagliflozin in patients with chronic kidney disease', New England Journal of Medicine, 383(15), pp. 1436–1446.</w:t>
      </w:r>
    </w:p>
    <w:p w14:paraId="22819E0E" w14:textId="77777777" w:rsidR="00D96BD0" w:rsidRPr="00C4565B" w:rsidRDefault="00000000">
      <w:pPr>
        <w:spacing w:after="100"/>
        <w:ind w:left="720" w:hanging="720"/>
        <w:rPr>
          <w:color w:val="000000" w:themeColor="text1"/>
        </w:rPr>
      </w:pPr>
      <w:r w:rsidRPr="00C4565B">
        <w:rPr>
          <w:color w:val="000000" w:themeColor="text1"/>
          <w:sz w:val="20"/>
          <w:szCs w:val="20"/>
        </w:rPr>
        <w:t>12. Herrington, W.G. and EMPA-KIDNEY Collaborative Group (2023) 'Empagliflozin in patients with chronic kidney disease', New England Journal of Medicine, 388(2), pp. 117–127.</w:t>
      </w:r>
    </w:p>
    <w:p w14:paraId="61993BED" w14:textId="77777777" w:rsidR="00D96BD0" w:rsidRPr="00C4565B" w:rsidRDefault="00000000">
      <w:pPr>
        <w:spacing w:after="100"/>
        <w:ind w:left="720" w:hanging="720"/>
        <w:rPr>
          <w:color w:val="000000" w:themeColor="text1"/>
        </w:rPr>
      </w:pPr>
      <w:r w:rsidRPr="00C4565B">
        <w:rPr>
          <w:color w:val="000000" w:themeColor="text1"/>
          <w:sz w:val="20"/>
          <w:szCs w:val="20"/>
        </w:rPr>
        <w:t>13. Hirst, J.A., Hill, N., O'Callaghan, C.A., Lasserson, D., McManus, R.J., Ogburn, E. and Shine, B. (2020) 'Prevalence of chronic kidney disease in the community using data from OxRen: a UK population-based cohort study', British Journal of General Practice, 70(693), pp. e285–e293.</w:t>
      </w:r>
    </w:p>
    <w:p w14:paraId="4E9CDFD1" w14:textId="77777777" w:rsidR="00D96BD0" w:rsidRPr="00C4565B" w:rsidRDefault="00000000">
      <w:pPr>
        <w:spacing w:after="100"/>
        <w:ind w:left="720" w:hanging="720"/>
        <w:rPr>
          <w:color w:val="000000" w:themeColor="text1"/>
        </w:rPr>
      </w:pPr>
      <w:r w:rsidRPr="00C4565B">
        <w:rPr>
          <w:color w:val="000000" w:themeColor="text1"/>
          <w:sz w:val="20"/>
          <w:szCs w:val="20"/>
        </w:rPr>
        <w:t>14. Jager, K.J., Kovesdy, C.P., Levin, A., Nitsch, D., Pisoni, R.L., Sabanayagam, C. and Zoccali, C. (2026) 'Updated global burden of chronic kidney disease: one death every 20 seconds', Nephrology Dialysis Transplantation.</w:t>
      </w:r>
    </w:p>
    <w:p w14:paraId="73434444" w14:textId="77777777" w:rsidR="00D96BD0" w:rsidRPr="00C4565B" w:rsidRDefault="00000000">
      <w:pPr>
        <w:spacing w:after="100"/>
        <w:ind w:left="720" w:hanging="720"/>
        <w:rPr>
          <w:color w:val="000000" w:themeColor="text1"/>
        </w:rPr>
      </w:pPr>
      <w:r w:rsidRPr="00C4565B">
        <w:rPr>
          <w:color w:val="000000" w:themeColor="text1"/>
          <w:sz w:val="20"/>
          <w:szCs w:val="20"/>
        </w:rPr>
        <w:t>15. Kidney Care UK (2023) Government publishes interim Major Conditions Strategy report. Available at: https://kidneycareuk.org (Accessed: 11 June 2026).</w:t>
      </w:r>
    </w:p>
    <w:p w14:paraId="769EE1C1" w14:textId="09F44591" w:rsidR="00D96BD0" w:rsidRPr="00C4565B" w:rsidRDefault="00000000">
      <w:pPr>
        <w:spacing w:after="100"/>
        <w:ind w:left="720" w:hanging="720"/>
        <w:rPr>
          <w:color w:val="000000" w:themeColor="text1"/>
        </w:rPr>
      </w:pPr>
      <w:r w:rsidRPr="00C4565B">
        <w:rPr>
          <w:color w:val="000000" w:themeColor="text1"/>
          <w:sz w:val="20"/>
          <w:szCs w:val="20"/>
        </w:rPr>
        <w:t>16. Kidney Care UK (2024) NICE issue</w:t>
      </w:r>
      <w:r w:rsidR="00665B91">
        <w:rPr>
          <w:color w:val="000000" w:themeColor="text1"/>
          <w:sz w:val="20"/>
          <w:szCs w:val="20"/>
        </w:rPr>
        <w:t>s</w:t>
      </w:r>
      <w:r w:rsidRPr="00C4565B">
        <w:rPr>
          <w:color w:val="000000" w:themeColor="text1"/>
          <w:sz w:val="20"/>
          <w:szCs w:val="20"/>
        </w:rPr>
        <w:t xml:space="preserve"> final draft guidance recommending empagliflozin for treating CKD. Available at: https://kidneycareuk.org (Accessed: 11 June 2026).</w:t>
      </w:r>
    </w:p>
    <w:p w14:paraId="4847AF76" w14:textId="77777777" w:rsidR="00D96BD0" w:rsidRPr="00C4565B" w:rsidRDefault="00000000">
      <w:pPr>
        <w:spacing w:after="100"/>
        <w:ind w:left="720" w:hanging="720"/>
        <w:rPr>
          <w:color w:val="000000" w:themeColor="text1"/>
        </w:rPr>
      </w:pPr>
      <w:r w:rsidRPr="00C4565B">
        <w:rPr>
          <w:color w:val="000000" w:themeColor="text1"/>
          <w:sz w:val="20"/>
          <w:szCs w:val="20"/>
        </w:rPr>
        <w:t>17. Kidney Care UK (2025) Kidney Care UK's reaction to the NHS 10-year plan. Available at: https://kidneycareuk.org (Accessed: 11 June 2026).</w:t>
      </w:r>
    </w:p>
    <w:p w14:paraId="01230F92" w14:textId="77777777" w:rsidR="00D96BD0" w:rsidRPr="00C4565B" w:rsidRDefault="00000000">
      <w:pPr>
        <w:spacing w:after="100"/>
        <w:ind w:left="720" w:hanging="720"/>
        <w:rPr>
          <w:color w:val="000000" w:themeColor="text1"/>
        </w:rPr>
      </w:pPr>
      <w:r w:rsidRPr="00C4565B">
        <w:rPr>
          <w:color w:val="000000" w:themeColor="text1"/>
          <w:sz w:val="20"/>
          <w:szCs w:val="20"/>
        </w:rPr>
        <w:t xml:space="preserve">18. Kidney Disease: Improving Global Outcomes (KDIGO) (2024) KDIGO 2024 clinical practice guideline for the evaluation and </w:t>
      </w:r>
      <w:r w:rsidRPr="00C4565B">
        <w:rPr>
          <w:color w:val="000000" w:themeColor="text1"/>
          <w:sz w:val="20"/>
          <w:szCs w:val="20"/>
        </w:rPr>
        <w:lastRenderedPageBreak/>
        <w:t>management of chronic kidney disease. Brussels: KDIGO.</w:t>
      </w:r>
    </w:p>
    <w:p w14:paraId="39191561" w14:textId="77777777" w:rsidR="00D96BD0" w:rsidRPr="00C4565B" w:rsidRDefault="00000000">
      <w:pPr>
        <w:spacing w:after="100"/>
        <w:ind w:left="720" w:hanging="720"/>
        <w:rPr>
          <w:color w:val="000000" w:themeColor="text1"/>
        </w:rPr>
      </w:pPr>
      <w:r w:rsidRPr="00C4565B">
        <w:rPr>
          <w:color w:val="000000" w:themeColor="text1"/>
          <w:sz w:val="20"/>
          <w:szCs w:val="20"/>
        </w:rPr>
        <w:t>19. Kidney Research UK (2023) Kidney disease: a UK public health emergency — the health economics of kidney disease. Available at: https://www.kidneyresearchuk.org (Accessed: 11 June 2026).</w:t>
      </w:r>
    </w:p>
    <w:p w14:paraId="1255ECB4" w14:textId="77777777" w:rsidR="00D96BD0" w:rsidRPr="00C4565B" w:rsidRDefault="00000000">
      <w:pPr>
        <w:spacing w:after="100"/>
        <w:ind w:left="720" w:hanging="720"/>
        <w:rPr>
          <w:color w:val="000000" w:themeColor="text1"/>
        </w:rPr>
      </w:pPr>
      <w:r w:rsidRPr="00C4565B">
        <w:rPr>
          <w:color w:val="000000" w:themeColor="text1"/>
          <w:sz w:val="20"/>
          <w:szCs w:val="20"/>
        </w:rPr>
        <w:t>20. Kidney Research UK (2024) Survey highlights gaps in mental health care for UK kidney patients. Available at: https://www.kidneyresearchuk.org (Accessed: 11 June 2026).</w:t>
      </w:r>
    </w:p>
    <w:p w14:paraId="056678C1" w14:textId="77777777" w:rsidR="00D96BD0" w:rsidRPr="00C4565B" w:rsidRDefault="00000000">
      <w:pPr>
        <w:spacing w:after="100"/>
        <w:ind w:left="720" w:hanging="720"/>
        <w:rPr>
          <w:color w:val="000000" w:themeColor="text1"/>
        </w:rPr>
      </w:pPr>
      <w:r w:rsidRPr="00C4565B">
        <w:rPr>
          <w:color w:val="000000" w:themeColor="text1"/>
          <w:sz w:val="20"/>
          <w:szCs w:val="20"/>
        </w:rPr>
        <w:t>21. London Kidney Network (2024) Working collaboratively. Available at: https://londonkidneynetwork.nhs.uk (Accessed: 11 June 2026).</w:t>
      </w:r>
    </w:p>
    <w:p w14:paraId="473342E7" w14:textId="6F564710" w:rsidR="00D96BD0" w:rsidRPr="00C4565B" w:rsidRDefault="00000000">
      <w:pPr>
        <w:spacing w:after="100"/>
        <w:ind w:left="720" w:hanging="720"/>
        <w:rPr>
          <w:color w:val="000000" w:themeColor="text1"/>
        </w:rPr>
      </w:pPr>
      <w:r w:rsidRPr="00C4565B">
        <w:rPr>
          <w:color w:val="000000" w:themeColor="text1"/>
          <w:sz w:val="20"/>
          <w:szCs w:val="20"/>
        </w:rPr>
        <w:t>22</w:t>
      </w:r>
      <w:r w:rsidR="00C4565B" w:rsidRPr="00C4565B">
        <w:t xml:space="preserve"> </w:t>
      </w:r>
      <w:r w:rsidR="00C4565B" w:rsidRPr="00C4565B">
        <w:rPr>
          <w:color w:val="000000" w:themeColor="text1"/>
          <w:sz w:val="20"/>
          <w:szCs w:val="20"/>
        </w:rPr>
        <w:t>Faucon, A-L. (2025) 'CKD beyond the clinic: a holistic projection of its global burden', Kidney International Reports, 10(8), pp. 2524–2526</w:t>
      </w:r>
      <w:r w:rsidRPr="00C4565B">
        <w:rPr>
          <w:color w:val="000000" w:themeColor="text1"/>
          <w:sz w:val="20"/>
          <w:szCs w:val="20"/>
        </w:rPr>
        <w:t>.</w:t>
      </w:r>
    </w:p>
    <w:p w14:paraId="149A7A01" w14:textId="77777777" w:rsidR="00D96BD0" w:rsidRPr="00C4565B" w:rsidRDefault="00000000">
      <w:pPr>
        <w:spacing w:after="100"/>
        <w:ind w:left="720" w:hanging="720"/>
        <w:rPr>
          <w:color w:val="000000" w:themeColor="text1"/>
        </w:rPr>
      </w:pPr>
      <w:r w:rsidRPr="00C4565B">
        <w:rPr>
          <w:color w:val="000000" w:themeColor="text1"/>
          <w:sz w:val="20"/>
          <w:szCs w:val="20"/>
        </w:rPr>
        <w:t>23. National Institute for Health and Care Excellence (NICE) (2021) Chronic kidney disease in adults: assessment and management [NG203]. London: NICE.</w:t>
      </w:r>
    </w:p>
    <w:p w14:paraId="054722ED" w14:textId="77777777" w:rsidR="00D96BD0" w:rsidRPr="00C4565B" w:rsidRDefault="00000000">
      <w:pPr>
        <w:spacing w:after="100"/>
        <w:ind w:left="720" w:hanging="720"/>
        <w:rPr>
          <w:color w:val="000000" w:themeColor="text1"/>
        </w:rPr>
      </w:pPr>
      <w:r w:rsidRPr="00C4565B">
        <w:rPr>
          <w:color w:val="000000" w:themeColor="text1"/>
          <w:sz w:val="20"/>
          <w:szCs w:val="20"/>
        </w:rPr>
        <w:t>24. NHS Digital (2022) Health Survey for England 2022: kidney disease. Leeds: NHS Digital.</w:t>
      </w:r>
    </w:p>
    <w:p w14:paraId="1513982C" w14:textId="77777777" w:rsidR="00D96BD0" w:rsidRPr="00C4565B" w:rsidRDefault="00000000">
      <w:pPr>
        <w:spacing w:after="100"/>
        <w:ind w:left="720" w:hanging="720"/>
        <w:rPr>
          <w:color w:val="000000" w:themeColor="text1"/>
        </w:rPr>
      </w:pPr>
      <w:r w:rsidRPr="00C4565B">
        <w:rPr>
          <w:color w:val="000000" w:themeColor="text1"/>
          <w:sz w:val="20"/>
          <w:szCs w:val="20"/>
        </w:rPr>
        <w:t>25. NHS Digital (2023) Quality and Outcomes Framework (QOF) 2022–23. Leeds: NHS Digital.</w:t>
      </w:r>
    </w:p>
    <w:p w14:paraId="2BC17AB2" w14:textId="77777777" w:rsidR="00D96BD0" w:rsidRPr="00C4565B" w:rsidRDefault="00000000">
      <w:pPr>
        <w:spacing w:after="100"/>
        <w:ind w:left="720" w:hanging="720"/>
        <w:rPr>
          <w:color w:val="000000" w:themeColor="text1"/>
        </w:rPr>
      </w:pPr>
      <w:r w:rsidRPr="00C4565B">
        <w:rPr>
          <w:color w:val="000000" w:themeColor="text1"/>
          <w:sz w:val="20"/>
          <w:szCs w:val="20"/>
        </w:rPr>
        <w:t>26. NHS England (2019) The NHS Long Term Plan. London: NHS England.</w:t>
      </w:r>
    </w:p>
    <w:p w14:paraId="388CC6AC" w14:textId="77777777" w:rsidR="00D96BD0" w:rsidRPr="00C4565B" w:rsidRDefault="00000000">
      <w:pPr>
        <w:spacing w:after="100"/>
        <w:ind w:left="720" w:hanging="720"/>
        <w:rPr>
          <w:color w:val="000000" w:themeColor="text1"/>
        </w:rPr>
      </w:pPr>
      <w:r w:rsidRPr="00C4565B">
        <w:rPr>
          <w:color w:val="000000" w:themeColor="text1"/>
          <w:sz w:val="20"/>
          <w:szCs w:val="20"/>
        </w:rPr>
        <w:t>27. NHS England (2019b) Universal personalised care: implementing the comprehensive model. London: NHS England.</w:t>
      </w:r>
    </w:p>
    <w:p w14:paraId="0BAE7D51" w14:textId="77777777" w:rsidR="00D96BD0" w:rsidRPr="00C4565B" w:rsidRDefault="00000000">
      <w:pPr>
        <w:spacing w:after="100"/>
        <w:ind w:left="720" w:hanging="720"/>
        <w:rPr>
          <w:color w:val="000000" w:themeColor="text1"/>
        </w:rPr>
      </w:pPr>
      <w:r w:rsidRPr="00C4565B">
        <w:rPr>
          <w:color w:val="000000" w:themeColor="text1"/>
          <w:sz w:val="20"/>
          <w:szCs w:val="20"/>
        </w:rPr>
        <w:t>28. NHS England (2021) Core20PLUS5: an approach to reducing health inequalities. London: NHS England.</w:t>
      </w:r>
    </w:p>
    <w:p w14:paraId="400A552E" w14:textId="77777777" w:rsidR="00D96BD0" w:rsidRPr="00C4565B" w:rsidRDefault="00000000">
      <w:pPr>
        <w:spacing w:after="100"/>
        <w:ind w:left="720" w:hanging="720"/>
        <w:rPr>
          <w:color w:val="000000" w:themeColor="text1"/>
        </w:rPr>
      </w:pPr>
      <w:r w:rsidRPr="00C4565B">
        <w:rPr>
          <w:color w:val="000000" w:themeColor="text1"/>
          <w:sz w:val="20"/>
          <w:szCs w:val="20"/>
        </w:rPr>
        <w:t>29. Palmer, S.C., Vecchio, M., Craig, J.C., Tonelli, M., Johnson, D.W., Nicolucci, A. and Strippoli, G.F.M. (2013) 'Prevalence of depression in chronic kidney disease: systematic review and meta-analysis of observational studies', Kidney International, 84(1), pp. 179–191.</w:t>
      </w:r>
    </w:p>
    <w:p w14:paraId="6772ADDC" w14:textId="7D4DEE0E" w:rsidR="00D96BD0" w:rsidRDefault="00000000">
      <w:pPr>
        <w:spacing w:after="100"/>
        <w:ind w:left="720" w:hanging="720"/>
        <w:rPr>
          <w:color w:val="000000" w:themeColor="text1"/>
          <w:sz w:val="20"/>
          <w:szCs w:val="20"/>
        </w:rPr>
      </w:pPr>
      <w:r w:rsidRPr="00C4565B">
        <w:rPr>
          <w:color w:val="000000" w:themeColor="text1"/>
          <w:sz w:val="20"/>
          <w:szCs w:val="20"/>
        </w:rPr>
        <w:t xml:space="preserve">30. </w:t>
      </w:r>
      <w:r w:rsidR="00E47F79" w:rsidRPr="00C4565B">
        <w:rPr>
          <w:color w:val="000000" w:themeColor="text1"/>
          <w:sz w:val="20"/>
          <w:szCs w:val="20"/>
        </w:rPr>
        <w:t>Stewart, S., Kalra, P., Blakeman, T., Kontopantelis, E., Cranmer-Gordon, H. and Sinha, S. (2024)</w:t>
      </w:r>
      <w:r w:rsidRPr="00C4565B">
        <w:rPr>
          <w:color w:val="000000" w:themeColor="text1"/>
          <w:sz w:val="20"/>
          <w:szCs w:val="20"/>
        </w:rPr>
        <w:t xml:space="preserve">'Chronic kidney disease: detect, diagnose, disclose — a UK primary care perspective of barriers and enablers to effective kidney care', </w:t>
      </w:r>
      <w:bookmarkEnd w:id="0"/>
      <w:r w:rsidR="00C4565B" w:rsidRPr="00C4565B">
        <w:rPr>
          <w:color w:val="000000" w:themeColor="text1"/>
          <w:sz w:val="20"/>
          <w:szCs w:val="20"/>
        </w:rPr>
        <w:t>BMC Medicine, 22(1), Article 331</w:t>
      </w:r>
    </w:p>
    <w:p w14:paraId="7246D6A5" w14:textId="77777777" w:rsidR="00BE414E" w:rsidRDefault="00BE414E">
      <w:pPr>
        <w:spacing w:after="100"/>
        <w:ind w:left="720" w:hanging="720"/>
        <w:rPr>
          <w:color w:val="000000" w:themeColor="text1"/>
          <w:sz w:val="20"/>
          <w:szCs w:val="20"/>
        </w:rPr>
      </w:pPr>
    </w:p>
    <w:p w14:paraId="4152515D" w14:textId="08030D08" w:rsidR="00BE414E" w:rsidRDefault="00BE414E">
      <w:pPr>
        <w:spacing w:after="100"/>
        <w:ind w:left="720" w:hanging="720"/>
        <w:rPr>
          <w:color w:val="000000" w:themeColor="text1"/>
          <w:sz w:val="20"/>
          <w:szCs w:val="20"/>
        </w:rPr>
      </w:pPr>
    </w:p>
    <w:p w14:paraId="788578D6" w14:textId="598B67EC" w:rsidR="00576367" w:rsidRPr="00C4565B" w:rsidRDefault="00576367">
      <w:pPr>
        <w:spacing w:after="100"/>
        <w:ind w:left="720" w:hanging="720"/>
        <w:rPr>
          <w:color w:val="000000" w:themeColor="text1"/>
        </w:rPr>
      </w:pPr>
    </w:p>
    <w:sectPr w:rsidR="00576367" w:rsidRPr="00C4565B" w:rsidSect="0081594E">
      <w:type w:val="continuous"/>
      <w:pgSz w:w="11906" w:h="16838"/>
      <w:pgMar w:top="1440" w:right="1200" w:bottom="1440" w:left="1200" w:header="708" w:footer="708" w:gutter="0"/>
      <w:cols w:num="2"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254A68" w14:textId="77777777" w:rsidR="00285207" w:rsidRDefault="00285207">
      <w:r>
        <w:separator/>
      </w:r>
    </w:p>
  </w:endnote>
  <w:endnote w:type="continuationSeparator" w:id="0">
    <w:p w14:paraId="4CC5C182" w14:textId="77777777" w:rsidR="00285207" w:rsidRDefault="002852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7D39C4" w14:textId="77777777" w:rsidR="00D96BD0" w:rsidRDefault="00000000">
    <w:pPr>
      <w:pBdr>
        <w:top w:val="single" w:sz="4" w:space="4" w:color="2E7D8C"/>
      </w:pBdr>
      <w:jc w:val="center"/>
    </w:pPr>
    <w:r>
      <w:rPr>
        <w:color w:val="5A5A5A"/>
        <w:sz w:val="18"/>
        <w:szCs w:val="18"/>
      </w:rPr>
      <w:t xml:space="preserve">Page </w:t>
    </w:r>
    <w:r>
      <w:rPr>
        <w:color w:val="5A5A5A"/>
        <w:sz w:val="18"/>
        <w:szCs w:val="18"/>
      </w:rPr>
      <w:fldChar w:fldCharType="begin"/>
    </w:r>
    <w:r>
      <w:rPr>
        <w:color w:val="5A5A5A"/>
        <w:sz w:val="18"/>
        <w:szCs w:val="18"/>
      </w:rPr>
      <w:instrText>PAGE</w:instrText>
    </w:r>
    <w:r>
      <w:rPr>
        <w:color w:val="5A5A5A"/>
        <w:sz w:val="18"/>
        <w:szCs w:val="18"/>
      </w:rPr>
      <w:fldChar w:fldCharType="separate"/>
    </w:r>
    <w:r w:rsidR="0081594E">
      <w:rPr>
        <w:noProof/>
        <w:color w:val="5A5A5A"/>
        <w:sz w:val="18"/>
        <w:szCs w:val="18"/>
      </w:rPr>
      <w:t>1</w:t>
    </w:r>
    <w:r>
      <w:rPr>
        <w:color w:val="5A5A5A"/>
        <w:sz w:val="18"/>
        <w:szCs w:val="18"/>
      </w:rPr>
      <w:fldChar w:fldCharType="end"/>
    </w:r>
    <w:r>
      <w:rPr>
        <w:color w:val="5A5A5A"/>
        <w:sz w:val="18"/>
        <w:szCs w:val="18"/>
      </w:rPr>
      <w:t xml:space="preserve"> of </w:t>
    </w:r>
    <w:r>
      <w:rPr>
        <w:color w:val="5A5A5A"/>
        <w:sz w:val="18"/>
        <w:szCs w:val="18"/>
      </w:rPr>
      <w:fldChar w:fldCharType="begin"/>
    </w:r>
    <w:r>
      <w:rPr>
        <w:color w:val="5A5A5A"/>
        <w:sz w:val="18"/>
        <w:szCs w:val="18"/>
      </w:rPr>
      <w:instrText>NUMPAGES</w:instrText>
    </w:r>
    <w:r>
      <w:rPr>
        <w:color w:val="5A5A5A"/>
        <w:sz w:val="18"/>
        <w:szCs w:val="18"/>
      </w:rPr>
      <w:fldChar w:fldCharType="separate"/>
    </w:r>
    <w:r w:rsidR="0081594E">
      <w:rPr>
        <w:noProof/>
        <w:color w:val="5A5A5A"/>
        <w:sz w:val="18"/>
        <w:szCs w:val="18"/>
      </w:rPr>
      <w:t>2</w:t>
    </w:r>
    <w:r>
      <w:rPr>
        <w:color w:val="5A5A5A"/>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E7C672" w14:textId="77777777" w:rsidR="00285207" w:rsidRDefault="00285207">
      <w:r>
        <w:separator/>
      </w:r>
    </w:p>
  </w:footnote>
  <w:footnote w:type="continuationSeparator" w:id="0">
    <w:p w14:paraId="45A55CD4" w14:textId="77777777" w:rsidR="00285207" w:rsidRDefault="0028520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36CA7D" w14:textId="77777777" w:rsidR="00D96BD0" w:rsidRDefault="00000000">
    <w:pPr>
      <w:pBdr>
        <w:bottom w:val="single" w:sz="4" w:space="4" w:color="2E7D8C"/>
      </w:pBdr>
      <w:jc w:val="right"/>
    </w:pPr>
    <w:r>
      <w:rPr>
        <w:i/>
        <w:iCs/>
        <w:color w:val="5A5A5A"/>
        <w:sz w:val="18"/>
        <w:szCs w:val="18"/>
      </w:rPr>
      <w:t>Community Care &amp; Management of Long-Term Conditions  |  CKD Information Booklet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2158EE"/>
    <w:multiLevelType w:val="hybridMultilevel"/>
    <w:tmpl w:val="7BCA78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608609B"/>
    <w:multiLevelType w:val="multilevel"/>
    <w:tmpl w:val="DF3EE988"/>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63FF72FF"/>
    <w:multiLevelType w:val="hybridMultilevel"/>
    <w:tmpl w:val="086EAAE6"/>
    <w:lvl w:ilvl="0" w:tplc="B6F2F714">
      <w:start w:val="1"/>
      <w:numFmt w:val="bullet"/>
      <w:lvlText w:val="●"/>
      <w:lvlJc w:val="left"/>
      <w:pPr>
        <w:ind w:left="720" w:hanging="360"/>
      </w:pPr>
    </w:lvl>
    <w:lvl w:ilvl="1" w:tplc="47FAD65A">
      <w:numFmt w:val="decimal"/>
      <w:lvlText w:val=""/>
      <w:lvlJc w:val="left"/>
    </w:lvl>
    <w:lvl w:ilvl="2" w:tplc="D4BA7A4A">
      <w:numFmt w:val="decimal"/>
      <w:lvlText w:val=""/>
      <w:lvlJc w:val="left"/>
    </w:lvl>
    <w:lvl w:ilvl="3" w:tplc="E0DE3A64">
      <w:numFmt w:val="decimal"/>
      <w:lvlText w:val=""/>
      <w:lvlJc w:val="left"/>
    </w:lvl>
    <w:lvl w:ilvl="4" w:tplc="58FADFB2">
      <w:numFmt w:val="decimal"/>
      <w:lvlText w:val=""/>
      <w:lvlJc w:val="left"/>
    </w:lvl>
    <w:lvl w:ilvl="5" w:tplc="661C97DE">
      <w:numFmt w:val="decimal"/>
      <w:lvlText w:val=""/>
      <w:lvlJc w:val="left"/>
    </w:lvl>
    <w:lvl w:ilvl="6" w:tplc="8BF0DB62">
      <w:numFmt w:val="decimal"/>
      <w:lvlText w:val=""/>
      <w:lvlJc w:val="left"/>
    </w:lvl>
    <w:lvl w:ilvl="7" w:tplc="F530C280">
      <w:numFmt w:val="decimal"/>
      <w:lvlText w:val=""/>
      <w:lvlJc w:val="left"/>
    </w:lvl>
    <w:lvl w:ilvl="8" w:tplc="3E1E9190">
      <w:numFmt w:val="decimal"/>
      <w:lvlText w:val=""/>
      <w:lvlJc w:val="left"/>
    </w:lvl>
  </w:abstractNum>
  <w:abstractNum w:abstractNumId="3" w15:restartNumberingAfterBreak="0">
    <w:nsid w:val="6B2F4B5C"/>
    <w:multiLevelType w:val="hybridMultilevel"/>
    <w:tmpl w:val="93A83C90"/>
    <w:lvl w:ilvl="0" w:tplc="E2684F5C">
      <w:start w:val="1"/>
      <w:numFmt w:val="bullet"/>
      <w:lvlText w:val="●"/>
      <w:lvlJc w:val="left"/>
      <w:pPr>
        <w:ind w:left="720" w:hanging="360"/>
      </w:pPr>
    </w:lvl>
    <w:lvl w:ilvl="1" w:tplc="EACC41D2">
      <w:start w:val="1"/>
      <w:numFmt w:val="bullet"/>
      <w:lvlText w:val="○"/>
      <w:lvlJc w:val="left"/>
      <w:pPr>
        <w:ind w:left="1440" w:hanging="360"/>
      </w:pPr>
    </w:lvl>
    <w:lvl w:ilvl="2" w:tplc="77B86410">
      <w:start w:val="1"/>
      <w:numFmt w:val="bullet"/>
      <w:lvlText w:val="■"/>
      <w:lvlJc w:val="left"/>
      <w:pPr>
        <w:ind w:left="2160" w:hanging="360"/>
      </w:pPr>
    </w:lvl>
    <w:lvl w:ilvl="3" w:tplc="2206AB3A">
      <w:start w:val="1"/>
      <w:numFmt w:val="bullet"/>
      <w:lvlText w:val="●"/>
      <w:lvlJc w:val="left"/>
      <w:pPr>
        <w:ind w:left="2880" w:hanging="360"/>
      </w:pPr>
    </w:lvl>
    <w:lvl w:ilvl="4" w:tplc="5D76D0CA">
      <w:start w:val="1"/>
      <w:numFmt w:val="bullet"/>
      <w:lvlText w:val="○"/>
      <w:lvlJc w:val="left"/>
      <w:pPr>
        <w:ind w:left="3600" w:hanging="360"/>
      </w:pPr>
    </w:lvl>
    <w:lvl w:ilvl="5" w:tplc="6DF859F2">
      <w:start w:val="1"/>
      <w:numFmt w:val="bullet"/>
      <w:lvlText w:val="■"/>
      <w:lvlJc w:val="left"/>
      <w:pPr>
        <w:ind w:left="4320" w:hanging="360"/>
      </w:pPr>
    </w:lvl>
    <w:lvl w:ilvl="6" w:tplc="31EEFD16">
      <w:start w:val="1"/>
      <w:numFmt w:val="bullet"/>
      <w:lvlText w:val="●"/>
      <w:lvlJc w:val="left"/>
      <w:pPr>
        <w:ind w:left="5040" w:hanging="360"/>
      </w:pPr>
    </w:lvl>
    <w:lvl w:ilvl="7" w:tplc="DDF222BE">
      <w:start w:val="1"/>
      <w:numFmt w:val="bullet"/>
      <w:lvlText w:val="●"/>
      <w:lvlJc w:val="left"/>
      <w:pPr>
        <w:ind w:left="5760" w:hanging="360"/>
      </w:pPr>
    </w:lvl>
    <w:lvl w:ilvl="8" w:tplc="4A868E4E">
      <w:start w:val="1"/>
      <w:numFmt w:val="bullet"/>
      <w:lvlText w:val="●"/>
      <w:lvlJc w:val="left"/>
      <w:pPr>
        <w:ind w:left="6480" w:hanging="360"/>
      </w:pPr>
    </w:lvl>
  </w:abstractNum>
  <w:num w:numId="1" w16cid:durableId="1868787034">
    <w:abstractNumId w:val="3"/>
    <w:lvlOverride w:ilvl="0">
      <w:startOverride w:val="1"/>
    </w:lvlOverride>
  </w:num>
  <w:num w:numId="2" w16cid:durableId="57829429">
    <w:abstractNumId w:val="0"/>
  </w:num>
  <w:num w:numId="3" w16cid:durableId="16982655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6BD0"/>
    <w:rsid w:val="00033C7C"/>
    <w:rsid w:val="000C0128"/>
    <w:rsid w:val="000F6B7A"/>
    <w:rsid w:val="001A17A2"/>
    <w:rsid w:val="001F57D8"/>
    <w:rsid w:val="002071D3"/>
    <w:rsid w:val="00216BBB"/>
    <w:rsid w:val="00285207"/>
    <w:rsid w:val="002B5BF9"/>
    <w:rsid w:val="002C77DB"/>
    <w:rsid w:val="002D6BDD"/>
    <w:rsid w:val="00351D94"/>
    <w:rsid w:val="0038012A"/>
    <w:rsid w:val="00461EEA"/>
    <w:rsid w:val="00472B7D"/>
    <w:rsid w:val="004A1FB6"/>
    <w:rsid w:val="004F3792"/>
    <w:rsid w:val="005642EE"/>
    <w:rsid w:val="00576367"/>
    <w:rsid w:val="00591512"/>
    <w:rsid w:val="00610C0C"/>
    <w:rsid w:val="00665B91"/>
    <w:rsid w:val="00675EE7"/>
    <w:rsid w:val="006867F7"/>
    <w:rsid w:val="006B6181"/>
    <w:rsid w:val="006C3F99"/>
    <w:rsid w:val="006D3F8D"/>
    <w:rsid w:val="00747F99"/>
    <w:rsid w:val="007D100A"/>
    <w:rsid w:val="00800053"/>
    <w:rsid w:val="0081594E"/>
    <w:rsid w:val="00892B44"/>
    <w:rsid w:val="009C07FD"/>
    <w:rsid w:val="009E1D60"/>
    <w:rsid w:val="00A13429"/>
    <w:rsid w:val="00AD3CED"/>
    <w:rsid w:val="00B2449B"/>
    <w:rsid w:val="00B96D40"/>
    <w:rsid w:val="00BE414E"/>
    <w:rsid w:val="00BF0C66"/>
    <w:rsid w:val="00C113D5"/>
    <w:rsid w:val="00C366D8"/>
    <w:rsid w:val="00C4565B"/>
    <w:rsid w:val="00C6639D"/>
    <w:rsid w:val="00C81166"/>
    <w:rsid w:val="00CB60EA"/>
    <w:rsid w:val="00CE4086"/>
    <w:rsid w:val="00CF46C7"/>
    <w:rsid w:val="00D60423"/>
    <w:rsid w:val="00D96BD0"/>
    <w:rsid w:val="00DA5B81"/>
    <w:rsid w:val="00DE21ED"/>
    <w:rsid w:val="00E47F79"/>
    <w:rsid w:val="00ED1551"/>
    <w:rsid w:val="00F16FDB"/>
    <w:rsid w:val="00FD67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D9870E"/>
  <w15:docId w15:val="{130D3A4E-CA89-40EE-8F2C-307C7C225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color w:val="1A1A2E"/>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link w:val="Heading1Char"/>
    <w:uiPriority w:val="9"/>
    <w:qFormat/>
    <w:pPr>
      <w:spacing w:before="400" w:after="180"/>
      <w:outlineLvl w:val="0"/>
    </w:pPr>
    <w:rPr>
      <w:b/>
      <w:bCs/>
      <w:caps/>
      <w:color w:val="1B3A6B"/>
      <w:sz w:val="34"/>
      <w:szCs w:val="34"/>
    </w:rPr>
  </w:style>
  <w:style w:type="paragraph" w:styleId="Heading2">
    <w:name w:val="heading 2"/>
    <w:link w:val="Heading2Char"/>
    <w:uiPriority w:val="9"/>
    <w:unhideWhenUsed/>
    <w:qFormat/>
    <w:pPr>
      <w:spacing w:before="280" w:after="120"/>
      <w:outlineLvl w:val="1"/>
    </w:pPr>
    <w:rPr>
      <w:b/>
      <w:bCs/>
      <w:color w:val="2E7D8C"/>
      <w:sz w:val="26"/>
      <w:szCs w:val="26"/>
    </w:rPr>
  </w:style>
  <w:style w:type="paragraph" w:styleId="Heading3">
    <w:name w:val="heading 3"/>
    <w:uiPriority w:val="9"/>
    <w:unhideWhenUsed/>
    <w:qFormat/>
    <w:pPr>
      <w:spacing w:before="200" w:after="100"/>
      <w:outlineLvl w:val="2"/>
    </w:pPr>
    <w:rPr>
      <w:b/>
      <w:bCs/>
      <w:i/>
      <w:iCs/>
      <w:color w:val="B8860B"/>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customStyle="1" w:styleId="Heading1Char">
    <w:name w:val="Heading 1 Char"/>
    <w:basedOn w:val="DefaultParagraphFont"/>
    <w:link w:val="Heading1"/>
    <w:uiPriority w:val="9"/>
    <w:rsid w:val="00216BBB"/>
    <w:rPr>
      <w:b/>
      <w:bCs/>
      <w:caps/>
      <w:color w:val="1B3A6B"/>
      <w:sz w:val="34"/>
      <w:szCs w:val="34"/>
    </w:rPr>
  </w:style>
  <w:style w:type="character" w:customStyle="1" w:styleId="Heading2Char">
    <w:name w:val="Heading 2 Char"/>
    <w:basedOn w:val="DefaultParagraphFont"/>
    <w:link w:val="Heading2"/>
    <w:uiPriority w:val="9"/>
    <w:rsid w:val="002B5BF9"/>
    <w:rPr>
      <w:b/>
      <w:bCs/>
      <w:color w:val="2E7D8C"/>
      <w:sz w:val="26"/>
      <w:szCs w:val="26"/>
    </w:rPr>
  </w:style>
  <w:style w:type="paragraph" w:styleId="Header">
    <w:name w:val="header"/>
    <w:basedOn w:val="Normal"/>
    <w:link w:val="HeaderChar"/>
    <w:uiPriority w:val="99"/>
    <w:unhideWhenUsed/>
    <w:rsid w:val="00033C7C"/>
    <w:pPr>
      <w:tabs>
        <w:tab w:val="center" w:pos="4513"/>
        <w:tab w:val="right" w:pos="9026"/>
      </w:tabs>
    </w:pPr>
  </w:style>
  <w:style w:type="character" w:customStyle="1" w:styleId="HeaderChar">
    <w:name w:val="Header Char"/>
    <w:basedOn w:val="DefaultParagraphFont"/>
    <w:link w:val="Header"/>
    <w:uiPriority w:val="99"/>
    <w:rsid w:val="00033C7C"/>
    <w:rPr>
      <w:lang w:val="en-GB"/>
    </w:rPr>
  </w:style>
  <w:style w:type="paragraph" w:styleId="Footer">
    <w:name w:val="footer"/>
    <w:basedOn w:val="Normal"/>
    <w:link w:val="FooterChar"/>
    <w:uiPriority w:val="99"/>
    <w:unhideWhenUsed/>
    <w:rsid w:val="00033C7C"/>
    <w:pPr>
      <w:tabs>
        <w:tab w:val="center" w:pos="4513"/>
        <w:tab w:val="right" w:pos="9026"/>
      </w:tabs>
    </w:pPr>
  </w:style>
  <w:style w:type="character" w:customStyle="1" w:styleId="FooterChar">
    <w:name w:val="Footer Char"/>
    <w:basedOn w:val="DefaultParagraphFont"/>
    <w:link w:val="Footer"/>
    <w:uiPriority w:val="99"/>
    <w:rsid w:val="00033C7C"/>
    <w:rPr>
      <w:lang w:val="en-GB"/>
    </w:rPr>
  </w:style>
  <w:style w:type="table" w:styleId="TableGrid">
    <w:name w:val="Table Grid"/>
    <w:basedOn w:val="TableNormal"/>
    <w:uiPriority w:val="39"/>
    <w:rsid w:val="009E1D6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BE41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815989">
      <w:bodyDiv w:val="1"/>
      <w:marLeft w:val="0"/>
      <w:marRight w:val="0"/>
      <w:marTop w:val="0"/>
      <w:marBottom w:val="0"/>
      <w:divBdr>
        <w:top w:val="none" w:sz="0" w:space="0" w:color="auto"/>
        <w:left w:val="none" w:sz="0" w:space="0" w:color="auto"/>
        <w:bottom w:val="none" w:sz="0" w:space="0" w:color="auto"/>
        <w:right w:val="none" w:sz="0" w:space="0" w:color="auto"/>
      </w:divBdr>
      <w:divsChild>
        <w:div w:id="876433884">
          <w:marLeft w:val="0"/>
          <w:marRight w:val="0"/>
          <w:marTop w:val="120"/>
          <w:marBottom w:val="120"/>
          <w:divBdr>
            <w:top w:val="none" w:sz="0" w:space="0" w:color="auto"/>
            <w:left w:val="none" w:sz="0" w:space="0" w:color="auto"/>
            <w:bottom w:val="none" w:sz="0" w:space="0" w:color="auto"/>
            <w:right w:val="none" w:sz="0" w:space="0" w:color="auto"/>
          </w:divBdr>
        </w:div>
      </w:divsChild>
    </w:div>
    <w:div w:id="429205219">
      <w:bodyDiv w:val="1"/>
      <w:marLeft w:val="0"/>
      <w:marRight w:val="0"/>
      <w:marTop w:val="0"/>
      <w:marBottom w:val="0"/>
      <w:divBdr>
        <w:top w:val="none" w:sz="0" w:space="0" w:color="auto"/>
        <w:left w:val="none" w:sz="0" w:space="0" w:color="auto"/>
        <w:bottom w:val="none" w:sz="0" w:space="0" w:color="auto"/>
        <w:right w:val="none" w:sz="0" w:space="0" w:color="auto"/>
      </w:divBdr>
    </w:div>
    <w:div w:id="596409603">
      <w:bodyDiv w:val="1"/>
      <w:marLeft w:val="0"/>
      <w:marRight w:val="0"/>
      <w:marTop w:val="0"/>
      <w:marBottom w:val="0"/>
      <w:divBdr>
        <w:top w:val="none" w:sz="0" w:space="0" w:color="auto"/>
        <w:left w:val="none" w:sz="0" w:space="0" w:color="auto"/>
        <w:bottom w:val="none" w:sz="0" w:space="0" w:color="auto"/>
        <w:right w:val="none" w:sz="0" w:space="0" w:color="auto"/>
      </w:divBdr>
      <w:divsChild>
        <w:div w:id="433015113">
          <w:marLeft w:val="0"/>
          <w:marRight w:val="0"/>
          <w:marTop w:val="120"/>
          <w:marBottom w:val="120"/>
          <w:divBdr>
            <w:top w:val="none" w:sz="0" w:space="0" w:color="auto"/>
            <w:left w:val="none" w:sz="0" w:space="0" w:color="auto"/>
            <w:bottom w:val="none" w:sz="0" w:space="0" w:color="auto"/>
            <w:right w:val="none" w:sz="0" w:space="0" w:color="auto"/>
          </w:divBdr>
        </w:div>
      </w:divsChild>
    </w:div>
    <w:div w:id="653797379">
      <w:bodyDiv w:val="1"/>
      <w:marLeft w:val="0"/>
      <w:marRight w:val="0"/>
      <w:marTop w:val="0"/>
      <w:marBottom w:val="0"/>
      <w:divBdr>
        <w:top w:val="none" w:sz="0" w:space="0" w:color="auto"/>
        <w:left w:val="none" w:sz="0" w:space="0" w:color="auto"/>
        <w:bottom w:val="none" w:sz="0" w:space="0" w:color="auto"/>
        <w:right w:val="none" w:sz="0" w:space="0" w:color="auto"/>
      </w:divBdr>
      <w:divsChild>
        <w:div w:id="556362473">
          <w:marLeft w:val="0"/>
          <w:marRight w:val="0"/>
          <w:marTop w:val="120"/>
          <w:marBottom w:val="120"/>
          <w:divBdr>
            <w:top w:val="none" w:sz="0" w:space="0" w:color="auto"/>
            <w:left w:val="none" w:sz="0" w:space="0" w:color="auto"/>
            <w:bottom w:val="none" w:sz="0" w:space="0" w:color="auto"/>
            <w:right w:val="none" w:sz="0" w:space="0" w:color="auto"/>
          </w:divBdr>
        </w:div>
      </w:divsChild>
    </w:div>
    <w:div w:id="699234858">
      <w:bodyDiv w:val="1"/>
      <w:marLeft w:val="0"/>
      <w:marRight w:val="0"/>
      <w:marTop w:val="0"/>
      <w:marBottom w:val="0"/>
      <w:divBdr>
        <w:top w:val="none" w:sz="0" w:space="0" w:color="auto"/>
        <w:left w:val="none" w:sz="0" w:space="0" w:color="auto"/>
        <w:bottom w:val="none" w:sz="0" w:space="0" w:color="auto"/>
        <w:right w:val="none" w:sz="0" w:space="0" w:color="auto"/>
      </w:divBdr>
      <w:divsChild>
        <w:div w:id="788277986">
          <w:marLeft w:val="0"/>
          <w:marRight w:val="0"/>
          <w:marTop w:val="120"/>
          <w:marBottom w:val="120"/>
          <w:divBdr>
            <w:top w:val="none" w:sz="0" w:space="0" w:color="auto"/>
            <w:left w:val="none" w:sz="0" w:space="0" w:color="auto"/>
            <w:bottom w:val="none" w:sz="0" w:space="0" w:color="auto"/>
            <w:right w:val="none" w:sz="0" w:space="0" w:color="auto"/>
          </w:divBdr>
        </w:div>
      </w:divsChild>
    </w:div>
    <w:div w:id="700319509">
      <w:bodyDiv w:val="1"/>
      <w:marLeft w:val="0"/>
      <w:marRight w:val="0"/>
      <w:marTop w:val="0"/>
      <w:marBottom w:val="0"/>
      <w:divBdr>
        <w:top w:val="none" w:sz="0" w:space="0" w:color="auto"/>
        <w:left w:val="none" w:sz="0" w:space="0" w:color="auto"/>
        <w:bottom w:val="none" w:sz="0" w:space="0" w:color="auto"/>
        <w:right w:val="none" w:sz="0" w:space="0" w:color="auto"/>
      </w:divBdr>
      <w:divsChild>
        <w:div w:id="92747751">
          <w:marLeft w:val="0"/>
          <w:marRight w:val="0"/>
          <w:marTop w:val="120"/>
          <w:marBottom w:val="120"/>
          <w:divBdr>
            <w:top w:val="none" w:sz="0" w:space="0" w:color="auto"/>
            <w:left w:val="none" w:sz="0" w:space="0" w:color="auto"/>
            <w:bottom w:val="none" w:sz="0" w:space="0" w:color="auto"/>
            <w:right w:val="none" w:sz="0" w:space="0" w:color="auto"/>
          </w:divBdr>
        </w:div>
      </w:divsChild>
    </w:div>
    <w:div w:id="721254397">
      <w:bodyDiv w:val="1"/>
      <w:marLeft w:val="0"/>
      <w:marRight w:val="0"/>
      <w:marTop w:val="0"/>
      <w:marBottom w:val="0"/>
      <w:divBdr>
        <w:top w:val="none" w:sz="0" w:space="0" w:color="auto"/>
        <w:left w:val="none" w:sz="0" w:space="0" w:color="auto"/>
        <w:bottom w:val="none" w:sz="0" w:space="0" w:color="auto"/>
        <w:right w:val="none" w:sz="0" w:space="0" w:color="auto"/>
      </w:divBdr>
      <w:divsChild>
        <w:div w:id="1271427274">
          <w:marLeft w:val="0"/>
          <w:marRight w:val="0"/>
          <w:marTop w:val="120"/>
          <w:marBottom w:val="120"/>
          <w:divBdr>
            <w:top w:val="none" w:sz="0" w:space="0" w:color="auto"/>
            <w:left w:val="none" w:sz="0" w:space="0" w:color="auto"/>
            <w:bottom w:val="none" w:sz="0" w:space="0" w:color="auto"/>
            <w:right w:val="none" w:sz="0" w:space="0" w:color="auto"/>
          </w:divBdr>
        </w:div>
      </w:divsChild>
    </w:div>
    <w:div w:id="758142493">
      <w:bodyDiv w:val="1"/>
      <w:marLeft w:val="0"/>
      <w:marRight w:val="0"/>
      <w:marTop w:val="0"/>
      <w:marBottom w:val="0"/>
      <w:divBdr>
        <w:top w:val="none" w:sz="0" w:space="0" w:color="auto"/>
        <w:left w:val="none" w:sz="0" w:space="0" w:color="auto"/>
        <w:bottom w:val="none" w:sz="0" w:space="0" w:color="auto"/>
        <w:right w:val="none" w:sz="0" w:space="0" w:color="auto"/>
      </w:divBdr>
      <w:divsChild>
        <w:div w:id="1379016233">
          <w:marLeft w:val="0"/>
          <w:marRight w:val="0"/>
          <w:marTop w:val="120"/>
          <w:marBottom w:val="120"/>
          <w:divBdr>
            <w:top w:val="none" w:sz="0" w:space="0" w:color="auto"/>
            <w:left w:val="none" w:sz="0" w:space="0" w:color="auto"/>
            <w:bottom w:val="none" w:sz="0" w:space="0" w:color="auto"/>
            <w:right w:val="none" w:sz="0" w:space="0" w:color="auto"/>
          </w:divBdr>
        </w:div>
      </w:divsChild>
    </w:div>
    <w:div w:id="784421384">
      <w:bodyDiv w:val="1"/>
      <w:marLeft w:val="0"/>
      <w:marRight w:val="0"/>
      <w:marTop w:val="0"/>
      <w:marBottom w:val="0"/>
      <w:divBdr>
        <w:top w:val="none" w:sz="0" w:space="0" w:color="auto"/>
        <w:left w:val="none" w:sz="0" w:space="0" w:color="auto"/>
        <w:bottom w:val="none" w:sz="0" w:space="0" w:color="auto"/>
        <w:right w:val="none" w:sz="0" w:space="0" w:color="auto"/>
      </w:divBdr>
      <w:divsChild>
        <w:div w:id="1012490561">
          <w:marLeft w:val="0"/>
          <w:marRight w:val="0"/>
          <w:marTop w:val="120"/>
          <w:marBottom w:val="120"/>
          <w:divBdr>
            <w:top w:val="none" w:sz="0" w:space="0" w:color="auto"/>
            <w:left w:val="none" w:sz="0" w:space="0" w:color="auto"/>
            <w:bottom w:val="none" w:sz="0" w:space="0" w:color="auto"/>
            <w:right w:val="none" w:sz="0" w:space="0" w:color="auto"/>
          </w:divBdr>
        </w:div>
      </w:divsChild>
    </w:div>
    <w:div w:id="841510780">
      <w:bodyDiv w:val="1"/>
      <w:marLeft w:val="0"/>
      <w:marRight w:val="0"/>
      <w:marTop w:val="0"/>
      <w:marBottom w:val="0"/>
      <w:divBdr>
        <w:top w:val="none" w:sz="0" w:space="0" w:color="auto"/>
        <w:left w:val="none" w:sz="0" w:space="0" w:color="auto"/>
        <w:bottom w:val="none" w:sz="0" w:space="0" w:color="auto"/>
        <w:right w:val="none" w:sz="0" w:space="0" w:color="auto"/>
      </w:divBdr>
      <w:divsChild>
        <w:div w:id="1570849271">
          <w:marLeft w:val="0"/>
          <w:marRight w:val="0"/>
          <w:marTop w:val="120"/>
          <w:marBottom w:val="120"/>
          <w:divBdr>
            <w:top w:val="none" w:sz="0" w:space="0" w:color="auto"/>
            <w:left w:val="none" w:sz="0" w:space="0" w:color="auto"/>
            <w:bottom w:val="none" w:sz="0" w:space="0" w:color="auto"/>
            <w:right w:val="none" w:sz="0" w:space="0" w:color="auto"/>
          </w:divBdr>
        </w:div>
      </w:divsChild>
    </w:div>
    <w:div w:id="1025129459">
      <w:bodyDiv w:val="1"/>
      <w:marLeft w:val="0"/>
      <w:marRight w:val="0"/>
      <w:marTop w:val="0"/>
      <w:marBottom w:val="0"/>
      <w:divBdr>
        <w:top w:val="none" w:sz="0" w:space="0" w:color="auto"/>
        <w:left w:val="none" w:sz="0" w:space="0" w:color="auto"/>
        <w:bottom w:val="none" w:sz="0" w:space="0" w:color="auto"/>
        <w:right w:val="none" w:sz="0" w:space="0" w:color="auto"/>
      </w:divBdr>
      <w:divsChild>
        <w:div w:id="409160504">
          <w:marLeft w:val="0"/>
          <w:marRight w:val="0"/>
          <w:marTop w:val="120"/>
          <w:marBottom w:val="120"/>
          <w:divBdr>
            <w:top w:val="none" w:sz="0" w:space="0" w:color="auto"/>
            <w:left w:val="none" w:sz="0" w:space="0" w:color="auto"/>
            <w:bottom w:val="none" w:sz="0" w:space="0" w:color="auto"/>
            <w:right w:val="none" w:sz="0" w:space="0" w:color="auto"/>
          </w:divBdr>
        </w:div>
      </w:divsChild>
    </w:div>
    <w:div w:id="1072435031">
      <w:bodyDiv w:val="1"/>
      <w:marLeft w:val="0"/>
      <w:marRight w:val="0"/>
      <w:marTop w:val="0"/>
      <w:marBottom w:val="0"/>
      <w:divBdr>
        <w:top w:val="none" w:sz="0" w:space="0" w:color="auto"/>
        <w:left w:val="none" w:sz="0" w:space="0" w:color="auto"/>
        <w:bottom w:val="none" w:sz="0" w:space="0" w:color="auto"/>
        <w:right w:val="none" w:sz="0" w:space="0" w:color="auto"/>
      </w:divBdr>
      <w:divsChild>
        <w:div w:id="1230385767">
          <w:marLeft w:val="0"/>
          <w:marRight w:val="0"/>
          <w:marTop w:val="120"/>
          <w:marBottom w:val="120"/>
          <w:divBdr>
            <w:top w:val="none" w:sz="0" w:space="0" w:color="auto"/>
            <w:left w:val="none" w:sz="0" w:space="0" w:color="auto"/>
            <w:bottom w:val="none" w:sz="0" w:space="0" w:color="auto"/>
            <w:right w:val="none" w:sz="0" w:space="0" w:color="auto"/>
          </w:divBdr>
        </w:div>
      </w:divsChild>
    </w:div>
    <w:div w:id="1145703239">
      <w:bodyDiv w:val="1"/>
      <w:marLeft w:val="0"/>
      <w:marRight w:val="0"/>
      <w:marTop w:val="0"/>
      <w:marBottom w:val="0"/>
      <w:divBdr>
        <w:top w:val="none" w:sz="0" w:space="0" w:color="auto"/>
        <w:left w:val="none" w:sz="0" w:space="0" w:color="auto"/>
        <w:bottom w:val="none" w:sz="0" w:space="0" w:color="auto"/>
        <w:right w:val="none" w:sz="0" w:space="0" w:color="auto"/>
      </w:divBdr>
      <w:divsChild>
        <w:div w:id="671183154">
          <w:marLeft w:val="0"/>
          <w:marRight w:val="0"/>
          <w:marTop w:val="120"/>
          <w:marBottom w:val="120"/>
          <w:divBdr>
            <w:top w:val="none" w:sz="0" w:space="0" w:color="auto"/>
            <w:left w:val="none" w:sz="0" w:space="0" w:color="auto"/>
            <w:bottom w:val="none" w:sz="0" w:space="0" w:color="auto"/>
            <w:right w:val="none" w:sz="0" w:space="0" w:color="auto"/>
          </w:divBdr>
        </w:div>
      </w:divsChild>
    </w:div>
    <w:div w:id="1215778894">
      <w:bodyDiv w:val="1"/>
      <w:marLeft w:val="0"/>
      <w:marRight w:val="0"/>
      <w:marTop w:val="0"/>
      <w:marBottom w:val="0"/>
      <w:divBdr>
        <w:top w:val="none" w:sz="0" w:space="0" w:color="auto"/>
        <w:left w:val="none" w:sz="0" w:space="0" w:color="auto"/>
        <w:bottom w:val="none" w:sz="0" w:space="0" w:color="auto"/>
        <w:right w:val="none" w:sz="0" w:space="0" w:color="auto"/>
      </w:divBdr>
      <w:divsChild>
        <w:div w:id="2125340986">
          <w:marLeft w:val="0"/>
          <w:marRight w:val="0"/>
          <w:marTop w:val="120"/>
          <w:marBottom w:val="120"/>
          <w:divBdr>
            <w:top w:val="none" w:sz="0" w:space="0" w:color="auto"/>
            <w:left w:val="none" w:sz="0" w:space="0" w:color="auto"/>
            <w:bottom w:val="none" w:sz="0" w:space="0" w:color="auto"/>
            <w:right w:val="none" w:sz="0" w:space="0" w:color="auto"/>
          </w:divBdr>
        </w:div>
      </w:divsChild>
    </w:div>
    <w:div w:id="1230111407">
      <w:bodyDiv w:val="1"/>
      <w:marLeft w:val="0"/>
      <w:marRight w:val="0"/>
      <w:marTop w:val="0"/>
      <w:marBottom w:val="0"/>
      <w:divBdr>
        <w:top w:val="none" w:sz="0" w:space="0" w:color="auto"/>
        <w:left w:val="none" w:sz="0" w:space="0" w:color="auto"/>
        <w:bottom w:val="none" w:sz="0" w:space="0" w:color="auto"/>
        <w:right w:val="none" w:sz="0" w:space="0" w:color="auto"/>
      </w:divBdr>
      <w:divsChild>
        <w:div w:id="780151376">
          <w:marLeft w:val="0"/>
          <w:marRight w:val="0"/>
          <w:marTop w:val="120"/>
          <w:marBottom w:val="120"/>
          <w:divBdr>
            <w:top w:val="none" w:sz="0" w:space="0" w:color="auto"/>
            <w:left w:val="none" w:sz="0" w:space="0" w:color="auto"/>
            <w:bottom w:val="none" w:sz="0" w:space="0" w:color="auto"/>
            <w:right w:val="none" w:sz="0" w:space="0" w:color="auto"/>
          </w:divBdr>
        </w:div>
      </w:divsChild>
    </w:div>
    <w:div w:id="1335524504">
      <w:bodyDiv w:val="1"/>
      <w:marLeft w:val="0"/>
      <w:marRight w:val="0"/>
      <w:marTop w:val="0"/>
      <w:marBottom w:val="0"/>
      <w:divBdr>
        <w:top w:val="none" w:sz="0" w:space="0" w:color="auto"/>
        <w:left w:val="none" w:sz="0" w:space="0" w:color="auto"/>
        <w:bottom w:val="none" w:sz="0" w:space="0" w:color="auto"/>
        <w:right w:val="none" w:sz="0" w:space="0" w:color="auto"/>
      </w:divBdr>
      <w:divsChild>
        <w:div w:id="1901136075">
          <w:marLeft w:val="0"/>
          <w:marRight w:val="0"/>
          <w:marTop w:val="120"/>
          <w:marBottom w:val="120"/>
          <w:divBdr>
            <w:top w:val="none" w:sz="0" w:space="0" w:color="auto"/>
            <w:left w:val="none" w:sz="0" w:space="0" w:color="auto"/>
            <w:bottom w:val="none" w:sz="0" w:space="0" w:color="auto"/>
            <w:right w:val="none" w:sz="0" w:space="0" w:color="auto"/>
          </w:divBdr>
        </w:div>
      </w:divsChild>
    </w:div>
    <w:div w:id="1517617624">
      <w:bodyDiv w:val="1"/>
      <w:marLeft w:val="0"/>
      <w:marRight w:val="0"/>
      <w:marTop w:val="0"/>
      <w:marBottom w:val="0"/>
      <w:divBdr>
        <w:top w:val="none" w:sz="0" w:space="0" w:color="auto"/>
        <w:left w:val="none" w:sz="0" w:space="0" w:color="auto"/>
        <w:bottom w:val="none" w:sz="0" w:space="0" w:color="auto"/>
        <w:right w:val="none" w:sz="0" w:space="0" w:color="auto"/>
      </w:divBdr>
      <w:divsChild>
        <w:div w:id="1420713839">
          <w:marLeft w:val="0"/>
          <w:marRight w:val="0"/>
          <w:marTop w:val="120"/>
          <w:marBottom w:val="120"/>
          <w:divBdr>
            <w:top w:val="none" w:sz="0" w:space="0" w:color="auto"/>
            <w:left w:val="none" w:sz="0" w:space="0" w:color="auto"/>
            <w:bottom w:val="none" w:sz="0" w:space="0" w:color="auto"/>
            <w:right w:val="none" w:sz="0" w:space="0" w:color="auto"/>
          </w:divBdr>
        </w:div>
      </w:divsChild>
    </w:div>
    <w:div w:id="1555462386">
      <w:bodyDiv w:val="1"/>
      <w:marLeft w:val="0"/>
      <w:marRight w:val="0"/>
      <w:marTop w:val="0"/>
      <w:marBottom w:val="0"/>
      <w:divBdr>
        <w:top w:val="none" w:sz="0" w:space="0" w:color="auto"/>
        <w:left w:val="none" w:sz="0" w:space="0" w:color="auto"/>
        <w:bottom w:val="none" w:sz="0" w:space="0" w:color="auto"/>
        <w:right w:val="none" w:sz="0" w:space="0" w:color="auto"/>
      </w:divBdr>
      <w:divsChild>
        <w:div w:id="493881854">
          <w:marLeft w:val="0"/>
          <w:marRight w:val="0"/>
          <w:marTop w:val="120"/>
          <w:marBottom w:val="120"/>
          <w:divBdr>
            <w:top w:val="none" w:sz="0" w:space="0" w:color="auto"/>
            <w:left w:val="none" w:sz="0" w:space="0" w:color="auto"/>
            <w:bottom w:val="none" w:sz="0" w:space="0" w:color="auto"/>
            <w:right w:val="none" w:sz="0" w:space="0" w:color="auto"/>
          </w:divBdr>
        </w:div>
      </w:divsChild>
    </w:div>
    <w:div w:id="1649820446">
      <w:bodyDiv w:val="1"/>
      <w:marLeft w:val="0"/>
      <w:marRight w:val="0"/>
      <w:marTop w:val="0"/>
      <w:marBottom w:val="0"/>
      <w:divBdr>
        <w:top w:val="none" w:sz="0" w:space="0" w:color="auto"/>
        <w:left w:val="none" w:sz="0" w:space="0" w:color="auto"/>
        <w:bottom w:val="none" w:sz="0" w:space="0" w:color="auto"/>
        <w:right w:val="none" w:sz="0" w:space="0" w:color="auto"/>
      </w:divBdr>
      <w:divsChild>
        <w:div w:id="783427019">
          <w:marLeft w:val="0"/>
          <w:marRight w:val="0"/>
          <w:marTop w:val="120"/>
          <w:marBottom w:val="120"/>
          <w:divBdr>
            <w:top w:val="none" w:sz="0" w:space="0" w:color="auto"/>
            <w:left w:val="none" w:sz="0" w:space="0" w:color="auto"/>
            <w:bottom w:val="none" w:sz="0" w:space="0" w:color="auto"/>
            <w:right w:val="none" w:sz="0" w:space="0" w:color="auto"/>
          </w:divBdr>
        </w:div>
      </w:divsChild>
    </w:div>
    <w:div w:id="1654525479">
      <w:bodyDiv w:val="1"/>
      <w:marLeft w:val="0"/>
      <w:marRight w:val="0"/>
      <w:marTop w:val="0"/>
      <w:marBottom w:val="0"/>
      <w:divBdr>
        <w:top w:val="none" w:sz="0" w:space="0" w:color="auto"/>
        <w:left w:val="none" w:sz="0" w:space="0" w:color="auto"/>
        <w:bottom w:val="none" w:sz="0" w:space="0" w:color="auto"/>
        <w:right w:val="none" w:sz="0" w:space="0" w:color="auto"/>
      </w:divBdr>
      <w:divsChild>
        <w:div w:id="1085107457">
          <w:marLeft w:val="0"/>
          <w:marRight w:val="0"/>
          <w:marTop w:val="120"/>
          <w:marBottom w:val="120"/>
          <w:divBdr>
            <w:top w:val="none" w:sz="0" w:space="0" w:color="auto"/>
            <w:left w:val="none" w:sz="0" w:space="0" w:color="auto"/>
            <w:bottom w:val="none" w:sz="0" w:space="0" w:color="auto"/>
            <w:right w:val="none" w:sz="0" w:space="0" w:color="auto"/>
          </w:divBdr>
        </w:div>
      </w:divsChild>
    </w:div>
    <w:div w:id="1657998285">
      <w:bodyDiv w:val="1"/>
      <w:marLeft w:val="0"/>
      <w:marRight w:val="0"/>
      <w:marTop w:val="0"/>
      <w:marBottom w:val="0"/>
      <w:divBdr>
        <w:top w:val="none" w:sz="0" w:space="0" w:color="auto"/>
        <w:left w:val="none" w:sz="0" w:space="0" w:color="auto"/>
        <w:bottom w:val="none" w:sz="0" w:space="0" w:color="auto"/>
        <w:right w:val="none" w:sz="0" w:space="0" w:color="auto"/>
      </w:divBdr>
      <w:divsChild>
        <w:div w:id="601764950">
          <w:marLeft w:val="0"/>
          <w:marRight w:val="0"/>
          <w:marTop w:val="120"/>
          <w:marBottom w:val="120"/>
          <w:divBdr>
            <w:top w:val="none" w:sz="0" w:space="0" w:color="auto"/>
            <w:left w:val="none" w:sz="0" w:space="0" w:color="auto"/>
            <w:bottom w:val="none" w:sz="0" w:space="0" w:color="auto"/>
            <w:right w:val="none" w:sz="0" w:space="0" w:color="auto"/>
          </w:divBdr>
        </w:div>
      </w:divsChild>
    </w:div>
    <w:div w:id="1681658483">
      <w:bodyDiv w:val="1"/>
      <w:marLeft w:val="0"/>
      <w:marRight w:val="0"/>
      <w:marTop w:val="0"/>
      <w:marBottom w:val="0"/>
      <w:divBdr>
        <w:top w:val="none" w:sz="0" w:space="0" w:color="auto"/>
        <w:left w:val="none" w:sz="0" w:space="0" w:color="auto"/>
        <w:bottom w:val="none" w:sz="0" w:space="0" w:color="auto"/>
        <w:right w:val="none" w:sz="0" w:space="0" w:color="auto"/>
      </w:divBdr>
      <w:divsChild>
        <w:div w:id="775321464">
          <w:marLeft w:val="0"/>
          <w:marRight w:val="0"/>
          <w:marTop w:val="120"/>
          <w:marBottom w:val="120"/>
          <w:divBdr>
            <w:top w:val="none" w:sz="0" w:space="0" w:color="auto"/>
            <w:left w:val="none" w:sz="0" w:space="0" w:color="auto"/>
            <w:bottom w:val="none" w:sz="0" w:space="0" w:color="auto"/>
            <w:right w:val="none" w:sz="0" w:space="0" w:color="auto"/>
          </w:divBdr>
        </w:div>
      </w:divsChild>
    </w:div>
    <w:div w:id="1739598395">
      <w:bodyDiv w:val="1"/>
      <w:marLeft w:val="0"/>
      <w:marRight w:val="0"/>
      <w:marTop w:val="0"/>
      <w:marBottom w:val="0"/>
      <w:divBdr>
        <w:top w:val="none" w:sz="0" w:space="0" w:color="auto"/>
        <w:left w:val="none" w:sz="0" w:space="0" w:color="auto"/>
        <w:bottom w:val="none" w:sz="0" w:space="0" w:color="auto"/>
        <w:right w:val="none" w:sz="0" w:space="0" w:color="auto"/>
      </w:divBdr>
    </w:div>
    <w:div w:id="1763256683">
      <w:bodyDiv w:val="1"/>
      <w:marLeft w:val="0"/>
      <w:marRight w:val="0"/>
      <w:marTop w:val="0"/>
      <w:marBottom w:val="0"/>
      <w:divBdr>
        <w:top w:val="none" w:sz="0" w:space="0" w:color="auto"/>
        <w:left w:val="none" w:sz="0" w:space="0" w:color="auto"/>
        <w:bottom w:val="none" w:sz="0" w:space="0" w:color="auto"/>
        <w:right w:val="none" w:sz="0" w:space="0" w:color="auto"/>
      </w:divBdr>
      <w:divsChild>
        <w:div w:id="2069717689">
          <w:marLeft w:val="0"/>
          <w:marRight w:val="0"/>
          <w:marTop w:val="120"/>
          <w:marBottom w:val="120"/>
          <w:divBdr>
            <w:top w:val="none" w:sz="0" w:space="0" w:color="auto"/>
            <w:left w:val="none" w:sz="0" w:space="0" w:color="auto"/>
            <w:bottom w:val="none" w:sz="0" w:space="0" w:color="auto"/>
            <w:right w:val="none" w:sz="0" w:space="0" w:color="auto"/>
          </w:divBdr>
        </w:div>
      </w:divsChild>
    </w:div>
    <w:div w:id="2055036707">
      <w:bodyDiv w:val="1"/>
      <w:marLeft w:val="0"/>
      <w:marRight w:val="0"/>
      <w:marTop w:val="0"/>
      <w:marBottom w:val="0"/>
      <w:divBdr>
        <w:top w:val="none" w:sz="0" w:space="0" w:color="auto"/>
        <w:left w:val="none" w:sz="0" w:space="0" w:color="auto"/>
        <w:bottom w:val="none" w:sz="0" w:space="0" w:color="auto"/>
        <w:right w:val="none" w:sz="0" w:space="0" w:color="auto"/>
      </w:divBdr>
      <w:divsChild>
        <w:div w:id="170920540">
          <w:marLeft w:val="0"/>
          <w:marRight w:val="0"/>
          <w:marTop w:val="120"/>
          <w:marBottom w:val="120"/>
          <w:divBdr>
            <w:top w:val="none" w:sz="0" w:space="0" w:color="auto"/>
            <w:left w:val="none" w:sz="0" w:space="0" w:color="auto"/>
            <w:bottom w:val="none" w:sz="0" w:space="0" w:color="auto"/>
            <w:right w:val="none" w:sz="0" w:space="0" w:color="auto"/>
          </w:divBdr>
        </w:div>
      </w:divsChild>
    </w:div>
    <w:div w:id="2091389803">
      <w:bodyDiv w:val="1"/>
      <w:marLeft w:val="0"/>
      <w:marRight w:val="0"/>
      <w:marTop w:val="0"/>
      <w:marBottom w:val="0"/>
      <w:divBdr>
        <w:top w:val="none" w:sz="0" w:space="0" w:color="auto"/>
        <w:left w:val="none" w:sz="0" w:space="0" w:color="auto"/>
        <w:bottom w:val="none" w:sz="0" w:space="0" w:color="auto"/>
        <w:right w:val="none" w:sz="0" w:space="0" w:color="auto"/>
      </w:divBdr>
      <w:divsChild>
        <w:div w:id="977026576">
          <w:marLeft w:val="0"/>
          <w:marRight w:val="0"/>
          <w:marTop w:val="120"/>
          <w:marBottom w:val="120"/>
          <w:divBdr>
            <w:top w:val="none" w:sz="0" w:space="0" w:color="auto"/>
            <w:left w:val="none" w:sz="0" w:space="0" w:color="auto"/>
            <w:bottom w:val="none" w:sz="0" w:space="0" w:color="auto"/>
            <w:right w:val="none" w:sz="0" w:space="0" w:color="auto"/>
          </w:divBdr>
        </w:div>
      </w:divsChild>
    </w:div>
    <w:div w:id="2094082963">
      <w:bodyDiv w:val="1"/>
      <w:marLeft w:val="0"/>
      <w:marRight w:val="0"/>
      <w:marTop w:val="0"/>
      <w:marBottom w:val="0"/>
      <w:divBdr>
        <w:top w:val="none" w:sz="0" w:space="0" w:color="auto"/>
        <w:left w:val="none" w:sz="0" w:space="0" w:color="auto"/>
        <w:bottom w:val="none" w:sz="0" w:space="0" w:color="auto"/>
        <w:right w:val="none" w:sz="0" w:space="0" w:color="auto"/>
      </w:divBdr>
      <w:divsChild>
        <w:div w:id="1053507888">
          <w:marLeft w:val="0"/>
          <w:marRight w:val="0"/>
          <w:marTop w:val="120"/>
          <w:marBottom w:val="12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9D92EB-0C45-471E-89CB-8569AC55FD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714</TotalTime>
  <Pages>12</Pages>
  <Words>4977</Words>
  <Characters>28372</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KARAN YADAV</cp:lastModifiedBy>
  <cp:revision>74</cp:revision>
  <dcterms:created xsi:type="dcterms:W3CDTF">2026-07-15T22:40:00Z</dcterms:created>
  <dcterms:modified xsi:type="dcterms:W3CDTF">2026-07-16T21:13:00Z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02329f3d-9284-4865-9806-289b107d8ed8</vt:lpwstr>
  </property>
</Properties>
</file>