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43E50" w14:textId="477F3F59" w:rsidR="00157971" w:rsidRDefault="00157971" w:rsidP="00157971">
      <w:pPr>
        <w:jc w:val="center"/>
      </w:pPr>
      <w:r>
        <w:t>Geographical Information Systems</w:t>
      </w:r>
    </w:p>
    <w:p w14:paraId="77AE1B2F" w14:textId="5741264D" w:rsidR="00157971" w:rsidRDefault="00157971" w:rsidP="00157971">
      <w:pPr>
        <w:jc w:val="center"/>
      </w:pPr>
      <w:r>
        <w:t>Steven Moon (1904741)</w:t>
      </w:r>
    </w:p>
    <w:p w14:paraId="7967333B" w14:textId="072567C8" w:rsidR="00157971" w:rsidRDefault="00157971" w:rsidP="00157971">
      <w:pPr>
        <w:jc w:val="center"/>
      </w:pPr>
    </w:p>
    <w:p w14:paraId="38163228" w14:textId="77777777" w:rsidR="00A36027" w:rsidRDefault="00A36027" w:rsidP="00157971"/>
    <w:p w14:paraId="786BDBE5" w14:textId="77777777" w:rsidR="00A36027" w:rsidRDefault="00A36027" w:rsidP="00157971"/>
    <w:p w14:paraId="127142B9" w14:textId="77777777" w:rsidR="00A36027" w:rsidRDefault="00A36027" w:rsidP="00157971"/>
    <w:p w14:paraId="4F03BF11" w14:textId="77777777" w:rsidR="00A36027" w:rsidRDefault="00A36027" w:rsidP="00157971"/>
    <w:p w14:paraId="06B7DBE6" w14:textId="77777777" w:rsidR="00A36027" w:rsidRDefault="00A36027" w:rsidP="00157971"/>
    <w:p w14:paraId="6240C63A" w14:textId="77777777" w:rsidR="00A36027" w:rsidRDefault="00A36027" w:rsidP="00157971"/>
    <w:p w14:paraId="55743538" w14:textId="77777777" w:rsidR="00A36027" w:rsidRDefault="00A36027" w:rsidP="00157971"/>
    <w:p w14:paraId="0B9F6EBC" w14:textId="77777777" w:rsidR="00A36027" w:rsidRDefault="00A36027" w:rsidP="00157971"/>
    <w:p w14:paraId="72162C5D" w14:textId="77777777" w:rsidR="00A36027" w:rsidRDefault="00A36027" w:rsidP="00157971"/>
    <w:p w14:paraId="38742501" w14:textId="77777777" w:rsidR="00A36027" w:rsidRDefault="00A36027" w:rsidP="00157971"/>
    <w:p w14:paraId="08F3D937" w14:textId="77777777" w:rsidR="00A36027" w:rsidRDefault="00A36027" w:rsidP="00157971"/>
    <w:p w14:paraId="03162916" w14:textId="77777777" w:rsidR="00A36027" w:rsidRDefault="00A36027" w:rsidP="00157971"/>
    <w:p w14:paraId="2DF55278" w14:textId="77777777" w:rsidR="00A36027" w:rsidRDefault="00A36027" w:rsidP="00157971"/>
    <w:p w14:paraId="695DE34C" w14:textId="77777777" w:rsidR="00A36027" w:rsidRDefault="00A36027" w:rsidP="00157971"/>
    <w:p w14:paraId="7695B6EF" w14:textId="77777777" w:rsidR="00A36027" w:rsidRDefault="00A36027" w:rsidP="00157971"/>
    <w:p w14:paraId="2788D391" w14:textId="77777777" w:rsidR="00A36027" w:rsidRDefault="00A36027" w:rsidP="00157971"/>
    <w:p w14:paraId="0F22DF13" w14:textId="77777777" w:rsidR="00A36027" w:rsidRDefault="00A36027" w:rsidP="00157971"/>
    <w:p w14:paraId="41C69FD0" w14:textId="77777777" w:rsidR="00A36027" w:rsidRDefault="00A36027" w:rsidP="00157971"/>
    <w:p w14:paraId="6DC8F698" w14:textId="77777777" w:rsidR="00A36027" w:rsidRDefault="00A36027" w:rsidP="00157971"/>
    <w:p w14:paraId="5EEB4A8D" w14:textId="77777777" w:rsidR="00A36027" w:rsidRDefault="00A36027" w:rsidP="00157971"/>
    <w:p w14:paraId="775E3A12" w14:textId="77777777" w:rsidR="00A36027" w:rsidRDefault="00A36027" w:rsidP="00157971"/>
    <w:p w14:paraId="54921948" w14:textId="77777777" w:rsidR="00A36027" w:rsidRDefault="00A36027" w:rsidP="00157971"/>
    <w:p w14:paraId="635EAFAE" w14:textId="77777777" w:rsidR="00A36027" w:rsidRDefault="00A36027" w:rsidP="00157971"/>
    <w:p w14:paraId="405ADCD2" w14:textId="77777777" w:rsidR="00A36027" w:rsidRDefault="00A36027" w:rsidP="00157971"/>
    <w:p w14:paraId="4EC6C1E6" w14:textId="77777777" w:rsidR="00A36027" w:rsidRDefault="00A36027" w:rsidP="00157971"/>
    <w:p w14:paraId="1A01C628" w14:textId="77777777" w:rsidR="00A36027" w:rsidRDefault="00A36027" w:rsidP="00157971"/>
    <w:p w14:paraId="2B520459" w14:textId="77777777" w:rsidR="00A36027" w:rsidRDefault="00A36027" w:rsidP="00157971"/>
    <w:p w14:paraId="62A8824F" w14:textId="77777777" w:rsidR="00A36027" w:rsidRDefault="00A36027" w:rsidP="00157971"/>
    <w:p w14:paraId="7E6C8928" w14:textId="48F152E0" w:rsidR="00A36027" w:rsidRDefault="00A36027" w:rsidP="00157971">
      <w:r>
        <w:lastRenderedPageBreak/>
        <w:t>Table of Contents</w:t>
      </w:r>
    </w:p>
    <w:tbl>
      <w:tblPr>
        <w:tblStyle w:val="TableGrid"/>
        <w:tblW w:w="0" w:type="auto"/>
        <w:tblLook w:val="04A0" w:firstRow="1" w:lastRow="0" w:firstColumn="1" w:lastColumn="0" w:noHBand="0" w:noVBand="1"/>
      </w:tblPr>
      <w:tblGrid>
        <w:gridCol w:w="1980"/>
        <w:gridCol w:w="4030"/>
        <w:gridCol w:w="3006"/>
      </w:tblGrid>
      <w:tr w:rsidR="008E622D" w14:paraId="18CD3FCD" w14:textId="77777777" w:rsidTr="00DC3679">
        <w:tc>
          <w:tcPr>
            <w:tcW w:w="1980" w:type="dxa"/>
            <w:shd w:val="clear" w:color="auto" w:fill="D9D9D9" w:themeFill="background1" w:themeFillShade="D9"/>
          </w:tcPr>
          <w:p w14:paraId="1682123F" w14:textId="40E25873" w:rsidR="008E622D" w:rsidRDefault="008E622D" w:rsidP="00157971">
            <w:r>
              <w:t>Section Number</w:t>
            </w:r>
          </w:p>
        </w:tc>
        <w:tc>
          <w:tcPr>
            <w:tcW w:w="4030" w:type="dxa"/>
            <w:shd w:val="clear" w:color="auto" w:fill="D9D9D9" w:themeFill="background1" w:themeFillShade="D9"/>
          </w:tcPr>
          <w:p w14:paraId="1702AF1D" w14:textId="19EAD176" w:rsidR="008E622D" w:rsidRDefault="008E622D" w:rsidP="00157971">
            <w:r>
              <w:t>Section Title</w:t>
            </w:r>
          </w:p>
        </w:tc>
        <w:tc>
          <w:tcPr>
            <w:tcW w:w="3006" w:type="dxa"/>
            <w:shd w:val="clear" w:color="auto" w:fill="D9D9D9" w:themeFill="background1" w:themeFillShade="D9"/>
          </w:tcPr>
          <w:p w14:paraId="5D04B62A" w14:textId="26806171" w:rsidR="008E622D" w:rsidRDefault="008E622D" w:rsidP="00157971">
            <w:r>
              <w:t>Page Number</w:t>
            </w:r>
          </w:p>
        </w:tc>
      </w:tr>
      <w:tr w:rsidR="008E622D" w14:paraId="19E220E0" w14:textId="77777777" w:rsidTr="00DC3679">
        <w:tc>
          <w:tcPr>
            <w:tcW w:w="1980" w:type="dxa"/>
          </w:tcPr>
          <w:p w14:paraId="15156D72" w14:textId="444F3680" w:rsidR="008E622D" w:rsidRDefault="008E622D" w:rsidP="00157971">
            <w:r>
              <w:t>1.0</w:t>
            </w:r>
          </w:p>
        </w:tc>
        <w:tc>
          <w:tcPr>
            <w:tcW w:w="4030" w:type="dxa"/>
          </w:tcPr>
          <w:p w14:paraId="72147D50" w14:textId="386D647C" w:rsidR="008E622D" w:rsidRDefault="00DC3679" w:rsidP="00DC3679">
            <w:pPr>
              <w:tabs>
                <w:tab w:val="left" w:pos="930"/>
              </w:tabs>
            </w:pPr>
            <w:r>
              <w:t>Introduction</w:t>
            </w:r>
          </w:p>
        </w:tc>
        <w:tc>
          <w:tcPr>
            <w:tcW w:w="3006" w:type="dxa"/>
          </w:tcPr>
          <w:p w14:paraId="17184A2B" w14:textId="239E9996" w:rsidR="008E622D" w:rsidRDefault="00FB2EA9" w:rsidP="00157971">
            <w:r>
              <w:t>3</w:t>
            </w:r>
          </w:p>
        </w:tc>
      </w:tr>
      <w:tr w:rsidR="008E622D" w14:paraId="6278900A" w14:textId="77777777" w:rsidTr="00DC3679">
        <w:tc>
          <w:tcPr>
            <w:tcW w:w="1980" w:type="dxa"/>
          </w:tcPr>
          <w:p w14:paraId="1313EF45" w14:textId="1EE4A7A4" w:rsidR="008E622D" w:rsidRDefault="008E622D" w:rsidP="00157971">
            <w:r>
              <w:t>2.0</w:t>
            </w:r>
          </w:p>
        </w:tc>
        <w:tc>
          <w:tcPr>
            <w:tcW w:w="4030" w:type="dxa"/>
          </w:tcPr>
          <w:p w14:paraId="7ECEDEE3" w14:textId="02B4D44D" w:rsidR="008E622D" w:rsidRDefault="00DC3679" w:rsidP="00157971">
            <w:r>
              <w:t>Task 1</w:t>
            </w:r>
          </w:p>
        </w:tc>
        <w:tc>
          <w:tcPr>
            <w:tcW w:w="3006" w:type="dxa"/>
          </w:tcPr>
          <w:p w14:paraId="6149ACD7" w14:textId="1676E1D7" w:rsidR="008E622D" w:rsidRDefault="00FB2EA9" w:rsidP="00157971">
            <w:r>
              <w:t>3</w:t>
            </w:r>
          </w:p>
        </w:tc>
      </w:tr>
      <w:tr w:rsidR="008E622D" w14:paraId="26B41D9A" w14:textId="77777777" w:rsidTr="00DC3679">
        <w:tc>
          <w:tcPr>
            <w:tcW w:w="1980" w:type="dxa"/>
          </w:tcPr>
          <w:p w14:paraId="463ACAF7" w14:textId="7487B2BB" w:rsidR="008E622D" w:rsidRDefault="008E622D" w:rsidP="00157971">
            <w:r>
              <w:t>2.1</w:t>
            </w:r>
          </w:p>
        </w:tc>
        <w:tc>
          <w:tcPr>
            <w:tcW w:w="4030" w:type="dxa"/>
          </w:tcPr>
          <w:p w14:paraId="58893ED2" w14:textId="7DB5CF23" w:rsidR="008E622D" w:rsidRDefault="00DC3679" w:rsidP="00157971">
            <w:r>
              <w:t>Development Log</w:t>
            </w:r>
          </w:p>
        </w:tc>
        <w:tc>
          <w:tcPr>
            <w:tcW w:w="3006" w:type="dxa"/>
          </w:tcPr>
          <w:p w14:paraId="243BD702" w14:textId="69C2C07B" w:rsidR="008E622D" w:rsidRDefault="00FB2EA9" w:rsidP="00157971">
            <w:r>
              <w:t>3</w:t>
            </w:r>
          </w:p>
        </w:tc>
      </w:tr>
      <w:tr w:rsidR="008E622D" w14:paraId="64EB5BF5" w14:textId="77777777" w:rsidTr="00DC3679">
        <w:tc>
          <w:tcPr>
            <w:tcW w:w="1980" w:type="dxa"/>
          </w:tcPr>
          <w:p w14:paraId="66E0676C" w14:textId="0967D0C3" w:rsidR="008E622D" w:rsidRDefault="008E622D" w:rsidP="00157971">
            <w:r>
              <w:t>2.</w:t>
            </w:r>
            <w:r w:rsidR="00FB2EA9">
              <w:t>1.1</w:t>
            </w:r>
          </w:p>
        </w:tc>
        <w:tc>
          <w:tcPr>
            <w:tcW w:w="4030" w:type="dxa"/>
          </w:tcPr>
          <w:p w14:paraId="49EC8934" w14:textId="7DCA80D7" w:rsidR="008E622D" w:rsidRDefault="00DC3679" w:rsidP="00157971">
            <w:r>
              <w:t>Boundary Data</w:t>
            </w:r>
          </w:p>
        </w:tc>
        <w:tc>
          <w:tcPr>
            <w:tcW w:w="3006" w:type="dxa"/>
          </w:tcPr>
          <w:p w14:paraId="12586A1B" w14:textId="6F5F248B" w:rsidR="008E622D" w:rsidRDefault="00FB2EA9" w:rsidP="00157971">
            <w:r>
              <w:t>3</w:t>
            </w:r>
          </w:p>
        </w:tc>
      </w:tr>
      <w:tr w:rsidR="008E622D" w14:paraId="08F479A9" w14:textId="77777777" w:rsidTr="00DC3679">
        <w:tc>
          <w:tcPr>
            <w:tcW w:w="1980" w:type="dxa"/>
          </w:tcPr>
          <w:p w14:paraId="3433B127" w14:textId="71197C33" w:rsidR="008E622D" w:rsidRDefault="00FB2EA9" w:rsidP="00157971">
            <w:r>
              <w:t>2.1.2</w:t>
            </w:r>
          </w:p>
        </w:tc>
        <w:tc>
          <w:tcPr>
            <w:tcW w:w="4030" w:type="dxa"/>
          </w:tcPr>
          <w:p w14:paraId="3E1FF544" w14:textId="6943A1FD" w:rsidR="008E622D" w:rsidRDefault="00DC3679" w:rsidP="00157971">
            <w:r>
              <w:t>Thematic Data</w:t>
            </w:r>
          </w:p>
        </w:tc>
        <w:tc>
          <w:tcPr>
            <w:tcW w:w="3006" w:type="dxa"/>
          </w:tcPr>
          <w:p w14:paraId="6B111235" w14:textId="3009DDFC" w:rsidR="008E622D" w:rsidRDefault="00FB2EA9" w:rsidP="00157971">
            <w:r>
              <w:t>3</w:t>
            </w:r>
          </w:p>
        </w:tc>
      </w:tr>
      <w:tr w:rsidR="008E622D" w14:paraId="52F14BA3" w14:textId="77777777" w:rsidTr="00DC3679">
        <w:tc>
          <w:tcPr>
            <w:tcW w:w="1980" w:type="dxa"/>
          </w:tcPr>
          <w:p w14:paraId="25EC0C5B" w14:textId="4B1DDDEC" w:rsidR="008E622D" w:rsidRDefault="00FB2EA9" w:rsidP="00157971">
            <w:r>
              <w:t>2.1.3</w:t>
            </w:r>
          </w:p>
        </w:tc>
        <w:tc>
          <w:tcPr>
            <w:tcW w:w="4030" w:type="dxa"/>
          </w:tcPr>
          <w:p w14:paraId="6BA2CF3B" w14:textId="56DFEBB2" w:rsidR="008E622D" w:rsidRDefault="00DC3679" w:rsidP="00157971">
            <w:r>
              <w:t>Topographic Data</w:t>
            </w:r>
          </w:p>
        </w:tc>
        <w:tc>
          <w:tcPr>
            <w:tcW w:w="3006" w:type="dxa"/>
          </w:tcPr>
          <w:p w14:paraId="5FF4F1E8" w14:textId="0595DF32" w:rsidR="008E622D" w:rsidRDefault="00FB2EA9" w:rsidP="00157971">
            <w:r>
              <w:t>3</w:t>
            </w:r>
          </w:p>
        </w:tc>
      </w:tr>
      <w:tr w:rsidR="008E622D" w14:paraId="779F1A26" w14:textId="77777777" w:rsidTr="00DC3679">
        <w:tc>
          <w:tcPr>
            <w:tcW w:w="1980" w:type="dxa"/>
          </w:tcPr>
          <w:p w14:paraId="0DEF9DCF" w14:textId="539B7A7E" w:rsidR="008E622D" w:rsidRDefault="00FB2EA9" w:rsidP="00157971">
            <w:r>
              <w:t>3.0</w:t>
            </w:r>
          </w:p>
        </w:tc>
        <w:tc>
          <w:tcPr>
            <w:tcW w:w="4030" w:type="dxa"/>
          </w:tcPr>
          <w:p w14:paraId="3C85CFC3" w14:textId="13AB3770" w:rsidR="008E622D" w:rsidRDefault="00DC3679" w:rsidP="00157971">
            <w:r>
              <w:t>Task 2</w:t>
            </w:r>
          </w:p>
        </w:tc>
        <w:tc>
          <w:tcPr>
            <w:tcW w:w="3006" w:type="dxa"/>
          </w:tcPr>
          <w:p w14:paraId="74804334" w14:textId="61A0420D" w:rsidR="008E622D" w:rsidRDefault="00FB2EA9" w:rsidP="00157971">
            <w:r>
              <w:t>4</w:t>
            </w:r>
          </w:p>
        </w:tc>
      </w:tr>
      <w:tr w:rsidR="008E622D" w14:paraId="11F05946" w14:textId="77777777" w:rsidTr="00DC3679">
        <w:tc>
          <w:tcPr>
            <w:tcW w:w="1980" w:type="dxa"/>
          </w:tcPr>
          <w:p w14:paraId="2DBB122D" w14:textId="561EA84F" w:rsidR="008E622D" w:rsidRDefault="00FB2EA9" w:rsidP="00157971">
            <w:r>
              <w:t>3.1.1</w:t>
            </w:r>
          </w:p>
        </w:tc>
        <w:tc>
          <w:tcPr>
            <w:tcW w:w="4030" w:type="dxa"/>
          </w:tcPr>
          <w:p w14:paraId="7CB51140" w14:textId="2E759A24" w:rsidR="008E622D" w:rsidRDefault="00DC3679" w:rsidP="00157971">
            <w:r>
              <w:t>First Vaccine Uptake</w:t>
            </w:r>
          </w:p>
        </w:tc>
        <w:tc>
          <w:tcPr>
            <w:tcW w:w="3006" w:type="dxa"/>
          </w:tcPr>
          <w:p w14:paraId="4963BA56" w14:textId="5C12D219" w:rsidR="008E622D" w:rsidRDefault="00FB2EA9" w:rsidP="00157971">
            <w:r>
              <w:t>4</w:t>
            </w:r>
          </w:p>
        </w:tc>
      </w:tr>
      <w:tr w:rsidR="008E622D" w14:paraId="5FE8BC06" w14:textId="77777777" w:rsidTr="00DC3679">
        <w:tc>
          <w:tcPr>
            <w:tcW w:w="1980" w:type="dxa"/>
          </w:tcPr>
          <w:p w14:paraId="4C9D98B6" w14:textId="09A5D3CE" w:rsidR="008E622D" w:rsidRDefault="00FB2EA9" w:rsidP="00157971">
            <w:r>
              <w:t>3.1.2</w:t>
            </w:r>
          </w:p>
        </w:tc>
        <w:tc>
          <w:tcPr>
            <w:tcW w:w="4030" w:type="dxa"/>
          </w:tcPr>
          <w:p w14:paraId="54F8667E" w14:textId="33122FD2" w:rsidR="008E622D" w:rsidRDefault="00DC3679" w:rsidP="00157971">
            <w:r>
              <w:t>First Vaccine Uptake 80+ vs 18-29</w:t>
            </w:r>
          </w:p>
        </w:tc>
        <w:tc>
          <w:tcPr>
            <w:tcW w:w="3006" w:type="dxa"/>
          </w:tcPr>
          <w:p w14:paraId="5880CA96" w14:textId="59130011" w:rsidR="008E622D" w:rsidRDefault="00FB2EA9" w:rsidP="00157971">
            <w:r>
              <w:t>4</w:t>
            </w:r>
          </w:p>
        </w:tc>
      </w:tr>
      <w:tr w:rsidR="008E622D" w14:paraId="73902D01" w14:textId="77777777" w:rsidTr="00DC3679">
        <w:tc>
          <w:tcPr>
            <w:tcW w:w="1980" w:type="dxa"/>
          </w:tcPr>
          <w:p w14:paraId="7E8222B8" w14:textId="3546920C" w:rsidR="008E622D" w:rsidRDefault="00FB2EA9" w:rsidP="00157971">
            <w:r>
              <w:t>3.1.3</w:t>
            </w:r>
          </w:p>
        </w:tc>
        <w:tc>
          <w:tcPr>
            <w:tcW w:w="4030" w:type="dxa"/>
          </w:tcPr>
          <w:p w14:paraId="617AE64D" w14:textId="50DF147C" w:rsidR="008E622D" w:rsidRDefault="00DC3679" w:rsidP="00157971">
            <w:r>
              <w:t>All Doses Given</w:t>
            </w:r>
          </w:p>
        </w:tc>
        <w:tc>
          <w:tcPr>
            <w:tcW w:w="3006" w:type="dxa"/>
          </w:tcPr>
          <w:p w14:paraId="42E202BF" w14:textId="704DE915" w:rsidR="008E622D" w:rsidRDefault="00FB2EA9" w:rsidP="00157971">
            <w:r>
              <w:t>6</w:t>
            </w:r>
          </w:p>
        </w:tc>
      </w:tr>
      <w:tr w:rsidR="008E622D" w14:paraId="3A0DED2F" w14:textId="77777777" w:rsidTr="00DC3679">
        <w:tc>
          <w:tcPr>
            <w:tcW w:w="1980" w:type="dxa"/>
          </w:tcPr>
          <w:p w14:paraId="7D1B7479" w14:textId="6A545431" w:rsidR="008E622D" w:rsidRDefault="00FB2EA9" w:rsidP="00157971">
            <w:r>
              <w:t>3.2</w:t>
            </w:r>
          </w:p>
        </w:tc>
        <w:tc>
          <w:tcPr>
            <w:tcW w:w="4030" w:type="dxa"/>
          </w:tcPr>
          <w:p w14:paraId="21504291" w14:textId="273A80CD" w:rsidR="008E622D" w:rsidRDefault="00DC3679" w:rsidP="00157971">
            <w:r>
              <w:t>Understanding the Themes</w:t>
            </w:r>
          </w:p>
        </w:tc>
        <w:tc>
          <w:tcPr>
            <w:tcW w:w="3006" w:type="dxa"/>
          </w:tcPr>
          <w:p w14:paraId="1F166ADA" w14:textId="77F3C7E8" w:rsidR="008E622D" w:rsidRDefault="00FB2EA9" w:rsidP="00157971">
            <w:r>
              <w:t>6</w:t>
            </w:r>
          </w:p>
        </w:tc>
      </w:tr>
      <w:tr w:rsidR="008E622D" w14:paraId="797A6DBD" w14:textId="77777777" w:rsidTr="00DC3679">
        <w:tc>
          <w:tcPr>
            <w:tcW w:w="1980" w:type="dxa"/>
          </w:tcPr>
          <w:p w14:paraId="4351028F" w14:textId="5E555E3C" w:rsidR="008E622D" w:rsidRDefault="00FB2EA9" w:rsidP="00157971">
            <w:r>
              <w:t>3.2.1</w:t>
            </w:r>
          </w:p>
        </w:tc>
        <w:tc>
          <w:tcPr>
            <w:tcW w:w="4030" w:type="dxa"/>
          </w:tcPr>
          <w:p w14:paraId="15DC03AA" w14:textId="3223DC0F" w:rsidR="008E622D" w:rsidRDefault="00DC3679" w:rsidP="00157971">
            <w:r>
              <w:t>Deprivation Data</w:t>
            </w:r>
          </w:p>
        </w:tc>
        <w:tc>
          <w:tcPr>
            <w:tcW w:w="3006" w:type="dxa"/>
          </w:tcPr>
          <w:p w14:paraId="348550D3" w14:textId="5E490418" w:rsidR="008E622D" w:rsidRDefault="00FB2EA9" w:rsidP="00157971">
            <w:r>
              <w:t>6</w:t>
            </w:r>
          </w:p>
        </w:tc>
      </w:tr>
      <w:tr w:rsidR="008E622D" w14:paraId="690282B9" w14:textId="77777777" w:rsidTr="00DC3679">
        <w:tc>
          <w:tcPr>
            <w:tcW w:w="1980" w:type="dxa"/>
          </w:tcPr>
          <w:p w14:paraId="68D0E99D" w14:textId="3663801E" w:rsidR="008E622D" w:rsidRDefault="00FB2EA9" w:rsidP="00157971">
            <w:r>
              <w:t>3.2.2</w:t>
            </w:r>
          </w:p>
        </w:tc>
        <w:tc>
          <w:tcPr>
            <w:tcW w:w="4030" w:type="dxa"/>
          </w:tcPr>
          <w:p w14:paraId="319F12EA" w14:textId="2BE478E2" w:rsidR="008E622D" w:rsidRDefault="00DC3679" w:rsidP="00157971">
            <w:r>
              <w:t>Road Access</w:t>
            </w:r>
          </w:p>
        </w:tc>
        <w:tc>
          <w:tcPr>
            <w:tcW w:w="3006" w:type="dxa"/>
          </w:tcPr>
          <w:p w14:paraId="3EA55D8B" w14:textId="322EED74" w:rsidR="008E622D" w:rsidRDefault="00FB2EA9" w:rsidP="00157971">
            <w:r>
              <w:t>8</w:t>
            </w:r>
          </w:p>
        </w:tc>
      </w:tr>
      <w:tr w:rsidR="008E622D" w14:paraId="6E9B35FE" w14:textId="77777777" w:rsidTr="00DC3679">
        <w:tc>
          <w:tcPr>
            <w:tcW w:w="1980" w:type="dxa"/>
          </w:tcPr>
          <w:p w14:paraId="205DDC42" w14:textId="47AA7F9C" w:rsidR="008E622D" w:rsidRDefault="00FB2EA9" w:rsidP="00157971">
            <w:r>
              <w:t>3.2.3</w:t>
            </w:r>
          </w:p>
        </w:tc>
        <w:tc>
          <w:tcPr>
            <w:tcW w:w="4030" w:type="dxa"/>
          </w:tcPr>
          <w:p w14:paraId="4BD79CC7" w14:textId="2373CFA7" w:rsidR="008E622D" w:rsidRDefault="00DC3679" w:rsidP="00157971">
            <w:r>
              <w:t>Alternative Deprivation Measure</w:t>
            </w:r>
          </w:p>
        </w:tc>
        <w:tc>
          <w:tcPr>
            <w:tcW w:w="3006" w:type="dxa"/>
          </w:tcPr>
          <w:p w14:paraId="29A65F1A" w14:textId="4D5841B9" w:rsidR="008E622D" w:rsidRDefault="00FB2EA9" w:rsidP="00157971">
            <w:r>
              <w:t>8</w:t>
            </w:r>
          </w:p>
        </w:tc>
      </w:tr>
      <w:tr w:rsidR="008E622D" w14:paraId="47E3A690" w14:textId="77777777" w:rsidTr="00DC3679">
        <w:tc>
          <w:tcPr>
            <w:tcW w:w="1980" w:type="dxa"/>
          </w:tcPr>
          <w:p w14:paraId="53735166" w14:textId="68922F79" w:rsidR="008E622D" w:rsidRDefault="00FB2EA9" w:rsidP="00157971">
            <w:r>
              <w:t>3.2.4</w:t>
            </w:r>
          </w:p>
        </w:tc>
        <w:tc>
          <w:tcPr>
            <w:tcW w:w="4030" w:type="dxa"/>
          </w:tcPr>
          <w:p w14:paraId="0A06A746" w14:textId="21A9D226" w:rsidR="008E622D" w:rsidRDefault="00DC3679" w:rsidP="00157971">
            <w:proofErr w:type="spellStart"/>
            <w:r>
              <w:t>Bronllys</w:t>
            </w:r>
            <w:proofErr w:type="spellEnd"/>
            <w:r>
              <w:t xml:space="preserve"> A Closer Look</w:t>
            </w:r>
          </w:p>
        </w:tc>
        <w:tc>
          <w:tcPr>
            <w:tcW w:w="3006" w:type="dxa"/>
          </w:tcPr>
          <w:p w14:paraId="3C4BED84" w14:textId="4DDE3417" w:rsidR="008E622D" w:rsidRDefault="00FB2EA9" w:rsidP="00157971">
            <w:r>
              <w:t>9</w:t>
            </w:r>
          </w:p>
        </w:tc>
      </w:tr>
      <w:tr w:rsidR="008E622D" w14:paraId="3AA455F3" w14:textId="77777777" w:rsidTr="00DC3679">
        <w:tc>
          <w:tcPr>
            <w:tcW w:w="1980" w:type="dxa"/>
          </w:tcPr>
          <w:p w14:paraId="0379B257" w14:textId="314698A4" w:rsidR="008E622D" w:rsidRDefault="00FB2EA9" w:rsidP="00157971">
            <w:r>
              <w:t>3.2.5</w:t>
            </w:r>
          </w:p>
        </w:tc>
        <w:tc>
          <w:tcPr>
            <w:tcW w:w="4030" w:type="dxa"/>
          </w:tcPr>
          <w:p w14:paraId="6EBB66C7" w14:textId="4E31E25F" w:rsidR="008E622D" w:rsidRDefault="00DC3679" w:rsidP="00157971">
            <w:r>
              <w:t>Urban Centres</w:t>
            </w:r>
          </w:p>
        </w:tc>
        <w:tc>
          <w:tcPr>
            <w:tcW w:w="3006" w:type="dxa"/>
          </w:tcPr>
          <w:p w14:paraId="2662E2D2" w14:textId="5A8F7864" w:rsidR="008E622D" w:rsidRDefault="00FB2EA9" w:rsidP="00157971">
            <w:r>
              <w:t>10</w:t>
            </w:r>
          </w:p>
        </w:tc>
      </w:tr>
      <w:tr w:rsidR="008E622D" w14:paraId="2AB8D76B" w14:textId="77777777" w:rsidTr="00DC3679">
        <w:tc>
          <w:tcPr>
            <w:tcW w:w="1980" w:type="dxa"/>
          </w:tcPr>
          <w:p w14:paraId="4D8225F1" w14:textId="6ACD5B30" w:rsidR="008E622D" w:rsidRDefault="00FB2EA9" w:rsidP="00157971">
            <w:r>
              <w:t>4.0</w:t>
            </w:r>
          </w:p>
        </w:tc>
        <w:tc>
          <w:tcPr>
            <w:tcW w:w="4030" w:type="dxa"/>
          </w:tcPr>
          <w:p w14:paraId="14F66027" w14:textId="55B9666B" w:rsidR="008E622D" w:rsidRDefault="00DC3679" w:rsidP="00157971">
            <w:r>
              <w:t>Conclusion</w:t>
            </w:r>
          </w:p>
        </w:tc>
        <w:tc>
          <w:tcPr>
            <w:tcW w:w="3006" w:type="dxa"/>
          </w:tcPr>
          <w:p w14:paraId="4AD3643A" w14:textId="257BCA6C" w:rsidR="008E622D" w:rsidRDefault="00FB2EA9" w:rsidP="00157971">
            <w:r>
              <w:t>11</w:t>
            </w:r>
          </w:p>
        </w:tc>
      </w:tr>
      <w:tr w:rsidR="00FB2EA9" w14:paraId="143D321D" w14:textId="77777777" w:rsidTr="00DC3679">
        <w:tc>
          <w:tcPr>
            <w:tcW w:w="1980" w:type="dxa"/>
          </w:tcPr>
          <w:p w14:paraId="41293CB8" w14:textId="7008FB53" w:rsidR="00FB2EA9" w:rsidRDefault="00FB2EA9" w:rsidP="00157971">
            <w:r>
              <w:t>5.0</w:t>
            </w:r>
          </w:p>
        </w:tc>
        <w:tc>
          <w:tcPr>
            <w:tcW w:w="4030" w:type="dxa"/>
          </w:tcPr>
          <w:p w14:paraId="660B4472" w14:textId="7F78E88B" w:rsidR="00FB2EA9" w:rsidRDefault="00DC3679" w:rsidP="00157971">
            <w:r>
              <w:t>References</w:t>
            </w:r>
          </w:p>
        </w:tc>
        <w:tc>
          <w:tcPr>
            <w:tcW w:w="3006" w:type="dxa"/>
          </w:tcPr>
          <w:p w14:paraId="594DAEF1" w14:textId="4A2C01C2" w:rsidR="00FB2EA9" w:rsidRDefault="00FB2EA9" w:rsidP="00157971">
            <w:r>
              <w:t>11</w:t>
            </w:r>
          </w:p>
        </w:tc>
      </w:tr>
    </w:tbl>
    <w:p w14:paraId="5DC3D92E" w14:textId="77777777" w:rsidR="00A36027" w:rsidRDefault="00A36027" w:rsidP="00157971"/>
    <w:p w14:paraId="7FFA51AC" w14:textId="77777777" w:rsidR="00A36027" w:rsidRDefault="00A36027" w:rsidP="00157971"/>
    <w:p w14:paraId="6F8DB469" w14:textId="77777777" w:rsidR="00A36027" w:rsidRDefault="00A36027" w:rsidP="00157971"/>
    <w:p w14:paraId="39146298" w14:textId="77777777" w:rsidR="00A36027" w:rsidRDefault="00A36027" w:rsidP="00157971"/>
    <w:p w14:paraId="3AB7B1D7" w14:textId="77777777" w:rsidR="00A36027" w:rsidRDefault="00A36027" w:rsidP="00157971"/>
    <w:p w14:paraId="704B2F1D" w14:textId="77777777" w:rsidR="00A36027" w:rsidRDefault="00A36027" w:rsidP="00157971"/>
    <w:p w14:paraId="3CB4D7DC" w14:textId="77777777" w:rsidR="00A36027" w:rsidRDefault="00A36027" w:rsidP="00157971"/>
    <w:p w14:paraId="5CBAEFF3" w14:textId="77777777" w:rsidR="00A36027" w:rsidRDefault="00A36027" w:rsidP="00157971"/>
    <w:p w14:paraId="730D6011" w14:textId="77777777" w:rsidR="00A36027" w:rsidRDefault="00A36027" w:rsidP="00157971"/>
    <w:p w14:paraId="14A18EB6" w14:textId="77777777" w:rsidR="00A36027" w:rsidRDefault="00A36027" w:rsidP="00157971"/>
    <w:p w14:paraId="53FF985D" w14:textId="77777777" w:rsidR="00A36027" w:rsidRDefault="00A36027" w:rsidP="00157971"/>
    <w:p w14:paraId="7B46182F" w14:textId="77777777" w:rsidR="00A36027" w:rsidRDefault="00A36027" w:rsidP="00157971"/>
    <w:p w14:paraId="5B71FBBF" w14:textId="77777777" w:rsidR="00A36027" w:rsidRDefault="00A36027" w:rsidP="00157971"/>
    <w:p w14:paraId="5873B00B" w14:textId="77777777" w:rsidR="00A36027" w:rsidRDefault="00A36027" w:rsidP="00157971"/>
    <w:p w14:paraId="4451FC6B" w14:textId="77777777" w:rsidR="00A36027" w:rsidRDefault="00A36027" w:rsidP="00157971"/>
    <w:p w14:paraId="6FE49389" w14:textId="77777777" w:rsidR="00A36027" w:rsidRDefault="00A36027" w:rsidP="00157971"/>
    <w:p w14:paraId="33B42E51" w14:textId="77777777" w:rsidR="00A36027" w:rsidRDefault="00A36027" w:rsidP="00157971"/>
    <w:p w14:paraId="14552A18" w14:textId="77777777" w:rsidR="00FB2EA9" w:rsidRDefault="00FB2EA9" w:rsidP="00157971"/>
    <w:p w14:paraId="08A18202" w14:textId="76040C34" w:rsidR="005A6AF7" w:rsidRDefault="005A6AF7" w:rsidP="00157971">
      <w:r>
        <w:lastRenderedPageBreak/>
        <w:t xml:space="preserve">1.0 </w:t>
      </w:r>
      <w:bookmarkStart w:id="0" w:name="_Hlk102195173"/>
      <w:r>
        <w:t>Introduction</w:t>
      </w:r>
      <w:bookmarkEnd w:id="0"/>
    </w:p>
    <w:p w14:paraId="59DDA984" w14:textId="1118970E" w:rsidR="005A6AF7" w:rsidRDefault="005A6AF7" w:rsidP="00157971">
      <w:r>
        <w:t>During this paper a geographical map will be created to show themes and ideas based around the subject of COVID vaccination levels within Wales and its potential affects on herd immunity. Various themes will be demonstrated and discussed to hypothesis if these have a noticeable impact on the uptake of COVID vaccination.</w:t>
      </w:r>
    </w:p>
    <w:p w14:paraId="041CF004" w14:textId="62F75866" w:rsidR="005A6AF7" w:rsidRDefault="005A6AF7" w:rsidP="00157971">
      <w:r>
        <w:t xml:space="preserve">2.0 </w:t>
      </w:r>
      <w:bookmarkStart w:id="1" w:name="_Hlk102195181"/>
      <w:r>
        <w:t>Task 1</w:t>
      </w:r>
    </w:p>
    <w:bookmarkEnd w:id="1"/>
    <w:p w14:paraId="460736EB" w14:textId="09FA2E0D" w:rsidR="005A6AF7" w:rsidRDefault="005A6AF7" w:rsidP="00157971">
      <w:r>
        <w:t>This part of the paper will highlight the different data sources and mapping layers used.</w:t>
      </w:r>
    </w:p>
    <w:p w14:paraId="410B152F" w14:textId="616052D3" w:rsidR="00157971" w:rsidRDefault="005A6AF7" w:rsidP="00157971">
      <w:r>
        <w:t xml:space="preserve">2.1 </w:t>
      </w:r>
      <w:bookmarkStart w:id="2" w:name="_Hlk102195195"/>
      <w:r w:rsidR="00157971">
        <w:t>Development Log</w:t>
      </w:r>
      <w:bookmarkEnd w:id="2"/>
    </w:p>
    <w:p w14:paraId="3EC71698" w14:textId="6BC4060B" w:rsidR="005A6AF7" w:rsidRDefault="005A6AF7" w:rsidP="00157971">
      <w:r>
        <w:t xml:space="preserve">2.1.1 </w:t>
      </w:r>
      <w:bookmarkStart w:id="3" w:name="_Hlk102195200"/>
      <w:r>
        <w:t>Boundary Data</w:t>
      </w:r>
      <w:bookmarkEnd w:id="3"/>
    </w:p>
    <w:p w14:paraId="39BCB113" w14:textId="558DDF94" w:rsidR="00157971" w:rsidRDefault="00157971" w:rsidP="00157971">
      <w:r>
        <w:t xml:space="preserve">To form the base location data to show an overall image of Wales a data set from the UK Data service was used to show boundaries of each local health board. This was downloaded in a tab format which is </w:t>
      </w:r>
      <w:r w:rsidR="00C60BC0">
        <w:t>natively supported by MapInfo.</w:t>
      </w:r>
    </w:p>
    <w:p w14:paraId="7434CF06" w14:textId="2F61A8F6" w:rsidR="00C60BC0" w:rsidRDefault="00C60BC0" w:rsidP="00157971">
      <w:r>
        <w:t>Additional boundary data was also downloaded to show middle super output areas for Powys specifically to allow for the author to compare the deprivation of each MSOA to understand if this has an impact on the rate of vaccination. This again was natively imported into MapInfo and downloaded via the UK Data service as part of the census data set.</w:t>
      </w:r>
    </w:p>
    <w:p w14:paraId="6908B560" w14:textId="44517151" w:rsidR="005A6AF7" w:rsidRDefault="005A6AF7" w:rsidP="00157971">
      <w:r>
        <w:t xml:space="preserve">2.1.2 </w:t>
      </w:r>
      <w:bookmarkStart w:id="4" w:name="_Hlk102195205"/>
      <w:r>
        <w:t>Thematic Data</w:t>
      </w:r>
      <w:bookmarkEnd w:id="4"/>
    </w:p>
    <w:p w14:paraId="509BBCF5" w14:textId="7D05BA35" w:rsidR="00C60BC0" w:rsidRDefault="00564BAF" w:rsidP="00157971">
      <w:r>
        <w:t>In order to show some thematic data the provided excel sheet was imported to show vaccination uptake by health board or unitary authority. This data was supplemented with percentage values to make themes easier to compare areas without relying on total numbers as this would skew results and show some areas as underperforming due to the much lower population. Percentages in this instance take populations into account and easily shows areas where herd immunity may be at risk due to overall percentage being low.</w:t>
      </w:r>
    </w:p>
    <w:p w14:paraId="37C3EC14" w14:textId="77777777" w:rsidR="005A6AF7" w:rsidRDefault="005A6AF7" w:rsidP="005A6AF7">
      <w:r>
        <w:t>Deprivation data was also imported from the UK census information to allow for comparison of different MSOA within Powys.</w:t>
      </w:r>
    </w:p>
    <w:p w14:paraId="5FC58674" w14:textId="204CAFC1" w:rsidR="005A6AF7" w:rsidRDefault="005A6AF7" w:rsidP="00157971">
      <w:r>
        <w:t xml:space="preserve">2.1.3 </w:t>
      </w:r>
      <w:bookmarkStart w:id="5" w:name="_Hlk102195214"/>
      <w:r>
        <w:t>Topographic Data</w:t>
      </w:r>
      <w:bookmarkEnd w:id="5"/>
    </w:p>
    <w:p w14:paraId="3E4D7466" w14:textId="7826E7DB" w:rsidR="00564BAF" w:rsidRDefault="006142D4" w:rsidP="00157971">
      <w:r>
        <w:t>To aid understanding of the themes being explored and allow for conclusions to be drawn additional topographic information was added to the map. This includes minor roads,</w:t>
      </w:r>
      <w:r w:rsidR="00BA6BF2">
        <w:t xml:space="preserve"> major roads and waterways. This was originally downloaded from </w:t>
      </w:r>
      <w:proofErr w:type="spellStart"/>
      <w:r w:rsidR="00BA6BF2">
        <w:t>digimap</w:t>
      </w:r>
      <w:proofErr w:type="spellEnd"/>
      <w:r w:rsidR="00BA6BF2">
        <w:t xml:space="preserve"> which is run by the university of Edinburgh and was available in a tab format which made for easy ingestion into MapInfo. This data set originally includes information for the entire UK based on the ordnance survey data which was more than required for this comparison, therefore the map for Wales was selected and saved into a separate file to allow for focus to be on Wales for this exercise.</w:t>
      </w:r>
    </w:p>
    <w:p w14:paraId="291271ED" w14:textId="36C068B1" w:rsidR="00D55E21" w:rsidRDefault="00D55E21" w:rsidP="00157971">
      <w:r>
        <w:t xml:space="preserve">It was also important to understand if access to facilities aided in a large uptake of the vaccine in certain areas, the demonstrate this </w:t>
      </w:r>
      <w:r w:rsidR="0012300E">
        <w:t xml:space="preserve">additional topographic information was added via a </w:t>
      </w:r>
      <w:proofErr w:type="spellStart"/>
      <w:r w:rsidR="0012300E">
        <w:t>geopackage</w:t>
      </w:r>
      <w:proofErr w:type="spellEnd"/>
      <w:r w:rsidR="0012300E">
        <w:t xml:space="preserve"> for the mass vaccination site at </w:t>
      </w:r>
      <w:proofErr w:type="spellStart"/>
      <w:r w:rsidR="0012300E">
        <w:t>Bronllys</w:t>
      </w:r>
      <w:proofErr w:type="spellEnd"/>
      <w:r w:rsidR="0012300E">
        <w:t xml:space="preserve">. This is then highlighted to show the MVC and the available parking on site which can be used to draw some conclusions around access being a key component of high vaccine uptake. Alongside this </w:t>
      </w:r>
      <w:proofErr w:type="spellStart"/>
      <w:r w:rsidR="0012300E">
        <w:t>geopackage</w:t>
      </w:r>
      <w:proofErr w:type="spellEnd"/>
      <w:r w:rsidR="0012300E">
        <w:t xml:space="preserve"> a simple excel sheet was imported to show some point data for the different mass vaccination sites within Powys and how they are spread throughout the county. In order for this to be shown within the map both longitude and latitude were included within the excel file.</w:t>
      </w:r>
    </w:p>
    <w:p w14:paraId="0E7D2944" w14:textId="410D9050" w:rsidR="00754914" w:rsidRDefault="00754914" w:rsidP="00157971">
      <w:r>
        <w:lastRenderedPageBreak/>
        <w:t xml:space="preserve">3.0 </w:t>
      </w:r>
      <w:bookmarkStart w:id="6" w:name="_Hlk102195221"/>
      <w:r>
        <w:t>Task 2</w:t>
      </w:r>
      <w:bookmarkEnd w:id="6"/>
    </w:p>
    <w:p w14:paraId="40662A33" w14:textId="0139DBBD" w:rsidR="00754914" w:rsidRDefault="00754914" w:rsidP="00157971">
      <w:r>
        <w:t>This section of the paper will look at the thematic data produced in task one and discuss what this may indicate such as low vaccine uptake due to deprivation or transport links.</w:t>
      </w:r>
    </w:p>
    <w:p w14:paraId="23AF8F85" w14:textId="324C164A" w:rsidR="00754914" w:rsidRDefault="00754914" w:rsidP="00157971">
      <w:r>
        <w:t>3.1</w:t>
      </w:r>
      <w:r w:rsidR="00CF6109">
        <w:t>.1</w:t>
      </w:r>
      <w:r>
        <w:t xml:space="preserve"> </w:t>
      </w:r>
      <w:bookmarkStart w:id="7" w:name="_Hlk102195226"/>
      <w:r w:rsidR="0072038B">
        <w:t>First Vaccine Uptake</w:t>
      </w:r>
      <w:bookmarkEnd w:id="7"/>
    </w:p>
    <w:p w14:paraId="6F767D94" w14:textId="73850392" w:rsidR="0072038B" w:rsidRDefault="0072038B" w:rsidP="00157971">
      <w:r>
        <w:t xml:space="preserve">One key element to consider when looking at herd immunity within a community is to look at the overall uptake of the first COVID-19 vaccine as according to official government figures the efficacy of the first dose is 72% within health care workers </w:t>
      </w:r>
      <w:sdt>
        <w:sdtPr>
          <w:id w:val="-1924556668"/>
          <w:citation/>
        </w:sdtPr>
        <w:sdtEndPr/>
        <w:sdtContent>
          <w:r>
            <w:fldChar w:fldCharType="begin"/>
          </w:r>
          <w:r>
            <w:instrText xml:space="preserve"> CITATION Mar21 \l 2057 </w:instrText>
          </w:r>
          <w:r>
            <w:fldChar w:fldCharType="separate"/>
          </w:r>
          <w:r w:rsidRPr="0072038B">
            <w:rPr>
              <w:noProof/>
            </w:rPr>
            <w:t>[1]</w:t>
          </w:r>
          <w:r>
            <w:fldChar w:fldCharType="end"/>
          </w:r>
        </w:sdtContent>
      </w:sdt>
      <w:r w:rsidR="00347394">
        <w:t>. This level of protection is a key within a healthcare setting as it would mean less absence due to the need to isolate due to infection.</w:t>
      </w:r>
    </w:p>
    <w:p w14:paraId="50E6DA6B" w14:textId="05CDEEAE" w:rsidR="00347394" w:rsidRDefault="00347394" w:rsidP="00157971">
      <w:r>
        <w:rPr>
          <w:noProof/>
        </w:rPr>
        <w:drawing>
          <wp:inline distT="0" distB="0" distL="0" distR="0" wp14:anchorId="7B9FBAEA" wp14:editId="25850E2F">
            <wp:extent cx="5731510" cy="47415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741545"/>
                    </a:xfrm>
                    <a:prstGeom prst="rect">
                      <a:avLst/>
                    </a:prstGeom>
                    <a:noFill/>
                    <a:ln>
                      <a:noFill/>
                    </a:ln>
                  </pic:spPr>
                </pic:pic>
              </a:graphicData>
            </a:graphic>
          </wp:inline>
        </w:drawing>
      </w:r>
    </w:p>
    <w:p w14:paraId="484A2CA7" w14:textId="5BD8B75F" w:rsidR="00347394" w:rsidRDefault="00347394" w:rsidP="00157971">
      <w:r>
        <w:t xml:space="preserve">The above image shows the overall uptake of the initial COVID vaccine for each Health Board within Wales. The figures show </w:t>
      </w:r>
      <w:r w:rsidR="00755C18">
        <w:t>every health board in Wales achieved at least 87.3% which may suggest a level of herd immunity but this is dependant on the individual disease and at present it is unknown what this level is for COVID. According to the World Health Organization</w:t>
      </w:r>
      <w:r w:rsidR="001D59A3">
        <w:t xml:space="preserve"> </w:t>
      </w:r>
      <w:sdt>
        <w:sdtPr>
          <w:id w:val="-1710571706"/>
          <w:citation/>
        </w:sdtPr>
        <w:sdtEndPr/>
        <w:sdtContent>
          <w:r w:rsidR="001D59A3">
            <w:fldChar w:fldCharType="begin"/>
          </w:r>
          <w:r w:rsidR="001D59A3">
            <w:instrText xml:space="preserve"> CITATION Wor20 \l 2057 </w:instrText>
          </w:r>
          <w:r w:rsidR="001D59A3">
            <w:fldChar w:fldCharType="separate"/>
          </w:r>
          <w:r w:rsidR="001D59A3" w:rsidRPr="001D59A3">
            <w:rPr>
              <w:noProof/>
            </w:rPr>
            <w:t>[2]</w:t>
          </w:r>
          <w:r w:rsidR="001D59A3">
            <w:fldChar w:fldCharType="end"/>
          </w:r>
        </w:sdtContent>
      </w:sdt>
      <w:r w:rsidR="001D59A3">
        <w:t xml:space="preserve"> for measles the level of vaccination required is 95% which is above the level of that achieved by Powys Teaching Health Board. However if we compare this to polio which has a required percentage of only 80% which every site achieved on the first dose.</w:t>
      </w:r>
    </w:p>
    <w:p w14:paraId="23FFB10C" w14:textId="5E1124A0" w:rsidR="00CF6109" w:rsidRDefault="00CF6109" w:rsidP="00157971">
      <w:r>
        <w:t xml:space="preserve">3.1.2 </w:t>
      </w:r>
      <w:bookmarkStart w:id="8" w:name="_Hlk102195233"/>
      <w:r>
        <w:t>First Vaccine Uptake 80+ vs 18-29</w:t>
      </w:r>
      <w:bookmarkEnd w:id="8"/>
    </w:p>
    <w:p w14:paraId="52B6FEF7" w14:textId="4630D124" w:rsidR="00CF6109" w:rsidRDefault="00CF6109" w:rsidP="00157971">
      <w:r>
        <w:t xml:space="preserve">Another really interesting marker to investigate when looking at vaccination data is to compare two different risk groups initial uptake. The below image shows the different </w:t>
      </w:r>
      <w:r w:rsidR="00BF4745">
        <w:t xml:space="preserve">first dose uptake between </w:t>
      </w:r>
      <w:r w:rsidR="00BF4745">
        <w:lastRenderedPageBreak/>
        <w:t>those aged 80 and over and those aged between 18 and 29. The red bar shows uptake for those in the higher age group.</w:t>
      </w:r>
    </w:p>
    <w:p w14:paraId="7D0FE6BA" w14:textId="2830FBB2" w:rsidR="00BF4745" w:rsidRDefault="00BF4745" w:rsidP="00157971">
      <w:r>
        <w:rPr>
          <w:noProof/>
        </w:rPr>
        <w:drawing>
          <wp:inline distT="0" distB="0" distL="0" distR="0" wp14:anchorId="3770A84E" wp14:editId="4062CEA3">
            <wp:extent cx="4518443" cy="4924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6272" cy="4932957"/>
                    </a:xfrm>
                    <a:prstGeom prst="rect">
                      <a:avLst/>
                    </a:prstGeom>
                    <a:noFill/>
                    <a:ln>
                      <a:noFill/>
                    </a:ln>
                  </pic:spPr>
                </pic:pic>
              </a:graphicData>
            </a:graphic>
          </wp:inline>
        </w:drawing>
      </w:r>
    </w:p>
    <w:p w14:paraId="7A34A16B" w14:textId="4FDB74E6" w:rsidR="00BF4745" w:rsidRDefault="00BF4745" w:rsidP="00157971">
      <w:r>
        <w:t>The above shows visually the start difference in uptake between the two groups but its difficult to understand this in actually percentage values so below is the excel data to reflect this.</w:t>
      </w:r>
    </w:p>
    <w:tbl>
      <w:tblPr>
        <w:tblW w:w="8560" w:type="dxa"/>
        <w:tblLook w:val="04A0" w:firstRow="1" w:lastRow="0" w:firstColumn="1" w:lastColumn="0" w:noHBand="0" w:noVBand="1"/>
      </w:tblPr>
      <w:tblGrid>
        <w:gridCol w:w="1304"/>
        <w:gridCol w:w="4380"/>
        <w:gridCol w:w="1523"/>
        <w:gridCol w:w="1604"/>
      </w:tblGrid>
      <w:tr w:rsidR="00BF4745" w:rsidRPr="00BF4745" w14:paraId="222613FE" w14:textId="77777777" w:rsidTr="00BF4745">
        <w:trPr>
          <w:trHeight w:val="300"/>
        </w:trPr>
        <w:tc>
          <w:tcPr>
            <w:tcW w:w="114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1DCEEFB7"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code</w:t>
            </w:r>
          </w:p>
        </w:tc>
        <w:tc>
          <w:tcPr>
            <w:tcW w:w="4380" w:type="dxa"/>
            <w:tcBorders>
              <w:top w:val="single" w:sz="4" w:space="0" w:color="auto"/>
              <w:left w:val="nil"/>
              <w:bottom w:val="single" w:sz="4" w:space="0" w:color="auto"/>
              <w:right w:val="single" w:sz="4" w:space="0" w:color="auto"/>
            </w:tcBorders>
            <w:shd w:val="clear" w:color="000000" w:fill="D9D9D9"/>
            <w:noWrap/>
            <w:vAlign w:val="bottom"/>
            <w:hideMark/>
          </w:tcPr>
          <w:p w14:paraId="26CEFF52"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Health board of residence</w:t>
            </w:r>
          </w:p>
        </w:tc>
        <w:tc>
          <w:tcPr>
            <w:tcW w:w="1480" w:type="dxa"/>
            <w:tcBorders>
              <w:top w:val="single" w:sz="4" w:space="0" w:color="auto"/>
              <w:left w:val="nil"/>
              <w:bottom w:val="single" w:sz="4" w:space="0" w:color="auto"/>
              <w:right w:val="single" w:sz="4" w:space="0" w:color="auto"/>
            </w:tcBorders>
            <w:shd w:val="clear" w:color="000000" w:fill="D9D9D9"/>
            <w:noWrap/>
            <w:vAlign w:val="bottom"/>
            <w:hideMark/>
          </w:tcPr>
          <w:p w14:paraId="6E25BD56"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80Plus1stDose</w:t>
            </w:r>
          </w:p>
        </w:tc>
        <w:tc>
          <w:tcPr>
            <w:tcW w:w="1560" w:type="dxa"/>
            <w:tcBorders>
              <w:top w:val="single" w:sz="4" w:space="0" w:color="auto"/>
              <w:left w:val="nil"/>
              <w:bottom w:val="single" w:sz="4" w:space="0" w:color="auto"/>
              <w:right w:val="single" w:sz="4" w:space="0" w:color="auto"/>
            </w:tcBorders>
            <w:shd w:val="clear" w:color="000000" w:fill="D9D9D9"/>
            <w:noWrap/>
            <w:vAlign w:val="bottom"/>
            <w:hideMark/>
          </w:tcPr>
          <w:p w14:paraId="38DD7033"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18To291stDose</w:t>
            </w:r>
          </w:p>
        </w:tc>
      </w:tr>
      <w:tr w:rsidR="00BF4745" w:rsidRPr="00BF4745" w14:paraId="5A09EB09"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9D9CB58"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W11000028</w:t>
            </w:r>
          </w:p>
        </w:tc>
        <w:tc>
          <w:tcPr>
            <w:tcW w:w="4380" w:type="dxa"/>
            <w:tcBorders>
              <w:top w:val="nil"/>
              <w:left w:val="nil"/>
              <w:bottom w:val="single" w:sz="4" w:space="0" w:color="auto"/>
              <w:right w:val="single" w:sz="4" w:space="0" w:color="auto"/>
            </w:tcBorders>
            <w:shd w:val="clear" w:color="auto" w:fill="auto"/>
            <w:noWrap/>
            <w:vAlign w:val="bottom"/>
            <w:hideMark/>
          </w:tcPr>
          <w:p w14:paraId="235AC12B"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Aneurin Bevan University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6BB14C0F"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95.4</w:t>
            </w:r>
          </w:p>
        </w:tc>
        <w:tc>
          <w:tcPr>
            <w:tcW w:w="1560" w:type="dxa"/>
            <w:tcBorders>
              <w:top w:val="nil"/>
              <w:left w:val="nil"/>
              <w:bottom w:val="single" w:sz="4" w:space="0" w:color="auto"/>
              <w:right w:val="single" w:sz="4" w:space="0" w:color="auto"/>
            </w:tcBorders>
            <w:shd w:val="clear" w:color="auto" w:fill="auto"/>
            <w:noWrap/>
            <w:vAlign w:val="bottom"/>
            <w:hideMark/>
          </w:tcPr>
          <w:p w14:paraId="0BBFD98F"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70.1</w:t>
            </w:r>
          </w:p>
        </w:tc>
      </w:tr>
      <w:tr w:rsidR="00BF4745" w:rsidRPr="00BF4745" w14:paraId="37EB6A23"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98A98ED"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W11000023</w:t>
            </w:r>
          </w:p>
        </w:tc>
        <w:tc>
          <w:tcPr>
            <w:tcW w:w="4380" w:type="dxa"/>
            <w:tcBorders>
              <w:top w:val="nil"/>
              <w:left w:val="nil"/>
              <w:bottom w:val="single" w:sz="4" w:space="0" w:color="auto"/>
              <w:right w:val="single" w:sz="4" w:space="0" w:color="auto"/>
            </w:tcBorders>
            <w:shd w:val="clear" w:color="auto" w:fill="auto"/>
            <w:noWrap/>
            <w:vAlign w:val="bottom"/>
            <w:hideMark/>
          </w:tcPr>
          <w:p w14:paraId="6519A213"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Betsi Cadwaladr University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236B94E9"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94.6</w:t>
            </w:r>
          </w:p>
        </w:tc>
        <w:tc>
          <w:tcPr>
            <w:tcW w:w="1560" w:type="dxa"/>
            <w:tcBorders>
              <w:top w:val="nil"/>
              <w:left w:val="nil"/>
              <w:bottom w:val="single" w:sz="4" w:space="0" w:color="auto"/>
              <w:right w:val="single" w:sz="4" w:space="0" w:color="auto"/>
            </w:tcBorders>
            <w:shd w:val="clear" w:color="auto" w:fill="auto"/>
            <w:noWrap/>
            <w:vAlign w:val="bottom"/>
            <w:hideMark/>
          </w:tcPr>
          <w:p w14:paraId="713C7899"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66.4</w:t>
            </w:r>
          </w:p>
        </w:tc>
      </w:tr>
      <w:tr w:rsidR="00BF4745" w:rsidRPr="00BF4745" w14:paraId="421FAA59"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5D539190"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W11000029</w:t>
            </w:r>
          </w:p>
        </w:tc>
        <w:tc>
          <w:tcPr>
            <w:tcW w:w="4380" w:type="dxa"/>
            <w:tcBorders>
              <w:top w:val="nil"/>
              <w:left w:val="nil"/>
              <w:bottom w:val="single" w:sz="4" w:space="0" w:color="auto"/>
              <w:right w:val="single" w:sz="4" w:space="0" w:color="auto"/>
            </w:tcBorders>
            <w:shd w:val="clear" w:color="auto" w:fill="auto"/>
            <w:noWrap/>
            <w:vAlign w:val="bottom"/>
            <w:hideMark/>
          </w:tcPr>
          <w:p w14:paraId="6A041AC6"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Cardiff and Vale University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3A84197D"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93</w:t>
            </w:r>
          </w:p>
        </w:tc>
        <w:tc>
          <w:tcPr>
            <w:tcW w:w="1560" w:type="dxa"/>
            <w:tcBorders>
              <w:top w:val="nil"/>
              <w:left w:val="nil"/>
              <w:bottom w:val="single" w:sz="4" w:space="0" w:color="auto"/>
              <w:right w:val="single" w:sz="4" w:space="0" w:color="auto"/>
            </w:tcBorders>
            <w:shd w:val="clear" w:color="auto" w:fill="auto"/>
            <w:noWrap/>
            <w:vAlign w:val="bottom"/>
            <w:hideMark/>
          </w:tcPr>
          <w:p w14:paraId="78D2980A"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65.5</w:t>
            </w:r>
          </w:p>
        </w:tc>
      </w:tr>
      <w:tr w:rsidR="00BF4745" w:rsidRPr="00BF4745" w14:paraId="47EAFA34"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53D6F5C4"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W11000027</w:t>
            </w:r>
          </w:p>
        </w:tc>
        <w:tc>
          <w:tcPr>
            <w:tcW w:w="4380" w:type="dxa"/>
            <w:tcBorders>
              <w:top w:val="nil"/>
              <w:left w:val="nil"/>
              <w:bottom w:val="single" w:sz="4" w:space="0" w:color="auto"/>
              <w:right w:val="single" w:sz="4" w:space="0" w:color="auto"/>
            </w:tcBorders>
            <w:shd w:val="clear" w:color="auto" w:fill="auto"/>
            <w:noWrap/>
            <w:vAlign w:val="bottom"/>
            <w:hideMark/>
          </w:tcPr>
          <w:p w14:paraId="789F4D72"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 xml:space="preserve">Cwm </w:t>
            </w:r>
            <w:proofErr w:type="spellStart"/>
            <w:r w:rsidRPr="00BF4745">
              <w:rPr>
                <w:rFonts w:ascii="Calibri" w:eastAsia="Times New Roman" w:hAnsi="Calibri" w:cs="Calibri"/>
                <w:color w:val="000000"/>
                <w:lang w:eastAsia="en-GB"/>
              </w:rPr>
              <w:t>Taf</w:t>
            </w:r>
            <w:proofErr w:type="spellEnd"/>
            <w:r w:rsidRPr="00BF4745">
              <w:rPr>
                <w:rFonts w:ascii="Calibri" w:eastAsia="Times New Roman" w:hAnsi="Calibri" w:cs="Calibri"/>
                <w:color w:val="000000"/>
                <w:lang w:eastAsia="en-GB"/>
              </w:rPr>
              <w:t xml:space="preserve"> Morgannwg University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126B082D"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95.2</w:t>
            </w:r>
          </w:p>
        </w:tc>
        <w:tc>
          <w:tcPr>
            <w:tcW w:w="1560" w:type="dxa"/>
            <w:tcBorders>
              <w:top w:val="nil"/>
              <w:left w:val="nil"/>
              <w:bottom w:val="single" w:sz="4" w:space="0" w:color="auto"/>
              <w:right w:val="single" w:sz="4" w:space="0" w:color="auto"/>
            </w:tcBorders>
            <w:shd w:val="clear" w:color="auto" w:fill="auto"/>
            <w:noWrap/>
            <w:vAlign w:val="bottom"/>
            <w:hideMark/>
          </w:tcPr>
          <w:p w14:paraId="2F256045"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70.8</w:t>
            </w:r>
          </w:p>
        </w:tc>
      </w:tr>
      <w:tr w:rsidR="00BF4745" w:rsidRPr="00BF4745" w14:paraId="470EAB01"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C8D6D24"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W11000025</w:t>
            </w:r>
          </w:p>
        </w:tc>
        <w:tc>
          <w:tcPr>
            <w:tcW w:w="4380" w:type="dxa"/>
            <w:tcBorders>
              <w:top w:val="nil"/>
              <w:left w:val="nil"/>
              <w:bottom w:val="single" w:sz="4" w:space="0" w:color="auto"/>
              <w:right w:val="single" w:sz="4" w:space="0" w:color="auto"/>
            </w:tcBorders>
            <w:shd w:val="clear" w:color="auto" w:fill="auto"/>
            <w:noWrap/>
            <w:vAlign w:val="bottom"/>
            <w:hideMark/>
          </w:tcPr>
          <w:p w14:paraId="78A0C628"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 xml:space="preserve">Hywel </w:t>
            </w:r>
            <w:proofErr w:type="spellStart"/>
            <w:r w:rsidRPr="00BF4745">
              <w:rPr>
                <w:rFonts w:ascii="Calibri" w:eastAsia="Times New Roman" w:hAnsi="Calibri" w:cs="Calibri"/>
                <w:color w:val="000000"/>
                <w:lang w:eastAsia="en-GB"/>
              </w:rPr>
              <w:t>Dda</w:t>
            </w:r>
            <w:proofErr w:type="spellEnd"/>
            <w:r w:rsidRPr="00BF4745">
              <w:rPr>
                <w:rFonts w:ascii="Calibri" w:eastAsia="Times New Roman" w:hAnsi="Calibri" w:cs="Calibri"/>
                <w:color w:val="000000"/>
                <w:lang w:eastAsia="en-GB"/>
              </w:rPr>
              <w:t xml:space="preserve"> University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4ADEE2B1"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94</w:t>
            </w:r>
          </w:p>
        </w:tc>
        <w:tc>
          <w:tcPr>
            <w:tcW w:w="1560" w:type="dxa"/>
            <w:tcBorders>
              <w:top w:val="nil"/>
              <w:left w:val="nil"/>
              <w:bottom w:val="single" w:sz="4" w:space="0" w:color="auto"/>
              <w:right w:val="single" w:sz="4" w:space="0" w:color="auto"/>
            </w:tcBorders>
            <w:shd w:val="clear" w:color="auto" w:fill="auto"/>
            <w:noWrap/>
            <w:vAlign w:val="bottom"/>
            <w:hideMark/>
          </w:tcPr>
          <w:p w14:paraId="63AB8B5F"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63.8</w:t>
            </w:r>
          </w:p>
        </w:tc>
      </w:tr>
      <w:tr w:rsidR="00BF4745" w:rsidRPr="00BF4745" w14:paraId="7427D949"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8C329FF"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W11000024</w:t>
            </w:r>
          </w:p>
        </w:tc>
        <w:tc>
          <w:tcPr>
            <w:tcW w:w="4380" w:type="dxa"/>
            <w:tcBorders>
              <w:top w:val="nil"/>
              <w:left w:val="nil"/>
              <w:bottom w:val="single" w:sz="4" w:space="0" w:color="auto"/>
              <w:right w:val="single" w:sz="4" w:space="0" w:color="auto"/>
            </w:tcBorders>
            <w:shd w:val="clear" w:color="auto" w:fill="auto"/>
            <w:noWrap/>
            <w:vAlign w:val="bottom"/>
            <w:hideMark/>
          </w:tcPr>
          <w:p w14:paraId="122ECCF1"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Powys Teaching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287900F6"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95.9</w:t>
            </w:r>
          </w:p>
        </w:tc>
        <w:tc>
          <w:tcPr>
            <w:tcW w:w="1560" w:type="dxa"/>
            <w:tcBorders>
              <w:top w:val="nil"/>
              <w:left w:val="nil"/>
              <w:bottom w:val="single" w:sz="4" w:space="0" w:color="auto"/>
              <w:right w:val="single" w:sz="4" w:space="0" w:color="auto"/>
            </w:tcBorders>
            <w:shd w:val="clear" w:color="auto" w:fill="auto"/>
            <w:noWrap/>
            <w:vAlign w:val="bottom"/>
            <w:hideMark/>
          </w:tcPr>
          <w:p w14:paraId="452694D0"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74.2</w:t>
            </w:r>
          </w:p>
        </w:tc>
      </w:tr>
      <w:tr w:rsidR="00BF4745" w:rsidRPr="00BF4745" w14:paraId="24632CF0" w14:textId="77777777" w:rsidTr="00BF4745">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7C7AAAC"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W11000026</w:t>
            </w:r>
          </w:p>
        </w:tc>
        <w:tc>
          <w:tcPr>
            <w:tcW w:w="4380" w:type="dxa"/>
            <w:tcBorders>
              <w:top w:val="nil"/>
              <w:left w:val="nil"/>
              <w:bottom w:val="single" w:sz="4" w:space="0" w:color="auto"/>
              <w:right w:val="single" w:sz="4" w:space="0" w:color="auto"/>
            </w:tcBorders>
            <w:shd w:val="clear" w:color="auto" w:fill="auto"/>
            <w:noWrap/>
            <w:vAlign w:val="bottom"/>
            <w:hideMark/>
          </w:tcPr>
          <w:p w14:paraId="01EB6AB8" w14:textId="77777777" w:rsidR="00BF4745" w:rsidRPr="00BF4745" w:rsidRDefault="00BF4745" w:rsidP="00BF4745">
            <w:pPr>
              <w:spacing w:after="0" w:line="240" w:lineRule="auto"/>
              <w:rPr>
                <w:rFonts w:ascii="Calibri" w:eastAsia="Times New Roman" w:hAnsi="Calibri" w:cs="Calibri"/>
                <w:color w:val="000000"/>
                <w:lang w:eastAsia="en-GB"/>
              </w:rPr>
            </w:pPr>
            <w:r w:rsidRPr="00BF4745">
              <w:rPr>
                <w:rFonts w:ascii="Calibri" w:eastAsia="Times New Roman" w:hAnsi="Calibri" w:cs="Calibri"/>
                <w:color w:val="000000"/>
                <w:lang w:eastAsia="en-GB"/>
              </w:rPr>
              <w:t>Swansea Bay University Health Board</w:t>
            </w:r>
          </w:p>
        </w:tc>
        <w:tc>
          <w:tcPr>
            <w:tcW w:w="1480" w:type="dxa"/>
            <w:tcBorders>
              <w:top w:val="nil"/>
              <w:left w:val="nil"/>
              <w:bottom w:val="single" w:sz="4" w:space="0" w:color="auto"/>
              <w:right w:val="single" w:sz="4" w:space="0" w:color="auto"/>
            </w:tcBorders>
            <w:shd w:val="clear" w:color="auto" w:fill="auto"/>
            <w:noWrap/>
            <w:vAlign w:val="bottom"/>
            <w:hideMark/>
          </w:tcPr>
          <w:p w14:paraId="3F69CD57"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94.6</w:t>
            </w:r>
          </w:p>
        </w:tc>
        <w:tc>
          <w:tcPr>
            <w:tcW w:w="1560" w:type="dxa"/>
            <w:tcBorders>
              <w:top w:val="nil"/>
              <w:left w:val="nil"/>
              <w:bottom w:val="single" w:sz="4" w:space="0" w:color="auto"/>
              <w:right w:val="single" w:sz="4" w:space="0" w:color="auto"/>
            </w:tcBorders>
            <w:shd w:val="clear" w:color="auto" w:fill="auto"/>
            <w:noWrap/>
            <w:vAlign w:val="bottom"/>
            <w:hideMark/>
          </w:tcPr>
          <w:p w14:paraId="58F75ACC" w14:textId="77777777" w:rsidR="00BF4745" w:rsidRPr="00BF4745" w:rsidRDefault="00BF4745" w:rsidP="00BF4745">
            <w:pPr>
              <w:spacing w:after="0" w:line="240" w:lineRule="auto"/>
              <w:jc w:val="right"/>
              <w:rPr>
                <w:rFonts w:ascii="Calibri" w:eastAsia="Times New Roman" w:hAnsi="Calibri" w:cs="Calibri"/>
                <w:color w:val="000000"/>
                <w:lang w:eastAsia="en-GB"/>
              </w:rPr>
            </w:pPr>
            <w:r w:rsidRPr="00BF4745">
              <w:rPr>
                <w:rFonts w:ascii="Calibri" w:eastAsia="Times New Roman" w:hAnsi="Calibri" w:cs="Calibri"/>
                <w:color w:val="000000"/>
                <w:lang w:eastAsia="en-GB"/>
              </w:rPr>
              <w:t>64</w:t>
            </w:r>
          </w:p>
        </w:tc>
      </w:tr>
    </w:tbl>
    <w:p w14:paraId="312071B9" w14:textId="354A49C4" w:rsidR="00BF4745" w:rsidRDefault="00BF4745" w:rsidP="00157971"/>
    <w:p w14:paraId="7DFCC60E" w14:textId="095DE509" w:rsidR="00BF4745" w:rsidRDefault="00BF4745" w:rsidP="00157971">
      <w:r>
        <w:t xml:space="preserve">This table shows that in a number of health board areas that the over 80 age group actually met the higher herd immunity threshold set out by the WHO </w:t>
      </w:r>
      <w:sdt>
        <w:sdtPr>
          <w:id w:val="1333566904"/>
          <w:citation/>
        </w:sdtPr>
        <w:sdtEndPr/>
        <w:sdtContent>
          <w:r>
            <w:fldChar w:fldCharType="begin"/>
          </w:r>
          <w:r>
            <w:instrText xml:space="preserve"> CITATION Wor20 \l 2057 </w:instrText>
          </w:r>
          <w:r>
            <w:fldChar w:fldCharType="separate"/>
          </w:r>
          <w:r w:rsidRPr="00BF4745">
            <w:rPr>
              <w:noProof/>
            </w:rPr>
            <w:t>[2]</w:t>
          </w:r>
          <w:r>
            <w:fldChar w:fldCharType="end"/>
          </w:r>
        </w:sdtContent>
      </w:sdt>
      <w:r>
        <w:t xml:space="preserve"> but this is </w:t>
      </w:r>
      <w:r w:rsidR="007854F5">
        <w:t>in stark contrast to the lower age group where even the highest percentage vaccinated is 74.2% which is more than 5% lower than even the lowest expected figure.</w:t>
      </w:r>
      <w:r w:rsidR="00A64800">
        <w:t xml:space="preserve"> This highlights an interesting trend that will be explored later in this paper but may indicate a difference in perceptive risk involved with contracting COVID or if this is </w:t>
      </w:r>
      <w:r w:rsidR="00A64800">
        <w:lastRenderedPageBreak/>
        <w:t>due to time difference in when these two age groups were offered the first vaccine dose and what government guidelines were at that time.</w:t>
      </w:r>
    </w:p>
    <w:p w14:paraId="722831FB" w14:textId="67678F6F" w:rsidR="00A64800" w:rsidRDefault="00D56108" w:rsidP="00157971">
      <w:r>
        <w:t xml:space="preserve">3.1.3 </w:t>
      </w:r>
      <w:bookmarkStart w:id="9" w:name="_Hlk102195241"/>
      <w:r>
        <w:t>All Doses Given</w:t>
      </w:r>
      <w:bookmarkEnd w:id="9"/>
    </w:p>
    <w:p w14:paraId="0AF68BF0" w14:textId="7A1E66AA" w:rsidR="00D56108" w:rsidRDefault="00F807C4" w:rsidP="00157971">
      <w:r>
        <w:t xml:space="preserve">The next set of information to consider is the overall percentage of people who have had all three doses of the vaccine providing the maximum efficacy of 95% if receiving either the Pfizer or Moderna injections </w:t>
      </w:r>
      <w:sdt>
        <w:sdtPr>
          <w:id w:val="1191490109"/>
          <w:citation/>
        </w:sdtPr>
        <w:sdtEndPr/>
        <w:sdtContent>
          <w:r>
            <w:fldChar w:fldCharType="begin"/>
          </w:r>
          <w:r>
            <w:instrText xml:space="preserve"> CITATION Kat22 \l 2057 </w:instrText>
          </w:r>
          <w:r>
            <w:fldChar w:fldCharType="separate"/>
          </w:r>
          <w:r w:rsidRPr="00F807C4">
            <w:rPr>
              <w:noProof/>
            </w:rPr>
            <w:t>[3]</w:t>
          </w:r>
          <w:r>
            <w:fldChar w:fldCharType="end"/>
          </w:r>
        </w:sdtContent>
      </w:sdt>
      <w:r>
        <w:t>.</w:t>
      </w:r>
    </w:p>
    <w:tbl>
      <w:tblPr>
        <w:tblW w:w="10000" w:type="dxa"/>
        <w:tblLook w:val="04A0" w:firstRow="1" w:lastRow="0" w:firstColumn="1" w:lastColumn="0" w:noHBand="0" w:noVBand="1"/>
      </w:tblPr>
      <w:tblGrid>
        <w:gridCol w:w="1304"/>
        <w:gridCol w:w="4380"/>
        <w:gridCol w:w="1498"/>
        <w:gridCol w:w="1498"/>
        <w:gridCol w:w="1637"/>
      </w:tblGrid>
      <w:tr w:rsidR="00F807C4" w:rsidRPr="00F807C4" w14:paraId="63B707D9" w14:textId="77777777" w:rsidTr="00F807C4">
        <w:trPr>
          <w:trHeight w:val="300"/>
        </w:trPr>
        <w:tc>
          <w:tcPr>
            <w:tcW w:w="114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668E9405"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code</w:t>
            </w:r>
          </w:p>
        </w:tc>
        <w:tc>
          <w:tcPr>
            <w:tcW w:w="4380" w:type="dxa"/>
            <w:tcBorders>
              <w:top w:val="single" w:sz="4" w:space="0" w:color="auto"/>
              <w:left w:val="nil"/>
              <w:bottom w:val="single" w:sz="4" w:space="0" w:color="auto"/>
              <w:right w:val="single" w:sz="4" w:space="0" w:color="auto"/>
            </w:tcBorders>
            <w:shd w:val="clear" w:color="000000" w:fill="D9D9D9"/>
            <w:noWrap/>
            <w:vAlign w:val="bottom"/>
            <w:hideMark/>
          </w:tcPr>
          <w:p w14:paraId="06D163F4"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Health board of residence</w:t>
            </w:r>
          </w:p>
        </w:tc>
        <w:tc>
          <w:tcPr>
            <w:tcW w:w="1440" w:type="dxa"/>
            <w:tcBorders>
              <w:top w:val="single" w:sz="4" w:space="0" w:color="auto"/>
              <w:left w:val="nil"/>
              <w:bottom w:val="single" w:sz="4" w:space="0" w:color="auto"/>
              <w:right w:val="single" w:sz="4" w:space="0" w:color="auto"/>
            </w:tcBorders>
            <w:shd w:val="clear" w:color="000000" w:fill="D9D9D9"/>
            <w:noWrap/>
            <w:vAlign w:val="bottom"/>
            <w:hideMark/>
          </w:tcPr>
          <w:p w14:paraId="29F43CD7"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AvgPercDose1</w:t>
            </w:r>
          </w:p>
        </w:tc>
        <w:tc>
          <w:tcPr>
            <w:tcW w:w="1440" w:type="dxa"/>
            <w:tcBorders>
              <w:top w:val="single" w:sz="4" w:space="0" w:color="auto"/>
              <w:left w:val="nil"/>
              <w:bottom w:val="single" w:sz="4" w:space="0" w:color="auto"/>
              <w:right w:val="single" w:sz="4" w:space="0" w:color="auto"/>
            </w:tcBorders>
            <w:shd w:val="clear" w:color="000000" w:fill="D9D9D9"/>
            <w:noWrap/>
            <w:vAlign w:val="bottom"/>
            <w:hideMark/>
          </w:tcPr>
          <w:p w14:paraId="19CEDC99"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AvgPercDose2</w:t>
            </w:r>
          </w:p>
        </w:tc>
        <w:tc>
          <w:tcPr>
            <w:tcW w:w="1600" w:type="dxa"/>
            <w:tcBorders>
              <w:top w:val="single" w:sz="4" w:space="0" w:color="auto"/>
              <w:left w:val="nil"/>
              <w:bottom w:val="single" w:sz="4" w:space="0" w:color="auto"/>
              <w:right w:val="single" w:sz="4" w:space="0" w:color="auto"/>
            </w:tcBorders>
            <w:shd w:val="clear" w:color="000000" w:fill="D9D9D9"/>
            <w:noWrap/>
            <w:vAlign w:val="bottom"/>
            <w:hideMark/>
          </w:tcPr>
          <w:p w14:paraId="2FF1A0EA" w14:textId="77777777" w:rsidR="00F807C4" w:rsidRPr="00F807C4" w:rsidRDefault="00F807C4" w:rsidP="00F807C4">
            <w:pPr>
              <w:spacing w:after="0" w:line="240" w:lineRule="auto"/>
              <w:rPr>
                <w:rFonts w:ascii="Calibri" w:eastAsia="Times New Roman" w:hAnsi="Calibri" w:cs="Calibri"/>
                <w:color w:val="000000"/>
                <w:lang w:eastAsia="en-GB"/>
              </w:rPr>
            </w:pPr>
            <w:proofErr w:type="spellStart"/>
            <w:r w:rsidRPr="00F807C4">
              <w:rPr>
                <w:rFonts w:ascii="Calibri" w:eastAsia="Times New Roman" w:hAnsi="Calibri" w:cs="Calibri"/>
                <w:color w:val="000000"/>
                <w:lang w:eastAsia="en-GB"/>
              </w:rPr>
              <w:t>AvgPercBooster</w:t>
            </w:r>
            <w:proofErr w:type="spellEnd"/>
          </w:p>
        </w:tc>
      </w:tr>
      <w:tr w:rsidR="00F807C4" w:rsidRPr="00F807C4" w14:paraId="784EB175"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FB4FDAC"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W11000028</w:t>
            </w:r>
          </w:p>
        </w:tc>
        <w:tc>
          <w:tcPr>
            <w:tcW w:w="4380" w:type="dxa"/>
            <w:tcBorders>
              <w:top w:val="nil"/>
              <w:left w:val="nil"/>
              <w:bottom w:val="single" w:sz="4" w:space="0" w:color="auto"/>
              <w:right w:val="single" w:sz="4" w:space="0" w:color="auto"/>
            </w:tcBorders>
            <w:shd w:val="clear" w:color="auto" w:fill="auto"/>
            <w:noWrap/>
            <w:vAlign w:val="bottom"/>
            <w:hideMark/>
          </w:tcPr>
          <w:p w14:paraId="5D74BAA0"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Aneurin Bevan University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622871CD"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90.1</w:t>
            </w:r>
          </w:p>
        </w:tc>
        <w:tc>
          <w:tcPr>
            <w:tcW w:w="1440" w:type="dxa"/>
            <w:tcBorders>
              <w:top w:val="nil"/>
              <w:left w:val="nil"/>
              <w:bottom w:val="single" w:sz="4" w:space="0" w:color="auto"/>
              <w:right w:val="single" w:sz="4" w:space="0" w:color="auto"/>
            </w:tcBorders>
            <w:shd w:val="clear" w:color="auto" w:fill="auto"/>
            <w:noWrap/>
            <w:vAlign w:val="bottom"/>
            <w:hideMark/>
          </w:tcPr>
          <w:p w14:paraId="44A2B1F8"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86.6</w:t>
            </w:r>
          </w:p>
        </w:tc>
        <w:tc>
          <w:tcPr>
            <w:tcW w:w="1600" w:type="dxa"/>
            <w:tcBorders>
              <w:top w:val="nil"/>
              <w:left w:val="nil"/>
              <w:bottom w:val="single" w:sz="4" w:space="0" w:color="auto"/>
              <w:right w:val="single" w:sz="4" w:space="0" w:color="auto"/>
            </w:tcBorders>
            <w:shd w:val="clear" w:color="auto" w:fill="auto"/>
            <w:noWrap/>
            <w:vAlign w:val="bottom"/>
            <w:hideMark/>
          </w:tcPr>
          <w:p w14:paraId="30925189"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81.4</w:t>
            </w:r>
          </w:p>
        </w:tc>
      </w:tr>
      <w:tr w:rsidR="00F807C4" w:rsidRPr="00F807C4" w14:paraId="1DD520F8"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DFADAA6"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W11000023</w:t>
            </w:r>
          </w:p>
        </w:tc>
        <w:tc>
          <w:tcPr>
            <w:tcW w:w="4380" w:type="dxa"/>
            <w:tcBorders>
              <w:top w:val="nil"/>
              <w:left w:val="nil"/>
              <w:bottom w:val="single" w:sz="4" w:space="0" w:color="auto"/>
              <w:right w:val="single" w:sz="4" w:space="0" w:color="auto"/>
            </w:tcBorders>
            <w:shd w:val="clear" w:color="auto" w:fill="auto"/>
            <w:noWrap/>
            <w:vAlign w:val="bottom"/>
            <w:hideMark/>
          </w:tcPr>
          <w:p w14:paraId="1BA309F8"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Betsi Cadwaladr University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58C225B7"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88.8</w:t>
            </w:r>
          </w:p>
        </w:tc>
        <w:tc>
          <w:tcPr>
            <w:tcW w:w="1440" w:type="dxa"/>
            <w:tcBorders>
              <w:top w:val="nil"/>
              <w:left w:val="nil"/>
              <w:bottom w:val="single" w:sz="4" w:space="0" w:color="auto"/>
              <w:right w:val="single" w:sz="4" w:space="0" w:color="auto"/>
            </w:tcBorders>
            <w:shd w:val="clear" w:color="auto" w:fill="auto"/>
            <w:noWrap/>
            <w:vAlign w:val="bottom"/>
            <w:hideMark/>
          </w:tcPr>
          <w:p w14:paraId="2B2DC748"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83.9</w:t>
            </w:r>
          </w:p>
        </w:tc>
        <w:tc>
          <w:tcPr>
            <w:tcW w:w="1600" w:type="dxa"/>
            <w:tcBorders>
              <w:top w:val="nil"/>
              <w:left w:val="nil"/>
              <w:bottom w:val="single" w:sz="4" w:space="0" w:color="auto"/>
              <w:right w:val="single" w:sz="4" w:space="0" w:color="auto"/>
            </w:tcBorders>
            <w:shd w:val="clear" w:color="auto" w:fill="auto"/>
            <w:noWrap/>
            <w:vAlign w:val="bottom"/>
            <w:hideMark/>
          </w:tcPr>
          <w:p w14:paraId="1642DAEB"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77.5</w:t>
            </w:r>
          </w:p>
        </w:tc>
      </w:tr>
      <w:tr w:rsidR="00F807C4" w:rsidRPr="00F807C4" w14:paraId="174571EF"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45E9B65"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W11000029</w:t>
            </w:r>
          </w:p>
        </w:tc>
        <w:tc>
          <w:tcPr>
            <w:tcW w:w="4380" w:type="dxa"/>
            <w:tcBorders>
              <w:top w:val="nil"/>
              <w:left w:val="nil"/>
              <w:bottom w:val="single" w:sz="4" w:space="0" w:color="auto"/>
              <w:right w:val="single" w:sz="4" w:space="0" w:color="auto"/>
            </w:tcBorders>
            <w:shd w:val="clear" w:color="auto" w:fill="auto"/>
            <w:noWrap/>
            <w:vAlign w:val="bottom"/>
            <w:hideMark/>
          </w:tcPr>
          <w:p w14:paraId="0C7C283E"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Cardiff and Vale University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12208EFE"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87.3</w:t>
            </w:r>
          </w:p>
        </w:tc>
        <w:tc>
          <w:tcPr>
            <w:tcW w:w="1440" w:type="dxa"/>
            <w:tcBorders>
              <w:top w:val="nil"/>
              <w:left w:val="nil"/>
              <w:bottom w:val="single" w:sz="4" w:space="0" w:color="auto"/>
              <w:right w:val="single" w:sz="4" w:space="0" w:color="auto"/>
            </w:tcBorders>
            <w:shd w:val="clear" w:color="auto" w:fill="auto"/>
            <w:noWrap/>
            <w:vAlign w:val="bottom"/>
            <w:hideMark/>
          </w:tcPr>
          <w:p w14:paraId="061A7028"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83.2</w:t>
            </w:r>
          </w:p>
        </w:tc>
        <w:tc>
          <w:tcPr>
            <w:tcW w:w="1600" w:type="dxa"/>
            <w:tcBorders>
              <w:top w:val="nil"/>
              <w:left w:val="nil"/>
              <w:bottom w:val="single" w:sz="4" w:space="0" w:color="auto"/>
              <w:right w:val="single" w:sz="4" w:space="0" w:color="auto"/>
            </w:tcBorders>
            <w:shd w:val="clear" w:color="auto" w:fill="auto"/>
            <w:noWrap/>
            <w:vAlign w:val="bottom"/>
            <w:hideMark/>
          </w:tcPr>
          <w:p w14:paraId="3F4D65C1"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77.2</w:t>
            </w:r>
          </w:p>
        </w:tc>
      </w:tr>
      <w:tr w:rsidR="00F807C4" w:rsidRPr="00F807C4" w14:paraId="68979BB9"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5E30A8FA"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W11000027</w:t>
            </w:r>
          </w:p>
        </w:tc>
        <w:tc>
          <w:tcPr>
            <w:tcW w:w="4380" w:type="dxa"/>
            <w:tcBorders>
              <w:top w:val="nil"/>
              <w:left w:val="nil"/>
              <w:bottom w:val="single" w:sz="4" w:space="0" w:color="auto"/>
              <w:right w:val="single" w:sz="4" w:space="0" w:color="auto"/>
            </w:tcBorders>
            <w:shd w:val="clear" w:color="auto" w:fill="auto"/>
            <w:noWrap/>
            <w:vAlign w:val="bottom"/>
            <w:hideMark/>
          </w:tcPr>
          <w:p w14:paraId="0BCF5FC8"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 xml:space="preserve">Cwm </w:t>
            </w:r>
            <w:proofErr w:type="spellStart"/>
            <w:r w:rsidRPr="00F807C4">
              <w:rPr>
                <w:rFonts w:ascii="Calibri" w:eastAsia="Times New Roman" w:hAnsi="Calibri" w:cs="Calibri"/>
                <w:color w:val="000000"/>
                <w:lang w:eastAsia="en-GB"/>
              </w:rPr>
              <w:t>Taf</w:t>
            </w:r>
            <w:proofErr w:type="spellEnd"/>
            <w:r w:rsidRPr="00F807C4">
              <w:rPr>
                <w:rFonts w:ascii="Calibri" w:eastAsia="Times New Roman" w:hAnsi="Calibri" w:cs="Calibri"/>
                <w:color w:val="000000"/>
                <w:lang w:eastAsia="en-GB"/>
              </w:rPr>
              <w:t xml:space="preserve"> Morgannwg University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2D9A30C8"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90.5</w:t>
            </w:r>
          </w:p>
        </w:tc>
        <w:tc>
          <w:tcPr>
            <w:tcW w:w="1440" w:type="dxa"/>
            <w:tcBorders>
              <w:top w:val="nil"/>
              <w:left w:val="nil"/>
              <w:bottom w:val="single" w:sz="4" w:space="0" w:color="auto"/>
              <w:right w:val="single" w:sz="4" w:space="0" w:color="auto"/>
            </w:tcBorders>
            <w:shd w:val="clear" w:color="auto" w:fill="auto"/>
            <w:noWrap/>
            <w:vAlign w:val="bottom"/>
            <w:hideMark/>
          </w:tcPr>
          <w:p w14:paraId="0F4E3A2E"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87.2</w:t>
            </w:r>
          </w:p>
        </w:tc>
        <w:tc>
          <w:tcPr>
            <w:tcW w:w="1600" w:type="dxa"/>
            <w:tcBorders>
              <w:top w:val="nil"/>
              <w:left w:val="nil"/>
              <w:bottom w:val="single" w:sz="4" w:space="0" w:color="auto"/>
              <w:right w:val="single" w:sz="4" w:space="0" w:color="auto"/>
            </w:tcBorders>
            <w:shd w:val="clear" w:color="auto" w:fill="auto"/>
            <w:noWrap/>
            <w:vAlign w:val="bottom"/>
            <w:hideMark/>
          </w:tcPr>
          <w:p w14:paraId="471AC22A"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81.2</w:t>
            </w:r>
          </w:p>
        </w:tc>
      </w:tr>
      <w:tr w:rsidR="00F807C4" w:rsidRPr="00F807C4" w14:paraId="053D1ABE"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B3DF993"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W11000025</w:t>
            </w:r>
          </w:p>
        </w:tc>
        <w:tc>
          <w:tcPr>
            <w:tcW w:w="4380" w:type="dxa"/>
            <w:tcBorders>
              <w:top w:val="nil"/>
              <w:left w:val="nil"/>
              <w:bottom w:val="single" w:sz="4" w:space="0" w:color="auto"/>
              <w:right w:val="single" w:sz="4" w:space="0" w:color="auto"/>
            </w:tcBorders>
            <w:shd w:val="clear" w:color="auto" w:fill="auto"/>
            <w:noWrap/>
            <w:vAlign w:val="bottom"/>
            <w:hideMark/>
          </w:tcPr>
          <w:p w14:paraId="339C4F6D"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 xml:space="preserve">Hywel </w:t>
            </w:r>
            <w:proofErr w:type="spellStart"/>
            <w:r w:rsidRPr="00F807C4">
              <w:rPr>
                <w:rFonts w:ascii="Calibri" w:eastAsia="Times New Roman" w:hAnsi="Calibri" w:cs="Calibri"/>
                <w:color w:val="000000"/>
                <w:lang w:eastAsia="en-GB"/>
              </w:rPr>
              <w:t>Dda</w:t>
            </w:r>
            <w:proofErr w:type="spellEnd"/>
            <w:r w:rsidRPr="00F807C4">
              <w:rPr>
                <w:rFonts w:ascii="Calibri" w:eastAsia="Times New Roman" w:hAnsi="Calibri" w:cs="Calibri"/>
                <w:color w:val="000000"/>
                <w:lang w:eastAsia="en-GB"/>
              </w:rPr>
              <w:t xml:space="preserve"> University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0E9FC5F8"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88</w:t>
            </w:r>
          </w:p>
        </w:tc>
        <w:tc>
          <w:tcPr>
            <w:tcW w:w="1440" w:type="dxa"/>
            <w:tcBorders>
              <w:top w:val="nil"/>
              <w:left w:val="nil"/>
              <w:bottom w:val="single" w:sz="4" w:space="0" w:color="auto"/>
              <w:right w:val="single" w:sz="4" w:space="0" w:color="auto"/>
            </w:tcBorders>
            <w:shd w:val="clear" w:color="auto" w:fill="auto"/>
            <w:noWrap/>
            <w:vAlign w:val="bottom"/>
            <w:hideMark/>
          </w:tcPr>
          <w:p w14:paraId="227A6581"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83.9</w:t>
            </w:r>
          </w:p>
        </w:tc>
        <w:tc>
          <w:tcPr>
            <w:tcW w:w="1600" w:type="dxa"/>
            <w:tcBorders>
              <w:top w:val="nil"/>
              <w:left w:val="nil"/>
              <w:bottom w:val="single" w:sz="4" w:space="0" w:color="auto"/>
              <w:right w:val="single" w:sz="4" w:space="0" w:color="auto"/>
            </w:tcBorders>
            <w:shd w:val="clear" w:color="auto" w:fill="auto"/>
            <w:noWrap/>
            <w:vAlign w:val="bottom"/>
            <w:hideMark/>
          </w:tcPr>
          <w:p w14:paraId="4C94D85C"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75.4</w:t>
            </w:r>
          </w:p>
        </w:tc>
      </w:tr>
      <w:tr w:rsidR="00F807C4" w:rsidRPr="00F807C4" w14:paraId="052EE0B6"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4378BEC"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W11000024</w:t>
            </w:r>
          </w:p>
        </w:tc>
        <w:tc>
          <w:tcPr>
            <w:tcW w:w="4380" w:type="dxa"/>
            <w:tcBorders>
              <w:top w:val="nil"/>
              <w:left w:val="nil"/>
              <w:bottom w:val="single" w:sz="4" w:space="0" w:color="auto"/>
              <w:right w:val="single" w:sz="4" w:space="0" w:color="auto"/>
            </w:tcBorders>
            <w:shd w:val="clear" w:color="auto" w:fill="auto"/>
            <w:noWrap/>
            <w:vAlign w:val="bottom"/>
            <w:hideMark/>
          </w:tcPr>
          <w:p w14:paraId="31FF863F"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Powys Teaching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32CDEA7E"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91.1</w:t>
            </w:r>
          </w:p>
        </w:tc>
        <w:tc>
          <w:tcPr>
            <w:tcW w:w="1440" w:type="dxa"/>
            <w:tcBorders>
              <w:top w:val="nil"/>
              <w:left w:val="nil"/>
              <w:bottom w:val="single" w:sz="4" w:space="0" w:color="auto"/>
              <w:right w:val="single" w:sz="4" w:space="0" w:color="auto"/>
            </w:tcBorders>
            <w:shd w:val="clear" w:color="auto" w:fill="auto"/>
            <w:noWrap/>
            <w:vAlign w:val="bottom"/>
            <w:hideMark/>
          </w:tcPr>
          <w:p w14:paraId="20A9A1D1"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87.7</w:t>
            </w:r>
          </w:p>
        </w:tc>
        <w:tc>
          <w:tcPr>
            <w:tcW w:w="1600" w:type="dxa"/>
            <w:tcBorders>
              <w:top w:val="nil"/>
              <w:left w:val="nil"/>
              <w:bottom w:val="single" w:sz="4" w:space="0" w:color="auto"/>
              <w:right w:val="single" w:sz="4" w:space="0" w:color="auto"/>
            </w:tcBorders>
            <w:shd w:val="clear" w:color="auto" w:fill="auto"/>
            <w:noWrap/>
            <w:vAlign w:val="bottom"/>
            <w:hideMark/>
          </w:tcPr>
          <w:p w14:paraId="26B191B0"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82.9</w:t>
            </w:r>
          </w:p>
        </w:tc>
      </w:tr>
      <w:tr w:rsidR="00F807C4" w:rsidRPr="00F807C4" w14:paraId="50BB752B" w14:textId="77777777" w:rsidTr="00F807C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26F5C70"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W11000026</w:t>
            </w:r>
          </w:p>
        </w:tc>
        <w:tc>
          <w:tcPr>
            <w:tcW w:w="4380" w:type="dxa"/>
            <w:tcBorders>
              <w:top w:val="nil"/>
              <w:left w:val="nil"/>
              <w:bottom w:val="single" w:sz="4" w:space="0" w:color="auto"/>
              <w:right w:val="single" w:sz="4" w:space="0" w:color="auto"/>
            </w:tcBorders>
            <w:shd w:val="clear" w:color="auto" w:fill="auto"/>
            <w:noWrap/>
            <w:vAlign w:val="bottom"/>
            <w:hideMark/>
          </w:tcPr>
          <w:p w14:paraId="353A28FA" w14:textId="77777777" w:rsidR="00F807C4" w:rsidRPr="00F807C4" w:rsidRDefault="00F807C4" w:rsidP="00F807C4">
            <w:pPr>
              <w:spacing w:after="0" w:line="240" w:lineRule="auto"/>
              <w:rPr>
                <w:rFonts w:ascii="Calibri" w:eastAsia="Times New Roman" w:hAnsi="Calibri" w:cs="Calibri"/>
                <w:color w:val="000000"/>
                <w:lang w:eastAsia="en-GB"/>
              </w:rPr>
            </w:pPr>
            <w:r w:rsidRPr="00F807C4">
              <w:rPr>
                <w:rFonts w:ascii="Calibri" w:eastAsia="Times New Roman" w:hAnsi="Calibri" w:cs="Calibri"/>
                <w:color w:val="000000"/>
                <w:lang w:eastAsia="en-GB"/>
              </w:rPr>
              <w:t>Swansea Bay University Health Board</w:t>
            </w:r>
          </w:p>
        </w:tc>
        <w:tc>
          <w:tcPr>
            <w:tcW w:w="1440" w:type="dxa"/>
            <w:tcBorders>
              <w:top w:val="nil"/>
              <w:left w:val="nil"/>
              <w:bottom w:val="single" w:sz="4" w:space="0" w:color="auto"/>
              <w:right w:val="single" w:sz="4" w:space="0" w:color="auto"/>
            </w:tcBorders>
            <w:shd w:val="clear" w:color="auto" w:fill="auto"/>
            <w:noWrap/>
            <w:vAlign w:val="bottom"/>
            <w:hideMark/>
          </w:tcPr>
          <w:p w14:paraId="1342D511"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88.4</w:t>
            </w:r>
          </w:p>
        </w:tc>
        <w:tc>
          <w:tcPr>
            <w:tcW w:w="1440" w:type="dxa"/>
            <w:tcBorders>
              <w:top w:val="nil"/>
              <w:left w:val="nil"/>
              <w:bottom w:val="single" w:sz="4" w:space="0" w:color="auto"/>
              <w:right w:val="single" w:sz="4" w:space="0" w:color="auto"/>
            </w:tcBorders>
            <w:shd w:val="clear" w:color="auto" w:fill="auto"/>
            <w:noWrap/>
            <w:vAlign w:val="bottom"/>
            <w:hideMark/>
          </w:tcPr>
          <w:p w14:paraId="05F4A347"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83.8</w:t>
            </w:r>
          </w:p>
        </w:tc>
        <w:tc>
          <w:tcPr>
            <w:tcW w:w="1600" w:type="dxa"/>
            <w:tcBorders>
              <w:top w:val="nil"/>
              <w:left w:val="nil"/>
              <w:bottom w:val="single" w:sz="4" w:space="0" w:color="auto"/>
              <w:right w:val="single" w:sz="4" w:space="0" w:color="auto"/>
            </w:tcBorders>
            <w:shd w:val="clear" w:color="auto" w:fill="auto"/>
            <w:noWrap/>
            <w:vAlign w:val="bottom"/>
            <w:hideMark/>
          </w:tcPr>
          <w:p w14:paraId="152893D1" w14:textId="77777777" w:rsidR="00F807C4" w:rsidRPr="00F807C4" w:rsidRDefault="00F807C4" w:rsidP="00F807C4">
            <w:pPr>
              <w:spacing w:after="0" w:line="240" w:lineRule="auto"/>
              <w:jc w:val="right"/>
              <w:rPr>
                <w:rFonts w:ascii="Calibri" w:eastAsia="Times New Roman" w:hAnsi="Calibri" w:cs="Calibri"/>
                <w:color w:val="000000"/>
                <w:lang w:eastAsia="en-GB"/>
              </w:rPr>
            </w:pPr>
            <w:r w:rsidRPr="00F807C4">
              <w:rPr>
                <w:rFonts w:ascii="Calibri" w:eastAsia="Times New Roman" w:hAnsi="Calibri" w:cs="Calibri"/>
                <w:color w:val="000000"/>
                <w:lang w:eastAsia="en-GB"/>
              </w:rPr>
              <w:t>77.2</w:t>
            </w:r>
          </w:p>
        </w:tc>
      </w:tr>
    </w:tbl>
    <w:p w14:paraId="7B557227" w14:textId="428ACDF5" w:rsidR="00F807C4" w:rsidRDefault="00F807C4" w:rsidP="00157971"/>
    <w:p w14:paraId="620C19F3" w14:textId="6981DCC9" w:rsidR="00F807C4" w:rsidRDefault="0023384E" w:rsidP="00157971">
      <w:r>
        <w:t xml:space="preserve">The above data set shows that there is a steady decline in the overall population being vaccinated at each stage with </w:t>
      </w:r>
      <w:proofErr w:type="spellStart"/>
      <w:r>
        <w:t>Hwyel</w:t>
      </w:r>
      <w:proofErr w:type="spellEnd"/>
      <w:r>
        <w:t xml:space="preserve"> </w:t>
      </w:r>
      <w:proofErr w:type="spellStart"/>
      <w:r>
        <w:t>Dda</w:t>
      </w:r>
      <w:proofErr w:type="spellEnd"/>
      <w:r>
        <w:t xml:space="preserve"> seeing the lowest overall number being fully vaccinated against COVID-19 and therefore impacting the overall herd immunity level that is possible within Wales. If the same level immunity is required to polio then it can be assumed that herd immunity was not achieved within Wales due to the overall population receiving all three doses being 78.97%.</w:t>
      </w:r>
    </w:p>
    <w:p w14:paraId="35FFF57E" w14:textId="562A5343" w:rsidR="0023384E" w:rsidRDefault="0023384E" w:rsidP="00157971">
      <w:r>
        <w:t xml:space="preserve">Similar trends as seen with the single dose is likely to be seen due to the scheduling of the vaccinations being staggered amongst age groups </w:t>
      </w:r>
      <w:r w:rsidR="00593BC0">
        <w:t>and therefore it may be likely this data unfairly shows a really low number of younger vaccinations due to not be eligible for all three doses to date.</w:t>
      </w:r>
    </w:p>
    <w:p w14:paraId="36A8F332" w14:textId="67DB5101" w:rsidR="00593BC0" w:rsidRDefault="00593BC0" w:rsidP="00593BC0">
      <w:r>
        <w:t xml:space="preserve">3.2 </w:t>
      </w:r>
      <w:bookmarkStart w:id="10" w:name="_Hlk102195247"/>
      <w:r>
        <w:t>Understanding the Themes</w:t>
      </w:r>
      <w:bookmarkEnd w:id="10"/>
    </w:p>
    <w:p w14:paraId="63BF7BD0" w14:textId="72C9A6A9" w:rsidR="00593BC0" w:rsidRDefault="0037418F" w:rsidP="00593BC0">
      <w:r>
        <w:t>When viewing thematic data in this way it is key to understand the potential causes of the themes, below will explore various topographic and societal data to try an explore and explain these themes of low vaccination uptake.</w:t>
      </w:r>
    </w:p>
    <w:p w14:paraId="3D0BA532" w14:textId="7297063A" w:rsidR="0037418F" w:rsidRDefault="0037418F" w:rsidP="00593BC0">
      <w:r>
        <w:t xml:space="preserve">3.2.1 </w:t>
      </w:r>
      <w:bookmarkStart w:id="11" w:name="_Hlk102195252"/>
      <w:r>
        <w:t>Deprivation Data</w:t>
      </w:r>
      <w:bookmarkEnd w:id="11"/>
    </w:p>
    <w:p w14:paraId="26D6DE86" w14:textId="584F90EE" w:rsidR="0037418F" w:rsidRDefault="00CB2659" w:rsidP="00593BC0">
      <w:r>
        <w:t xml:space="preserve">The first piece of social data to be reviewed in this document is deprivation data provided by the Office for National Statistics </w:t>
      </w:r>
      <w:sdt>
        <w:sdtPr>
          <w:id w:val="586194816"/>
          <w:citation/>
        </w:sdtPr>
        <w:sdtEndPr/>
        <w:sdtContent>
          <w:r>
            <w:fldChar w:fldCharType="begin"/>
          </w:r>
          <w:r>
            <w:instrText xml:space="preserve"> CITATION Off22 \l 2057 </w:instrText>
          </w:r>
          <w:r>
            <w:fldChar w:fldCharType="separate"/>
          </w:r>
          <w:r w:rsidRPr="00CB2659">
            <w:rPr>
              <w:noProof/>
            </w:rPr>
            <w:t>[4]</w:t>
          </w:r>
          <w:r>
            <w:fldChar w:fldCharType="end"/>
          </w:r>
        </w:sdtContent>
      </w:sdt>
      <w:r w:rsidR="00411B26">
        <w:t xml:space="preserve"> with deprivation score being assigned to each MSOA based on the below definition </w:t>
      </w:r>
      <w:sdt>
        <w:sdtPr>
          <w:id w:val="-1947454220"/>
          <w:citation/>
        </w:sdtPr>
        <w:sdtEndPr/>
        <w:sdtContent>
          <w:r w:rsidR="00411B26">
            <w:fldChar w:fldCharType="begin"/>
          </w:r>
          <w:r w:rsidR="00411B26">
            <w:instrText xml:space="preserve"> CITATION InF22 \l 2057 </w:instrText>
          </w:r>
          <w:r w:rsidR="00411B26">
            <w:fldChar w:fldCharType="separate"/>
          </w:r>
          <w:r w:rsidR="00411B26" w:rsidRPr="00411B26">
            <w:rPr>
              <w:noProof/>
            </w:rPr>
            <w:t>[5]</w:t>
          </w:r>
          <w:r w:rsidR="00411B26">
            <w:fldChar w:fldCharType="end"/>
          </w:r>
        </w:sdtContent>
      </w:sdt>
    </w:p>
    <w:p w14:paraId="3B6C450A" w14:textId="1ABB0D73" w:rsidR="00411B26" w:rsidRPr="00411B26" w:rsidRDefault="00411B26" w:rsidP="00411B26">
      <w:pPr>
        <w:rPr>
          <w:i/>
          <w:iCs/>
        </w:rPr>
      </w:pPr>
      <w:r w:rsidRPr="00411B26">
        <w:rPr>
          <w:i/>
          <w:iCs/>
        </w:rPr>
        <w:t>“Deprivation, classification of household [E][S][W]</w:t>
      </w:r>
    </w:p>
    <w:p w14:paraId="43A15AD0" w14:textId="77777777" w:rsidR="00411B26" w:rsidRPr="00411B26" w:rsidRDefault="00411B26" w:rsidP="00411B26">
      <w:pPr>
        <w:rPr>
          <w:i/>
          <w:iCs/>
        </w:rPr>
      </w:pPr>
      <w:r w:rsidRPr="00411B26">
        <w:rPr>
          <w:i/>
          <w:iCs/>
        </w:rPr>
        <w:t>The dimensions of deprivation used to classify households are indicators based on four selected household characteristics. A household is deprived in a dimension if they meet one or more of the following conditions:</w:t>
      </w:r>
    </w:p>
    <w:p w14:paraId="2025B0A9" w14:textId="77777777" w:rsidR="00411B26" w:rsidRPr="00411B26" w:rsidRDefault="00411B26" w:rsidP="00411B26">
      <w:pPr>
        <w:rPr>
          <w:i/>
          <w:iCs/>
        </w:rPr>
      </w:pPr>
    </w:p>
    <w:p w14:paraId="60F707BA" w14:textId="77777777" w:rsidR="00411B26" w:rsidRPr="00411B26" w:rsidRDefault="00411B26" w:rsidP="00411B26">
      <w:pPr>
        <w:ind w:firstLine="720"/>
        <w:rPr>
          <w:i/>
          <w:iCs/>
        </w:rPr>
      </w:pPr>
      <w:r w:rsidRPr="00411B26">
        <w:rPr>
          <w:i/>
          <w:iCs/>
        </w:rPr>
        <w:t>Employment: Where any member of a household, who is not a full-time student, is either unemployed or long-term sick.</w:t>
      </w:r>
    </w:p>
    <w:p w14:paraId="7FF05D95" w14:textId="77777777" w:rsidR="00411B26" w:rsidRPr="00411B26" w:rsidRDefault="00411B26" w:rsidP="00411B26">
      <w:pPr>
        <w:ind w:firstLine="720"/>
        <w:rPr>
          <w:i/>
          <w:iCs/>
        </w:rPr>
      </w:pPr>
      <w:r w:rsidRPr="00411B26">
        <w:rPr>
          <w:i/>
          <w:iCs/>
        </w:rPr>
        <w:lastRenderedPageBreak/>
        <w:t>Education: No person in the household has at least Level 2 education (see highest level of qualification), and no person aged 16 to 18 is a full-time student.</w:t>
      </w:r>
    </w:p>
    <w:p w14:paraId="4343165D" w14:textId="77777777" w:rsidR="00411B26" w:rsidRPr="00411B26" w:rsidRDefault="00411B26" w:rsidP="00411B26">
      <w:pPr>
        <w:ind w:firstLine="720"/>
        <w:rPr>
          <w:i/>
          <w:iCs/>
        </w:rPr>
      </w:pPr>
      <w:r w:rsidRPr="00411B26">
        <w:rPr>
          <w:i/>
          <w:iCs/>
        </w:rPr>
        <w:t>Health and disability: Any person in the household has general health that is 'bad' or 'very bad' or has a long-term health problem.</w:t>
      </w:r>
    </w:p>
    <w:p w14:paraId="2E0A9D86" w14:textId="4FA905A5" w:rsidR="00411B26" w:rsidRPr="00411B26" w:rsidRDefault="00411B26" w:rsidP="00411B26">
      <w:pPr>
        <w:ind w:firstLine="720"/>
        <w:rPr>
          <w:i/>
          <w:iCs/>
        </w:rPr>
      </w:pPr>
      <w:r w:rsidRPr="00411B26">
        <w:rPr>
          <w:i/>
          <w:iCs/>
        </w:rPr>
        <w:t>Housing: The household's accommodation is either overcrowded, with an occupancy rating -1 or less, or is in a shared dwelling, or has no central heating.</w:t>
      </w:r>
    </w:p>
    <w:p w14:paraId="350C0C48" w14:textId="7F77E77A" w:rsidR="00411B26" w:rsidRDefault="00411B26" w:rsidP="00411B26">
      <w:pPr>
        <w:rPr>
          <w:i/>
          <w:iCs/>
        </w:rPr>
      </w:pPr>
      <w:r w:rsidRPr="00411B26">
        <w:rPr>
          <w:i/>
          <w:iCs/>
        </w:rPr>
        <w:t>A household is classified as being deprived in none, or one to four of these dimensions in any combination.”</w:t>
      </w:r>
    </w:p>
    <w:p w14:paraId="35F83E8A" w14:textId="1A3055ED" w:rsidR="00411B26" w:rsidRDefault="00076541" w:rsidP="00411B26">
      <w:r>
        <w:t>Using this a thematic picture is created for Powys to show the varying deprivation of each MSOA and it position relative to each of the three mass vaccination centres shown by blue stars.</w:t>
      </w:r>
    </w:p>
    <w:p w14:paraId="4B5D2EFA" w14:textId="661CAB0A" w:rsidR="00076541" w:rsidRDefault="00076541" w:rsidP="00411B26">
      <w:r>
        <w:rPr>
          <w:noProof/>
        </w:rPr>
        <w:drawing>
          <wp:inline distT="0" distB="0" distL="0" distR="0" wp14:anchorId="65CCE6CB" wp14:editId="045A9971">
            <wp:extent cx="4953000" cy="603260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55264" cy="6035364"/>
                    </a:xfrm>
                    <a:prstGeom prst="rect">
                      <a:avLst/>
                    </a:prstGeom>
                    <a:noFill/>
                    <a:ln>
                      <a:noFill/>
                    </a:ln>
                  </pic:spPr>
                </pic:pic>
              </a:graphicData>
            </a:graphic>
          </wp:inline>
        </w:drawing>
      </w:r>
    </w:p>
    <w:p w14:paraId="74DA8415" w14:textId="1E979D8F" w:rsidR="00B527CF" w:rsidRDefault="00B527CF" w:rsidP="00411B26">
      <w:r>
        <w:t xml:space="preserve">From the above it is evident that quite large areas of Powys are considered to be very deprived using the methodology, despite this is vaccinated the highest percentage of its population in all measures. </w:t>
      </w:r>
      <w:r>
        <w:lastRenderedPageBreak/>
        <w:t>It is interesting to note that the three mass vaccination centres are either in or adjacent to the most deprived areas which may have had a positive impact on the vaccination levels as the lack of transport would not have a detrimental impact in the same way as if the centres were located central to an affluent area.</w:t>
      </w:r>
    </w:p>
    <w:p w14:paraId="39844C25" w14:textId="06902B01" w:rsidR="00246018" w:rsidRDefault="00246018" w:rsidP="00411B26">
      <w:r>
        <w:t xml:space="preserve">3.2.2 </w:t>
      </w:r>
      <w:bookmarkStart w:id="12" w:name="_Hlk102195261"/>
      <w:r>
        <w:t>Road Access</w:t>
      </w:r>
      <w:bookmarkEnd w:id="12"/>
    </w:p>
    <w:p w14:paraId="63CE8234" w14:textId="1C85BE3F" w:rsidR="00246018" w:rsidRDefault="00246018" w:rsidP="00411B26">
      <w:r>
        <w:t xml:space="preserve">Aiding in the higher uptake in Powys alongside the positioning of the mass vaccination centres close to deprived areas is the road access available to those centres. This would mean that areas that are more affluent and have access to transport are easily able to attend the centres. This is shown below with a closer view to the centre in </w:t>
      </w:r>
      <w:r w:rsidR="003B71ED">
        <w:t>Newtown</w:t>
      </w:r>
      <w:r w:rsidR="009175B2">
        <w:t xml:space="preserve"> supplemented with the road network data supplied by Ordinance Survey via EDINA </w:t>
      </w:r>
      <w:sdt>
        <w:sdtPr>
          <w:id w:val="-697302337"/>
          <w:citation/>
        </w:sdtPr>
        <w:sdtEndPr/>
        <w:sdtContent>
          <w:r w:rsidR="00E8271A">
            <w:fldChar w:fldCharType="begin"/>
          </w:r>
          <w:r w:rsidR="00E8271A">
            <w:instrText xml:space="preserve"> CITATION Ord15 \l 2057 </w:instrText>
          </w:r>
          <w:r w:rsidR="00E8271A">
            <w:fldChar w:fldCharType="separate"/>
          </w:r>
          <w:r w:rsidR="00E8271A" w:rsidRPr="00E8271A">
            <w:rPr>
              <w:noProof/>
            </w:rPr>
            <w:t>[6]</w:t>
          </w:r>
          <w:r w:rsidR="00E8271A">
            <w:fldChar w:fldCharType="end"/>
          </w:r>
        </w:sdtContent>
      </w:sdt>
    </w:p>
    <w:p w14:paraId="51E031EE" w14:textId="5776E503" w:rsidR="00E8271A" w:rsidRDefault="00E8271A" w:rsidP="00411B26">
      <w:r>
        <w:rPr>
          <w:noProof/>
        </w:rPr>
        <w:drawing>
          <wp:inline distT="0" distB="0" distL="0" distR="0" wp14:anchorId="4B8566EB" wp14:editId="6C019F97">
            <wp:extent cx="5731510" cy="45605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60570"/>
                    </a:xfrm>
                    <a:prstGeom prst="rect">
                      <a:avLst/>
                    </a:prstGeom>
                    <a:noFill/>
                    <a:ln>
                      <a:noFill/>
                    </a:ln>
                  </pic:spPr>
                </pic:pic>
              </a:graphicData>
            </a:graphic>
          </wp:inline>
        </w:drawing>
      </w:r>
    </w:p>
    <w:p w14:paraId="073C7D8F" w14:textId="2CD50840" w:rsidR="00DE3BD7" w:rsidRDefault="00DE3BD7" w:rsidP="00411B26">
      <w:r>
        <w:t>Using the above data it may be correct to say the positioning of the MVC’s within Powys had an impact on the high vaccine uptake as there are good road links for those areas able to travel but are very close to the areas of high deprivation.</w:t>
      </w:r>
    </w:p>
    <w:p w14:paraId="03AA3FFE" w14:textId="30B031A0" w:rsidR="00DE3BD7" w:rsidRDefault="00DE3BD7" w:rsidP="00411B26">
      <w:r>
        <w:t xml:space="preserve">3.2.3 </w:t>
      </w:r>
      <w:bookmarkStart w:id="13" w:name="_Hlk102195267"/>
      <w:r>
        <w:t>Alternative Deprivation Measure</w:t>
      </w:r>
      <w:bookmarkEnd w:id="13"/>
    </w:p>
    <w:p w14:paraId="726C9A11" w14:textId="0B784184" w:rsidR="00DE3BD7" w:rsidRDefault="003B7CE5" w:rsidP="00411B26">
      <w:r>
        <w:t xml:space="preserve">Whilst in this paper a deprivation measure from the 2011 census was used it is only one way that can be used for measuring deprivation and alternative methods may present a different argument. One such other method of measuring deprivation that is used widely is the Townsend index which uses similar census data to determine a value. This method was created by Prof Peter Townsend in 1987 and provides a consistent methodology for comparing data across the various census dates </w:t>
      </w:r>
      <w:sdt>
        <w:sdtPr>
          <w:id w:val="-200856085"/>
          <w:citation/>
        </w:sdtPr>
        <w:sdtEndPr/>
        <w:sdtContent>
          <w:r>
            <w:fldChar w:fldCharType="begin"/>
          </w:r>
          <w:r>
            <w:instrText xml:space="preserve"> CITATION Nat22 \l 2057 </w:instrText>
          </w:r>
          <w:r>
            <w:fldChar w:fldCharType="separate"/>
          </w:r>
          <w:r w:rsidRPr="003B7CE5">
            <w:rPr>
              <w:noProof/>
            </w:rPr>
            <w:t>[7]</w:t>
          </w:r>
          <w:r>
            <w:fldChar w:fldCharType="end"/>
          </w:r>
        </w:sdtContent>
      </w:sdt>
      <w:r w:rsidR="00367339">
        <w:t>.</w:t>
      </w:r>
    </w:p>
    <w:p w14:paraId="1F76228C" w14:textId="43CB9BB8" w:rsidR="00367339" w:rsidRDefault="00367339" w:rsidP="00411B26">
      <w:r>
        <w:lastRenderedPageBreak/>
        <w:t>Another method to measure deprivation is the use of the English Indices of Deprivation 2019 which includes additional metrics such as crime, training deprivation and barriers to housing. This is used mainly by the ministry of housing, communities and local government</w:t>
      </w:r>
      <w:r w:rsidR="00D517AB">
        <w:t xml:space="preserve"> </w:t>
      </w:r>
      <w:sdt>
        <w:sdtPr>
          <w:id w:val="-641732687"/>
          <w:citation/>
        </w:sdtPr>
        <w:sdtEndPr/>
        <w:sdtContent>
          <w:r w:rsidR="00D517AB">
            <w:fldChar w:fldCharType="begin"/>
          </w:r>
          <w:r w:rsidR="00D517AB">
            <w:instrText xml:space="preserve"> CITATION Dav19 \l 2057 </w:instrText>
          </w:r>
          <w:r w:rsidR="00D517AB">
            <w:fldChar w:fldCharType="separate"/>
          </w:r>
          <w:r w:rsidR="00D517AB" w:rsidRPr="00D517AB">
            <w:rPr>
              <w:noProof/>
            </w:rPr>
            <w:t>[8]</w:t>
          </w:r>
          <w:r w:rsidR="00D517AB">
            <w:fldChar w:fldCharType="end"/>
          </w:r>
        </w:sdtContent>
      </w:sdt>
      <w:r>
        <w:t xml:space="preserve"> in England but highlights that using a single methodology has the possibility of providing bias information based on the metrics used </w:t>
      </w:r>
      <w:r w:rsidR="00D517AB">
        <w:t>within the calculation.</w:t>
      </w:r>
    </w:p>
    <w:p w14:paraId="7521B0AA" w14:textId="10CAA640" w:rsidR="00D517AB" w:rsidRDefault="00E328AC" w:rsidP="00411B26">
      <w:r>
        <w:t xml:space="preserve">3.2.4 </w:t>
      </w:r>
      <w:bookmarkStart w:id="14" w:name="_Hlk102195319"/>
      <w:proofErr w:type="spellStart"/>
      <w:r>
        <w:t>Bronllys</w:t>
      </w:r>
      <w:proofErr w:type="spellEnd"/>
      <w:r>
        <w:t xml:space="preserve"> A Closer Look</w:t>
      </w:r>
      <w:bookmarkEnd w:id="14"/>
    </w:p>
    <w:p w14:paraId="4958AA42" w14:textId="6F5391D9" w:rsidR="00E328AC" w:rsidRDefault="006F6329" w:rsidP="00411B26">
      <w:r>
        <w:t xml:space="preserve">To further improve knowledge when looking at thematic data it is possible to drill down to a single data point to attempt to draw some conclusions or add additional weight to already established hypothesis. Below is a zoomed in image of </w:t>
      </w:r>
      <w:proofErr w:type="spellStart"/>
      <w:r>
        <w:t>Bronllys</w:t>
      </w:r>
      <w:proofErr w:type="spellEnd"/>
      <w:r>
        <w:t xml:space="preserve"> Hospital where the vaccination centre was run. The additional topographic data is provided by OS </w:t>
      </w:r>
      <w:proofErr w:type="spellStart"/>
      <w:r>
        <w:t>Mastermap</w:t>
      </w:r>
      <w:proofErr w:type="spellEnd"/>
      <w:r>
        <w:t xml:space="preserve"> via EDINA </w:t>
      </w:r>
      <w:sdt>
        <w:sdtPr>
          <w:id w:val="-1973975042"/>
          <w:citation/>
        </w:sdtPr>
        <w:sdtEndPr/>
        <w:sdtContent>
          <w:r>
            <w:fldChar w:fldCharType="begin"/>
          </w:r>
          <w:r>
            <w:instrText xml:space="preserve"> CITATION Ord21 \l 2057 </w:instrText>
          </w:r>
          <w:r>
            <w:fldChar w:fldCharType="separate"/>
          </w:r>
          <w:r w:rsidRPr="006F6329">
            <w:rPr>
              <w:noProof/>
            </w:rPr>
            <w:t>[9]</w:t>
          </w:r>
          <w:r>
            <w:fldChar w:fldCharType="end"/>
          </w:r>
        </w:sdtContent>
      </w:sdt>
    </w:p>
    <w:p w14:paraId="566899E5" w14:textId="2B126A1B" w:rsidR="006F6329" w:rsidRDefault="006F6329" w:rsidP="00411B26">
      <w:r>
        <w:rPr>
          <w:noProof/>
        </w:rPr>
        <w:drawing>
          <wp:inline distT="0" distB="0" distL="0" distR="0" wp14:anchorId="70B88379" wp14:editId="2D3C3194">
            <wp:extent cx="4610100" cy="453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100" cy="4533900"/>
                    </a:xfrm>
                    <a:prstGeom prst="rect">
                      <a:avLst/>
                    </a:prstGeom>
                    <a:noFill/>
                    <a:ln>
                      <a:noFill/>
                    </a:ln>
                  </pic:spPr>
                </pic:pic>
              </a:graphicData>
            </a:graphic>
          </wp:inline>
        </w:drawing>
      </w:r>
    </w:p>
    <w:p w14:paraId="7C7D5BA8" w14:textId="79AA882E" w:rsidR="006F6329" w:rsidRDefault="005B2951" w:rsidP="00411B26">
      <w:r>
        <w:t xml:space="preserve">Having access to the additional topographic information shows the area in blue as available parking on the hospital site to be used whilst attending the mass vaccination centre with the centre highlighted in red. Is it possible to suggest that the abundance of parking on site made travelling to site less stressful or intimidating for older residents who may be apprehensive of driving into a heavily populated area due to mobility of other issues. </w:t>
      </w:r>
    </w:p>
    <w:p w14:paraId="1E37383C" w14:textId="33843D0B" w:rsidR="005B2951" w:rsidRDefault="005B2951" w:rsidP="00411B26">
      <w:r>
        <w:t xml:space="preserve">There is some missing data that would provide some additional evidence that access to the site aided in the high uptake of the vaccine and that is bus stations or other public transport methods. In the example given above the closest </w:t>
      </w:r>
      <w:r w:rsidR="007625D7">
        <w:t xml:space="preserve">bus station is around 0.3 miles away which is significant for the elderly population of Powys </w:t>
      </w:r>
      <w:sdt>
        <w:sdtPr>
          <w:id w:val="-2115583654"/>
          <w:citation/>
        </w:sdtPr>
        <w:sdtEndPr/>
        <w:sdtContent>
          <w:r w:rsidR="007625D7">
            <w:fldChar w:fldCharType="begin"/>
          </w:r>
          <w:r w:rsidR="007625D7">
            <w:instrText xml:space="preserve"> CITATION Wel21 \l 2057 </w:instrText>
          </w:r>
          <w:r w:rsidR="007625D7">
            <w:fldChar w:fldCharType="separate"/>
          </w:r>
          <w:r w:rsidR="007625D7" w:rsidRPr="007625D7">
            <w:rPr>
              <w:noProof/>
            </w:rPr>
            <w:t>[10]</w:t>
          </w:r>
          <w:r w:rsidR="007625D7">
            <w:fldChar w:fldCharType="end"/>
          </w:r>
        </w:sdtContent>
      </w:sdt>
      <w:r w:rsidR="007625D7">
        <w:t xml:space="preserve">. The availability of trains within Powys is also very lacking with the nearest train station to the MVC in </w:t>
      </w:r>
      <w:proofErr w:type="spellStart"/>
      <w:r w:rsidR="007625D7">
        <w:t>Bronllys</w:t>
      </w:r>
      <w:proofErr w:type="spellEnd"/>
      <w:r w:rsidR="007625D7">
        <w:t xml:space="preserve"> being in Abergavenny which is 21.5 miles away noting </w:t>
      </w:r>
      <w:r w:rsidR="007625D7">
        <w:lastRenderedPageBreak/>
        <w:t xml:space="preserve">that no other services in Powys have a train that goes direct to </w:t>
      </w:r>
      <w:r w:rsidR="00CB2FB5">
        <w:t>this station. Anecdotally this would suggest access or lack of does not seem to have a significant impact on vaccine uptake in this scenario.</w:t>
      </w:r>
    </w:p>
    <w:p w14:paraId="732691FB" w14:textId="4D964BB5" w:rsidR="00CB2FB5" w:rsidRDefault="00CB2FB5" w:rsidP="00411B26">
      <w:r>
        <w:t xml:space="preserve">3.2.5 </w:t>
      </w:r>
      <w:bookmarkStart w:id="15" w:name="_Hlk102195326"/>
      <w:r>
        <w:t>Urban Centres</w:t>
      </w:r>
      <w:bookmarkEnd w:id="15"/>
    </w:p>
    <w:p w14:paraId="19E34050" w14:textId="34F9B949" w:rsidR="00CB2FB5" w:rsidRDefault="00CF7850" w:rsidP="00411B26">
      <w:r>
        <w:t xml:space="preserve">A final thought for this particular task is to look at the urban centres within Powys </w:t>
      </w:r>
      <w:r w:rsidR="00556260">
        <w:t xml:space="preserve">and determine if this had an impact on the placement of MVC which resulted in the high uptake of vaccine within Powys. </w:t>
      </w:r>
    </w:p>
    <w:p w14:paraId="6B45E7AE" w14:textId="7E32C857" w:rsidR="00556260" w:rsidRDefault="00556260" w:rsidP="00411B26">
      <w:r>
        <w:rPr>
          <w:noProof/>
        </w:rPr>
        <w:drawing>
          <wp:inline distT="0" distB="0" distL="0" distR="0" wp14:anchorId="60D08EA6" wp14:editId="4E6E72B1">
            <wp:extent cx="4446919" cy="6191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0813" cy="6196671"/>
                    </a:xfrm>
                    <a:prstGeom prst="rect">
                      <a:avLst/>
                    </a:prstGeom>
                    <a:noFill/>
                    <a:ln>
                      <a:noFill/>
                    </a:ln>
                  </pic:spPr>
                </pic:pic>
              </a:graphicData>
            </a:graphic>
          </wp:inline>
        </w:drawing>
      </w:r>
    </w:p>
    <w:p w14:paraId="710445ED" w14:textId="77777777" w:rsidR="00D800EB" w:rsidRDefault="001B3293" w:rsidP="00411B26">
      <w:r>
        <w:t xml:space="preserve">The above image shows the urban centres </w:t>
      </w:r>
      <w:r w:rsidR="00D800EB">
        <w:t xml:space="preserve">located in Powys highlighted in brown with the MVC’s again highlighted in blue. This image shows two different trends that influenced the placement of the MVC’s and also the high uptake of the vaccine within Powys. It shows the very sparse population of Powys and that the centres were located next to most major population centres. This may have </w:t>
      </w:r>
      <w:r w:rsidR="00D800EB">
        <w:lastRenderedPageBreak/>
        <w:t>had an impact on the high vaccine uptake but this is difficult to justify if compared to the population centres of Cardiff and Vale who had a much lower percentage uptake.</w:t>
      </w:r>
    </w:p>
    <w:p w14:paraId="5933CC85" w14:textId="77777777" w:rsidR="00346110" w:rsidRDefault="00346110" w:rsidP="00411B26">
      <w:r>
        <w:rPr>
          <w:noProof/>
        </w:rPr>
        <w:drawing>
          <wp:inline distT="0" distB="0" distL="0" distR="0" wp14:anchorId="5F28FB54" wp14:editId="63FF78B9">
            <wp:extent cx="5724525" cy="3000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437771FA" w14:textId="77777777" w:rsidR="00346110" w:rsidRDefault="00346110" w:rsidP="00411B26">
      <w:r>
        <w:t>As Cardiff and Vale has a much greater population density but lower vaccine uptake it would suggest there is not a direct correlation between urban centres and overall vaccine uptake.</w:t>
      </w:r>
    </w:p>
    <w:p w14:paraId="60642959" w14:textId="77777777" w:rsidR="00346110" w:rsidRDefault="00346110" w:rsidP="00411B26">
      <w:r>
        <w:t xml:space="preserve">4.0 </w:t>
      </w:r>
      <w:bookmarkStart w:id="16" w:name="_Hlk102195336"/>
      <w:r>
        <w:t>Conclusion</w:t>
      </w:r>
      <w:bookmarkEnd w:id="16"/>
    </w:p>
    <w:p w14:paraId="7D3C9BDA" w14:textId="748CCEE0" w:rsidR="00556260" w:rsidRDefault="007E3976" w:rsidP="00411B26">
      <w:r>
        <w:t>The overall conclusion of this paper as it relates to herd immunity of COVID 19 is that it is not possible to confirm of deny this with any certainty</w:t>
      </w:r>
      <w:r w:rsidR="001B3293">
        <w:t xml:space="preserve"> </w:t>
      </w:r>
      <w:r>
        <w:t xml:space="preserve">due to the varying percentage requirement for herd immunity depending on the </w:t>
      </w:r>
      <w:r w:rsidR="005F2457">
        <w:t>disease</w:t>
      </w:r>
      <w:r>
        <w:t>.</w:t>
      </w:r>
      <w:r w:rsidR="005F2457">
        <w:t xml:space="preserve"> What it is possible to conclude from this report is that due to the factors explored such as vaccination centre placement, road networks and deprivation measures these have a high likely to influence the vaccine uptake as Powys achieved the highest in Wales. In order to gain a higher confidence level in some of the conclusions being drawn would be to compare multiple health boards against in each other in every metric to remove any bias or the possibility of Powys being an outlier in terms of conditions for uptake.</w:t>
      </w:r>
    </w:p>
    <w:p w14:paraId="58E96088" w14:textId="0C2936AC" w:rsidR="005F2457" w:rsidRDefault="005F2457" w:rsidP="00411B26"/>
    <w:sdt>
      <w:sdtPr>
        <w:rPr>
          <w:rFonts w:asciiTheme="minorHAnsi" w:eastAsiaTheme="minorHAnsi" w:hAnsiTheme="minorHAnsi" w:cstheme="minorBidi"/>
          <w:color w:val="auto"/>
          <w:sz w:val="22"/>
          <w:szCs w:val="22"/>
          <w:lang w:val="en-GB" w:bidi="he-IL"/>
        </w:rPr>
        <w:id w:val="212478765"/>
        <w:docPartObj>
          <w:docPartGallery w:val="Bibliographies"/>
          <w:docPartUnique/>
        </w:docPartObj>
      </w:sdtPr>
      <w:sdtEndPr/>
      <w:sdtContent>
        <w:sdt>
          <w:sdtPr>
            <w:rPr>
              <w:rFonts w:asciiTheme="minorHAnsi" w:eastAsiaTheme="minorHAnsi" w:hAnsiTheme="minorHAnsi" w:cstheme="minorBidi"/>
              <w:color w:val="auto"/>
              <w:sz w:val="22"/>
              <w:szCs w:val="22"/>
              <w:lang w:val="en-GB" w:bidi="he-IL"/>
            </w:rPr>
            <w:id w:val="-573587230"/>
            <w:bibliography/>
          </w:sdtPr>
          <w:sdtEndPr/>
          <w:sdtContent>
            <w:p w14:paraId="7D3414B0" w14:textId="3040E93C" w:rsidR="002D5577" w:rsidRPr="002D5577" w:rsidRDefault="002D5577" w:rsidP="002D5577">
              <w:pPr>
                <w:pStyle w:val="Heading1"/>
                <w:rPr>
                  <w:noProof/>
                  <w:color w:val="auto"/>
                  <w:sz w:val="22"/>
                  <w:szCs w:val="22"/>
                </w:rPr>
              </w:pPr>
              <w:r w:rsidRPr="002D5577">
                <w:rPr>
                  <w:color w:val="auto"/>
                  <w:sz w:val="22"/>
                  <w:szCs w:val="22"/>
                </w:rPr>
                <w:t>5.0 References</w:t>
              </w:r>
              <w:r w:rsidRPr="002D5577">
                <w:rPr>
                  <w:color w:val="auto"/>
                  <w:sz w:val="22"/>
                  <w:szCs w:val="22"/>
                </w:rPr>
                <w:fldChar w:fldCharType="begin"/>
              </w:r>
              <w:r w:rsidRPr="002D5577">
                <w:rPr>
                  <w:color w:val="auto"/>
                  <w:sz w:val="22"/>
                  <w:szCs w:val="22"/>
                </w:rPr>
                <w:instrText xml:space="preserve"> BIBLIOGRAPHY </w:instrText>
              </w:r>
              <w:r w:rsidRPr="002D5577">
                <w:rPr>
                  <w:color w:val="auto"/>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9"/>
                <w:gridCol w:w="8707"/>
              </w:tblGrid>
              <w:tr w:rsidR="002D5577" w:rsidRPr="002D5577" w14:paraId="06CBA603" w14:textId="77777777">
                <w:trPr>
                  <w:divId w:val="1537426393"/>
                  <w:tblCellSpacing w:w="15" w:type="dxa"/>
                </w:trPr>
                <w:tc>
                  <w:tcPr>
                    <w:tcW w:w="50" w:type="pct"/>
                    <w:hideMark/>
                  </w:tcPr>
                  <w:p w14:paraId="7F956FD8" w14:textId="743A574D" w:rsidR="002D5577" w:rsidRPr="002D5577" w:rsidRDefault="002D5577">
                    <w:pPr>
                      <w:pStyle w:val="Bibliography"/>
                      <w:rPr>
                        <w:noProof/>
                        <w:lang w:val="en-US"/>
                      </w:rPr>
                    </w:pPr>
                    <w:r w:rsidRPr="002D5577">
                      <w:rPr>
                        <w:noProof/>
                        <w:lang w:val="en-US"/>
                      </w:rPr>
                      <w:t xml:space="preserve">[1] </w:t>
                    </w:r>
                  </w:p>
                </w:tc>
                <w:tc>
                  <w:tcPr>
                    <w:tcW w:w="0" w:type="auto"/>
                    <w:hideMark/>
                  </w:tcPr>
                  <w:p w14:paraId="22F0B139" w14:textId="77777777" w:rsidR="002D5577" w:rsidRPr="002D5577" w:rsidRDefault="002D5577">
                    <w:pPr>
                      <w:pStyle w:val="Bibliography"/>
                      <w:rPr>
                        <w:noProof/>
                        <w:lang w:val="en-US"/>
                      </w:rPr>
                    </w:pPr>
                    <w:r w:rsidRPr="002D5577">
                      <w:rPr>
                        <w:noProof/>
                        <w:lang w:val="en-US"/>
                      </w:rPr>
                      <w:t>M. Ramsay, "COVID-19: analysing first vaccine effectiveness in the UK," 23 12 2021. [Online]. Available: https://ukhsa.blog.gov.uk/2021/02/23/covid-19-analysing-first-vaccine-effectiveness-in-the-uk/. [Accessed 28 04 2022].</w:t>
                    </w:r>
                  </w:p>
                </w:tc>
              </w:tr>
              <w:tr w:rsidR="002D5577" w:rsidRPr="002D5577" w14:paraId="0558D41D" w14:textId="77777777">
                <w:trPr>
                  <w:divId w:val="1537426393"/>
                  <w:tblCellSpacing w:w="15" w:type="dxa"/>
                </w:trPr>
                <w:tc>
                  <w:tcPr>
                    <w:tcW w:w="50" w:type="pct"/>
                    <w:hideMark/>
                  </w:tcPr>
                  <w:p w14:paraId="4DAC6D72" w14:textId="77777777" w:rsidR="002D5577" w:rsidRPr="002D5577" w:rsidRDefault="002D5577">
                    <w:pPr>
                      <w:pStyle w:val="Bibliography"/>
                      <w:rPr>
                        <w:noProof/>
                        <w:lang w:val="en-US"/>
                      </w:rPr>
                    </w:pPr>
                    <w:r w:rsidRPr="002D5577">
                      <w:rPr>
                        <w:noProof/>
                        <w:lang w:val="en-US"/>
                      </w:rPr>
                      <w:t xml:space="preserve">[2] </w:t>
                    </w:r>
                  </w:p>
                </w:tc>
                <w:tc>
                  <w:tcPr>
                    <w:tcW w:w="0" w:type="auto"/>
                    <w:hideMark/>
                  </w:tcPr>
                  <w:p w14:paraId="6AEF9CA2" w14:textId="77777777" w:rsidR="002D5577" w:rsidRPr="002D5577" w:rsidRDefault="002D5577">
                    <w:pPr>
                      <w:pStyle w:val="Bibliography"/>
                      <w:rPr>
                        <w:noProof/>
                        <w:lang w:val="en-US"/>
                      </w:rPr>
                    </w:pPr>
                    <w:r w:rsidRPr="002D5577">
                      <w:rPr>
                        <w:noProof/>
                        <w:lang w:val="en-US"/>
                      </w:rPr>
                      <w:t>World Health Organization, "Coronavirus disease (COVID-19): Herd immunity, lockdowns and COVID-19," 31 12 2020. [Online]. Available: https://www.who.int/news-room/questions-and-answers/item/herd-immunity-lockdowns-and-covid-19. [Accessed 28 04 2022].</w:t>
                    </w:r>
                  </w:p>
                </w:tc>
              </w:tr>
              <w:tr w:rsidR="002D5577" w:rsidRPr="002D5577" w14:paraId="75C65AE9" w14:textId="77777777">
                <w:trPr>
                  <w:divId w:val="1537426393"/>
                  <w:tblCellSpacing w:w="15" w:type="dxa"/>
                </w:trPr>
                <w:tc>
                  <w:tcPr>
                    <w:tcW w:w="50" w:type="pct"/>
                    <w:hideMark/>
                  </w:tcPr>
                  <w:p w14:paraId="3BCE0752" w14:textId="77777777" w:rsidR="002D5577" w:rsidRPr="002D5577" w:rsidRDefault="002D5577">
                    <w:pPr>
                      <w:pStyle w:val="Bibliography"/>
                      <w:rPr>
                        <w:noProof/>
                        <w:lang w:val="en-US"/>
                      </w:rPr>
                    </w:pPr>
                    <w:r w:rsidRPr="002D5577">
                      <w:rPr>
                        <w:noProof/>
                        <w:lang w:val="en-US"/>
                      </w:rPr>
                      <w:t xml:space="preserve">[3] </w:t>
                    </w:r>
                  </w:p>
                </w:tc>
                <w:tc>
                  <w:tcPr>
                    <w:tcW w:w="0" w:type="auto"/>
                    <w:hideMark/>
                  </w:tcPr>
                  <w:p w14:paraId="69FBA3C3" w14:textId="77777777" w:rsidR="002D5577" w:rsidRPr="002D5577" w:rsidRDefault="002D5577">
                    <w:pPr>
                      <w:pStyle w:val="Bibliography"/>
                      <w:rPr>
                        <w:noProof/>
                        <w:lang w:val="en-US"/>
                      </w:rPr>
                    </w:pPr>
                    <w:r w:rsidRPr="002D5577">
                      <w:rPr>
                        <w:noProof/>
                        <w:lang w:val="en-US"/>
                      </w:rPr>
                      <w:t>K. Katellea, "Comparing the COVID-19 Vaccines: How Are They Different?," 30 03 2022. [Online]. Available: https://www.yalemedicine.org/news/covid-19-vaccine-comparison. [Accessed 28 04 2022].</w:t>
                    </w:r>
                  </w:p>
                </w:tc>
              </w:tr>
              <w:tr w:rsidR="002D5577" w:rsidRPr="002D5577" w14:paraId="6596AAA2" w14:textId="77777777">
                <w:trPr>
                  <w:divId w:val="1537426393"/>
                  <w:tblCellSpacing w:w="15" w:type="dxa"/>
                </w:trPr>
                <w:tc>
                  <w:tcPr>
                    <w:tcW w:w="50" w:type="pct"/>
                    <w:hideMark/>
                  </w:tcPr>
                  <w:p w14:paraId="559A8C23" w14:textId="77777777" w:rsidR="002D5577" w:rsidRPr="002D5577" w:rsidRDefault="002D5577">
                    <w:pPr>
                      <w:pStyle w:val="Bibliography"/>
                      <w:rPr>
                        <w:noProof/>
                        <w:lang w:val="en-US"/>
                      </w:rPr>
                    </w:pPr>
                    <w:r w:rsidRPr="002D5577">
                      <w:rPr>
                        <w:noProof/>
                        <w:lang w:val="en-US"/>
                      </w:rPr>
                      <w:lastRenderedPageBreak/>
                      <w:t xml:space="preserve">[4] </w:t>
                    </w:r>
                  </w:p>
                </w:tc>
                <w:tc>
                  <w:tcPr>
                    <w:tcW w:w="0" w:type="auto"/>
                    <w:hideMark/>
                  </w:tcPr>
                  <w:p w14:paraId="24FEFF58" w14:textId="77777777" w:rsidR="002D5577" w:rsidRPr="002D5577" w:rsidRDefault="002D5577">
                    <w:pPr>
                      <w:pStyle w:val="Bibliography"/>
                      <w:rPr>
                        <w:noProof/>
                        <w:lang w:val="en-US"/>
                      </w:rPr>
                    </w:pPr>
                    <w:r w:rsidRPr="002D5577">
                      <w:rPr>
                        <w:noProof/>
                        <w:lang w:val="en-US"/>
                      </w:rPr>
                      <w:t>Office for National Statistics, "2011 Census Aggregate data".</w:t>
                    </w:r>
                  </w:p>
                </w:tc>
              </w:tr>
              <w:tr w:rsidR="002D5577" w:rsidRPr="002D5577" w14:paraId="4C183DC3" w14:textId="77777777">
                <w:trPr>
                  <w:divId w:val="1537426393"/>
                  <w:tblCellSpacing w:w="15" w:type="dxa"/>
                </w:trPr>
                <w:tc>
                  <w:tcPr>
                    <w:tcW w:w="50" w:type="pct"/>
                    <w:hideMark/>
                  </w:tcPr>
                  <w:p w14:paraId="601CF69F" w14:textId="77777777" w:rsidR="002D5577" w:rsidRPr="002D5577" w:rsidRDefault="002D5577">
                    <w:pPr>
                      <w:pStyle w:val="Bibliography"/>
                      <w:rPr>
                        <w:noProof/>
                        <w:lang w:val="en-US"/>
                      </w:rPr>
                    </w:pPr>
                    <w:r w:rsidRPr="002D5577">
                      <w:rPr>
                        <w:noProof/>
                        <w:lang w:val="en-US"/>
                      </w:rPr>
                      <w:t xml:space="preserve">[5] </w:t>
                    </w:r>
                  </w:p>
                </w:tc>
                <w:tc>
                  <w:tcPr>
                    <w:tcW w:w="0" w:type="auto"/>
                    <w:hideMark/>
                  </w:tcPr>
                  <w:p w14:paraId="522E0F92" w14:textId="77777777" w:rsidR="002D5577" w:rsidRPr="002D5577" w:rsidRDefault="002D5577">
                    <w:pPr>
                      <w:pStyle w:val="Bibliography"/>
                      <w:rPr>
                        <w:noProof/>
                        <w:lang w:val="en-US"/>
                      </w:rPr>
                    </w:pPr>
                    <w:r w:rsidRPr="002D5577">
                      <w:rPr>
                        <w:noProof/>
                        <w:lang w:val="en-US"/>
                      </w:rPr>
                      <w:t>"InFuse 2011 Population Statistics," [Online]. Available: https://infuse2011gf.ukdataservice.ac.uk/infusewizgeo.aspx. [Accessed 28 04 2022].</w:t>
                    </w:r>
                  </w:p>
                </w:tc>
              </w:tr>
              <w:tr w:rsidR="002D5577" w:rsidRPr="002D5577" w14:paraId="4E2353FB" w14:textId="77777777">
                <w:trPr>
                  <w:divId w:val="1537426393"/>
                  <w:tblCellSpacing w:w="15" w:type="dxa"/>
                </w:trPr>
                <w:tc>
                  <w:tcPr>
                    <w:tcW w:w="50" w:type="pct"/>
                    <w:hideMark/>
                  </w:tcPr>
                  <w:p w14:paraId="590646FE" w14:textId="77777777" w:rsidR="002D5577" w:rsidRPr="002D5577" w:rsidRDefault="002D5577">
                    <w:pPr>
                      <w:pStyle w:val="Bibliography"/>
                      <w:rPr>
                        <w:noProof/>
                        <w:lang w:val="en-US"/>
                      </w:rPr>
                    </w:pPr>
                    <w:r w:rsidRPr="002D5577">
                      <w:rPr>
                        <w:noProof/>
                        <w:lang w:val="en-US"/>
                      </w:rPr>
                      <w:t xml:space="preserve">[6] </w:t>
                    </w:r>
                  </w:p>
                </w:tc>
                <w:tc>
                  <w:tcPr>
                    <w:tcW w:w="0" w:type="auto"/>
                    <w:hideMark/>
                  </w:tcPr>
                  <w:p w14:paraId="60DE605A" w14:textId="77777777" w:rsidR="002D5577" w:rsidRPr="002D5577" w:rsidRDefault="002D5577">
                    <w:pPr>
                      <w:pStyle w:val="Bibliography"/>
                      <w:rPr>
                        <w:noProof/>
                        <w:lang w:val="en-US"/>
                      </w:rPr>
                    </w:pPr>
                    <w:r w:rsidRPr="002D5577">
                      <w:rPr>
                        <w:noProof/>
                        <w:lang w:val="en-US"/>
                      </w:rPr>
                      <w:t>Ordanance Survey, 17 11 2015. [Online]. Available: https://digimap.edina.ac.uk. [Accessed 24 03 2022].</w:t>
                    </w:r>
                  </w:p>
                </w:tc>
              </w:tr>
              <w:tr w:rsidR="002D5577" w:rsidRPr="002D5577" w14:paraId="4E8A73F6" w14:textId="77777777">
                <w:trPr>
                  <w:divId w:val="1537426393"/>
                  <w:tblCellSpacing w:w="15" w:type="dxa"/>
                </w:trPr>
                <w:tc>
                  <w:tcPr>
                    <w:tcW w:w="50" w:type="pct"/>
                    <w:hideMark/>
                  </w:tcPr>
                  <w:p w14:paraId="3C59A49E" w14:textId="77777777" w:rsidR="002D5577" w:rsidRPr="002D5577" w:rsidRDefault="002D5577">
                    <w:pPr>
                      <w:pStyle w:val="Bibliography"/>
                      <w:rPr>
                        <w:noProof/>
                        <w:lang w:val="en-US"/>
                      </w:rPr>
                    </w:pPr>
                    <w:r w:rsidRPr="002D5577">
                      <w:rPr>
                        <w:noProof/>
                        <w:lang w:val="en-US"/>
                      </w:rPr>
                      <w:t xml:space="preserve">[7] </w:t>
                    </w:r>
                  </w:p>
                </w:tc>
                <w:tc>
                  <w:tcPr>
                    <w:tcW w:w="0" w:type="auto"/>
                    <w:hideMark/>
                  </w:tcPr>
                  <w:p w14:paraId="560D1278" w14:textId="77777777" w:rsidR="002D5577" w:rsidRPr="002D5577" w:rsidRDefault="002D5577">
                    <w:pPr>
                      <w:pStyle w:val="Bibliography"/>
                      <w:rPr>
                        <w:noProof/>
                        <w:lang w:val="en-US"/>
                      </w:rPr>
                    </w:pPr>
                    <w:r w:rsidRPr="002D5577">
                      <w:rPr>
                        <w:noProof/>
                        <w:lang w:val="en-US"/>
                      </w:rPr>
                      <w:t>National Centre for Research Methods, "Townsend Deprivation Index," [Online]. Available: https://www.restore.ac.uk/geo-refer/36229dtuks00y19810000.php. [Accessed 28 04 2022].</w:t>
                    </w:r>
                  </w:p>
                </w:tc>
              </w:tr>
              <w:tr w:rsidR="002D5577" w:rsidRPr="002D5577" w14:paraId="5D9AA853" w14:textId="77777777">
                <w:trPr>
                  <w:divId w:val="1537426393"/>
                  <w:tblCellSpacing w:w="15" w:type="dxa"/>
                </w:trPr>
                <w:tc>
                  <w:tcPr>
                    <w:tcW w:w="50" w:type="pct"/>
                    <w:hideMark/>
                  </w:tcPr>
                  <w:p w14:paraId="308F9390" w14:textId="77777777" w:rsidR="002D5577" w:rsidRPr="002D5577" w:rsidRDefault="002D5577">
                    <w:pPr>
                      <w:pStyle w:val="Bibliography"/>
                      <w:rPr>
                        <w:noProof/>
                        <w:lang w:val="en-US"/>
                      </w:rPr>
                    </w:pPr>
                    <w:r w:rsidRPr="002D5577">
                      <w:rPr>
                        <w:noProof/>
                        <w:lang w:val="en-US"/>
                      </w:rPr>
                      <w:t xml:space="preserve">[8] </w:t>
                    </w:r>
                  </w:p>
                </w:tc>
                <w:tc>
                  <w:tcPr>
                    <w:tcW w:w="0" w:type="auto"/>
                    <w:hideMark/>
                  </w:tcPr>
                  <w:p w14:paraId="0F1CC412" w14:textId="77777777" w:rsidR="002D5577" w:rsidRPr="002D5577" w:rsidRDefault="002D5577">
                    <w:pPr>
                      <w:pStyle w:val="Bibliography"/>
                      <w:rPr>
                        <w:noProof/>
                        <w:lang w:val="en-US"/>
                      </w:rPr>
                    </w:pPr>
                    <w:r w:rsidRPr="002D5577">
                      <w:rPr>
                        <w:noProof/>
                        <w:lang w:val="en-US"/>
                      </w:rPr>
                      <w:t>D. M. e. al, "The English Indices of Deprivation 2019," 09 2019. [Online]. Available: https://assets.publishing.service.gov.uk/government/uploads/system/uploads/attachment_data/file/833951/IoD2019_Technical_Report.pdf. [Accessed 28 04 2022].</w:t>
                    </w:r>
                  </w:p>
                </w:tc>
              </w:tr>
              <w:tr w:rsidR="002D5577" w:rsidRPr="002D5577" w14:paraId="09C13469" w14:textId="77777777">
                <w:trPr>
                  <w:divId w:val="1537426393"/>
                  <w:tblCellSpacing w:w="15" w:type="dxa"/>
                </w:trPr>
                <w:tc>
                  <w:tcPr>
                    <w:tcW w:w="50" w:type="pct"/>
                    <w:hideMark/>
                  </w:tcPr>
                  <w:p w14:paraId="1138646D" w14:textId="77777777" w:rsidR="002D5577" w:rsidRPr="002D5577" w:rsidRDefault="002D5577">
                    <w:pPr>
                      <w:pStyle w:val="Bibliography"/>
                      <w:rPr>
                        <w:noProof/>
                        <w:lang w:val="en-US"/>
                      </w:rPr>
                    </w:pPr>
                    <w:r w:rsidRPr="002D5577">
                      <w:rPr>
                        <w:noProof/>
                        <w:lang w:val="en-US"/>
                      </w:rPr>
                      <w:t xml:space="preserve">[9] </w:t>
                    </w:r>
                  </w:p>
                </w:tc>
                <w:tc>
                  <w:tcPr>
                    <w:tcW w:w="0" w:type="auto"/>
                    <w:hideMark/>
                  </w:tcPr>
                  <w:p w14:paraId="3B716F22" w14:textId="77777777" w:rsidR="002D5577" w:rsidRPr="002D5577" w:rsidRDefault="002D5577">
                    <w:pPr>
                      <w:pStyle w:val="Bibliography"/>
                      <w:rPr>
                        <w:noProof/>
                        <w:lang w:val="en-US"/>
                      </w:rPr>
                    </w:pPr>
                    <w:r w:rsidRPr="002D5577">
                      <w:rPr>
                        <w:noProof/>
                        <w:lang w:val="en-US"/>
                      </w:rPr>
                      <w:t>Ordanance Survey, "OS MasterMap® Topography Layer," 18 11 2021. [Online]. Available: https://digimap.edina.ac.uk. [Accessed 28 04 2022].</w:t>
                    </w:r>
                  </w:p>
                </w:tc>
              </w:tr>
              <w:tr w:rsidR="002D5577" w:rsidRPr="002D5577" w14:paraId="759EB022" w14:textId="77777777">
                <w:trPr>
                  <w:divId w:val="1537426393"/>
                  <w:tblCellSpacing w:w="15" w:type="dxa"/>
                </w:trPr>
                <w:tc>
                  <w:tcPr>
                    <w:tcW w:w="50" w:type="pct"/>
                    <w:hideMark/>
                  </w:tcPr>
                  <w:p w14:paraId="54045771" w14:textId="77777777" w:rsidR="002D5577" w:rsidRPr="002D5577" w:rsidRDefault="002D5577">
                    <w:pPr>
                      <w:pStyle w:val="Bibliography"/>
                      <w:rPr>
                        <w:noProof/>
                        <w:lang w:val="en-US"/>
                      </w:rPr>
                    </w:pPr>
                    <w:r w:rsidRPr="002D5577">
                      <w:rPr>
                        <w:noProof/>
                        <w:lang w:val="en-US"/>
                      </w:rPr>
                      <w:t xml:space="preserve">[10] </w:t>
                    </w:r>
                  </w:p>
                </w:tc>
                <w:tc>
                  <w:tcPr>
                    <w:tcW w:w="0" w:type="auto"/>
                    <w:hideMark/>
                  </w:tcPr>
                  <w:p w14:paraId="459B65D7" w14:textId="77777777" w:rsidR="002D5577" w:rsidRPr="002D5577" w:rsidRDefault="002D5577">
                    <w:pPr>
                      <w:pStyle w:val="Bibliography"/>
                      <w:rPr>
                        <w:noProof/>
                        <w:lang w:val="en-US"/>
                      </w:rPr>
                    </w:pPr>
                    <w:r w:rsidRPr="002D5577">
                      <w:rPr>
                        <w:noProof/>
                        <w:lang w:val="en-US"/>
                      </w:rPr>
                      <w:t>Welsh Government, "Population estimates by local authority and age," 06 2021. [Online]. Available: https://statswales.gov.wales/Catalogue/Population-and-Migration/Population/Estimates/Local-Authority/populationestimates-by-localauthority-age. [Accessed 28 04 2022].</w:t>
                    </w:r>
                  </w:p>
                </w:tc>
              </w:tr>
            </w:tbl>
            <w:p w14:paraId="63D8100B" w14:textId="77777777" w:rsidR="002D5577" w:rsidRPr="002D5577" w:rsidRDefault="002D5577">
              <w:pPr>
                <w:divId w:val="1537426393"/>
                <w:rPr>
                  <w:rFonts w:eastAsia="Times New Roman"/>
                  <w:noProof/>
                </w:rPr>
              </w:pPr>
            </w:p>
            <w:p w14:paraId="25A27AEF" w14:textId="7C4AD634" w:rsidR="002D5577" w:rsidRDefault="002D5577">
              <w:r w:rsidRPr="002D5577">
                <w:rPr>
                  <w:b/>
                  <w:bCs/>
                  <w:noProof/>
                </w:rPr>
                <w:fldChar w:fldCharType="end"/>
              </w:r>
            </w:p>
          </w:sdtContent>
        </w:sdt>
      </w:sdtContent>
    </w:sdt>
    <w:p w14:paraId="2423223A" w14:textId="77777777" w:rsidR="005F2457" w:rsidRPr="00411B26" w:rsidRDefault="005F2457" w:rsidP="00411B26"/>
    <w:sectPr w:rsidR="005F2457" w:rsidRPr="00411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971"/>
    <w:rsid w:val="00076541"/>
    <w:rsid w:val="0012300E"/>
    <w:rsid w:val="00157971"/>
    <w:rsid w:val="001B3293"/>
    <w:rsid w:val="001D59A3"/>
    <w:rsid w:val="001E4579"/>
    <w:rsid w:val="0023384E"/>
    <w:rsid w:val="00246018"/>
    <w:rsid w:val="002D5577"/>
    <w:rsid w:val="00346110"/>
    <w:rsid w:val="00347394"/>
    <w:rsid w:val="00367339"/>
    <w:rsid w:val="0037418F"/>
    <w:rsid w:val="00397C32"/>
    <w:rsid w:val="003B71ED"/>
    <w:rsid w:val="003B7CE5"/>
    <w:rsid w:val="00411B26"/>
    <w:rsid w:val="00481A60"/>
    <w:rsid w:val="00556260"/>
    <w:rsid w:val="00564BAF"/>
    <w:rsid w:val="00593BC0"/>
    <w:rsid w:val="005A6AF7"/>
    <w:rsid w:val="005B2951"/>
    <w:rsid w:val="005F2457"/>
    <w:rsid w:val="006142D4"/>
    <w:rsid w:val="006F6329"/>
    <w:rsid w:val="0072038B"/>
    <w:rsid w:val="00754914"/>
    <w:rsid w:val="00755C18"/>
    <w:rsid w:val="007625D7"/>
    <w:rsid w:val="007854F5"/>
    <w:rsid w:val="007E3976"/>
    <w:rsid w:val="008E622D"/>
    <w:rsid w:val="009175B2"/>
    <w:rsid w:val="00A36027"/>
    <w:rsid w:val="00A50DA8"/>
    <w:rsid w:val="00A64800"/>
    <w:rsid w:val="00B527CF"/>
    <w:rsid w:val="00B8524B"/>
    <w:rsid w:val="00BA6BF2"/>
    <w:rsid w:val="00BF4745"/>
    <w:rsid w:val="00C60BC0"/>
    <w:rsid w:val="00CB2659"/>
    <w:rsid w:val="00CB2FB5"/>
    <w:rsid w:val="00CF6109"/>
    <w:rsid w:val="00CF7850"/>
    <w:rsid w:val="00D517AB"/>
    <w:rsid w:val="00D55E21"/>
    <w:rsid w:val="00D56108"/>
    <w:rsid w:val="00D800EB"/>
    <w:rsid w:val="00DC3679"/>
    <w:rsid w:val="00DE3BD7"/>
    <w:rsid w:val="00E328AC"/>
    <w:rsid w:val="00E8271A"/>
    <w:rsid w:val="00EC15C1"/>
    <w:rsid w:val="00F807C4"/>
    <w:rsid w:val="00FB2EA9"/>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CDA86"/>
  <w15:chartTrackingRefBased/>
  <w15:docId w15:val="{00903000-6898-4AED-A611-1389AE883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577"/>
    <w:pPr>
      <w:keepNext/>
      <w:keepLines/>
      <w:spacing w:before="240" w:after="0"/>
      <w:outlineLvl w:val="0"/>
    </w:pPr>
    <w:rPr>
      <w:rFonts w:asciiTheme="majorHAnsi" w:eastAsiaTheme="majorEastAsia" w:hAnsiTheme="majorHAnsi" w:cstheme="majorBidi"/>
      <w:color w:val="2F5496" w:themeColor="accent1" w:themeShade="BF"/>
      <w:sz w:val="32"/>
      <w:szCs w:val="32"/>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577"/>
    <w:rPr>
      <w:rFonts w:asciiTheme="majorHAnsi" w:eastAsiaTheme="majorEastAsia" w:hAnsiTheme="majorHAnsi" w:cstheme="majorBidi"/>
      <w:color w:val="2F5496" w:themeColor="accent1" w:themeShade="BF"/>
      <w:sz w:val="32"/>
      <w:szCs w:val="32"/>
      <w:lang w:val="en-US" w:bidi="ar-SA"/>
    </w:rPr>
  </w:style>
  <w:style w:type="paragraph" w:styleId="Bibliography">
    <w:name w:val="Bibliography"/>
    <w:basedOn w:val="Normal"/>
    <w:next w:val="Normal"/>
    <w:uiPriority w:val="37"/>
    <w:unhideWhenUsed/>
    <w:rsid w:val="002D5577"/>
  </w:style>
  <w:style w:type="table" w:styleId="TableGrid">
    <w:name w:val="Table Grid"/>
    <w:basedOn w:val="TableNormal"/>
    <w:uiPriority w:val="39"/>
    <w:rsid w:val="008E6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76468">
      <w:bodyDiv w:val="1"/>
      <w:marLeft w:val="0"/>
      <w:marRight w:val="0"/>
      <w:marTop w:val="0"/>
      <w:marBottom w:val="0"/>
      <w:divBdr>
        <w:top w:val="none" w:sz="0" w:space="0" w:color="auto"/>
        <w:left w:val="none" w:sz="0" w:space="0" w:color="auto"/>
        <w:bottom w:val="none" w:sz="0" w:space="0" w:color="auto"/>
        <w:right w:val="none" w:sz="0" w:space="0" w:color="auto"/>
      </w:divBdr>
    </w:div>
    <w:div w:id="111094573">
      <w:bodyDiv w:val="1"/>
      <w:marLeft w:val="0"/>
      <w:marRight w:val="0"/>
      <w:marTop w:val="0"/>
      <w:marBottom w:val="0"/>
      <w:divBdr>
        <w:top w:val="none" w:sz="0" w:space="0" w:color="auto"/>
        <w:left w:val="none" w:sz="0" w:space="0" w:color="auto"/>
        <w:bottom w:val="none" w:sz="0" w:space="0" w:color="auto"/>
        <w:right w:val="none" w:sz="0" w:space="0" w:color="auto"/>
      </w:divBdr>
    </w:div>
    <w:div w:id="692800389">
      <w:bodyDiv w:val="1"/>
      <w:marLeft w:val="0"/>
      <w:marRight w:val="0"/>
      <w:marTop w:val="0"/>
      <w:marBottom w:val="0"/>
      <w:divBdr>
        <w:top w:val="none" w:sz="0" w:space="0" w:color="auto"/>
        <w:left w:val="none" w:sz="0" w:space="0" w:color="auto"/>
        <w:bottom w:val="none" w:sz="0" w:space="0" w:color="auto"/>
        <w:right w:val="none" w:sz="0" w:space="0" w:color="auto"/>
      </w:divBdr>
    </w:div>
    <w:div w:id="692851267">
      <w:bodyDiv w:val="1"/>
      <w:marLeft w:val="0"/>
      <w:marRight w:val="0"/>
      <w:marTop w:val="0"/>
      <w:marBottom w:val="0"/>
      <w:divBdr>
        <w:top w:val="none" w:sz="0" w:space="0" w:color="auto"/>
        <w:left w:val="none" w:sz="0" w:space="0" w:color="auto"/>
        <w:bottom w:val="none" w:sz="0" w:space="0" w:color="auto"/>
        <w:right w:val="none" w:sz="0" w:space="0" w:color="auto"/>
      </w:divBdr>
    </w:div>
    <w:div w:id="725449097">
      <w:bodyDiv w:val="1"/>
      <w:marLeft w:val="0"/>
      <w:marRight w:val="0"/>
      <w:marTop w:val="0"/>
      <w:marBottom w:val="0"/>
      <w:divBdr>
        <w:top w:val="none" w:sz="0" w:space="0" w:color="auto"/>
        <w:left w:val="none" w:sz="0" w:space="0" w:color="auto"/>
        <w:bottom w:val="none" w:sz="0" w:space="0" w:color="auto"/>
        <w:right w:val="none" w:sz="0" w:space="0" w:color="auto"/>
      </w:divBdr>
    </w:div>
    <w:div w:id="743139071">
      <w:bodyDiv w:val="1"/>
      <w:marLeft w:val="0"/>
      <w:marRight w:val="0"/>
      <w:marTop w:val="0"/>
      <w:marBottom w:val="0"/>
      <w:divBdr>
        <w:top w:val="none" w:sz="0" w:space="0" w:color="auto"/>
        <w:left w:val="none" w:sz="0" w:space="0" w:color="auto"/>
        <w:bottom w:val="none" w:sz="0" w:space="0" w:color="auto"/>
        <w:right w:val="none" w:sz="0" w:space="0" w:color="auto"/>
      </w:divBdr>
    </w:div>
    <w:div w:id="1003319830">
      <w:bodyDiv w:val="1"/>
      <w:marLeft w:val="0"/>
      <w:marRight w:val="0"/>
      <w:marTop w:val="0"/>
      <w:marBottom w:val="0"/>
      <w:divBdr>
        <w:top w:val="none" w:sz="0" w:space="0" w:color="auto"/>
        <w:left w:val="none" w:sz="0" w:space="0" w:color="auto"/>
        <w:bottom w:val="none" w:sz="0" w:space="0" w:color="auto"/>
        <w:right w:val="none" w:sz="0" w:space="0" w:color="auto"/>
      </w:divBdr>
    </w:div>
    <w:div w:id="1022560374">
      <w:bodyDiv w:val="1"/>
      <w:marLeft w:val="0"/>
      <w:marRight w:val="0"/>
      <w:marTop w:val="0"/>
      <w:marBottom w:val="0"/>
      <w:divBdr>
        <w:top w:val="none" w:sz="0" w:space="0" w:color="auto"/>
        <w:left w:val="none" w:sz="0" w:space="0" w:color="auto"/>
        <w:bottom w:val="none" w:sz="0" w:space="0" w:color="auto"/>
        <w:right w:val="none" w:sz="0" w:space="0" w:color="auto"/>
      </w:divBdr>
    </w:div>
    <w:div w:id="1189372921">
      <w:bodyDiv w:val="1"/>
      <w:marLeft w:val="0"/>
      <w:marRight w:val="0"/>
      <w:marTop w:val="0"/>
      <w:marBottom w:val="0"/>
      <w:divBdr>
        <w:top w:val="none" w:sz="0" w:space="0" w:color="auto"/>
        <w:left w:val="none" w:sz="0" w:space="0" w:color="auto"/>
        <w:bottom w:val="none" w:sz="0" w:space="0" w:color="auto"/>
        <w:right w:val="none" w:sz="0" w:space="0" w:color="auto"/>
      </w:divBdr>
    </w:div>
    <w:div w:id="1448768919">
      <w:bodyDiv w:val="1"/>
      <w:marLeft w:val="0"/>
      <w:marRight w:val="0"/>
      <w:marTop w:val="0"/>
      <w:marBottom w:val="0"/>
      <w:divBdr>
        <w:top w:val="none" w:sz="0" w:space="0" w:color="auto"/>
        <w:left w:val="none" w:sz="0" w:space="0" w:color="auto"/>
        <w:bottom w:val="none" w:sz="0" w:space="0" w:color="auto"/>
        <w:right w:val="none" w:sz="0" w:space="0" w:color="auto"/>
      </w:divBdr>
    </w:div>
    <w:div w:id="1537426393">
      <w:bodyDiv w:val="1"/>
      <w:marLeft w:val="0"/>
      <w:marRight w:val="0"/>
      <w:marTop w:val="0"/>
      <w:marBottom w:val="0"/>
      <w:divBdr>
        <w:top w:val="none" w:sz="0" w:space="0" w:color="auto"/>
        <w:left w:val="none" w:sz="0" w:space="0" w:color="auto"/>
        <w:bottom w:val="none" w:sz="0" w:space="0" w:color="auto"/>
        <w:right w:val="none" w:sz="0" w:space="0" w:color="auto"/>
      </w:divBdr>
    </w:div>
    <w:div w:id="1583103068">
      <w:bodyDiv w:val="1"/>
      <w:marLeft w:val="0"/>
      <w:marRight w:val="0"/>
      <w:marTop w:val="0"/>
      <w:marBottom w:val="0"/>
      <w:divBdr>
        <w:top w:val="none" w:sz="0" w:space="0" w:color="auto"/>
        <w:left w:val="none" w:sz="0" w:space="0" w:color="auto"/>
        <w:bottom w:val="none" w:sz="0" w:space="0" w:color="auto"/>
        <w:right w:val="none" w:sz="0" w:space="0" w:color="auto"/>
      </w:divBdr>
    </w:div>
    <w:div w:id="1625648955">
      <w:bodyDiv w:val="1"/>
      <w:marLeft w:val="0"/>
      <w:marRight w:val="0"/>
      <w:marTop w:val="0"/>
      <w:marBottom w:val="0"/>
      <w:divBdr>
        <w:top w:val="none" w:sz="0" w:space="0" w:color="auto"/>
        <w:left w:val="none" w:sz="0" w:space="0" w:color="auto"/>
        <w:bottom w:val="none" w:sz="0" w:space="0" w:color="auto"/>
        <w:right w:val="none" w:sz="0" w:space="0" w:color="auto"/>
      </w:divBdr>
    </w:div>
    <w:div w:id="1680500865">
      <w:bodyDiv w:val="1"/>
      <w:marLeft w:val="0"/>
      <w:marRight w:val="0"/>
      <w:marTop w:val="0"/>
      <w:marBottom w:val="0"/>
      <w:divBdr>
        <w:top w:val="none" w:sz="0" w:space="0" w:color="auto"/>
        <w:left w:val="none" w:sz="0" w:space="0" w:color="auto"/>
        <w:bottom w:val="none" w:sz="0" w:space="0" w:color="auto"/>
        <w:right w:val="none" w:sz="0" w:space="0" w:color="auto"/>
      </w:divBdr>
    </w:div>
    <w:div w:id="194545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Mar21</b:Tag>
    <b:SourceType>InternetSite</b:SourceType>
    <b:Guid>{CCF60FA6-8A05-4EBF-9E7F-B1E99C716CCC}</b:Guid>
    <b:Author>
      <b:Author>
        <b:NameList>
          <b:Person>
            <b:Last>Ramsay</b:Last>
            <b:First>Mary</b:First>
          </b:Person>
        </b:NameList>
      </b:Author>
    </b:Author>
    <b:Title>COVID-19: analysing first vaccine effectiveness in the UK</b:Title>
    <b:Year>2021</b:Year>
    <b:Month>12</b:Month>
    <b:Day>23</b:Day>
    <b:YearAccessed>2022</b:YearAccessed>
    <b:MonthAccessed>04</b:MonthAccessed>
    <b:DayAccessed>28</b:DayAccessed>
    <b:URL>https://ukhsa.blog.gov.uk/2021/02/23/covid-19-analysing-first-vaccine-effectiveness-in-the-uk/</b:URL>
    <b:RefOrder>1</b:RefOrder>
  </b:Source>
  <b:Source>
    <b:Tag>Wor20</b:Tag>
    <b:SourceType>InternetSite</b:SourceType>
    <b:Guid>{1E467DD4-9B52-4648-AA57-CB51FEFFAE1D}</b:Guid>
    <b:Author>
      <b:Author>
        <b:Corporate>World Health Organization</b:Corporate>
      </b:Author>
    </b:Author>
    <b:Title>Coronavirus disease (COVID-19): Herd immunity, lockdowns and COVID-19</b:Title>
    <b:Year>2020</b:Year>
    <b:Month>12</b:Month>
    <b:Day>31</b:Day>
    <b:YearAccessed>2022</b:YearAccessed>
    <b:MonthAccessed>04</b:MonthAccessed>
    <b:DayAccessed>28</b:DayAccessed>
    <b:URL>https://www.who.int/news-room/questions-and-answers/item/herd-immunity-lockdowns-and-covid-19</b:URL>
    <b:RefOrder>2</b:RefOrder>
  </b:Source>
  <b:Source>
    <b:Tag>Kat22</b:Tag>
    <b:SourceType>InternetSite</b:SourceType>
    <b:Guid>{0A389B1C-F4F8-4B99-A4B5-16D638B941A6}</b:Guid>
    <b:Author>
      <b:Author>
        <b:NameList>
          <b:Person>
            <b:Last>Katellea</b:Last>
            <b:First>Kathy</b:First>
          </b:Person>
        </b:NameList>
      </b:Author>
    </b:Author>
    <b:Title>Comparing the COVID-19 Vaccines: How Are They Different?</b:Title>
    <b:Year>2022</b:Year>
    <b:Month>03</b:Month>
    <b:Day>30</b:Day>
    <b:YearAccessed>2022</b:YearAccessed>
    <b:MonthAccessed>04</b:MonthAccessed>
    <b:DayAccessed>28</b:DayAccessed>
    <b:URL>https://www.yalemedicine.org/news/covid-19-vaccine-comparison</b:URL>
    <b:RefOrder>3</b:RefOrder>
  </b:Source>
  <b:Source>
    <b:Tag>Off22</b:Tag>
    <b:SourceType>ElectronicSource</b:SourceType>
    <b:Guid>{85B554B2-6646-49F1-A5DE-81FA265FF87C}</b:Guid>
    <b:Title>2011 Census Aggregate data</b:Title>
    <b:YearAccessed>2022</b:YearAccessed>
    <b:MonthAccessed>04</b:MonthAccessed>
    <b:DayAccessed>28</b:DayAccessed>
    <b:URL>http://dx.doi.org/10.5257/census/aggregate-2011-2</b:URL>
    <b:Author>
      <b:Author>
        <b:Corporate>Office for National Statistics</b:Corporate>
      </b:Author>
    </b:Author>
    <b:RefOrder>4</b:RefOrder>
  </b:Source>
  <b:Source>
    <b:Tag>InF22</b:Tag>
    <b:SourceType>InternetSite</b:SourceType>
    <b:Guid>{105D3492-E384-4934-B3DE-C95FEA138450}</b:Guid>
    <b:Title>InFuse 2011 Population Statistics</b:Title>
    <b:YearAccessed>2022</b:YearAccessed>
    <b:MonthAccessed>04</b:MonthAccessed>
    <b:DayAccessed>28</b:DayAccessed>
    <b:URL>https://infuse2011gf.ukdataservice.ac.uk/infusewizgeo.aspx</b:URL>
    <b:RefOrder>5</b:RefOrder>
  </b:Source>
  <b:Source>
    <b:Tag>Ord15</b:Tag>
    <b:SourceType>InternetSite</b:SourceType>
    <b:Guid>{DA3B65A3-E638-4A4A-9C9D-217F0DC69F11}</b:Guid>
    <b:Author>
      <b:Author>
        <b:Corporate>Ordanance Survey</b:Corporate>
      </b:Author>
    </b:Author>
    <b:Year>2015</b:Year>
    <b:Month>11</b:Month>
    <b:Day>17</b:Day>
    <b:YearAccessed>2022</b:YearAccessed>
    <b:MonthAccessed>03</b:MonthAccessed>
    <b:DayAccessed>24</b:DayAccessed>
    <b:URL>https://digimap.edina.ac.uk</b:URL>
    <b:RefOrder>6</b:RefOrder>
  </b:Source>
  <b:Source>
    <b:Tag>Nat22</b:Tag>
    <b:SourceType>InternetSite</b:SourceType>
    <b:Guid>{F6E4B22E-9E9C-45F2-8CD4-C3F852AC64D3}</b:Guid>
    <b:Author>
      <b:Author>
        <b:Corporate>National Centre for Research Methods</b:Corporate>
      </b:Author>
    </b:Author>
    <b:Title>Townsend Deprivation Index</b:Title>
    <b:YearAccessed>2022</b:YearAccessed>
    <b:MonthAccessed>04</b:MonthAccessed>
    <b:DayAccessed>28</b:DayAccessed>
    <b:URL>https://www.restore.ac.uk/geo-refer/36229dtuks00y19810000.php</b:URL>
    <b:RefOrder>7</b:RefOrder>
  </b:Source>
  <b:Source>
    <b:Tag>Dav19</b:Tag>
    <b:SourceType>InternetSite</b:SourceType>
    <b:Guid>{4D7AC54D-D943-4611-830C-A2A4991F9A26}</b:Guid>
    <b:Author>
      <b:Author>
        <b:NameList>
          <b:Person>
            <b:Last>al</b:Last>
            <b:First>David</b:First>
            <b:Middle>McLennan et</b:Middle>
          </b:Person>
        </b:NameList>
      </b:Author>
    </b:Author>
    <b:Title>The English Indices of Deprivation 2019</b:Title>
    <b:Year>2019</b:Year>
    <b:Month>09</b:Month>
    <b:YearAccessed>2022</b:YearAccessed>
    <b:MonthAccessed>04</b:MonthAccessed>
    <b:DayAccessed>28</b:DayAccessed>
    <b:URL>https://assets.publishing.service.gov.uk/government/uploads/system/uploads/attachment_data/file/833951/IoD2019_Technical_Report.pdf</b:URL>
    <b:RefOrder>8</b:RefOrder>
  </b:Source>
  <b:Source>
    <b:Tag>Ord21</b:Tag>
    <b:SourceType>InternetSite</b:SourceType>
    <b:Guid>{C8B01062-1CD1-4F28-9E54-3934777C2DB2}</b:Guid>
    <b:Author>
      <b:Author>
        <b:Corporate>Ordanance Survey</b:Corporate>
      </b:Author>
    </b:Author>
    <b:Title>OS MasterMap® Topography Layer</b:Title>
    <b:Year>2021</b:Year>
    <b:Month>11</b:Month>
    <b:Day>18</b:Day>
    <b:YearAccessed>2022</b:YearAccessed>
    <b:MonthAccessed>04</b:MonthAccessed>
    <b:DayAccessed>28</b:DayAccessed>
    <b:URL>https://digimap.edina.ac.uk</b:URL>
    <b:RefOrder>9</b:RefOrder>
  </b:Source>
  <b:Source>
    <b:Tag>Wel21</b:Tag>
    <b:SourceType>InternetSite</b:SourceType>
    <b:Guid>{75C9487C-694D-419A-8F0F-742CAC6ADF97}</b:Guid>
    <b:Author>
      <b:Author>
        <b:Corporate>Welsh Government</b:Corporate>
      </b:Author>
    </b:Author>
    <b:Title>Population estimates by local authority and age</b:Title>
    <b:Year>2021</b:Year>
    <b:Month>06</b:Month>
    <b:YearAccessed>2022</b:YearAccessed>
    <b:MonthAccessed>04</b:MonthAccessed>
    <b:DayAccessed>28</b:DayAccessed>
    <b:URL>https://statswales.gov.wales/Catalogue/Population-and-Migration/Population/Estimates/Local-Authority/populationestimates-by-localauthority-age</b:URL>
    <b:RefOrder>10</b:RefOrder>
  </b:Source>
</b:Sources>
</file>

<file path=customXml/itemProps1.xml><?xml version="1.0" encoding="utf-8"?>
<ds:datastoreItem xmlns:ds="http://schemas.openxmlformats.org/officeDocument/2006/customXml" ds:itemID="{2600A3BB-F654-4642-8186-589C9C355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2601</Words>
  <Characters>14828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moon</dc:creator>
  <cp:keywords/>
  <dc:description/>
  <cp:lastModifiedBy>steven moon</cp:lastModifiedBy>
  <cp:revision>2</cp:revision>
  <dcterms:created xsi:type="dcterms:W3CDTF">2022-04-30T06:18:00Z</dcterms:created>
  <dcterms:modified xsi:type="dcterms:W3CDTF">2022-04-30T06:18:00Z</dcterms:modified>
</cp:coreProperties>
</file>