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96986073"/>
        <w:docPartObj>
          <w:docPartGallery w:val="Cover Pages"/>
          <w:docPartUnique/>
        </w:docPartObj>
      </w:sdtPr>
      <w:sdtEndPr>
        <w:rPr>
          <w:rFonts w:ascii="Arial" w:eastAsia="Times New Roman" w:hAnsi="Arial" w:cs="Arial"/>
          <w:color w:val="000000"/>
          <w:sz w:val="24"/>
          <w:szCs w:val="24"/>
          <w:u w:val="single"/>
          <w:lang w:eastAsia="en-GB"/>
        </w:rPr>
      </w:sdtEndPr>
      <w:sdtContent>
        <w:p w14:paraId="5EA89C18" w14:textId="6009218D" w:rsidR="008F5D77" w:rsidRDefault="008F5D77"/>
        <w:p w14:paraId="618B0C74" w14:textId="7376F2F1" w:rsidR="008F5D77" w:rsidRDefault="008F5D77">
          <w:pPr>
            <w:rPr>
              <w:rFonts w:ascii="Arial" w:eastAsia="Times New Roman" w:hAnsi="Arial" w:cs="Arial"/>
              <w:color w:val="000000"/>
              <w:sz w:val="24"/>
              <w:szCs w:val="24"/>
              <w:u w:val="single"/>
              <w:lang w:eastAsia="en-GB"/>
            </w:rPr>
          </w:pPr>
          <w:r>
            <w:rPr>
              <w:noProof/>
            </w:rPr>
            <mc:AlternateContent>
              <mc:Choice Requires="wpg">
                <w:drawing>
                  <wp:anchor distT="0" distB="0" distL="114300" distR="114300" simplePos="0" relativeHeight="251659264" behindDoc="1" locked="0" layoutInCell="1" allowOverlap="1" wp14:anchorId="14707049" wp14:editId="38905E1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831193B" w14:textId="705F6BA0" w:rsidR="008F5D77" w:rsidRDefault="008F5D7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A Critical Evaluation of the response of the Criminal Justice System to Victims of Crime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4707049"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21212 [2994]" stroked="f">
                      <v:fill color2="black [2018]" rotate="t" colors="0 #4c4c4c;.5 #262626;1 black"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831193B" w14:textId="705F6BA0" w:rsidR="008F5D77" w:rsidRDefault="008F5D7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A Critical Evaluation of the response of the Criminal Justice System to Victims of Crime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15773DDA" wp14:editId="1A8C9A55">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F017BF" w14:textId="27798953" w:rsidR="008F5D77" w:rsidRDefault="008F5D7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Lecturer: Jane thomas</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Submission Date: 5/11/2021</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5773DDA"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1CF017BF" w14:textId="27798953" w:rsidR="008F5D77" w:rsidRDefault="008F5D7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Lecturer: Jane thomas</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Submission Date: 5/11/2021</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F0962F5" wp14:editId="46260DB2">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808080" w:themeColor="background1" w:themeShade="80"/>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E864133" w14:textId="7A22A1C0" w:rsidR="008F5D77" w:rsidRPr="008F5D77" w:rsidRDefault="008F5D77">
                                    <w:pPr>
                                      <w:pStyle w:val="NoSpacing"/>
                                      <w:spacing w:before="40" w:after="40"/>
                                      <w:rPr>
                                        <w:caps/>
                                        <w:color w:val="808080" w:themeColor="background1" w:themeShade="80"/>
                                        <w:sz w:val="28"/>
                                        <w:szCs w:val="28"/>
                                      </w:rPr>
                                    </w:pPr>
                                    <w:r w:rsidRPr="008F5D77">
                                      <w:rPr>
                                        <w:caps/>
                                        <w:color w:val="808080" w:themeColor="background1" w:themeShade="80"/>
                                        <w:sz w:val="28"/>
                                        <w:szCs w:val="28"/>
                                      </w:rPr>
                                      <w:t>Aaron williams</w:t>
                                    </w:r>
                                  </w:p>
                                </w:sdtContent>
                              </w:sdt>
                              <w:sdt>
                                <w:sdtPr>
                                  <w:rPr>
                                    <w:caps/>
                                    <w:color w:val="5F5F5F"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3F8009D5" w14:textId="5C98865D" w:rsidR="008F5D77" w:rsidRDefault="008F5D77">
                                    <w:pPr>
                                      <w:pStyle w:val="NoSpacing"/>
                                      <w:spacing w:before="40" w:after="40"/>
                                      <w:rPr>
                                        <w:caps/>
                                        <w:color w:val="5F5F5F" w:themeColor="accent5"/>
                                        <w:sz w:val="24"/>
                                        <w:szCs w:val="24"/>
                                      </w:rPr>
                                    </w:pPr>
                                    <w:r>
                                      <w:rPr>
                                        <w:caps/>
                                        <w:color w:val="5F5F5F" w:themeColor="accent5"/>
                                        <w:sz w:val="24"/>
                                        <w:szCs w:val="24"/>
                                      </w:rPr>
                                      <w:t>1900369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F0962F5"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808080" w:themeColor="background1" w:themeShade="80"/>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E864133" w14:textId="7A22A1C0" w:rsidR="008F5D77" w:rsidRPr="008F5D77" w:rsidRDefault="008F5D77">
                              <w:pPr>
                                <w:pStyle w:val="NoSpacing"/>
                                <w:spacing w:before="40" w:after="40"/>
                                <w:rPr>
                                  <w:caps/>
                                  <w:color w:val="808080" w:themeColor="background1" w:themeShade="80"/>
                                  <w:sz w:val="28"/>
                                  <w:szCs w:val="28"/>
                                </w:rPr>
                              </w:pPr>
                              <w:r w:rsidRPr="008F5D77">
                                <w:rPr>
                                  <w:caps/>
                                  <w:color w:val="808080" w:themeColor="background1" w:themeShade="80"/>
                                  <w:sz w:val="28"/>
                                  <w:szCs w:val="28"/>
                                </w:rPr>
                                <w:t>Aaron williams</w:t>
                              </w:r>
                            </w:p>
                          </w:sdtContent>
                        </w:sdt>
                        <w:sdt>
                          <w:sdtPr>
                            <w:rPr>
                              <w:caps/>
                              <w:color w:val="5F5F5F"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3F8009D5" w14:textId="5C98865D" w:rsidR="008F5D77" w:rsidRDefault="008F5D77">
                              <w:pPr>
                                <w:pStyle w:val="NoSpacing"/>
                                <w:spacing w:before="40" w:after="40"/>
                                <w:rPr>
                                  <w:caps/>
                                  <w:color w:val="5F5F5F" w:themeColor="accent5"/>
                                  <w:sz w:val="24"/>
                                  <w:szCs w:val="24"/>
                                </w:rPr>
                              </w:pPr>
                              <w:r>
                                <w:rPr>
                                  <w:caps/>
                                  <w:color w:val="5F5F5F" w:themeColor="accent5"/>
                                  <w:sz w:val="24"/>
                                  <w:szCs w:val="24"/>
                                </w:rPr>
                                <w:t>1900369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CE84473" wp14:editId="3596C10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000000" w:themeColor="text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3A63A544" w14:textId="7B6C26BC" w:rsidR="008F5D77" w:rsidRDefault="008F5D77">
                                    <w:pPr>
                                      <w:pStyle w:val="NoSpacing"/>
                                      <w:jc w:val="right"/>
                                      <w:rPr>
                                        <w:color w:val="FFFFFF" w:themeColor="background1"/>
                                        <w:sz w:val="24"/>
                                        <w:szCs w:val="24"/>
                                      </w:rPr>
                                    </w:pPr>
                                    <w:r w:rsidRPr="008F5D77">
                                      <w:rPr>
                                        <w:color w:val="000000" w:themeColor="text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CE84473"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ddd [3204]" stroked="f" strokeweight="1pt">
                    <o:lock v:ext="edit" aspectratio="t"/>
                    <v:textbox inset="3.6pt,,3.6pt">
                      <w:txbxContent>
                        <w:sdt>
                          <w:sdtPr>
                            <w:rPr>
                              <w:color w:val="000000" w:themeColor="text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3A63A544" w14:textId="7B6C26BC" w:rsidR="008F5D77" w:rsidRDefault="008F5D77">
                              <w:pPr>
                                <w:pStyle w:val="NoSpacing"/>
                                <w:jc w:val="right"/>
                                <w:rPr>
                                  <w:color w:val="FFFFFF" w:themeColor="background1"/>
                                  <w:sz w:val="24"/>
                                  <w:szCs w:val="24"/>
                                </w:rPr>
                              </w:pPr>
                              <w:r w:rsidRPr="008F5D77">
                                <w:rPr>
                                  <w:color w:val="000000" w:themeColor="text1"/>
                                  <w:sz w:val="24"/>
                                  <w:szCs w:val="24"/>
                                </w:rPr>
                                <w:t>2021</w:t>
                              </w:r>
                            </w:p>
                          </w:sdtContent>
                        </w:sdt>
                      </w:txbxContent>
                    </v:textbox>
                    <w10:wrap anchorx="margin" anchory="page"/>
                  </v:rect>
                </w:pict>
              </mc:Fallback>
            </mc:AlternateContent>
          </w:r>
          <w:r>
            <w:rPr>
              <w:rFonts w:ascii="Arial" w:eastAsia="Times New Roman" w:hAnsi="Arial" w:cs="Arial"/>
              <w:color w:val="000000"/>
              <w:sz w:val="24"/>
              <w:szCs w:val="24"/>
              <w:u w:val="single"/>
              <w:lang w:eastAsia="en-GB"/>
            </w:rPr>
            <w:br w:type="page"/>
          </w:r>
        </w:p>
      </w:sdtContent>
    </w:sdt>
    <w:p w14:paraId="57679F4E" w14:textId="69EA6E01" w:rsidR="003237ED" w:rsidRPr="003237ED" w:rsidRDefault="003237ED" w:rsidP="003237ED">
      <w:pPr>
        <w:spacing w:after="0" w:line="480" w:lineRule="auto"/>
        <w:jc w:val="center"/>
        <w:rPr>
          <w:rFonts w:ascii="Arial" w:eastAsia="Times New Roman" w:hAnsi="Arial" w:cs="Arial"/>
          <w:sz w:val="24"/>
          <w:szCs w:val="24"/>
          <w:lang w:eastAsia="en-GB"/>
        </w:rPr>
      </w:pPr>
      <w:r w:rsidRPr="003237ED">
        <w:rPr>
          <w:rFonts w:ascii="Arial" w:eastAsia="Times New Roman" w:hAnsi="Arial" w:cs="Arial"/>
          <w:color w:val="000000"/>
          <w:sz w:val="24"/>
          <w:szCs w:val="24"/>
          <w:u w:val="single"/>
          <w:lang w:eastAsia="en-GB"/>
        </w:rPr>
        <w:lastRenderedPageBreak/>
        <w:t>Assignment 1 - Critically evaluate how the Criminal Justice System responds to victims of crime </w:t>
      </w:r>
    </w:p>
    <w:p w14:paraId="3D5760BB" w14:textId="77777777" w:rsidR="003237ED" w:rsidRPr="003237ED" w:rsidRDefault="003237ED" w:rsidP="003237ED">
      <w:pPr>
        <w:spacing w:after="0" w:line="480" w:lineRule="auto"/>
        <w:rPr>
          <w:rFonts w:ascii="Arial" w:eastAsia="Times New Roman" w:hAnsi="Arial" w:cs="Arial"/>
          <w:sz w:val="24"/>
          <w:szCs w:val="24"/>
          <w:lang w:eastAsia="en-GB"/>
        </w:rPr>
      </w:pPr>
    </w:p>
    <w:p w14:paraId="5C26C744"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In the year of 1877 in the United Kingdom, the way prisons would function would change from local prisons with their own rules to coming under national control by the Prison Commission (Howard League, 2016). Two men were behind the origin of this legal advance, namely Sir Alexander Paterson and Sir Maurice Waller. These two realised that the prison system was not working, neither efficient in its efforts to rehabilitate prisoners, therefore leading to the Criminal Justice Act 1877 becoming more effective over time and further introducing Criminal Justice Bills between 1925 - 1938 (Cabinet Papers, 2021). Finally, the Criminal Justice Act (1967) was amended from the Criminal Justice Act (1948) and the law was finalised. According to Wood (1967), the Act benefited the court system in that prosecutors would have to sign in writing that the evidence they present is true to the best of their knowledge, which prevents any lies from prosecuting innocent people. O’Hanlon (1968) has similar views of the bill, stating that the bill in many ways is admirable and overall looks at it with a positive view. On the other hand, Samuels (1968) claims that the section on the proof of criminal intent has a limited purpose and effect. Although there are both positive and negative views on the Act and its effectiveness for the operation of the Criminal Justice System (CJS), a critical evaluation of the CJS will allow insight into the way the system responds to victims of crime. </w:t>
      </w:r>
    </w:p>
    <w:p w14:paraId="56B753AB"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b/>
        <w:t xml:space="preserve">According to the Crown Prosecution Service (2017), the CJS is made up of different agencies. These include agencies such as the police, the courts, law officers, the Ministry of Justice and the Home Office. Davies et al (2005) further explain the framework beginning at looking at the CJS at a national level, in which </w:t>
      </w:r>
      <w:r w:rsidRPr="003237ED">
        <w:rPr>
          <w:rFonts w:ascii="Arial" w:eastAsia="Times New Roman" w:hAnsi="Arial" w:cs="Arial"/>
          <w:color w:val="000000"/>
          <w:sz w:val="24"/>
          <w:szCs w:val="24"/>
          <w:lang w:eastAsia="en-GB"/>
        </w:rPr>
        <w:lastRenderedPageBreak/>
        <w:t>the Home Office governs England and Wales, and the Justice department governs Scotland and Northern Ireland. On a smaller level, local councils have a statutory duty to set up a Social Services Department for qualified social workers to help children in trouble with criminal law. Therefore, the CJS is made up of multiple agency bodies and works together to ensure the safety of both guilty and innocent individuals. The aims and objectives of the CJS are to deliver justice to all, by punishing the guilty and preventing them from re-offending and to protect the innocent. (Criminal Justice System, 2010). However, Morse (2016) stated in a report of the effectiveness of the CJS that measuring whether or not the CJS achieves these goals is not straightforward and uses the tension of punishing or rehabilitating prisoners. </w:t>
      </w:r>
    </w:p>
    <w:p w14:paraId="5211AA66"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b/>
        <w:t>Davies et al (2017) describe victims as individuals who are hit by crime and further explain that people through the lens of the media view certain people as ideal victims, such as the elderly or young children, mainly because they are more susceptible to crime. This is due to victims being defined as a person who has been harmed physically, emotionally or financially, injured or killed as a result of a crime, accident or action (Cambridgeshire Constabulary, 2021).  Furthermore, the popularity of the term victimisation grew due to the victim’s movement and caused victims of crime in Europe to become heard and noticed (Maguire, 1991).  According to the Equality and Human Rights Commission (2019), the Equality Act (2010) defines victimisation as simply treating someone badly, for example favouring someone over someone else in a case of sexual harassment.</w:t>
      </w:r>
    </w:p>
    <w:p w14:paraId="0AC2FEBF" w14:textId="77777777" w:rsidR="003237ED" w:rsidRPr="003237ED" w:rsidRDefault="003237ED" w:rsidP="003237ED">
      <w:pPr>
        <w:spacing w:after="0" w:line="480" w:lineRule="auto"/>
        <w:ind w:firstLine="720"/>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There have been discussions and arguments among theorists, academics and the public about whom the CJS serves. The difference in social views may reflect a different outcome in the way people look at the system and rate its </w:t>
      </w:r>
      <w:r w:rsidRPr="003237ED">
        <w:rPr>
          <w:rFonts w:ascii="Arial" w:eastAsia="Times New Roman" w:hAnsi="Arial" w:cs="Arial"/>
          <w:color w:val="000000"/>
          <w:sz w:val="24"/>
          <w:szCs w:val="24"/>
          <w:lang w:eastAsia="en-GB"/>
        </w:rPr>
        <w:lastRenderedPageBreak/>
        <w:t xml:space="preserve">responses to victims of crime. According to </w:t>
      </w:r>
      <w:proofErr w:type="spellStart"/>
      <w:r w:rsidRPr="003237ED">
        <w:rPr>
          <w:rFonts w:ascii="Arial" w:eastAsia="Times New Roman" w:hAnsi="Arial" w:cs="Arial"/>
          <w:color w:val="000000"/>
          <w:sz w:val="24"/>
          <w:szCs w:val="24"/>
          <w:lang w:eastAsia="en-GB"/>
        </w:rPr>
        <w:t>Ziyanak</w:t>
      </w:r>
      <w:proofErr w:type="spellEnd"/>
      <w:r w:rsidRPr="003237ED">
        <w:rPr>
          <w:rFonts w:ascii="Arial" w:eastAsia="Times New Roman" w:hAnsi="Arial" w:cs="Arial"/>
          <w:color w:val="000000"/>
          <w:sz w:val="24"/>
          <w:szCs w:val="24"/>
          <w:lang w:eastAsia="en-GB"/>
        </w:rPr>
        <w:t xml:space="preserve"> and Williams (2014), the functionalist view on the CJS is that it serves to uphold the values of the people and that it is necessary for society. They believe that the system is to practically work and that it stands for the purpose it claims to stand for, which is justice for criminals. This idea is derived from Durkheim’s theory that crime is necessary for society because it provokes punishment and shapes the thinking of society to have the same mind on crime (</w:t>
      </w:r>
      <w:proofErr w:type="spellStart"/>
      <w:r w:rsidRPr="003237ED">
        <w:rPr>
          <w:rFonts w:ascii="Arial" w:eastAsia="Times New Roman" w:hAnsi="Arial" w:cs="Arial"/>
          <w:color w:val="000000"/>
          <w:sz w:val="24"/>
          <w:szCs w:val="24"/>
          <w:lang w:eastAsia="en-GB"/>
        </w:rPr>
        <w:t>Machalek</w:t>
      </w:r>
      <w:proofErr w:type="spellEnd"/>
      <w:r w:rsidRPr="003237ED">
        <w:rPr>
          <w:rFonts w:ascii="Arial" w:eastAsia="Times New Roman" w:hAnsi="Arial" w:cs="Arial"/>
          <w:color w:val="000000"/>
          <w:sz w:val="24"/>
          <w:szCs w:val="24"/>
          <w:lang w:eastAsia="en-GB"/>
        </w:rPr>
        <w:t xml:space="preserve"> and Cohen, 1991). </w:t>
      </w:r>
    </w:p>
    <w:p w14:paraId="75B3AA3E" w14:textId="77777777" w:rsidR="003237ED" w:rsidRPr="003237ED" w:rsidRDefault="003237ED" w:rsidP="003237ED">
      <w:pPr>
        <w:spacing w:after="0" w:line="480" w:lineRule="auto"/>
        <w:ind w:firstLine="720"/>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On the other hand, </w:t>
      </w:r>
      <w:proofErr w:type="spellStart"/>
      <w:r w:rsidRPr="003237ED">
        <w:rPr>
          <w:rFonts w:ascii="Arial" w:eastAsia="Times New Roman" w:hAnsi="Arial" w:cs="Arial"/>
          <w:color w:val="000000"/>
          <w:sz w:val="24"/>
          <w:szCs w:val="24"/>
          <w:lang w:eastAsia="en-GB"/>
        </w:rPr>
        <w:t>Pashukanis</w:t>
      </w:r>
      <w:proofErr w:type="spellEnd"/>
      <w:r w:rsidRPr="003237ED">
        <w:rPr>
          <w:rFonts w:ascii="Arial" w:eastAsia="Times New Roman" w:hAnsi="Arial" w:cs="Arial"/>
          <w:color w:val="000000"/>
          <w:sz w:val="24"/>
          <w:szCs w:val="24"/>
          <w:lang w:eastAsia="en-GB"/>
        </w:rPr>
        <w:t xml:space="preserve"> (2017) describes the Marxist view as being one that has a sharp distinction between the working class and the capitalists. Furthermore, the view upholds that the CJS favours the ruling class rather than the working class as it wants to make society the ones in control, not the ruling class (MacKinnon, 1982). Furthermore, Joseph (2006) states that throughout history that Marxism has changed and claims that the view is still to continue to develop. This is confirmed by Wright et al (1992) who offer opinions on ways to reform the Marxist. They state that the traditional views are in a sense outdated and that reconstruction would make the view more applicable for today, one way they would do this is by only using the necessary historical material and disregarding the weak material. These two views are the most popular traditional views, and so the majority of academics will fall under one of these two categories. Both views cover the CJS in some way serving people, whether working-class or ruling class. Therefore, a look into the race, age, gender and sexuality of people will allow insight into whether or not the CJS serves everyone fairly and offers enough support for victims of crime. </w:t>
      </w:r>
    </w:p>
    <w:p w14:paraId="089709F5" w14:textId="77777777" w:rsidR="003237ED" w:rsidRPr="003237ED" w:rsidRDefault="003237ED" w:rsidP="003237ED">
      <w:pPr>
        <w:spacing w:after="0" w:line="480" w:lineRule="auto"/>
        <w:ind w:firstLine="720"/>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According to BBC News (2018), the infamous case of Stephen Lawrence created a public outcry that went against the police and the way they carried out their work and led to police apologies and reforms in the way the police would stop and </w:t>
      </w:r>
      <w:r w:rsidRPr="003237ED">
        <w:rPr>
          <w:rFonts w:ascii="Arial" w:eastAsia="Times New Roman" w:hAnsi="Arial" w:cs="Arial"/>
          <w:color w:val="000000"/>
          <w:sz w:val="24"/>
          <w:szCs w:val="24"/>
          <w:lang w:eastAsia="en-GB"/>
        </w:rPr>
        <w:lastRenderedPageBreak/>
        <w:t>search suspects. The major issue was that there was a conflict between police and public relations due to the police claiming the killing of Lawrence was justified, whereas the public claimed miscarriage of justice. After multiple investigations into the killing of Lawrence, the findings all came to a similar conclusion that the framework for the CJS needed to make national and local changes to prevent discrimination of Black Minority Ethnic (BME) individuals (Morris et al 2004, Commission for Racial Equality, 2005, MacPherson 1999). </w:t>
      </w:r>
    </w:p>
    <w:p w14:paraId="2565B22E" w14:textId="77777777" w:rsidR="003237ED" w:rsidRPr="003237ED" w:rsidRDefault="003237ED" w:rsidP="003237ED">
      <w:pPr>
        <w:spacing w:after="0" w:line="480" w:lineRule="auto"/>
        <w:ind w:firstLine="720"/>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Dick (2020) stated that the Metropolitan Police has zero tolerance for racism. However, academics argue that the way the police carry out their operations goes against the aim of the CJS, to serve justice to all. Phillips and Bowling (2003), highlight that minority ethnic groups are at a disadvantage when it comes to their dealings with the criminal justice system. Further insight into stop and search of BME groups by police shows that black and black other ethnicities were stopped more than per 1,000 people than white people (Home Office, 2021). Muhammed (2019) expresses the importance of researchers who dedicate their cause for the rewriting of black criminality due to the police misconduct and racism of black people over the years. Lastly, Rowe (2009) voices the positive side of community policing and race relations to help the police serve everyone equally, but also mentions that if these do not go well it can have the opposite effect.  </w:t>
      </w:r>
    </w:p>
    <w:p w14:paraId="49714EB3" w14:textId="55CD1796" w:rsidR="003237ED" w:rsidRPr="003237ED" w:rsidRDefault="003237ED" w:rsidP="003237ED">
      <w:pPr>
        <w:spacing w:after="0" w:line="480" w:lineRule="auto"/>
        <w:ind w:firstLine="720"/>
        <w:rPr>
          <w:rFonts w:ascii="Arial" w:eastAsia="Times New Roman" w:hAnsi="Arial" w:cs="Arial"/>
          <w:sz w:val="24"/>
          <w:szCs w:val="24"/>
          <w:lang w:eastAsia="en-GB"/>
        </w:rPr>
      </w:pPr>
      <w:proofErr w:type="spellStart"/>
      <w:r w:rsidRPr="003237ED">
        <w:rPr>
          <w:rFonts w:ascii="Arial" w:eastAsia="Times New Roman" w:hAnsi="Arial" w:cs="Arial"/>
          <w:color w:val="000000"/>
          <w:sz w:val="24"/>
          <w:szCs w:val="24"/>
          <w:lang w:eastAsia="en-GB"/>
        </w:rPr>
        <w:t>McAvinchey</w:t>
      </w:r>
      <w:proofErr w:type="spellEnd"/>
      <w:r w:rsidRPr="003237ED">
        <w:rPr>
          <w:rFonts w:ascii="Arial" w:eastAsia="Times New Roman" w:hAnsi="Arial" w:cs="Arial"/>
          <w:color w:val="000000"/>
          <w:sz w:val="24"/>
          <w:szCs w:val="24"/>
          <w:lang w:eastAsia="en-GB"/>
        </w:rPr>
        <w:t xml:space="preserve"> (2020) points out the number of women that are incarcerated around the world and how little the number is compared to men. The Ministry of Justice (2020) published a report of prison population comparisons between men and women between the years 2015 and 2019. Statistics show that men make up 95% of the prison population, whereas women make up 5%. Thus, the argument is voiced that women being the minority may not be dealt with as seriously as men </w:t>
      </w:r>
      <w:r w:rsidRPr="003237ED">
        <w:rPr>
          <w:rFonts w:ascii="Arial" w:eastAsia="Times New Roman" w:hAnsi="Arial" w:cs="Arial"/>
          <w:color w:val="000000"/>
          <w:sz w:val="24"/>
          <w:szCs w:val="24"/>
          <w:lang w:eastAsia="en-GB"/>
        </w:rPr>
        <w:lastRenderedPageBreak/>
        <w:t>(Ahmed et al, 2000). This is further acknowledged in the media, that women are not portrayed the same as men. Men often have more power and influence through the lens of the media, thus leaving women at a lesser disadvantage and lacking opportunities (</w:t>
      </w:r>
      <w:proofErr w:type="spellStart"/>
      <w:r w:rsidRPr="003237ED">
        <w:rPr>
          <w:rFonts w:ascii="Arial" w:eastAsia="Times New Roman" w:hAnsi="Arial" w:cs="Arial"/>
          <w:color w:val="000000"/>
          <w:sz w:val="24"/>
          <w:szCs w:val="24"/>
          <w:lang w:eastAsia="en-GB"/>
        </w:rPr>
        <w:t>Bazzini</w:t>
      </w:r>
      <w:proofErr w:type="spellEnd"/>
      <w:r w:rsidRPr="003237ED">
        <w:rPr>
          <w:rFonts w:ascii="Arial" w:eastAsia="Times New Roman" w:hAnsi="Arial" w:cs="Arial"/>
          <w:color w:val="000000"/>
          <w:sz w:val="24"/>
          <w:szCs w:val="24"/>
          <w:lang w:eastAsia="en-GB"/>
        </w:rPr>
        <w:t xml:space="preserve"> et al, 1997, Wood 1994, </w:t>
      </w:r>
      <w:proofErr w:type="spellStart"/>
      <w:r w:rsidRPr="003237ED">
        <w:rPr>
          <w:rFonts w:ascii="Arial" w:eastAsia="Times New Roman" w:hAnsi="Arial" w:cs="Arial"/>
          <w:color w:val="000000"/>
          <w:sz w:val="24"/>
          <w:szCs w:val="24"/>
          <w:lang w:eastAsia="en-GB"/>
        </w:rPr>
        <w:t>Carilli</w:t>
      </w:r>
      <w:proofErr w:type="spellEnd"/>
      <w:r w:rsidRPr="003237ED">
        <w:rPr>
          <w:rFonts w:ascii="Arial" w:eastAsia="Times New Roman" w:hAnsi="Arial" w:cs="Arial"/>
          <w:color w:val="000000"/>
          <w:sz w:val="24"/>
          <w:szCs w:val="24"/>
          <w:lang w:eastAsia="en-GB"/>
        </w:rPr>
        <w:t xml:space="preserve"> and Campbell 2005, Varner, 2021, MacDonald, 2021). Therefore, if women aren’t acknowledged as much as men, this may also cause issues within the CJS in for example sexual assault cases.</w:t>
      </w:r>
    </w:p>
    <w:p w14:paraId="1AE50784" w14:textId="77777777" w:rsidR="003237ED" w:rsidRPr="003237ED" w:rsidRDefault="003237ED" w:rsidP="003237ED">
      <w:pPr>
        <w:spacing w:after="0" w:line="480" w:lineRule="auto"/>
        <w:ind w:firstLine="720"/>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Harvey Weinstein and Prince Andrew, both powerful men in the media have received accusations of sexually assaulting women (The Guardian, 2021, BBC News, 2021). This may be cause for concern due to women not being acknowledged as much as men, therefore leading to the police and courts not being as serious with cases such as these. Lastly, a link to women who may not have enough support or recognition in the CJS is a short topic worth looking at. Wahidin (2004) brings up that women, especially the elderly are not acknowledged and also mentions that facilities in prisons are not provisioned for elderly females. Therefore, due to this issue, Wahidin calls the CJS ageist while highlighting real cases and experiences of elderly women in prisons and how they are not dealt with well. This is likely due to funding being more tailored to the general population of prisons, which are men and if for women, not the elderly. </w:t>
      </w:r>
    </w:p>
    <w:p w14:paraId="5F5E084D" w14:textId="77777777" w:rsidR="003237ED" w:rsidRPr="003237ED" w:rsidRDefault="003237ED" w:rsidP="003237ED">
      <w:pPr>
        <w:spacing w:after="0" w:line="480" w:lineRule="auto"/>
        <w:ind w:firstLine="720"/>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Lastly, sexuality has also been a topic over the last years, more specific, people who came out as gay or a part of the LGBT (Lesbian Gay Bisexual Transgender) have been victims of abuse. Knight and Wilson (2016) have brought up that 3.6 million in 2008 LGBT members suffer as victims of crime due to abuse or fear of being abused. They also highlight that hate crimes against the LGBT community result in a lack of monitoring of the crime, thus leading to more hate crime victims with the CJS not doing as much as they could potentially do to stop it. </w:t>
      </w:r>
      <w:r w:rsidRPr="003237ED">
        <w:rPr>
          <w:rFonts w:ascii="Arial" w:eastAsia="Times New Roman" w:hAnsi="Arial" w:cs="Arial"/>
          <w:color w:val="000000"/>
          <w:sz w:val="24"/>
          <w:szCs w:val="24"/>
          <w:lang w:eastAsia="en-GB"/>
        </w:rPr>
        <w:lastRenderedPageBreak/>
        <w:t xml:space="preserve">Furthermore, Russell (2017) mentions that police reform might be needed. This is due to the police not receiving as much training </w:t>
      </w:r>
      <w:proofErr w:type="gramStart"/>
      <w:r w:rsidRPr="003237ED">
        <w:rPr>
          <w:rFonts w:ascii="Arial" w:eastAsia="Times New Roman" w:hAnsi="Arial" w:cs="Arial"/>
          <w:color w:val="000000"/>
          <w:sz w:val="24"/>
          <w:szCs w:val="24"/>
          <w:lang w:eastAsia="en-GB"/>
        </w:rPr>
        <w:t>in regard to</w:t>
      </w:r>
      <w:proofErr w:type="gramEnd"/>
      <w:r w:rsidRPr="003237ED">
        <w:rPr>
          <w:rFonts w:ascii="Arial" w:eastAsia="Times New Roman" w:hAnsi="Arial" w:cs="Arial"/>
          <w:color w:val="000000"/>
          <w:sz w:val="24"/>
          <w:szCs w:val="24"/>
          <w:lang w:eastAsia="en-GB"/>
        </w:rPr>
        <w:t xml:space="preserve"> hate crime and so if they are not as well trained as could be, this may lead to further hate crimes being committed without the police knowing so. </w:t>
      </w:r>
    </w:p>
    <w:p w14:paraId="35715867" w14:textId="750C3548" w:rsidR="003237ED" w:rsidRPr="003237ED" w:rsidRDefault="003237ED" w:rsidP="003237ED">
      <w:pPr>
        <w:spacing w:after="0" w:line="480" w:lineRule="auto"/>
        <w:ind w:firstLine="720"/>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The verbal and physical attack goes against both minority groups of race and sexuality, more so shown within the earlier years of the 1990s when acceptance of the LGBT community was not so widely accepted (FitzGerald and Hale, 1996, </w:t>
      </w:r>
      <w:proofErr w:type="spellStart"/>
      <w:r w:rsidRPr="003237ED">
        <w:rPr>
          <w:rFonts w:ascii="Arial" w:eastAsia="Times New Roman" w:hAnsi="Arial" w:cs="Arial"/>
          <w:color w:val="000000"/>
          <w:sz w:val="24"/>
          <w:szCs w:val="24"/>
          <w:lang w:eastAsia="en-GB"/>
        </w:rPr>
        <w:t>Maung</w:t>
      </w:r>
      <w:proofErr w:type="spellEnd"/>
      <w:r w:rsidRPr="003237ED">
        <w:rPr>
          <w:rFonts w:ascii="Arial" w:eastAsia="Times New Roman" w:hAnsi="Arial" w:cs="Arial"/>
          <w:color w:val="000000"/>
          <w:sz w:val="24"/>
          <w:szCs w:val="24"/>
          <w:lang w:eastAsia="en-GB"/>
        </w:rPr>
        <w:t xml:space="preserve"> and </w:t>
      </w:r>
      <w:proofErr w:type="spellStart"/>
      <w:r w:rsidRPr="003237ED">
        <w:rPr>
          <w:rFonts w:ascii="Arial" w:eastAsia="Times New Roman" w:hAnsi="Arial" w:cs="Arial"/>
          <w:color w:val="000000"/>
          <w:sz w:val="24"/>
          <w:szCs w:val="24"/>
          <w:lang w:eastAsia="en-GB"/>
        </w:rPr>
        <w:t>Mirrlees</w:t>
      </w:r>
      <w:proofErr w:type="spellEnd"/>
      <w:r w:rsidRPr="003237ED">
        <w:rPr>
          <w:rFonts w:ascii="Arial" w:eastAsia="Times New Roman" w:hAnsi="Arial" w:cs="Arial"/>
          <w:color w:val="000000"/>
          <w:sz w:val="24"/>
          <w:szCs w:val="24"/>
          <w:lang w:eastAsia="en-GB"/>
        </w:rPr>
        <w:t xml:space="preserve">-Black, 1994, Bowling, 1999). According to Myers and Lantz (2020) one of the greatest obstacles is that these crimes are underreported, once again proving that if there are no laws in place to punish crimes like a hate crime, the issue will not be solved. Therefore, showing that as the years have gone on, so has the acceptance of the LGBT community and the breaking down of common stereotypes with laws to protect individuals of their rights (Gender Recognition Act 2004, Equality Act 2010, and the Human Rights Act 1998, EHRC, 2018). As well as laws there have also been action plans like the United Kingdom’s Hate Crime Action Plan 2012 and Wales Hate Crime Framework for Action 2014 with the aim primarily being to raise awareness of hate crime victims (Williams and </w:t>
      </w:r>
      <w:proofErr w:type="spellStart"/>
      <w:r w:rsidRPr="003237ED">
        <w:rPr>
          <w:rFonts w:ascii="Arial" w:eastAsia="Times New Roman" w:hAnsi="Arial" w:cs="Arial"/>
          <w:color w:val="000000"/>
          <w:sz w:val="24"/>
          <w:szCs w:val="24"/>
          <w:lang w:eastAsia="en-GB"/>
        </w:rPr>
        <w:t>Tregidga</w:t>
      </w:r>
      <w:proofErr w:type="spellEnd"/>
      <w:r w:rsidRPr="003237ED">
        <w:rPr>
          <w:rFonts w:ascii="Arial" w:eastAsia="Times New Roman" w:hAnsi="Arial" w:cs="Arial"/>
          <w:color w:val="000000"/>
          <w:sz w:val="24"/>
          <w:szCs w:val="24"/>
          <w:lang w:eastAsia="en-GB"/>
        </w:rPr>
        <w:t>, 2014). However, with laws come criticisms, more so of the Gender Recognition Act 2004, in which it is argued that the law fails to recognise the threat of transsexualism to the traditional view of male and female, fails to understand the mental illness model for understanding transgenders during the process of change and even cousin conflict between gender and sex (</w:t>
      </w:r>
      <w:proofErr w:type="spellStart"/>
      <w:r w:rsidRPr="003237ED">
        <w:rPr>
          <w:rFonts w:ascii="Arial" w:eastAsia="Times New Roman" w:hAnsi="Arial" w:cs="Arial"/>
          <w:color w:val="000000"/>
          <w:sz w:val="24"/>
          <w:szCs w:val="24"/>
          <w:lang w:eastAsia="en-GB"/>
        </w:rPr>
        <w:t>Sandland</w:t>
      </w:r>
      <w:proofErr w:type="spellEnd"/>
      <w:r w:rsidRPr="003237ED">
        <w:rPr>
          <w:rFonts w:ascii="Arial" w:eastAsia="Times New Roman" w:hAnsi="Arial" w:cs="Arial"/>
          <w:color w:val="000000"/>
          <w:sz w:val="24"/>
          <w:szCs w:val="24"/>
          <w:lang w:eastAsia="en-GB"/>
        </w:rPr>
        <w:t>, 2005, Sharpe, 2007, Sharpe, 2007).</w:t>
      </w:r>
    </w:p>
    <w:p w14:paraId="58592682" w14:textId="25B25B5D" w:rsidR="003237ED" w:rsidRPr="003237ED" w:rsidRDefault="003237ED" w:rsidP="003237ED">
      <w:pPr>
        <w:spacing w:after="0" w:line="480" w:lineRule="auto"/>
        <w:ind w:firstLine="720"/>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There are many people who feel like the CJS did not serve them to the extent they had hoped for, therefore a look into support schemes and laws to protect individuals will allow for a critical analysis of the response of the CJS to victims of </w:t>
      </w:r>
      <w:r w:rsidRPr="003237ED">
        <w:rPr>
          <w:rFonts w:ascii="Arial" w:eastAsia="Times New Roman" w:hAnsi="Arial" w:cs="Arial"/>
          <w:color w:val="000000"/>
          <w:sz w:val="24"/>
          <w:szCs w:val="24"/>
          <w:lang w:eastAsia="en-GB"/>
        </w:rPr>
        <w:lastRenderedPageBreak/>
        <w:t>crime. The Victim’s Code is support for victims which applies to the police, courts and prisons to help them through the process (Victims Support, 2021). The code is derived from the Domestic Violence, Crime and Victims Act (2004) and within part 3 it described the Victims Code which also highlights specific rights for victims so that they have help and support through the legal process. According to Waller (1996), victims must be ensured safety and privacy due to their close contact with cases and their importance in giving information to the police, thus bringing someone to justice. Furthermore, due to the nature of a crime, the support would also differ as one crime may be fraud which can be reported to action fraud whereas another may be child abuse in which the Independent Inquiry into Child Sexual Abuse (IICSA) could deal with (Police UK, 2021, CPS 2017). </w:t>
      </w:r>
    </w:p>
    <w:p w14:paraId="6F2720D1" w14:textId="77777777" w:rsidR="003237ED" w:rsidRPr="003237ED" w:rsidRDefault="003237ED" w:rsidP="003237ED">
      <w:pPr>
        <w:spacing w:after="0" w:line="480" w:lineRule="auto"/>
        <w:ind w:firstLine="720"/>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However, criticisms have arisen in past years, claiming that recommendations in reports are not met and that the police must build better relations to make the public confident enough to approach them (</w:t>
      </w:r>
      <w:proofErr w:type="spellStart"/>
      <w:r w:rsidRPr="003237ED">
        <w:rPr>
          <w:rFonts w:ascii="Arial" w:eastAsia="Times New Roman" w:hAnsi="Arial" w:cs="Arial"/>
          <w:color w:val="000000"/>
          <w:sz w:val="24"/>
          <w:szCs w:val="24"/>
          <w:lang w:eastAsia="en-GB"/>
        </w:rPr>
        <w:t>Miers</w:t>
      </w:r>
      <w:proofErr w:type="spellEnd"/>
      <w:r w:rsidRPr="003237ED">
        <w:rPr>
          <w:rFonts w:ascii="Arial" w:eastAsia="Times New Roman" w:hAnsi="Arial" w:cs="Arial"/>
          <w:color w:val="000000"/>
          <w:sz w:val="24"/>
          <w:szCs w:val="24"/>
          <w:lang w:eastAsia="en-GB"/>
        </w:rPr>
        <w:t>, 1985, Chahal, 2017). Although these were previously voiced, in the year 2020 in Wales a cry for more support was heard and so the UK government announced a £40 million funding boost for the police to work with other agencies to prevent crime and support victims (Gwent Police and Crime Commissioner, 2021, New Pathways, 2021, Women’s aid, 2021). Although the Victims Support is an independent charity, it is funded mainly by the Police and Crime Commissioner which helps them carry on. However, Simmons (2016) looks at the potential implications of appointing the Police and Crime Commissioner as the one who deals with the funding of Victims Services, one of the major critiques mentioned is that due to the political nature of the role the public may not have knowledge of the workings of the Commissioner.  </w:t>
      </w:r>
    </w:p>
    <w:p w14:paraId="4B22D8BA" w14:textId="77777777" w:rsidR="003237ED" w:rsidRPr="003237ED" w:rsidRDefault="003237ED" w:rsidP="003237ED">
      <w:pPr>
        <w:spacing w:after="0" w:line="480" w:lineRule="auto"/>
        <w:ind w:firstLine="720"/>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lastRenderedPageBreak/>
        <w:t>Gay et al (1975) look at the beginning of the Victim Support in Bristol in 1974 which started as a project and mentioned that it had little attention at the time but still said that it is important. Rock (1990) looks at the UK government policies and states that through these policies it has evolved the CJS in their response to victims of crime. Hall (2018) looks at the Victims Support in more recent years and still acknowledges their development. One of his main points is that the system has changed drastically in the sense of recognising the victims as a person, rather than sending them through the system and forgetting about them. </w:t>
      </w:r>
    </w:p>
    <w:p w14:paraId="12E13981" w14:textId="140E03BE" w:rsidR="003237ED" w:rsidRPr="003237ED" w:rsidRDefault="003237ED" w:rsidP="003237ED">
      <w:pPr>
        <w:spacing w:after="0" w:line="480" w:lineRule="auto"/>
        <w:ind w:firstLine="720"/>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Due to the police working with the Victims Services closely, so also should the police and public relations be. According to </w:t>
      </w:r>
      <w:proofErr w:type="spellStart"/>
      <w:r w:rsidRPr="003237ED">
        <w:rPr>
          <w:rFonts w:ascii="Arial" w:eastAsia="Times New Roman" w:hAnsi="Arial" w:cs="Arial"/>
          <w:color w:val="000000"/>
          <w:sz w:val="24"/>
          <w:szCs w:val="24"/>
          <w:lang w:eastAsia="en-GB"/>
        </w:rPr>
        <w:t>Knutsson</w:t>
      </w:r>
      <w:proofErr w:type="spellEnd"/>
      <w:r w:rsidRPr="003237ED">
        <w:rPr>
          <w:rFonts w:ascii="Arial" w:eastAsia="Times New Roman" w:hAnsi="Arial" w:cs="Arial"/>
          <w:color w:val="000000"/>
          <w:sz w:val="24"/>
          <w:szCs w:val="24"/>
          <w:lang w:eastAsia="en-GB"/>
        </w:rPr>
        <w:t xml:space="preserve"> and </w:t>
      </w:r>
      <w:proofErr w:type="spellStart"/>
      <w:r w:rsidRPr="003237ED">
        <w:rPr>
          <w:rFonts w:ascii="Arial" w:eastAsia="Times New Roman" w:hAnsi="Arial" w:cs="Arial"/>
          <w:color w:val="000000"/>
          <w:sz w:val="24"/>
          <w:szCs w:val="24"/>
          <w:lang w:eastAsia="en-GB"/>
        </w:rPr>
        <w:t>Tompson</w:t>
      </w:r>
      <w:proofErr w:type="spellEnd"/>
      <w:r w:rsidRPr="003237ED">
        <w:rPr>
          <w:rFonts w:ascii="Arial" w:eastAsia="Times New Roman" w:hAnsi="Arial" w:cs="Arial"/>
          <w:color w:val="000000"/>
          <w:sz w:val="24"/>
          <w:szCs w:val="24"/>
          <w:lang w:eastAsia="en-GB"/>
        </w:rPr>
        <w:t xml:space="preserve"> (2017), the way the police do their job must be done in a systematic way of evidence-based policing. One key concept of this is that policing this way, or in other terms policing the public, which creates a healthy bond between both police and the public. Therefore, leading to the public being more confident with the police in their abilities and more likely to give information, which also would make it easier for the police to help victims of crime, thus bettering their response.</w:t>
      </w:r>
    </w:p>
    <w:p w14:paraId="6567CCD9" w14:textId="77777777" w:rsidR="003237ED" w:rsidRPr="003237ED" w:rsidRDefault="003237ED" w:rsidP="003237ED">
      <w:pPr>
        <w:spacing w:after="0" w:line="480" w:lineRule="auto"/>
        <w:ind w:firstLine="720"/>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 Fielding et al (2019) also agree that effective policing is reliant upon public cooperation. Failure to acknowledge this would result in less crime reporting and at the core would cause the response of the CJS to victims of crime to be very poor. Sherman (1998) being one of the founders of this theory stated that the police should work with the best evidence they have. In a sense, this is simple to understand, the best evidence will bring the most efficient way for the police to operate. Lastly, </w:t>
      </w:r>
      <w:proofErr w:type="spellStart"/>
      <w:r w:rsidRPr="003237ED">
        <w:rPr>
          <w:rFonts w:ascii="Arial" w:eastAsia="Times New Roman" w:hAnsi="Arial" w:cs="Arial"/>
          <w:color w:val="000000"/>
          <w:sz w:val="24"/>
          <w:szCs w:val="24"/>
          <w:lang w:eastAsia="en-GB"/>
        </w:rPr>
        <w:t>Mawby</w:t>
      </w:r>
      <w:proofErr w:type="spellEnd"/>
      <w:r w:rsidRPr="003237ED">
        <w:rPr>
          <w:rFonts w:ascii="Arial" w:eastAsia="Times New Roman" w:hAnsi="Arial" w:cs="Arial"/>
          <w:color w:val="000000"/>
          <w:sz w:val="24"/>
          <w:szCs w:val="24"/>
          <w:lang w:eastAsia="en-GB"/>
        </w:rPr>
        <w:t xml:space="preserve"> (2016) attributed the success of the Victims Services to good relationships between the public and the police. This was evident through the increasing popularity of the service and eventually led to the Victims Supportline being </w:t>
      </w:r>
      <w:r w:rsidRPr="003237ED">
        <w:rPr>
          <w:rFonts w:ascii="Arial" w:eastAsia="Times New Roman" w:hAnsi="Arial" w:cs="Arial"/>
          <w:color w:val="000000"/>
          <w:sz w:val="24"/>
          <w:szCs w:val="24"/>
          <w:lang w:eastAsia="en-GB"/>
        </w:rPr>
        <w:lastRenderedPageBreak/>
        <w:t>established in 1998 which was found to be a success to the effectiveness of the support of victims and the CJS as a whole.</w:t>
      </w:r>
    </w:p>
    <w:p w14:paraId="5A2A8981" w14:textId="67F763CC" w:rsidR="003237ED" w:rsidRPr="003237ED" w:rsidRDefault="003237ED" w:rsidP="003237ED">
      <w:pPr>
        <w:spacing w:after="0" w:line="480" w:lineRule="auto"/>
        <w:ind w:firstLine="720"/>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In conclusion, the beginning for the Criminal Justice Act began many years ago and over time has become more powerful. However, the Act is just the beginning because along with the law it is important for the CJS to work together with different agencies. A lack of this will result in bad communication and will make the response to victims of crime non-effective. With these agencies, they must write reports about the effectiveness of the CJS and from that, they learn what works and what does not. By looking at the history of the CJS and laws, it allows the government and agencies to look back and see what truly benefited the victims of crime and what they lacked to help them. Therefore, it is important for the definition of victims of crime to be understood, to once again understand their side of the story and respect their rights. To evaluate the response of the CJS to victims of crime, knowing whom the CJS serves allows for insight to potential groups that are disadvantaged to their service. Firstly, knowing the two major theories of this, both the functionalist and the Marxist views with conflict to argue whom the CJS serve. Furthermore, for a deeper analysis, looking at the race, age, gender and sexuality of individuals will allow for an understanding of the response to victims and if depending on these differences, whether they are the related difference. Upon this, looking at these, findings show that within each of these topics there are similar comparisons between them, that minority groups are treated less favourable. Lastly, to contrast the arguments that say that the CJS does not treat people fairly, a look in the support schemes and protection laws of rights will allow comparing, whether or not the CJS help people or not. Findings show that the CJS works closely with multiple agencies which are claimed in the history and current definition of the CJS. </w:t>
      </w:r>
      <w:r w:rsidRPr="003237ED">
        <w:rPr>
          <w:rFonts w:ascii="Arial" w:eastAsia="Times New Roman" w:hAnsi="Arial" w:cs="Arial"/>
          <w:color w:val="000000"/>
          <w:sz w:val="24"/>
          <w:szCs w:val="24"/>
          <w:lang w:eastAsia="en-GB"/>
        </w:rPr>
        <w:lastRenderedPageBreak/>
        <w:t>These agencies always try to help people, serve justice and treat everyone fairly. Although there have been both negative and positive opinions of the response of the CJS to victims of crime, the argument is fairly balanced between both sides.         </w:t>
      </w:r>
    </w:p>
    <w:p w14:paraId="2CEA108D" w14:textId="77777777" w:rsidR="003237ED" w:rsidRPr="003237ED" w:rsidRDefault="003237ED" w:rsidP="003237ED">
      <w:pPr>
        <w:spacing w:after="0" w:line="480" w:lineRule="auto"/>
        <w:ind w:firstLine="720"/>
        <w:rPr>
          <w:rFonts w:ascii="Arial" w:eastAsia="Times New Roman" w:hAnsi="Arial" w:cs="Arial"/>
          <w:sz w:val="24"/>
          <w:szCs w:val="24"/>
          <w:lang w:eastAsia="en-GB"/>
        </w:rPr>
      </w:pPr>
      <w:r w:rsidRPr="003237ED">
        <w:rPr>
          <w:rFonts w:ascii="Arial" w:eastAsia="Times New Roman" w:hAnsi="Arial" w:cs="Arial"/>
          <w:b/>
          <w:bCs/>
          <w:color w:val="FF0000"/>
          <w:sz w:val="24"/>
          <w:szCs w:val="24"/>
          <w:lang w:eastAsia="en-GB"/>
        </w:rPr>
        <w:t> </w:t>
      </w:r>
    </w:p>
    <w:p w14:paraId="2A89C046" w14:textId="77777777" w:rsidR="003237ED" w:rsidRPr="003237ED" w:rsidRDefault="003237ED" w:rsidP="003237ED">
      <w:pPr>
        <w:spacing w:after="240" w:line="480" w:lineRule="auto"/>
        <w:rPr>
          <w:rFonts w:ascii="Arial" w:eastAsia="Times New Roman" w:hAnsi="Arial" w:cs="Arial"/>
          <w:sz w:val="24"/>
          <w:szCs w:val="24"/>
          <w:lang w:eastAsia="en-GB"/>
        </w:rPr>
      </w:pPr>
      <w:r w:rsidRPr="003237ED">
        <w:rPr>
          <w:rFonts w:ascii="Arial" w:eastAsia="Times New Roman" w:hAnsi="Arial" w:cs="Arial"/>
          <w:sz w:val="24"/>
          <w:szCs w:val="24"/>
          <w:lang w:eastAsia="en-GB"/>
        </w:rPr>
        <w:br/>
      </w:r>
    </w:p>
    <w:p w14:paraId="01A2091D" w14:textId="77777777" w:rsidR="003237ED" w:rsidRPr="003237ED" w:rsidRDefault="003237ED" w:rsidP="003237ED">
      <w:pPr>
        <w:spacing w:after="0" w:line="480" w:lineRule="auto"/>
        <w:ind w:firstLine="720"/>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w:t>
      </w:r>
    </w:p>
    <w:p w14:paraId="40443C2E" w14:textId="77777777" w:rsidR="003237ED" w:rsidRPr="003237ED" w:rsidRDefault="003237ED" w:rsidP="003237ED">
      <w:pPr>
        <w:spacing w:after="0" w:line="480" w:lineRule="auto"/>
        <w:rPr>
          <w:rFonts w:ascii="Arial" w:eastAsia="Times New Roman" w:hAnsi="Arial" w:cs="Arial"/>
          <w:sz w:val="24"/>
          <w:szCs w:val="24"/>
          <w:lang w:eastAsia="en-GB"/>
        </w:rPr>
      </w:pPr>
    </w:p>
    <w:p w14:paraId="14C595B8" w14:textId="77777777" w:rsidR="003237ED" w:rsidRPr="003237ED" w:rsidRDefault="003237ED" w:rsidP="003237ED">
      <w:pPr>
        <w:spacing w:after="0" w:line="480" w:lineRule="auto"/>
        <w:ind w:firstLine="720"/>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w:t>
      </w:r>
    </w:p>
    <w:p w14:paraId="7B0D6D16" w14:textId="77777777" w:rsidR="003237ED" w:rsidRPr="003237ED" w:rsidRDefault="003237ED" w:rsidP="003237ED">
      <w:pPr>
        <w:spacing w:after="0" w:line="480" w:lineRule="auto"/>
        <w:rPr>
          <w:rFonts w:ascii="Arial" w:eastAsia="Times New Roman" w:hAnsi="Arial" w:cs="Arial"/>
          <w:sz w:val="24"/>
          <w:szCs w:val="24"/>
          <w:lang w:eastAsia="en-GB"/>
        </w:rPr>
      </w:pPr>
    </w:p>
    <w:p w14:paraId="4D1EDC81" w14:textId="77777777" w:rsidR="003237ED" w:rsidRPr="003237ED" w:rsidRDefault="003237ED" w:rsidP="003237ED">
      <w:pPr>
        <w:spacing w:after="0" w:line="480" w:lineRule="auto"/>
        <w:ind w:firstLine="720"/>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w:t>
      </w:r>
    </w:p>
    <w:p w14:paraId="33FE0FEA"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b/>
      </w:r>
    </w:p>
    <w:p w14:paraId="34B54FB0"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b/>
      </w:r>
    </w:p>
    <w:p w14:paraId="2ABED7F3" w14:textId="77777777" w:rsidR="003237ED" w:rsidRPr="003237ED" w:rsidRDefault="003237ED" w:rsidP="003237ED">
      <w:pPr>
        <w:spacing w:after="240" w:line="480" w:lineRule="auto"/>
        <w:rPr>
          <w:rFonts w:ascii="Arial" w:eastAsia="Times New Roman" w:hAnsi="Arial" w:cs="Arial"/>
          <w:sz w:val="24"/>
          <w:szCs w:val="24"/>
          <w:lang w:eastAsia="en-GB"/>
        </w:rPr>
      </w:pPr>
      <w:r w:rsidRPr="003237ED">
        <w:rPr>
          <w:rFonts w:ascii="Arial" w:eastAsia="Times New Roman" w:hAnsi="Arial" w:cs="Arial"/>
          <w:sz w:val="24"/>
          <w:szCs w:val="24"/>
          <w:lang w:eastAsia="en-GB"/>
        </w:rPr>
        <w:br/>
      </w:r>
    </w:p>
    <w:p w14:paraId="774F0C47" w14:textId="77777777" w:rsidR="0047773E" w:rsidRDefault="0047773E" w:rsidP="003237ED">
      <w:pPr>
        <w:spacing w:after="0" w:line="480" w:lineRule="auto"/>
        <w:rPr>
          <w:rFonts w:ascii="Arial" w:eastAsia="Times New Roman" w:hAnsi="Arial" w:cs="Arial"/>
          <w:color w:val="000000"/>
          <w:sz w:val="24"/>
          <w:szCs w:val="24"/>
          <w:u w:val="single"/>
          <w:lang w:eastAsia="en-GB"/>
        </w:rPr>
      </w:pPr>
    </w:p>
    <w:p w14:paraId="710A556A" w14:textId="77777777" w:rsidR="0047773E" w:rsidRDefault="0047773E" w:rsidP="003237ED">
      <w:pPr>
        <w:spacing w:after="0" w:line="480" w:lineRule="auto"/>
        <w:rPr>
          <w:rFonts w:ascii="Arial" w:eastAsia="Times New Roman" w:hAnsi="Arial" w:cs="Arial"/>
          <w:color w:val="000000"/>
          <w:sz w:val="24"/>
          <w:szCs w:val="24"/>
          <w:u w:val="single"/>
          <w:lang w:eastAsia="en-GB"/>
        </w:rPr>
      </w:pPr>
    </w:p>
    <w:p w14:paraId="08E527E7" w14:textId="77777777" w:rsidR="0047773E" w:rsidRDefault="0047773E" w:rsidP="003237ED">
      <w:pPr>
        <w:spacing w:after="0" w:line="480" w:lineRule="auto"/>
        <w:rPr>
          <w:rFonts w:ascii="Arial" w:eastAsia="Times New Roman" w:hAnsi="Arial" w:cs="Arial"/>
          <w:color w:val="000000"/>
          <w:sz w:val="24"/>
          <w:szCs w:val="24"/>
          <w:u w:val="single"/>
          <w:lang w:eastAsia="en-GB"/>
        </w:rPr>
      </w:pPr>
    </w:p>
    <w:p w14:paraId="44849ACD" w14:textId="77777777" w:rsidR="0047773E" w:rsidRDefault="0047773E" w:rsidP="003237ED">
      <w:pPr>
        <w:spacing w:after="0" w:line="480" w:lineRule="auto"/>
        <w:rPr>
          <w:rFonts w:ascii="Arial" w:eastAsia="Times New Roman" w:hAnsi="Arial" w:cs="Arial"/>
          <w:color w:val="000000"/>
          <w:sz w:val="24"/>
          <w:szCs w:val="24"/>
          <w:u w:val="single"/>
          <w:lang w:eastAsia="en-GB"/>
        </w:rPr>
      </w:pPr>
    </w:p>
    <w:p w14:paraId="0B870A4C" w14:textId="77777777" w:rsidR="0047773E" w:rsidRDefault="0047773E" w:rsidP="003237ED">
      <w:pPr>
        <w:spacing w:after="0" w:line="480" w:lineRule="auto"/>
        <w:rPr>
          <w:rFonts w:ascii="Arial" w:eastAsia="Times New Roman" w:hAnsi="Arial" w:cs="Arial"/>
          <w:color w:val="000000"/>
          <w:sz w:val="24"/>
          <w:szCs w:val="24"/>
          <w:u w:val="single"/>
          <w:lang w:eastAsia="en-GB"/>
        </w:rPr>
      </w:pPr>
    </w:p>
    <w:p w14:paraId="39D4877C" w14:textId="77777777" w:rsidR="0047773E" w:rsidRDefault="0047773E" w:rsidP="003237ED">
      <w:pPr>
        <w:spacing w:after="0" w:line="480" w:lineRule="auto"/>
        <w:rPr>
          <w:rFonts w:ascii="Arial" w:eastAsia="Times New Roman" w:hAnsi="Arial" w:cs="Arial"/>
          <w:color w:val="000000"/>
          <w:sz w:val="24"/>
          <w:szCs w:val="24"/>
          <w:u w:val="single"/>
          <w:lang w:eastAsia="en-GB"/>
        </w:rPr>
      </w:pPr>
    </w:p>
    <w:p w14:paraId="2A179863" w14:textId="77777777" w:rsidR="0047773E" w:rsidRDefault="0047773E" w:rsidP="003237ED">
      <w:pPr>
        <w:spacing w:after="0" w:line="480" w:lineRule="auto"/>
        <w:rPr>
          <w:rFonts w:ascii="Arial" w:eastAsia="Times New Roman" w:hAnsi="Arial" w:cs="Arial"/>
          <w:color w:val="000000"/>
          <w:sz w:val="24"/>
          <w:szCs w:val="24"/>
          <w:u w:val="single"/>
          <w:lang w:eastAsia="en-GB"/>
        </w:rPr>
      </w:pPr>
    </w:p>
    <w:p w14:paraId="6C91626F" w14:textId="77777777" w:rsidR="0047773E" w:rsidRDefault="0047773E" w:rsidP="003237ED">
      <w:pPr>
        <w:spacing w:after="0" w:line="480" w:lineRule="auto"/>
        <w:rPr>
          <w:rFonts w:ascii="Arial" w:eastAsia="Times New Roman" w:hAnsi="Arial" w:cs="Arial"/>
          <w:color w:val="000000"/>
          <w:sz w:val="24"/>
          <w:szCs w:val="24"/>
          <w:u w:val="single"/>
          <w:lang w:eastAsia="en-GB"/>
        </w:rPr>
      </w:pPr>
    </w:p>
    <w:p w14:paraId="088B6598" w14:textId="77777777" w:rsidR="0047773E" w:rsidRDefault="0047773E" w:rsidP="003237ED">
      <w:pPr>
        <w:spacing w:after="0" w:line="480" w:lineRule="auto"/>
        <w:rPr>
          <w:rFonts w:ascii="Arial" w:eastAsia="Times New Roman" w:hAnsi="Arial" w:cs="Arial"/>
          <w:color w:val="000000"/>
          <w:sz w:val="24"/>
          <w:szCs w:val="24"/>
          <w:u w:val="single"/>
          <w:lang w:eastAsia="en-GB"/>
        </w:rPr>
      </w:pPr>
    </w:p>
    <w:p w14:paraId="766F43EA" w14:textId="207A2287" w:rsidR="003237ED" w:rsidRPr="00251529" w:rsidRDefault="003237ED" w:rsidP="003237ED">
      <w:pPr>
        <w:spacing w:after="0" w:line="480" w:lineRule="auto"/>
        <w:rPr>
          <w:rFonts w:ascii="Arial" w:eastAsia="Times New Roman" w:hAnsi="Arial" w:cs="Arial"/>
          <w:sz w:val="28"/>
          <w:szCs w:val="28"/>
          <w:lang w:eastAsia="en-GB"/>
        </w:rPr>
      </w:pPr>
      <w:r w:rsidRPr="00251529">
        <w:rPr>
          <w:rFonts w:ascii="Arial" w:eastAsia="Times New Roman" w:hAnsi="Arial" w:cs="Arial"/>
          <w:color w:val="000000"/>
          <w:sz w:val="28"/>
          <w:szCs w:val="28"/>
          <w:u w:val="single"/>
          <w:lang w:eastAsia="en-GB"/>
        </w:rPr>
        <w:lastRenderedPageBreak/>
        <w:t>References</w:t>
      </w:r>
    </w:p>
    <w:p w14:paraId="740F57C1" w14:textId="77777777" w:rsidR="00251529" w:rsidRDefault="00251529" w:rsidP="003237ED">
      <w:pPr>
        <w:spacing w:after="0" w:line="480" w:lineRule="auto"/>
        <w:rPr>
          <w:rFonts w:ascii="Arial" w:eastAsia="Times New Roman" w:hAnsi="Arial" w:cs="Arial"/>
          <w:color w:val="000000"/>
          <w:sz w:val="24"/>
          <w:szCs w:val="24"/>
          <w:lang w:eastAsia="en-GB"/>
        </w:rPr>
      </w:pPr>
    </w:p>
    <w:p w14:paraId="258D6284" w14:textId="7D34F7B2"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Ahmed, S, Kilby, J, </w:t>
      </w:r>
      <w:proofErr w:type="spellStart"/>
      <w:r w:rsidRPr="003237ED">
        <w:rPr>
          <w:rFonts w:ascii="Arial" w:eastAsia="Times New Roman" w:hAnsi="Arial" w:cs="Arial"/>
          <w:color w:val="000000"/>
          <w:sz w:val="24"/>
          <w:szCs w:val="24"/>
          <w:lang w:eastAsia="en-GB"/>
        </w:rPr>
        <w:t>Lury</w:t>
      </w:r>
      <w:proofErr w:type="spellEnd"/>
      <w:r w:rsidRPr="003237ED">
        <w:rPr>
          <w:rFonts w:ascii="Arial" w:eastAsia="Times New Roman" w:hAnsi="Arial" w:cs="Arial"/>
          <w:color w:val="000000"/>
          <w:sz w:val="24"/>
          <w:szCs w:val="24"/>
          <w:lang w:eastAsia="en-GB"/>
        </w:rPr>
        <w:t xml:space="preserve">, C, </w:t>
      </w:r>
      <w:proofErr w:type="spellStart"/>
      <w:r w:rsidRPr="003237ED">
        <w:rPr>
          <w:rFonts w:ascii="Arial" w:eastAsia="Times New Roman" w:hAnsi="Arial" w:cs="Arial"/>
          <w:color w:val="000000"/>
          <w:sz w:val="24"/>
          <w:szCs w:val="24"/>
          <w:lang w:eastAsia="en-GB"/>
        </w:rPr>
        <w:t>Skeggs</w:t>
      </w:r>
      <w:proofErr w:type="spellEnd"/>
      <w:r w:rsidRPr="003237ED">
        <w:rPr>
          <w:rFonts w:ascii="Arial" w:eastAsia="Times New Roman" w:hAnsi="Arial" w:cs="Arial"/>
          <w:color w:val="000000"/>
          <w:sz w:val="24"/>
          <w:szCs w:val="24"/>
          <w:lang w:eastAsia="en-GB"/>
        </w:rPr>
        <w:t xml:space="preserve">, B, McNeil, M (2000) </w:t>
      </w:r>
      <w:r w:rsidRPr="003237ED">
        <w:rPr>
          <w:rFonts w:ascii="Arial" w:eastAsia="Times New Roman" w:hAnsi="Arial" w:cs="Arial"/>
          <w:i/>
          <w:iCs/>
          <w:color w:val="000000"/>
          <w:sz w:val="24"/>
          <w:szCs w:val="24"/>
          <w:lang w:eastAsia="en-GB"/>
        </w:rPr>
        <w:t>Transformations: Thinking Through Feminism</w:t>
      </w:r>
      <w:r w:rsidRPr="003237ED">
        <w:rPr>
          <w:rFonts w:ascii="Arial" w:eastAsia="Times New Roman" w:hAnsi="Arial" w:cs="Arial"/>
          <w:color w:val="000000"/>
          <w:sz w:val="24"/>
          <w:szCs w:val="24"/>
          <w:lang w:eastAsia="en-GB"/>
        </w:rPr>
        <w:t>, Sussex: Psychology Press.</w:t>
      </w:r>
    </w:p>
    <w:p w14:paraId="3C093B31" w14:textId="77777777" w:rsidR="003237ED" w:rsidRPr="003237ED" w:rsidRDefault="003237ED" w:rsidP="003237ED">
      <w:pPr>
        <w:spacing w:after="0" w:line="480" w:lineRule="auto"/>
        <w:rPr>
          <w:rFonts w:ascii="Arial" w:eastAsia="Times New Roman" w:hAnsi="Arial" w:cs="Arial"/>
          <w:sz w:val="24"/>
          <w:szCs w:val="24"/>
          <w:lang w:eastAsia="en-GB"/>
        </w:rPr>
      </w:pPr>
    </w:p>
    <w:p w14:paraId="4930AD74" w14:textId="77777777" w:rsidR="003237ED" w:rsidRPr="003237ED" w:rsidRDefault="003237ED" w:rsidP="003237ED">
      <w:pPr>
        <w:spacing w:after="0" w:line="480" w:lineRule="auto"/>
        <w:rPr>
          <w:rFonts w:ascii="Arial" w:eastAsia="Times New Roman" w:hAnsi="Arial" w:cs="Arial"/>
          <w:sz w:val="24"/>
          <w:szCs w:val="24"/>
          <w:lang w:eastAsia="en-GB"/>
        </w:rPr>
      </w:pPr>
      <w:proofErr w:type="spellStart"/>
      <w:r w:rsidRPr="003237ED">
        <w:rPr>
          <w:rFonts w:ascii="Arial" w:eastAsia="Times New Roman" w:hAnsi="Arial" w:cs="Arial"/>
          <w:color w:val="000000"/>
          <w:sz w:val="24"/>
          <w:szCs w:val="24"/>
          <w:lang w:eastAsia="en-GB"/>
        </w:rPr>
        <w:t>Bazzini</w:t>
      </w:r>
      <w:proofErr w:type="spellEnd"/>
      <w:r w:rsidRPr="003237ED">
        <w:rPr>
          <w:rFonts w:ascii="Arial" w:eastAsia="Times New Roman" w:hAnsi="Arial" w:cs="Arial"/>
          <w:color w:val="000000"/>
          <w:sz w:val="24"/>
          <w:szCs w:val="24"/>
          <w:lang w:eastAsia="en-GB"/>
        </w:rPr>
        <w:t xml:space="preserve">, D. G, McIntosh, W. D, Smith, S. M, Cook, S, Harris, C (1997) ‘The aging woman in popular film: Underrepresented, unattractive, unfriendly, and unintelligent’, </w:t>
      </w:r>
      <w:r w:rsidRPr="003237ED">
        <w:rPr>
          <w:rFonts w:ascii="Arial" w:eastAsia="Times New Roman" w:hAnsi="Arial" w:cs="Arial"/>
          <w:i/>
          <w:iCs/>
          <w:color w:val="000000"/>
          <w:sz w:val="24"/>
          <w:szCs w:val="24"/>
          <w:lang w:eastAsia="en-GB"/>
        </w:rPr>
        <w:t>Sex Roles</w:t>
      </w:r>
      <w:r w:rsidRPr="003237ED">
        <w:rPr>
          <w:rFonts w:ascii="Arial" w:eastAsia="Times New Roman" w:hAnsi="Arial" w:cs="Arial"/>
          <w:color w:val="000000"/>
          <w:sz w:val="24"/>
          <w:szCs w:val="24"/>
          <w:lang w:eastAsia="en-GB"/>
        </w:rPr>
        <w:t>, 36(7-8), pp. 531 - 543.</w:t>
      </w:r>
    </w:p>
    <w:p w14:paraId="6B7B0F22"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5" w:history="1">
        <w:r w:rsidRPr="003237ED">
          <w:rPr>
            <w:rFonts w:ascii="Arial" w:eastAsia="Times New Roman" w:hAnsi="Arial" w:cs="Arial"/>
            <w:color w:val="1155CC"/>
            <w:sz w:val="24"/>
            <w:szCs w:val="24"/>
            <w:u w:val="single"/>
            <w:lang w:eastAsia="en-GB"/>
          </w:rPr>
          <w:t>https://link.springer.com/article/10.1007%2FBF02766689</w:t>
        </w:r>
      </w:hyperlink>
      <w:r w:rsidRPr="003237ED">
        <w:rPr>
          <w:rFonts w:ascii="Arial" w:eastAsia="Times New Roman" w:hAnsi="Arial" w:cs="Arial"/>
          <w:color w:val="000000"/>
          <w:sz w:val="24"/>
          <w:szCs w:val="24"/>
          <w:lang w:eastAsia="en-GB"/>
        </w:rPr>
        <w:t> </w:t>
      </w:r>
    </w:p>
    <w:p w14:paraId="6B007CF1"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14/10/2021)</w:t>
      </w:r>
    </w:p>
    <w:p w14:paraId="0CC6117B" w14:textId="77777777" w:rsidR="003237ED" w:rsidRPr="003237ED" w:rsidRDefault="003237ED" w:rsidP="003237ED">
      <w:pPr>
        <w:spacing w:after="0" w:line="480" w:lineRule="auto"/>
        <w:rPr>
          <w:rFonts w:ascii="Arial" w:eastAsia="Times New Roman" w:hAnsi="Arial" w:cs="Arial"/>
          <w:sz w:val="24"/>
          <w:szCs w:val="24"/>
          <w:lang w:eastAsia="en-GB"/>
        </w:rPr>
      </w:pPr>
    </w:p>
    <w:p w14:paraId="25994CC3"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BBC News (2018) </w:t>
      </w:r>
      <w:r w:rsidRPr="003237ED">
        <w:rPr>
          <w:rFonts w:ascii="Arial" w:eastAsia="Times New Roman" w:hAnsi="Arial" w:cs="Arial"/>
          <w:i/>
          <w:iCs/>
          <w:color w:val="000000"/>
          <w:sz w:val="24"/>
          <w:szCs w:val="24"/>
          <w:lang w:eastAsia="en-GB"/>
        </w:rPr>
        <w:t>Stephen Lawrence murder: A timeline of how the story unfolded.</w:t>
      </w:r>
    </w:p>
    <w:p w14:paraId="0522ADB5"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6" w:history="1">
        <w:r w:rsidRPr="003237ED">
          <w:rPr>
            <w:rFonts w:ascii="Arial" w:eastAsia="Times New Roman" w:hAnsi="Arial" w:cs="Arial"/>
            <w:color w:val="1155CC"/>
            <w:sz w:val="24"/>
            <w:szCs w:val="24"/>
            <w:u w:val="single"/>
            <w:lang w:eastAsia="en-GB"/>
          </w:rPr>
          <w:t>https://www.bbc.com/news/uk-26465916</w:t>
        </w:r>
      </w:hyperlink>
      <w:r w:rsidRPr="003237ED">
        <w:rPr>
          <w:rFonts w:ascii="Arial" w:eastAsia="Times New Roman" w:hAnsi="Arial" w:cs="Arial"/>
          <w:color w:val="000000"/>
          <w:sz w:val="24"/>
          <w:szCs w:val="24"/>
          <w:lang w:eastAsia="en-GB"/>
        </w:rPr>
        <w:t> </w:t>
      </w:r>
    </w:p>
    <w:p w14:paraId="1E6EBC91"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10/10/2021) </w:t>
      </w:r>
    </w:p>
    <w:p w14:paraId="1944C8EA" w14:textId="77777777" w:rsidR="003237ED" w:rsidRPr="003237ED" w:rsidRDefault="003237ED" w:rsidP="003237ED">
      <w:pPr>
        <w:spacing w:after="0" w:line="480" w:lineRule="auto"/>
        <w:rPr>
          <w:rFonts w:ascii="Arial" w:eastAsia="Times New Roman" w:hAnsi="Arial" w:cs="Arial"/>
          <w:sz w:val="24"/>
          <w:szCs w:val="24"/>
          <w:lang w:eastAsia="en-GB"/>
        </w:rPr>
      </w:pPr>
    </w:p>
    <w:p w14:paraId="7EDC825C"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BBC News (2021) </w:t>
      </w:r>
      <w:r w:rsidRPr="003237ED">
        <w:rPr>
          <w:rFonts w:ascii="Arial" w:eastAsia="Times New Roman" w:hAnsi="Arial" w:cs="Arial"/>
          <w:i/>
          <w:iCs/>
          <w:color w:val="000000"/>
          <w:sz w:val="24"/>
          <w:szCs w:val="24"/>
          <w:lang w:eastAsia="en-GB"/>
        </w:rPr>
        <w:t>Prince Andrew's lawyers accept he was served with US case papers</w:t>
      </w:r>
      <w:r w:rsidRPr="003237ED">
        <w:rPr>
          <w:rFonts w:ascii="Arial" w:eastAsia="Times New Roman" w:hAnsi="Arial" w:cs="Arial"/>
          <w:color w:val="000000"/>
          <w:sz w:val="24"/>
          <w:szCs w:val="24"/>
          <w:lang w:eastAsia="en-GB"/>
        </w:rPr>
        <w:t>, 24 September.</w:t>
      </w:r>
    </w:p>
    <w:p w14:paraId="6C81FCF4"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7" w:history="1">
        <w:r w:rsidRPr="003237ED">
          <w:rPr>
            <w:rFonts w:ascii="Arial" w:eastAsia="Times New Roman" w:hAnsi="Arial" w:cs="Arial"/>
            <w:color w:val="1155CC"/>
            <w:sz w:val="24"/>
            <w:szCs w:val="24"/>
            <w:u w:val="single"/>
            <w:lang w:eastAsia="en-GB"/>
          </w:rPr>
          <w:t>https://www.bbc.com/news/uk-58682356</w:t>
        </w:r>
      </w:hyperlink>
      <w:r w:rsidRPr="003237ED">
        <w:rPr>
          <w:rFonts w:ascii="Arial" w:eastAsia="Times New Roman" w:hAnsi="Arial" w:cs="Arial"/>
          <w:color w:val="000000"/>
          <w:sz w:val="24"/>
          <w:szCs w:val="24"/>
          <w:lang w:eastAsia="en-GB"/>
        </w:rPr>
        <w:t> </w:t>
      </w:r>
    </w:p>
    <w:p w14:paraId="51D20E75"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14/10/2021)</w:t>
      </w:r>
    </w:p>
    <w:p w14:paraId="0281750D" w14:textId="77777777" w:rsidR="003237ED" w:rsidRPr="003237ED" w:rsidRDefault="003237ED" w:rsidP="003237ED">
      <w:pPr>
        <w:spacing w:after="0" w:line="480" w:lineRule="auto"/>
        <w:rPr>
          <w:rFonts w:ascii="Arial" w:eastAsia="Times New Roman" w:hAnsi="Arial" w:cs="Arial"/>
          <w:sz w:val="24"/>
          <w:szCs w:val="24"/>
          <w:lang w:eastAsia="en-GB"/>
        </w:rPr>
      </w:pPr>
    </w:p>
    <w:p w14:paraId="3B741F55" w14:textId="77777777" w:rsidR="003237ED" w:rsidRPr="003237ED" w:rsidRDefault="003237ED" w:rsidP="003237ED">
      <w:pPr>
        <w:spacing w:after="0" w:line="480" w:lineRule="auto"/>
        <w:rPr>
          <w:rFonts w:ascii="Arial" w:eastAsia="Times New Roman" w:hAnsi="Arial" w:cs="Arial"/>
          <w:sz w:val="24"/>
          <w:szCs w:val="24"/>
          <w:lang w:eastAsia="en-GB"/>
        </w:rPr>
      </w:pPr>
      <w:proofErr w:type="spellStart"/>
      <w:r w:rsidRPr="003237ED">
        <w:rPr>
          <w:rFonts w:ascii="Arial" w:eastAsia="Times New Roman" w:hAnsi="Arial" w:cs="Arial"/>
          <w:color w:val="000000"/>
          <w:sz w:val="24"/>
          <w:szCs w:val="24"/>
          <w:lang w:eastAsia="en-GB"/>
        </w:rPr>
        <w:t>Bhui</w:t>
      </w:r>
      <w:proofErr w:type="spellEnd"/>
      <w:r w:rsidRPr="003237ED">
        <w:rPr>
          <w:rFonts w:ascii="Arial" w:eastAsia="Times New Roman" w:hAnsi="Arial" w:cs="Arial"/>
          <w:color w:val="000000"/>
          <w:sz w:val="24"/>
          <w:szCs w:val="24"/>
          <w:lang w:eastAsia="en-GB"/>
        </w:rPr>
        <w:t xml:space="preserve">, H. S (2009) </w:t>
      </w:r>
      <w:r w:rsidRPr="003237ED">
        <w:rPr>
          <w:rFonts w:ascii="Arial" w:eastAsia="Times New Roman" w:hAnsi="Arial" w:cs="Arial"/>
          <w:i/>
          <w:iCs/>
          <w:color w:val="000000"/>
          <w:sz w:val="24"/>
          <w:szCs w:val="24"/>
          <w:lang w:eastAsia="en-GB"/>
        </w:rPr>
        <w:t>Race and Criminal Justice</w:t>
      </w:r>
      <w:r w:rsidRPr="003237ED">
        <w:rPr>
          <w:rFonts w:ascii="Arial" w:eastAsia="Times New Roman" w:hAnsi="Arial" w:cs="Arial"/>
          <w:color w:val="000000"/>
          <w:sz w:val="24"/>
          <w:szCs w:val="24"/>
          <w:lang w:eastAsia="en-GB"/>
        </w:rPr>
        <w:t>, London: SAGE Publications Ltd.</w:t>
      </w:r>
    </w:p>
    <w:p w14:paraId="70E2CEC7" w14:textId="77777777" w:rsidR="003237ED" w:rsidRPr="003237ED" w:rsidRDefault="003237ED" w:rsidP="003237ED">
      <w:pPr>
        <w:spacing w:after="0" w:line="480" w:lineRule="auto"/>
        <w:rPr>
          <w:rFonts w:ascii="Arial" w:eastAsia="Times New Roman" w:hAnsi="Arial" w:cs="Arial"/>
          <w:sz w:val="24"/>
          <w:szCs w:val="24"/>
          <w:lang w:eastAsia="en-GB"/>
        </w:rPr>
      </w:pPr>
    </w:p>
    <w:p w14:paraId="4823A366"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Bowling, B (1999) </w:t>
      </w:r>
      <w:r w:rsidRPr="003237ED">
        <w:rPr>
          <w:rFonts w:ascii="Arial" w:eastAsia="Times New Roman" w:hAnsi="Arial" w:cs="Arial"/>
          <w:i/>
          <w:iCs/>
          <w:color w:val="000000"/>
          <w:sz w:val="24"/>
          <w:szCs w:val="24"/>
          <w:lang w:eastAsia="en-GB"/>
        </w:rPr>
        <w:t>Violent Racism: Victimization, Policing, and Social Context</w:t>
      </w:r>
      <w:r w:rsidRPr="003237ED">
        <w:rPr>
          <w:rFonts w:ascii="Arial" w:eastAsia="Times New Roman" w:hAnsi="Arial" w:cs="Arial"/>
          <w:color w:val="000000"/>
          <w:sz w:val="24"/>
          <w:szCs w:val="24"/>
          <w:lang w:eastAsia="en-GB"/>
        </w:rPr>
        <w:t>, Oxford: Oxford University Press.</w:t>
      </w:r>
    </w:p>
    <w:p w14:paraId="1A406AAE" w14:textId="77777777" w:rsidR="003237ED" w:rsidRPr="003237ED" w:rsidRDefault="003237ED" w:rsidP="003237ED">
      <w:pPr>
        <w:spacing w:after="0" w:line="480" w:lineRule="auto"/>
        <w:rPr>
          <w:rFonts w:ascii="Arial" w:eastAsia="Times New Roman" w:hAnsi="Arial" w:cs="Arial"/>
          <w:sz w:val="24"/>
          <w:szCs w:val="24"/>
          <w:lang w:eastAsia="en-GB"/>
        </w:rPr>
      </w:pPr>
    </w:p>
    <w:p w14:paraId="34495AE5"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lastRenderedPageBreak/>
        <w:t xml:space="preserve">Cabinet Papers (2021) </w:t>
      </w:r>
      <w:r w:rsidRPr="003237ED">
        <w:rPr>
          <w:rFonts w:ascii="Arial" w:eastAsia="Times New Roman" w:hAnsi="Arial" w:cs="Arial"/>
          <w:i/>
          <w:iCs/>
          <w:color w:val="000000"/>
          <w:sz w:val="24"/>
          <w:szCs w:val="24"/>
          <w:lang w:eastAsia="en-GB"/>
        </w:rPr>
        <w:t>Criminal Justice Policy</w:t>
      </w:r>
      <w:r w:rsidRPr="003237ED">
        <w:rPr>
          <w:rFonts w:ascii="Arial" w:eastAsia="Times New Roman" w:hAnsi="Arial" w:cs="Arial"/>
          <w:color w:val="000000"/>
          <w:sz w:val="24"/>
          <w:szCs w:val="24"/>
          <w:lang w:eastAsia="en-GB"/>
        </w:rPr>
        <w:t>.</w:t>
      </w:r>
    </w:p>
    <w:p w14:paraId="7D30DA2E"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8" w:history="1">
        <w:r w:rsidRPr="003237ED">
          <w:rPr>
            <w:rFonts w:ascii="Arial" w:eastAsia="Times New Roman" w:hAnsi="Arial" w:cs="Arial"/>
            <w:color w:val="1155CC"/>
            <w:sz w:val="24"/>
            <w:szCs w:val="24"/>
            <w:u w:val="single"/>
            <w:lang w:eastAsia="en-GB"/>
          </w:rPr>
          <w:t>https://www.nationalarchives.gov.uk/cabinetpapers/themes/criminal-justice-policy.htm</w:t>
        </w:r>
      </w:hyperlink>
      <w:r w:rsidRPr="003237ED">
        <w:rPr>
          <w:rFonts w:ascii="Arial" w:eastAsia="Times New Roman" w:hAnsi="Arial" w:cs="Arial"/>
          <w:color w:val="000000"/>
          <w:sz w:val="24"/>
          <w:szCs w:val="24"/>
          <w:lang w:eastAsia="en-GB"/>
        </w:rPr>
        <w:t> </w:t>
      </w:r>
    </w:p>
    <w:p w14:paraId="562F127E"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03/10/2021) </w:t>
      </w:r>
    </w:p>
    <w:p w14:paraId="66E5484F" w14:textId="77777777" w:rsidR="003237ED" w:rsidRPr="003237ED" w:rsidRDefault="003237ED" w:rsidP="003237ED">
      <w:pPr>
        <w:spacing w:after="0" w:line="480" w:lineRule="auto"/>
        <w:rPr>
          <w:rFonts w:ascii="Arial" w:eastAsia="Times New Roman" w:hAnsi="Arial" w:cs="Arial"/>
          <w:sz w:val="24"/>
          <w:szCs w:val="24"/>
          <w:lang w:eastAsia="en-GB"/>
        </w:rPr>
      </w:pPr>
    </w:p>
    <w:p w14:paraId="0513E50E"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Cambridgeshire Constabulary (2021) </w:t>
      </w:r>
      <w:r w:rsidRPr="003237ED">
        <w:rPr>
          <w:rFonts w:ascii="Arial" w:eastAsia="Times New Roman" w:hAnsi="Arial" w:cs="Arial"/>
          <w:i/>
          <w:iCs/>
          <w:color w:val="000000"/>
          <w:sz w:val="24"/>
          <w:szCs w:val="24"/>
          <w:lang w:eastAsia="en-GB"/>
        </w:rPr>
        <w:t>Information for Victims</w:t>
      </w:r>
      <w:r w:rsidRPr="003237ED">
        <w:rPr>
          <w:rFonts w:ascii="Arial" w:eastAsia="Times New Roman" w:hAnsi="Arial" w:cs="Arial"/>
          <w:color w:val="000000"/>
          <w:sz w:val="24"/>
          <w:szCs w:val="24"/>
          <w:lang w:eastAsia="en-GB"/>
        </w:rPr>
        <w:t>.</w:t>
      </w:r>
    </w:p>
    <w:p w14:paraId="67470235"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9" w:history="1">
        <w:r w:rsidRPr="003237ED">
          <w:rPr>
            <w:rFonts w:ascii="Arial" w:eastAsia="Times New Roman" w:hAnsi="Arial" w:cs="Arial"/>
            <w:color w:val="1155CC"/>
            <w:sz w:val="24"/>
            <w:szCs w:val="24"/>
            <w:u w:val="single"/>
            <w:lang w:eastAsia="en-GB"/>
          </w:rPr>
          <w:t>https://www.cambs.police.uk/information-and-services/Victims-and-Witnesses/Victim-information</w:t>
        </w:r>
      </w:hyperlink>
      <w:r w:rsidRPr="003237ED">
        <w:rPr>
          <w:rFonts w:ascii="Arial" w:eastAsia="Times New Roman" w:hAnsi="Arial" w:cs="Arial"/>
          <w:color w:val="000000"/>
          <w:sz w:val="24"/>
          <w:szCs w:val="24"/>
          <w:lang w:eastAsia="en-GB"/>
        </w:rPr>
        <w:t> </w:t>
      </w:r>
    </w:p>
    <w:p w14:paraId="2A2C86F8"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05/10/2021)</w:t>
      </w:r>
    </w:p>
    <w:p w14:paraId="09429829" w14:textId="77777777" w:rsidR="003237ED" w:rsidRPr="003237ED" w:rsidRDefault="003237ED" w:rsidP="003237ED">
      <w:pPr>
        <w:spacing w:after="0" w:line="480" w:lineRule="auto"/>
        <w:rPr>
          <w:rFonts w:ascii="Arial" w:eastAsia="Times New Roman" w:hAnsi="Arial" w:cs="Arial"/>
          <w:sz w:val="24"/>
          <w:szCs w:val="24"/>
          <w:lang w:eastAsia="en-GB"/>
        </w:rPr>
      </w:pPr>
    </w:p>
    <w:p w14:paraId="5AD41BFC" w14:textId="77777777" w:rsidR="003237ED" w:rsidRPr="003237ED" w:rsidRDefault="003237ED" w:rsidP="003237ED">
      <w:pPr>
        <w:spacing w:after="0" w:line="480" w:lineRule="auto"/>
        <w:rPr>
          <w:rFonts w:ascii="Arial" w:eastAsia="Times New Roman" w:hAnsi="Arial" w:cs="Arial"/>
          <w:sz w:val="24"/>
          <w:szCs w:val="24"/>
          <w:lang w:eastAsia="en-GB"/>
        </w:rPr>
      </w:pPr>
      <w:proofErr w:type="spellStart"/>
      <w:r w:rsidRPr="003237ED">
        <w:rPr>
          <w:rFonts w:ascii="Arial" w:eastAsia="Times New Roman" w:hAnsi="Arial" w:cs="Arial"/>
          <w:color w:val="000000"/>
          <w:sz w:val="24"/>
          <w:szCs w:val="24"/>
          <w:lang w:eastAsia="en-GB"/>
        </w:rPr>
        <w:t>Carilli</w:t>
      </w:r>
      <w:proofErr w:type="spellEnd"/>
      <w:r w:rsidRPr="003237ED">
        <w:rPr>
          <w:rFonts w:ascii="Arial" w:eastAsia="Times New Roman" w:hAnsi="Arial" w:cs="Arial"/>
          <w:color w:val="000000"/>
          <w:sz w:val="24"/>
          <w:szCs w:val="24"/>
          <w:lang w:eastAsia="en-GB"/>
        </w:rPr>
        <w:t xml:space="preserve">, T and Campbell J (2005) </w:t>
      </w:r>
      <w:r w:rsidRPr="003237ED">
        <w:rPr>
          <w:rFonts w:ascii="Arial" w:eastAsia="Times New Roman" w:hAnsi="Arial" w:cs="Arial"/>
          <w:i/>
          <w:iCs/>
          <w:color w:val="000000"/>
          <w:sz w:val="24"/>
          <w:szCs w:val="24"/>
          <w:lang w:eastAsia="en-GB"/>
        </w:rPr>
        <w:t>Women and the Media: Diverse Perspectives</w:t>
      </w:r>
      <w:r w:rsidRPr="003237ED">
        <w:rPr>
          <w:rFonts w:ascii="Arial" w:eastAsia="Times New Roman" w:hAnsi="Arial" w:cs="Arial"/>
          <w:color w:val="000000"/>
          <w:sz w:val="24"/>
          <w:szCs w:val="24"/>
          <w:lang w:eastAsia="en-GB"/>
        </w:rPr>
        <w:t>, Maryland: University Press of America.</w:t>
      </w:r>
    </w:p>
    <w:p w14:paraId="16426A24" w14:textId="77777777" w:rsidR="003237ED" w:rsidRPr="003237ED" w:rsidRDefault="003237ED" w:rsidP="003237ED">
      <w:pPr>
        <w:spacing w:after="0" w:line="480" w:lineRule="auto"/>
        <w:rPr>
          <w:rFonts w:ascii="Arial" w:eastAsia="Times New Roman" w:hAnsi="Arial" w:cs="Arial"/>
          <w:sz w:val="24"/>
          <w:szCs w:val="24"/>
          <w:lang w:eastAsia="en-GB"/>
        </w:rPr>
      </w:pPr>
    </w:p>
    <w:p w14:paraId="0CEEA785"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Chahal, K (2017) ‘1 HATE CRIME BASICS’, </w:t>
      </w:r>
      <w:r w:rsidRPr="003237ED">
        <w:rPr>
          <w:rFonts w:ascii="Arial" w:eastAsia="Times New Roman" w:hAnsi="Arial" w:cs="Arial"/>
          <w:i/>
          <w:iCs/>
          <w:color w:val="000000"/>
          <w:sz w:val="24"/>
          <w:szCs w:val="24"/>
          <w:lang w:eastAsia="en-GB"/>
        </w:rPr>
        <w:t>A Practitioner Guide,</w:t>
      </w:r>
      <w:r w:rsidRPr="003237ED">
        <w:rPr>
          <w:rFonts w:ascii="Arial" w:eastAsia="Times New Roman" w:hAnsi="Arial" w:cs="Arial"/>
          <w:color w:val="000000"/>
          <w:sz w:val="24"/>
          <w:szCs w:val="24"/>
          <w:lang w:eastAsia="en-GB"/>
        </w:rPr>
        <w:t xml:space="preserve"> 1st ed, pp. 1 - 18.</w:t>
      </w:r>
    </w:p>
    <w:p w14:paraId="3A9D54E3"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10" w:history="1">
        <w:r w:rsidRPr="003237ED">
          <w:rPr>
            <w:rFonts w:ascii="Arial" w:eastAsia="Times New Roman" w:hAnsi="Arial" w:cs="Arial"/>
            <w:color w:val="1155CC"/>
            <w:sz w:val="24"/>
            <w:szCs w:val="24"/>
            <w:u w:val="single"/>
            <w:lang w:eastAsia="en-GB"/>
          </w:rPr>
          <w:t>https://www-jstor-org.ezproxy.uwtsd.ac.uk/stable/j.ctt1t8904s</w:t>
        </w:r>
      </w:hyperlink>
      <w:r w:rsidRPr="003237ED">
        <w:rPr>
          <w:rFonts w:ascii="Arial" w:eastAsia="Times New Roman" w:hAnsi="Arial" w:cs="Arial"/>
          <w:color w:val="000000"/>
          <w:sz w:val="24"/>
          <w:szCs w:val="24"/>
          <w:lang w:eastAsia="en-GB"/>
        </w:rPr>
        <w:t> </w:t>
      </w:r>
    </w:p>
    <w:p w14:paraId="40CE4B73"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16/10/2021)</w:t>
      </w:r>
    </w:p>
    <w:p w14:paraId="45316374" w14:textId="77777777" w:rsidR="003237ED" w:rsidRPr="003237ED" w:rsidRDefault="003237ED" w:rsidP="003237ED">
      <w:pPr>
        <w:spacing w:after="0" w:line="480" w:lineRule="auto"/>
        <w:rPr>
          <w:rFonts w:ascii="Arial" w:eastAsia="Times New Roman" w:hAnsi="Arial" w:cs="Arial"/>
          <w:sz w:val="24"/>
          <w:szCs w:val="24"/>
          <w:lang w:eastAsia="en-GB"/>
        </w:rPr>
      </w:pPr>
    </w:p>
    <w:p w14:paraId="12C12978"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Commission for Racial Equality (2005) </w:t>
      </w:r>
      <w:r w:rsidRPr="003237ED">
        <w:rPr>
          <w:rFonts w:ascii="Arial" w:eastAsia="Times New Roman" w:hAnsi="Arial" w:cs="Arial"/>
          <w:i/>
          <w:iCs/>
          <w:color w:val="000000"/>
          <w:sz w:val="24"/>
          <w:szCs w:val="24"/>
          <w:lang w:eastAsia="en-GB"/>
        </w:rPr>
        <w:t>The Police Service in England and Wales: Final Report of a Formal Investigation by the Commission for Racial Equality</w:t>
      </w:r>
      <w:r w:rsidRPr="003237ED">
        <w:rPr>
          <w:rFonts w:ascii="Arial" w:eastAsia="Times New Roman" w:hAnsi="Arial" w:cs="Arial"/>
          <w:color w:val="000000"/>
          <w:sz w:val="24"/>
          <w:szCs w:val="24"/>
          <w:lang w:eastAsia="en-GB"/>
        </w:rPr>
        <w:t>, London: Commission for Racial Equality.</w:t>
      </w:r>
    </w:p>
    <w:p w14:paraId="17608948"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11" w:history="1">
        <w:r w:rsidRPr="003237ED">
          <w:rPr>
            <w:rFonts w:ascii="Arial" w:eastAsia="Times New Roman" w:hAnsi="Arial" w:cs="Arial"/>
            <w:color w:val="1155CC"/>
            <w:sz w:val="24"/>
            <w:szCs w:val="24"/>
            <w:u w:val="single"/>
            <w:lang w:eastAsia="en-GB"/>
          </w:rPr>
          <w:t>https://assets.publishing.service.gov.uk/government/uploads/system/uploads/attachment_data/file/231753/1192.pdf</w:t>
        </w:r>
      </w:hyperlink>
      <w:r w:rsidRPr="003237ED">
        <w:rPr>
          <w:rFonts w:ascii="Arial" w:eastAsia="Times New Roman" w:hAnsi="Arial" w:cs="Arial"/>
          <w:color w:val="000000"/>
          <w:sz w:val="24"/>
          <w:szCs w:val="24"/>
          <w:lang w:eastAsia="en-GB"/>
        </w:rPr>
        <w:t> </w:t>
      </w:r>
    </w:p>
    <w:p w14:paraId="6D7F5AD5"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13/10/2021)</w:t>
      </w:r>
    </w:p>
    <w:p w14:paraId="49CC88C0" w14:textId="77777777" w:rsidR="003237ED" w:rsidRPr="003237ED" w:rsidRDefault="003237ED" w:rsidP="003237ED">
      <w:pPr>
        <w:spacing w:after="0" w:line="480" w:lineRule="auto"/>
        <w:rPr>
          <w:rFonts w:ascii="Arial" w:eastAsia="Times New Roman" w:hAnsi="Arial" w:cs="Arial"/>
          <w:sz w:val="24"/>
          <w:szCs w:val="24"/>
          <w:lang w:eastAsia="en-GB"/>
        </w:rPr>
      </w:pPr>
    </w:p>
    <w:p w14:paraId="46A712D4"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lastRenderedPageBreak/>
        <w:t xml:space="preserve">CPS (2017) </w:t>
      </w:r>
      <w:r w:rsidRPr="003237ED">
        <w:rPr>
          <w:rFonts w:ascii="Arial" w:eastAsia="Times New Roman" w:hAnsi="Arial" w:cs="Arial"/>
          <w:i/>
          <w:iCs/>
          <w:color w:val="000000"/>
          <w:sz w:val="24"/>
          <w:szCs w:val="24"/>
          <w:lang w:eastAsia="en-GB"/>
        </w:rPr>
        <w:t>Sexual Offences</w:t>
      </w:r>
      <w:r w:rsidRPr="003237ED">
        <w:rPr>
          <w:rFonts w:ascii="Arial" w:eastAsia="Times New Roman" w:hAnsi="Arial" w:cs="Arial"/>
          <w:color w:val="000000"/>
          <w:sz w:val="24"/>
          <w:szCs w:val="24"/>
          <w:lang w:eastAsia="en-GB"/>
        </w:rPr>
        <w:t>.</w:t>
      </w:r>
    </w:p>
    <w:p w14:paraId="128A2A22"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12" w:history="1">
        <w:r w:rsidRPr="003237ED">
          <w:rPr>
            <w:rFonts w:ascii="Arial" w:eastAsia="Times New Roman" w:hAnsi="Arial" w:cs="Arial"/>
            <w:color w:val="1155CC"/>
            <w:sz w:val="24"/>
            <w:szCs w:val="24"/>
            <w:u w:val="single"/>
            <w:lang w:eastAsia="en-GB"/>
          </w:rPr>
          <w:t>https://www.cps.gov.uk/crime-info/sexual-offences</w:t>
        </w:r>
      </w:hyperlink>
      <w:r w:rsidRPr="003237ED">
        <w:rPr>
          <w:rFonts w:ascii="Arial" w:eastAsia="Times New Roman" w:hAnsi="Arial" w:cs="Arial"/>
          <w:color w:val="000000"/>
          <w:sz w:val="24"/>
          <w:szCs w:val="24"/>
          <w:lang w:eastAsia="en-GB"/>
        </w:rPr>
        <w:t> </w:t>
      </w:r>
    </w:p>
    <w:p w14:paraId="597F0908"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16/10/2021)</w:t>
      </w:r>
    </w:p>
    <w:p w14:paraId="798A57F6" w14:textId="77777777" w:rsidR="003237ED" w:rsidRPr="003237ED" w:rsidRDefault="003237ED" w:rsidP="003237ED">
      <w:pPr>
        <w:spacing w:after="0" w:line="480" w:lineRule="auto"/>
        <w:rPr>
          <w:rFonts w:ascii="Arial" w:eastAsia="Times New Roman" w:hAnsi="Arial" w:cs="Arial"/>
          <w:sz w:val="24"/>
          <w:szCs w:val="24"/>
          <w:lang w:eastAsia="en-GB"/>
        </w:rPr>
      </w:pPr>
    </w:p>
    <w:p w14:paraId="4B5D7353"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Criminal Justice Act (1948) c.58</w:t>
      </w:r>
    </w:p>
    <w:p w14:paraId="5B1E13D6"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13" w:history="1">
        <w:r w:rsidRPr="003237ED">
          <w:rPr>
            <w:rFonts w:ascii="Arial" w:eastAsia="Times New Roman" w:hAnsi="Arial" w:cs="Arial"/>
            <w:color w:val="1155CC"/>
            <w:sz w:val="24"/>
            <w:szCs w:val="24"/>
            <w:u w:val="single"/>
            <w:lang w:eastAsia="en-GB"/>
          </w:rPr>
          <w:t>https://www.legislation.gov.uk/ukpga/Geo6/11-12/58/contents</w:t>
        </w:r>
      </w:hyperlink>
      <w:r w:rsidRPr="003237ED">
        <w:rPr>
          <w:rFonts w:ascii="Arial" w:eastAsia="Times New Roman" w:hAnsi="Arial" w:cs="Arial"/>
          <w:color w:val="000000"/>
          <w:sz w:val="24"/>
          <w:szCs w:val="24"/>
          <w:lang w:eastAsia="en-GB"/>
        </w:rPr>
        <w:t> </w:t>
      </w:r>
    </w:p>
    <w:p w14:paraId="2BEBED08"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03/10/2021)</w:t>
      </w:r>
    </w:p>
    <w:p w14:paraId="14F12227" w14:textId="77777777" w:rsidR="003237ED" w:rsidRPr="003237ED" w:rsidRDefault="003237ED" w:rsidP="003237ED">
      <w:pPr>
        <w:spacing w:after="0" w:line="480" w:lineRule="auto"/>
        <w:rPr>
          <w:rFonts w:ascii="Arial" w:eastAsia="Times New Roman" w:hAnsi="Arial" w:cs="Arial"/>
          <w:sz w:val="24"/>
          <w:szCs w:val="24"/>
          <w:lang w:eastAsia="en-GB"/>
        </w:rPr>
      </w:pPr>
    </w:p>
    <w:p w14:paraId="01B7E845"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Criminal Justice Act (1967) c.80</w:t>
      </w:r>
    </w:p>
    <w:p w14:paraId="07565817"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14" w:history="1">
        <w:r w:rsidRPr="003237ED">
          <w:rPr>
            <w:rFonts w:ascii="Arial" w:eastAsia="Times New Roman" w:hAnsi="Arial" w:cs="Arial"/>
            <w:color w:val="1155CC"/>
            <w:sz w:val="24"/>
            <w:szCs w:val="24"/>
            <w:u w:val="single"/>
            <w:lang w:eastAsia="en-GB"/>
          </w:rPr>
          <w:t>https://www.legislation.gov.uk/ukpga/1967/80</w:t>
        </w:r>
      </w:hyperlink>
      <w:r w:rsidRPr="003237ED">
        <w:rPr>
          <w:rFonts w:ascii="Arial" w:eastAsia="Times New Roman" w:hAnsi="Arial" w:cs="Arial"/>
          <w:color w:val="000000"/>
          <w:sz w:val="24"/>
          <w:szCs w:val="24"/>
          <w:lang w:eastAsia="en-GB"/>
        </w:rPr>
        <w:t> </w:t>
      </w:r>
    </w:p>
    <w:p w14:paraId="167E269A"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03/10/2021)</w:t>
      </w:r>
    </w:p>
    <w:p w14:paraId="009BADEB" w14:textId="77777777" w:rsidR="003237ED" w:rsidRPr="003237ED" w:rsidRDefault="003237ED" w:rsidP="003237ED">
      <w:pPr>
        <w:spacing w:after="0" w:line="480" w:lineRule="auto"/>
        <w:rPr>
          <w:rFonts w:ascii="Arial" w:eastAsia="Times New Roman" w:hAnsi="Arial" w:cs="Arial"/>
          <w:sz w:val="24"/>
          <w:szCs w:val="24"/>
          <w:lang w:eastAsia="en-GB"/>
        </w:rPr>
      </w:pPr>
    </w:p>
    <w:p w14:paraId="6F6BBBA4"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Crown Prosecution Service (2017) </w:t>
      </w:r>
      <w:r w:rsidRPr="003237ED">
        <w:rPr>
          <w:rFonts w:ascii="Arial" w:eastAsia="Times New Roman" w:hAnsi="Arial" w:cs="Arial"/>
          <w:i/>
          <w:iCs/>
          <w:color w:val="000000"/>
          <w:sz w:val="24"/>
          <w:szCs w:val="24"/>
          <w:lang w:eastAsia="en-GB"/>
        </w:rPr>
        <w:t>The Criminal Justice System</w:t>
      </w:r>
      <w:r w:rsidRPr="003237ED">
        <w:rPr>
          <w:rFonts w:ascii="Arial" w:eastAsia="Times New Roman" w:hAnsi="Arial" w:cs="Arial"/>
          <w:color w:val="000000"/>
          <w:sz w:val="24"/>
          <w:szCs w:val="24"/>
          <w:lang w:eastAsia="en-GB"/>
        </w:rPr>
        <w:t>.</w:t>
      </w:r>
    </w:p>
    <w:p w14:paraId="130A6BAB"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15" w:history="1">
        <w:r w:rsidRPr="003237ED">
          <w:rPr>
            <w:rFonts w:ascii="Arial" w:eastAsia="Times New Roman" w:hAnsi="Arial" w:cs="Arial"/>
            <w:color w:val="1155CC"/>
            <w:sz w:val="24"/>
            <w:szCs w:val="24"/>
            <w:u w:val="single"/>
            <w:lang w:eastAsia="en-GB"/>
          </w:rPr>
          <w:t>https://www.cps.gov.uk/about-cps/criminal-justice-system</w:t>
        </w:r>
      </w:hyperlink>
      <w:r w:rsidRPr="003237ED">
        <w:rPr>
          <w:rFonts w:ascii="Arial" w:eastAsia="Times New Roman" w:hAnsi="Arial" w:cs="Arial"/>
          <w:color w:val="000000"/>
          <w:sz w:val="24"/>
          <w:szCs w:val="24"/>
          <w:lang w:eastAsia="en-GB"/>
        </w:rPr>
        <w:t> </w:t>
      </w:r>
    </w:p>
    <w:p w14:paraId="11D147BB"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03/10/2021)</w:t>
      </w:r>
    </w:p>
    <w:p w14:paraId="24B984C9" w14:textId="77777777" w:rsidR="003237ED" w:rsidRPr="003237ED" w:rsidRDefault="003237ED" w:rsidP="003237ED">
      <w:pPr>
        <w:spacing w:after="0" w:line="480" w:lineRule="auto"/>
        <w:rPr>
          <w:rFonts w:ascii="Arial" w:eastAsia="Times New Roman" w:hAnsi="Arial" w:cs="Arial"/>
          <w:sz w:val="24"/>
          <w:szCs w:val="24"/>
          <w:lang w:eastAsia="en-GB"/>
        </w:rPr>
      </w:pPr>
    </w:p>
    <w:p w14:paraId="7C27E12B"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Criminal Justice System (2010) </w:t>
      </w:r>
      <w:r w:rsidRPr="003237ED">
        <w:rPr>
          <w:rFonts w:ascii="Arial" w:eastAsia="Times New Roman" w:hAnsi="Arial" w:cs="Arial"/>
          <w:i/>
          <w:iCs/>
          <w:color w:val="000000"/>
          <w:sz w:val="24"/>
          <w:szCs w:val="24"/>
          <w:lang w:eastAsia="en-GB"/>
        </w:rPr>
        <w:t>Aims and Objectives</w:t>
      </w:r>
      <w:r w:rsidRPr="003237ED">
        <w:rPr>
          <w:rFonts w:ascii="Arial" w:eastAsia="Times New Roman" w:hAnsi="Arial" w:cs="Arial"/>
          <w:color w:val="000000"/>
          <w:sz w:val="24"/>
          <w:szCs w:val="24"/>
          <w:lang w:eastAsia="en-GB"/>
        </w:rPr>
        <w:t>.</w:t>
      </w:r>
    </w:p>
    <w:p w14:paraId="20F619C5"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16" w:history="1">
        <w:r w:rsidRPr="003237ED">
          <w:rPr>
            <w:rFonts w:ascii="Arial" w:eastAsia="Times New Roman" w:hAnsi="Arial" w:cs="Arial"/>
            <w:color w:val="1155CC"/>
            <w:sz w:val="24"/>
            <w:szCs w:val="24"/>
            <w:u w:val="single"/>
            <w:lang w:eastAsia="en-GB"/>
          </w:rPr>
          <w:t>https://webarchive.nationalarchives.gov.uk/ukgwa/20100920201828/http://www.cjsonline.gov.uk/aims_and_objectives/</w:t>
        </w:r>
      </w:hyperlink>
      <w:r w:rsidRPr="003237ED">
        <w:rPr>
          <w:rFonts w:ascii="Arial" w:eastAsia="Times New Roman" w:hAnsi="Arial" w:cs="Arial"/>
          <w:color w:val="000000"/>
          <w:sz w:val="24"/>
          <w:szCs w:val="24"/>
          <w:lang w:eastAsia="en-GB"/>
        </w:rPr>
        <w:t> </w:t>
      </w:r>
    </w:p>
    <w:p w14:paraId="1C476AD1"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03/10/2021)</w:t>
      </w:r>
    </w:p>
    <w:p w14:paraId="7AD99C01" w14:textId="77777777" w:rsidR="003237ED" w:rsidRPr="003237ED" w:rsidRDefault="003237ED" w:rsidP="003237ED">
      <w:pPr>
        <w:spacing w:after="0" w:line="480" w:lineRule="auto"/>
        <w:rPr>
          <w:rFonts w:ascii="Arial" w:eastAsia="Times New Roman" w:hAnsi="Arial" w:cs="Arial"/>
          <w:sz w:val="24"/>
          <w:szCs w:val="24"/>
          <w:lang w:eastAsia="en-GB"/>
        </w:rPr>
      </w:pPr>
    </w:p>
    <w:p w14:paraId="0942C887"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Davies, M, </w:t>
      </w:r>
      <w:proofErr w:type="spellStart"/>
      <w:r w:rsidRPr="003237ED">
        <w:rPr>
          <w:rFonts w:ascii="Arial" w:eastAsia="Times New Roman" w:hAnsi="Arial" w:cs="Arial"/>
          <w:color w:val="000000"/>
          <w:sz w:val="24"/>
          <w:szCs w:val="24"/>
          <w:lang w:eastAsia="en-GB"/>
        </w:rPr>
        <w:t>Croall</w:t>
      </w:r>
      <w:proofErr w:type="spellEnd"/>
      <w:r w:rsidRPr="003237ED">
        <w:rPr>
          <w:rFonts w:ascii="Arial" w:eastAsia="Times New Roman" w:hAnsi="Arial" w:cs="Arial"/>
          <w:color w:val="000000"/>
          <w:sz w:val="24"/>
          <w:szCs w:val="24"/>
          <w:lang w:eastAsia="en-GB"/>
        </w:rPr>
        <w:t xml:space="preserve">, H, </w:t>
      </w:r>
      <w:proofErr w:type="spellStart"/>
      <w:r w:rsidRPr="003237ED">
        <w:rPr>
          <w:rFonts w:ascii="Arial" w:eastAsia="Times New Roman" w:hAnsi="Arial" w:cs="Arial"/>
          <w:color w:val="000000"/>
          <w:sz w:val="24"/>
          <w:szCs w:val="24"/>
          <w:lang w:eastAsia="en-GB"/>
        </w:rPr>
        <w:t>Tyrer</w:t>
      </w:r>
      <w:proofErr w:type="spellEnd"/>
      <w:r w:rsidRPr="003237ED">
        <w:rPr>
          <w:rFonts w:ascii="Arial" w:eastAsia="Times New Roman" w:hAnsi="Arial" w:cs="Arial"/>
          <w:color w:val="000000"/>
          <w:sz w:val="24"/>
          <w:szCs w:val="24"/>
          <w:lang w:eastAsia="en-GB"/>
        </w:rPr>
        <w:t>, J (2005</w:t>
      </w:r>
      <w:proofErr w:type="gramStart"/>
      <w:r w:rsidRPr="003237ED">
        <w:rPr>
          <w:rFonts w:ascii="Arial" w:eastAsia="Times New Roman" w:hAnsi="Arial" w:cs="Arial"/>
          <w:color w:val="000000"/>
          <w:sz w:val="24"/>
          <w:szCs w:val="24"/>
          <w:lang w:eastAsia="en-GB"/>
        </w:rPr>
        <w:t xml:space="preserve">)  </w:t>
      </w:r>
      <w:r w:rsidRPr="003237ED">
        <w:rPr>
          <w:rFonts w:ascii="Arial" w:eastAsia="Times New Roman" w:hAnsi="Arial" w:cs="Arial"/>
          <w:i/>
          <w:iCs/>
          <w:color w:val="000000"/>
          <w:sz w:val="24"/>
          <w:szCs w:val="24"/>
          <w:lang w:eastAsia="en-GB"/>
        </w:rPr>
        <w:t>Criminal</w:t>
      </w:r>
      <w:proofErr w:type="gramEnd"/>
      <w:r w:rsidRPr="003237ED">
        <w:rPr>
          <w:rFonts w:ascii="Arial" w:eastAsia="Times New Roman" w:hAnsi="Arial" w:cs="Arial"/>
          <w:i/>
          <w:iCs/>
          <w:color w:val="000000"/>
          <w:sz w:val="24"/>
          <w:szCs w:val="24"/>
          <w:lang w:eastAsia="en-GB"/>
        </w:rPr>
        <w:t xml:space="preserve"> Justice: An Introduction to the Criminal Justice System in England</w:t>
      </w:r>
      <w:r w:rsidRPr="003237ED">
        <w:rPr>
          <w:rFonts w:ascii="Arial" w:eastAsia="Times New Roman" w:hAnsi="Arial" w:cs="Arial"/>
          <w:color w:val="000000"/>
          <w:sz w:val="24"/>
          <w:szCs w:val="24"/>
          <w:lang w:eastAsia="en-GB"/>
        </w:rPr>
        <w:t>, Essex: Pearson Education.</w:t>
      </w:r>
    </w:p>
    <w:p w14:paraId="6213A7C0" w14:textId="77777777" w:rsidR="003237ED" w:rsidRPr="003237ED" w:rsidRDefault="003237ED" w:rsidP="003237ED">
      <w:pPr>
        <w:spacing w:after="0" w:line="480" w:lineRule="auto"/>
        <w:rPr>
          <w:rFonts w:ascii="Arial" w:eastAsia="Times New Roman" w:hAnsi="Arial" w:cs="Arial"/>
          <w:sz w:val="24"/>
          <w:szCs w:val="24"/>
          <w:lang w:eastAsia="en-GB"/>
        </w:rPr>
      </w:pPr>
    </w:p>
    <w:p w14:paraId="2717603F"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lastRenderedPageBreak/>
        <w:t xml:space="preserve">Davies, P, Francis, P, Greer, C (2017) </w:t>
      </w:r>
      <w:r w:rsidRPr="003237ED">
        <w:rPr>
          <w:rFonts w:ascii="Arial" w:eastAsia="Times New Roman" w:hAnsi="Arial" w:cs="Arial"/>
          <w:i/>
          <w:iCs/>
          <w:color w:val="000000"/>
          <w:sz w:val="24"/>
          <w:szCs w:val="24"/>
          <w:lang w:eastAsia="en-GB"/>
        </w:rPr>
        <w:t>Victims, Crime and Society: An Introduction</w:t>
      </w:r>
      <w:r w:rsidRPr="003237ED">
        <w:rPr>
          <w:rFonts w:ascii="Arial" w:eastAsia="Times New Roman" w:hAnsi="Arial" w:cs="Arial"/>
          <w:color w:val="000000"/>
          <w:sz w:val="24"/>
          <w:szCs w:val="24"/>
          <w:lang w:eastAsia="en-GB"/>
        </w:rPr>
        <w:t>, California: SAGE.</w:t>
      </w:r>
    </w:p>
    <w:p w14:paraId="46D40F27" w14:textId="77777777" w:rsidR="003237ED" w:rsidRPr="003237ED" w:rsidRDefault="003237ED" w:rsidP="003237ED">
      <w:pPr>
        <w:spacing w:after="0" w:line="480" w:lineRule="auto"/>
        <w:rPr>
          <w:rFonts w:ascii="Arial" w:eastAsia="Times New Roman" w:hAnsi="Arial" w:cs="Arial"/>
          <w:sz w:val="24"/>
          <w:szCs w:val="24"/>
          <w:lang w:eastAsia="en-GB"/>
        </w:rPr>
      </w:pPr>
    </w:p>
    <w:p w14:paraId="505622D5"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Dick, C (2020) </w:t>
      </w:r>
      <w:r w:rsidRPr="003237ED">
        <w:rPr>
          <w:rFonts w:ascii="Arial" w:eastAsia="Times New Roman" w:hAnsi="Arial" w:cs="Arial"/>
          <w:i/>
          <w:iCs/>
          <w:color w:val="000000"/>
          <w:sz w:val="24"/>
          <w:szCs w:val="24"/>
          <w:lang w:eastAsia="en-GB"/>
        </w:rPr>
        <w:t>A statement by Commissioner Cressida Dick on working with all of London’s communities to build further trust and confidence in police</w:t>
      </w:r>
      <w:r w:rsidRPr="003237ED">
        <w:rPr>
          <w:rFonts w:ascii="Arial" w:eastAsia="Times New Roman" w:hAnsi="Arial" w:cs="Arial"/>
          <w:color w:val="000000"/>
          <w:sz w:val="24"/>
          <w:szCs w:val="24"/>
          <w:lang w:eastAsia="en-GB"/>
        </w:rPr>
        <w:t>.</w:t>
      </w:r>
    </w:p>
    <w:p w14:paraId="13833327"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17" w:history="1">
        <w:r w:rsidRPr="003237ED">
          <w:rPr>
            <w:rFonts w:ascii="Arial" w:eastAsia="Times New Roman" w:hAnsi="Arial" w:cs="Arial"/>
            <w:color w:val="1155CC"/>
            <w:sz w:val="24"/>
            <w:szCs w:val="24"/>
            <w:u w:val="single"/>
            <w:lang w:eastAsia="en-GB"/>
          </w:rPr>
          <w:t>https://www.met.police.uk/notices/met/commissioner-statement-working-with-londons-communities-build-further-trust-confidence-police/</w:t>
        </w:r>
      </w:hyperlink>
      <w:r w:rsidRPr="003237ED">
        <w:rPr>
          <w:rFonts w:ascii="Arial" w:eastAsia="Times New Roman" w:hAnsi="Arial" w:cs="Arial"/>
          <w:color w:val="000000"/>
          <w:sz w:val="24"/>
          <w:szCs w:val="24"/>
          <w:lang w:eastAsia="en-GB"/>
        </w:rPr>
        <w:t> </w:t>
      </w:r>
    </w:p>
    <w:p w14:paraId="2B4E169E"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10/10/2021)</w:t>
      </w:r>
    </w:p>
    <w:p w14:paraId="6DC66EC2" w14:textId="77777777" w:rsidR="003237ED" w:rsidRPr="003237ED" w:rsidRDefault="003237ED" w:rsidP="003237ED">
      <w:pPr>
        <w:spacing w:after="0" w:line="480" w:lineRule="auto"/>
        <w:rPr>
          <w:rFonts w:ascii="Arial" w:eastAsia="Times New Roman" w:hAnsi="Arial" w:cs="Arial"/>
          <w:sz w:val="24"/>
          <w:szCs w:val="24"/>
          <w:lang w:eastAsia="en-GB"/>
        </w:rPr>
      </w:pPr>
    </w:p>
    <w:p w14:paraId="7093EDA1"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Domestic Violence, Crime and Victims Act (2004) c.28.</w:t>
      </w:r>
    </w:p>
    <w:p w14:paraId="76101BB7"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18" w:history="1">
        <w:r w:rsidRPr="003237ED">
          <w:rPr>
            <w:rFonts w:ascii="Arial" w:eastAsia="Times New Roman" w:hAnsi="Arial" w:cs="Arial"/>
            <w:color w:val="1155CC"/>
            <w:sz w:val="24"/>
            <w:szCs w:val="24"/>
            <w:u w:val="single"/>
            <w:lang w:eastAsia="en-GB"/>
          </w:rPr>
          <w:t>https://www.legislation.gov.uk/ukpga/2004/28/contents</w:t>
        </w:r>
      </w:hyperlink>
      <w:r w:rsidRPr="003237ED">
        <w:rPr>
          <w:rFonts w:ascii="Arial" w:eastAsia="Times New Roman" w:hAnsi="Arial" w:cs="Arial"/>
          <w:color w:val="000000"/>
          <w:sz w:val="24"/>
          <w:szCs w:val="24"/>
          <w:lang w:eastAsia="en-GB"/>
        </w:rPr>
        <w:t> </w:t>
      </w:r>
    </w:p>
    <w:p w14:paraId="630440C7"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16/10/2021)</w:t>
      </w:r>
    </w:p>
    <w:p w14:paraId="3535F187" w14:textId="77777777" w:rsidR="003237ED" w:rsidRPr="003237ED" w:rsidRDefault="003237ED" w:rsidP="003237ED">
      <w:pPr>
        <w:spacing w:after="0" w:line="480" w:lineRule="auto"/>
        <w:rPr>
          <w:rFonts w:ascii="Arial" w:eastAsia="Times New Roman" w:hAnsi="Arial" w:cs="Arial"/>
          <w:sz w:val="24"/>
          <w:szCs w:val="24"/>
          <w:lang w:eastAsia="en-GB"/>
        </w:rPr>
      </w:pPr>
    </w:p>
    <w:p w14:paraId="717F9CB6"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Equality Act (2010) c. 15</w:t>
      </w:r>
    </w:p>
    <w:p w14:paraId="47ABD5B2"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19" w:history="1">
        <w:r w:rsidRPr="003237ED">
          <w:rPr>
            <w:rFonts w:ascii="Arial" w:eastAsia="Times New Roman" w:hAnsi="Arial" w:cs="Arial"/>
            <w:color w:val="1155CC"/>
            <w:sz w:val="24"/>
            <w:szCs w:val="24"/>
            <w:u w:val="single"/>
            <w:lang w:eastAsia="en-GB"/>
          </w:rPr>
          <w:t>https://www.legislation.gov.uk/ukpga/2010/15/section/13</w:t>
        </w:r>
      </w:hyperlink>
      <w:r w:rsidRPr="003237ED">
        <w:rPr>
          <w:rFonts w:ascii="Arial" w:eastAsia="Times New Roman" w:hAnsi="Arial" w:cs="Arial"/>
          <w:color w:val="000000"/>
          <w:sz w:val="24"/>
          <w:szCs w:val="24"/>
          <w:lang w:eastAsia="en-GB"/>
        </w:rPr>
        <w:t> </w:t>
      </w:r>
    </w:p>
    <w:p w14:paraId="2631F6F1"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07/10/2021)</w:t>
      </w:r>
    </w:p>
    <w:p w14:paraId="65DB36E4" w14:textId="77777777" w:rsidR="003237ED" w:rsidRPr="003237ED" w:rsidRDefault="003237ED" w:rsidP="003237ED">
      <w:pPr>
        <w:spacing w:after="0" w:line="480" w:lineRule="auto"/>
        <w:rPr>
          <w:rFonts w:ascii="Arial" w:eastAsia="Times New Roman" w:hAnsi="Arial" w:cs="Arial"/>
          <w:sz w:val="24"/>
          <w:szCs w:val="24"/>
          <w:lang w:eastAsia="en-GB"/>
        </w:rPr>
      </w:pPr>
    </w:p>
    <w:p w14:paraId="25D5C3A3"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Equality and Human Rights Commission (2018) </w:t>
      </w:r>
      <w:r w:rsidRPr="003237ED">
        <w:rPr>
          <w:rFonts w:ascii="Arial" w:eastAsia="Times New Roman" w:hAnsi="Arial" w:cs="Arial"/>
          <w:i/>
          <w:iCs/>
          <w:color w:val="000000"/>
          <w:sz w:val="24"/>
          <w:szCs w:val="24"/>
          <w:lang w:eastAsia="en-GB"/>
        </w:rPr>
        <w:t>The Human Rights Act</w:t>
      </w:r>
      <w:r w:rsidRPr="003237ED">
        <w:rPr>
          <w:rFonts w:ascii="Arial" w:eastAsia="Times New Roman" w:hAnsi="Arial" w:cs="Arial"/>
          <w:color w:val="000000"/>
          <w:sz w:val="24"/>
          <w:szCs w:val="24"/>
          <w:lang w:eastAsia="en-GB"/>
        </w:rPr>
        <w:t>.</w:t>
      </w:r>
    </w:p>
    <w:p w14:paraId="14BF12E4"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20" w:history="1">
        <w:r w:rsidRPr="003237ED">
          <w:rPr>
            <w:rFonts w:ascii="Arial" w:eastAsia="Times New Roman" w:hAnsi="Arial" w:cs="Arial"/>
            <w:color w:val="1155CC"/>
            <w:sz w:val="24"/>
            <w:szCs w:val="24"/>
            <w:u w:val="single"/>
            <w:lang w:eastAsia="en-GB"/>
          </w:rPr>
          <w:t>https://www.equalityhumanrights.com/en/human-rights/human-rights-act</w:t>
        </w:r>
      </w:hyperlink>
      <w:r w:rsidRPr="003237ED">
        <w:rPr>
          <w:rFonts w:ascii="Arial" w:eastAsia="Times New Roman" w:hAnsi="Arial" w:cs="Arial"/>
          <w:color w:val="000000"/>
          <w:sz w:val="24"/>
          <w:szCs w:val="24"/>
          <w:lang w:eastAsia="en-GB"/>
        </w:rPr>
        <w:t> </w:t>
      </w:r>
    </w:p>
    <w:p w14:paraId="01448408"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15/10/2021)</w:t>
      </w:r>
    </w:p>
    <w:p w14:paraId="3C89DA28" w14:textId="77777777" w:rsidR="003237ED" w:rsidRPr="003237ED" w:rsidRDefault="003237ED" w:rsidP="003237ED">
      <w:pPr>
        <w:spacing w:after="0" w:line="480" w:lineRule="auto"/>
        <w:rPr>
          <w:rFonts w:ascii="Arial" w:eastAsia="Times New Roman" w:hAnsi="Arial" w:cs="Arial"/>
          <w:sz w:val="24"/>
          <w:szCs w:val="24"/>
          <w:lang w:eastAsia="en-GB"/>
        </w:rPr>
      </w:pPr>
    </w:p>
    <w:p w14:paraId="0F8313AA"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Equality and Human Rights Commission (2019) </w:t>
      </w:r>
      <w:r w:rsidRPr="003237ED">
        <w:rPr>
          <w:rFonts w:ascii="Arial" w:eastAsia="Times New Roman" w:hAnsi="Arial" w:cs="Arial"/>
          <w:i/>
          <w:iCs/>
          <w:color w:val="000000"/>
          <w:sz w:val="24"/>
          <w:szCs w:val="24"/>
          <w:lang w:eastAsia="en-GB"/>
        </w:rPr>
        <w:t>What is victimisation?</w:t>
      </w:r>
    </w:p>
    <w:p w14:paraId="32962B9D"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21" w:history="1">
        <w:r w:rsidRPr="003237ED">
          <w:rPr>
            <w:rFonts w:ascii="Arial" w:eastAsia="Times New Roman" w:hAnsi="Arial" w:cs="Arial"/>
            <w:color w:val="1155CC"/>
            <w:sz w:val="24"/>
            <w:szCs w:val="24"/>
            <w:u w:val="single"/>
            <w:lang w:eastAsia="en-GB"/>
          </w:rPr>
          <w:t>https://www.equalityhumanrights.com/en/advice-and-guidance/what-victimisation</w:t>
        </w:r>
      </w:hyperlink>
      <w:r w:rsidRPr="003237ED">
        <w:rPr>
          <w:rFonts w:ascii="Arial" w:eastAsia="Times New Roman" w:hAnsi="Arial" w:cs="Arial"/>
          <w:color w:val="000000"/>
          <w:sz w:val="24"/>
          <w:szCs w:val="24"/>
          <w:lang w:eastAsia="en-GB"/>
        </w:rPr>
        <w:t> </w:t>
      </w:r>
    </w:p>
    <w:p w14:paraId="4613EB1E"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lastRenderedPageBreak/>
        <w:t>(Accessed: 07/10/2021)</w:t>
      </w:r>
    </w:p>
    <w:p w14:paraId="052FC9E0" w14:textId="77777777" w:rsidR="003237ED" w:rsidRPr="003237ED" w:rsidRDefault="003237ED" w:rsidP="003237ED">
      <w:pPr>
        <w:spacing w:after="0" w:line="480" w:lineRule="auto"/>
        <w:rPr>
          <w:rFonts w:ascii="Arial" w:eastAsia="Times New Roman" w:hAnsi="Arial" w:cs="Arial"/>
          <w:sz w:val="24"/>
          <w:szCs w:val="24"/>
          <w:lang w:eastAsia="en-GB"/>
        </w:rPr>
      </w:pPr>
    </w:p>
    <w:p w14:paraId="1560400A"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Fielding, N, Bullock, K, </w:t>
      </w:r>
      <w:proofErr w:type="spellStart"/>
      <w:r w:rsidRPr="003237ED">
        <w:rPr>
          <w:rFonts w:ascii="Arial" w:eastAsia="Times New Roman" w:hAnsi="Arial" w:cs="Arial"/>
          <w:color w:val="000000"/>
          <w:sz w:val="24"/>
          <w:szCs w:val="24"/>
          <w:lang w:eastAsia="en-GB"/>
        </w:rPr>
        <w:t>Holdaway</w:t>
      </w:r>
      <w:proofErr w:type="spellEnd"/>
      <w:r w:rsidRPr="003237ED">
        <w:rPr>
          <w:rFonts w:ascii="Arial" w:eastAsia="Times New Roman" w:hAnsi="Arial" w:cs="Arial"/>
          <w:color w:val="000000"/>
          <w:sz w:val="24"/>
          <w:szCs w:val="24"/>
          <w:lang w:eastAsia="en-GB"/>
        </w:rPr>
        <w:t xml:space="preserve">, S (2019) </w:t>
      </w:r>
      <w:r w:rsidRPr="003237ED">
        <w:rPr>
          <w:rFonts w:ascii="Arial" w:eastAsia="Times New Roman" w:hAnsi="Arial" w:cs="Arial"/>
          <w:i/>
          <w:iCs/>
          <w:color w:val="000000"/>
          <w:sz w:val="24"/>
          <w:szCs w:val="24"/>
          <w:lang w:eastAsia="en-GB"/>
        </w:rPr>
        <w:t xml:space="preserve">Critical Reflections on Evidence-Based Policing </w:t>
      </w:r>
      <w:r w:rsidRPr="003237ED">
        <w:rPr>
          <w:rFonts w:ascii="Arial" w:eastAsia="Times New Roman" w:hAnsi="Arial" w:cs="Arial"/>
          <w:color w:val="000000"/>
          <w:sz w:val="24"/>
          <w:szCs w:val="24"/>
          <w:lang w:eastAsia="en-GB"/>
        </w:rPr>
        <w:t>(1st ed.) Oxford: Routledge.</w:t>
      </w:r>
    </w:p>
    <w:p w14:paraId="288572D0" w14:textId="77777777" w:rsidR="003237ED" w:rsidRPr="003237ED" w:rsidRDefault="003237ED" w:rsidP="003237ED">
      <w:pPr>
        <w:spacing w:after="0" w:line="480" w:lineRule="auto"/>
        <w:rPr>
          <w:rFonts w:ascii="Arial" w:eastAsia="Times New Roman" w:hAnsi="Arial" w:cs="Arial"/>
          <w:sz w:val="24"/>
          <w:szCs w:val="24"/>
          <w:lang w:eastAsia="en-GB"/>
        </w:rPr>
      </w:pPr>
    </w:p>
    <w:p w14:paraId="22924B5D"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FitzGerald, M and Hale, C (1996) </w:t>
      </w:r>
      <w:r w:rsidRPr="003237ED">
        <w:rPr>
          <w:rFonts w:ascii="Arial" w:eastAsia="Times New Roman" w:hAnsi="Arial" w:cs="Arial"/>
          <w:i/>
          <w:iCs/>
          <w:color w:val="000000"/>
          <w:sz w:val="24"/>
          <w:szCs w:val="24"/>
          <w:lang w:eastAsia="en-GB"/>
        </w:rPr>
        <w:t>Ethnic Minorities, Victimisation and Racial Harassment</w:t>
      </w:r>
      <w:r w:rsidRPr="003237ED">
        <w:rPr>
          <w:rFonts w:ascii="Arial" w:eastAsia="Times New Roman" w:hAnsi="Arial" w:cs="Arial"/>
          <w:color w:val="000000"/>
          <w:sz w:val="24"/>
          <w:szCs w:val="24"/>
          <w:lang w:eastAsia="en-GB"/>
        </w:rPr>
        <w:t>.</w:t>
      </w:r>
    </w:p>
    <w:p w14:paraId="6161F24B"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22" w:history="1">
        <w:r w:rsidRPr="003237ED">
          <w:rPr>
            <w:rFonts w:ascii="Arial" w:eastAsia="Times New Roman" w:hAnsi="Arial" w:cs="Arial"/>
            <w:color w:val="1155CC"/>
            <w:sz w:val="24"/>
            <w:szCs w:val="24"/>
            <w:u w:val="single"/>
            <w:lang w:eastAsia="en-GB"/>
          </w:rPr>
          <w:t>https://www.ojp.gov/ncjrs/virtual-library/abstracts/ethnic-minorities-victimisation-and-racial-harassment</w:t>
        </w:r>
      </w:hyperlink>
      <w:r w:rsidRPr="003237ED">
        <w:rPr>
          <w:rFonts w:ascii="Arial" w:eastAsia="Times New Roman" w:hAnsi="Arial" w:cs="Arial"/>
          <w:color w:val="000000"/>
          <w:sz w:val="24"/>
          <w:szCs w:val="24"/>
          <w:lang w:eastAsia="en-GB"/>
        </w:rPr>
        <w:t> </w:t>
      </w:r>
    </w:p>
    <w:p w14:paraId="05991A57"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15/10/2021)</w:t>
      </w:r>
    </w:p>
    <w:p w14:paraId="5D942F14" w14:textId="77777777" w:rsidR="003237ED" w:rsidRPr="003237ED" w:rsidRDefault="003237ED" w:rsidP="003237ED">
      <w:pPr>
        <w:spacing w:after="0" w:line="480" w:lineRule="auto"/>
        <w:rPr>
          <w:rFonts w:ascii="Arial" w:eastAsia="Times New Roman" w:hAnsi="Arial" w:cs="Arial"/>
          <w:sz w:val="24"/>
          <w:szCs w:val="24"/>
          <w:lang w:eastAsia="en-GB"/>
        </w:rPr>
      </w:pPr>
    </w:p>
    <w:p w14:paraId="18DF0A4E"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Gay, M. J, Holton, C, Thomas, M. S (1975) ‘Helping the Victims’, </w:t>
      </w:r>
      <w:r w:rsidRPr="003237ED">
        <w:rPr>
          <w:rFonts w:ascii="Arial" w:eastAsia="Times New Roman" w:hAnsi="Arial" w:cs="Arial"/>
          <w:i/>
          <w:iCs/>
          <w:color w:val="000000"/>
          <w:sz w:val="24"/>
          <w:szCs w:val="24"/>
          <w:lang w:eastAsia="en-GB"/>
        </w:rPr>
        <w:t>International Journal of Offender Therapy and Comparative Criminology,</w:t>
      </w:r>
      <w:r w:rsidRPr="003237ED">
        <w:rPr>
          <w:rFonts w:ascii="Arial" w:eastAsia="Times New Roman" w:hAnsi="Arial" w:cs="Arial"/>
          <w:color w:val="000000"/>
          <w:sz w:val="24"/>
          <w:szCs w:val="24"/>
          <w:lang w:eastAsia="en-GB"/>
        </w:rPr>
        <w:t xml:space="preserve"> 19(3), pp. 263–269.</w:t>
      </w:r>
    </w:p>
    <w:p w14:paraId="3F9B055D"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23" w:history="1">
        <w:r w:rsidRPr="003237ED">
          <w:rPr>
            <w:rFonts w:ascii="Arial" w:eastAsia="Times New Roman" w:hAnsi="Arial" w:cs="Arial"/>
            <w:color w:val="1155CC"/>
            <w:sz w:val="24"/>
            <w:szCs w:val="24"/>
            <w:u w:val="single"/>
            <w:lang w:eastAsia="en-GB"/>
          </w:rPr>
          <w:t>https://journals.sagepub.com/doi/abs/10.1177/0306624X7501900309?journalCode=ijoe</w:t>
        </w:r>
      </w:hyperlink>
      <w:r w:rsidRPr="003237ED">
        <w:rPr>
          <w:rFonts w:ascii="Arial" w:eastAsia="Times New Roman" w:hAnsi="Arial" w:cs="Arial"/>
          <w:color w:val="000000"/>
          <w:sz w:val="24"/>
          <w:szCs w:val="24"/>
          <w:lang w:eastAsia="en-GB"/>
        </w:rPr>
        <w:t> </w:t>
      </w:r>
    </w:p>
    <w:p w14:paraId="39298F03"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16/10/2021)</w:t>
      </w:r>
    </w:p>
    <w:p w14:paraId="0A6031D9" w14:textId="77777777" w:rsidR="003237ED" w:rsidRPr="003237ED" w:rsidRDefault="003237ED" w:rsidP="003237ED">
      <w:pPr>
        <w:spacing w:after="0" w:line="480" w:lineRule="auto"/>
        <w:rPr>
          <w:rFonts w:ascii="Arial" w:eastAsia="Times New Roman" w:hAnsi="Arial" w:cs="Arial"/>
          <w:sz w:val="24"/>
          <w:szCs w:val="24"/>
          <w:lang w:eastAsia="en-GB"/>
        </w:rPr>
      </w:pPr>
    </w:p>
    <w:p w14:paraId="2764F773"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Gender Recognition Act (2004) c.7.</w:t>
      </w:r>
    </w:p>
    <w:p w14:paraId="6775B14B"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24" w:history="1">
        <w:r w:rsidRPr="003237ED">
          <w:rPr>
            <w:rFonts w:ascii="Arial" w:eastAsia="Times New Roman" w:hAnsi="Arial" w:cs="Arial"/>
            <w:color w:val="1155CC"/>
            <w:sz w:val="24"/>
            <w:szCs w:val="24"/>
            <w:u w:val="single"/>
            <w:lang w:eastAsia="en-GB"/>
          </w:rPr>
          <w:t>https://www.legislation.gov.uk/ukpga/2004/7/contents</w:t>
        </w:r>
      </w:hyperlink>
      <w:r w:rsidRPr="003237ED">
        <w:rPr>
          <w:rFonts w:ascii="Arial" w:eastAsia="Times New Roman" w:hAnsi="Arial" w:cs="Arial"/>
          <w:color w:val="000000"/>
          <w:sz w:val="24"/>
          <w:szCs w:val="24"/>
          <w:lang w:eastAsia="en-GB"/>
        </w:rPr>
        <w:t> </w:t>
      </w:r>
    </w:p>
    <w:p w14:paraId="291F8521"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15/10/2021)</w:t>
      </w:r>
    </w:p>
    <w:p w14:paraId="394318A2" w14:textId="77777777" w:rsidR="003237ED" w:rsidRPr="003237ED" w:rsidRDefault="003237ED" w:rsidP="003237ED">
      <w:pPr>
        <w:spacing w:after="0" w:line="480" w:lineRule="auto"/>
        <w:rPr>
          <w:rFonts w:ascii="Arial" w:eastAsia="Times New Roman" w:hAnsi="Arial" w:cs="Arial"/>
          <w:sz w:val="24"/>
          <w:szCs w:val="24"/>
          <w:lang w:eastAsia="en-GB"/>
        </w:rPr>
      </w:pPr>
    </w:p>
    <w:p w14:paraId="5E14C9EE"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Gwent Police and Crime Commissioner (2021) </w:t>
      </w:r>
      <w:r w:rsidRPr="003237ED">
        <w:rPr>
          <w:rFonts w:ascii="Arial" w:eastAsia="Times New Roman" w:hAnsi="Arial" w:cs="Arial"/>
          <w:i/>
          <w:iCs/>
          <w:color w:val="000000"/>
          <w:sz w:val="24"/>
          <w:szCs w:val="24"/>
          <w:lang w:eastAsia="en-GB"/>
        </w:rPr>
        <w:t>UK Government announces major funding boost for victims</w:t>
      </w:r>
      <w:r w:rsidRPr="003237ED">
        <w:rPr>
          <w:rFonts w:ascii="Arial" w:eastAsia="Times New Roman" w:hAnsi="Arial" w:cs="Arial"/>
          <w:color w:val="000000"/>
          <w:sz w:val="24"/>
          <w:szCs w:val="24"/>
          <w:lang w:eastAsia="en-GB"/>
        </w:rPr>
        <w:t>.</w:t>
      </w:r>
    </w:p>
    <w:p w14:paraId="5E938973"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lastRenderedPageBreak/>
        <w:t xml:space="preserve">Available at: </w:t>
      </w:r>
      <w:hyperlink r:id="rId25" w:history="1">
        <w:r w:rsidRPr="003237ED">
          <w:rPr>
            <w:rFonts w:ascii="Arial" w:eastAsia="Times New Roman" w:hAnsi="Arial" w:cs="Arial"/>
            <w:color w:val="1155CC"/>
            <w:sz w:val="24"/>
            <w:szCs w:val="24"/>
            <w:u w:val="single"/>
            <w:lang w:eastAsia="en-GB"/>
          </w:rPr>
          <w:t>https://www.gwent.pcc.police.uk/en/news-room/uk-government-announces-major-funding-boost-for-victims/</w:t>
        </w:r>
      </w:hyperlink>
      <w:r w:rsidRPr="003237ED">
        <w:rPr>
          <w:rFonts w:ascii="Arial" w:eastAsia="Times New Roman" w:hAnsi="Arial" w:cs="Arial"/>
          <w:color w:val="000000"/>
          <w:sz w:val="24"/>
          <w:szCs w:val="24"/>
          <w:lang w:eastAsia="en-GB"/>
        </w:rPr>
        <w:t> </w:t>
      </w:r>
    </w:p>
    <w:p w14:paraId="5D0CE062"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16/10/2021)</w:t>
      </w:r>
    </w:p>
    <w:p w14:paraId="5209071D" w14:textId="77777777" w:rsidR="003237ED" w:rsidRPr="003237ED" w:rsidRDefault="003237ED" w:rsidP="003237ED">
      <w:pPr>
        <w:spacing w:after="0" w:line="480" w:lineRule="auto"/>
        <w:rPr>
          <w:rFonts w:ascii="Arial" w:eastAsia="Times New Roman" w:hAnsi="Arial" w:cs="Arial"/>
          <w:sz w:val="24"/>
          <w:szCs w:val="24"/>
          <w:lang w:eastAsia="en-GB"/>
        </w:rPr>
      </w:pPr>
    </w:p>
    <w:p w14:paraId="3F62B283"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shd w:val="clear" w:color="auto" w:fill="FFFFFF"/>
          <w:lang w:eastAsia="en-GB"/>
        </w:rPr>
        <w:t xml:space="preserve">Hall, M. (2018) ‘Supporting victims of crime in England and Wales: Local commissioning meeting local needs?’, </w:t>
      </w:r>
      <w:r w:rsidRPr="003237ED">
        <w:rPr>
          <w:rFonts w:ascii="Arial" w:eastAsia="Times New Roman" w:hAnsi="Arial" w:cs="Arial"/>
          <w:i/>
          <w:iCs/>
          <w:color w:val="000000"/>
          <w:sz w:val="24"/>
          <w:szCs w:val="24"/>
          <w:shd w:val="clear" w:color="auto" w:fill="FFFFFF"/>
          <w:lang w:eastAsia="en-GB"/>
        </w:rPr>
        <w:t>International Review of Victimology</w:t>
      </w:r>
      <w:r w:rsidRPr="003237ED">
        <w:rPr>
          <w:rFonts w:ascii="Arial" w:eastAsia="Times New Roman" w:hAnsi="Arial" w:cs="Arial"/>
          <w:color w:val="000000"/>
          <w:sz w:val="24"/>
          <w:szCs w:val="24"/>
          <w:shd w:val="clear" w:color="auto" w:fill="FFFFFF"/>
          <w:lang w:eastAsia="en-GB"/>
        </w:rPr>
        <w:t>, 24(2), pp. 219–237.</w:t>
      </w:r>
    </w:p>
    <w:p w14:paraId="4867104D"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shd w:val="clear" w:color="auto" w:fill="FFFFFF"/>
          <w:lang w:eastAsia="en-GB"/>
        </w:rPr>
        <w:t xml:space="preserve">Available at: </w:t>
      </w:r>
      <w:hyperlink r:id="rId26" w:history="1">
        <w:r w:rsidRPr="003237ED">
          <w:rPr>
            <w:rFonts w:ascii="Arial" w:eastAsia="Times New Roman" w:hAnsi="Arial" w:cs="Arial"/>
            <w:color w:val="1155CC"/>
            <w:sz w:val="24"/>
            <w:szCs w:val="24"/>
            <w:u w:val="single"/>
            <w:shd w:val="clear" w:color="auto" w:fill="FFFFFF"/>
            <w:lang w:eastAsia="en-GB"/>
          </w:rPr>
          <w:t>https://journals.sagepub.com/doi/full/10.1177/0269758017747055</w:t>
        </w:r>
      </w:hyperlink>
      <w:r w:rsidRPr="003237ED">
        <w:rPr>
          <w:rFonts w:ascii="Arial" w:eastAsia="Times New Roman" w:hAnsi="Arial" w:cs="Arial"/>
          <w:color w:val="000000"/>
          <w:sz w:val="24"/>
          <w:szCs w:val="24"/>
          <w:shd w:val="clear" w:color="auto" w:fill="FFFFFF"/>
          <w:lang w:eastAsia="en-GB"/>
        </w:rPr>
        <w:t> </w:t>
      </w:r>
    </w:p>
    <w:p w14:paraId="34E9231B"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shd w:val="clear" w:color="auto" w:fill="FFFFFF"/>
          <w:lang w:eastAsia="en-GB"/>
        </w:rPr>
        <w:t>(Accessed: 16/10/2021)</w:t>
      </w:r>
    </w:p>
    <w:p w14:paraId="6EF48112" w14:textId="77777777" w:rsidR="003237ED" w:rsidRPr="003237ED" w:rsidRDefault="003237ED" w:rsidP="003237ED">
      <w:pPr>
        <w:spacing w:after="0" w:line="480" w:lineRule="auto"/>
        <w:rPr>
          <w:rFonts w:ascii="Arial" w:eastAsia="Times New Roman" w:hAnsi="Arial" w:cs="Arial"/>
          <w:sz w:val="24"/>
          <w:szCs w:val="24"/>
          <w:lang w:eastAsia="en-GB"/>
        </w:rPr>
      </w:pPr>
    </w:p>
    <w:p w14:paraId="35088D92"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Home Office (2021) </w:t>
      </w:r>
      <w:r w:rsidRPr="003237ED">
        <w:rPr>
          <w:rFonts w:ascii="Arial" w:eastAsia="Times New Roman" w:hAnsi="Arial" w:cs="Arial"/>
          <w:i/>
          <w:iCs/>
          <w:color w:val="000000"/>
          <w:sz w:val="24"/>
          <w:szCs w:val="24"/>
          <w:lang w:eastAsia="en-GB"/>
        </w:rPr>
        <w:t>Stop and search</w:t>
      </w:r>
      <w:r w:rsidRPr="003237ED">
        <w:rPr>
          <w:rFonts w:ascii="Arial" w:eastAsia="Times New Roman" w:hAnsi="Arial" w:cs="Arial"/>
          <w:color w:val="000000"/>
          <w:sz w:val="24"/>
          <w:szCs w:val="24"/>
          <w:lang w:eastAsia="en-GB"/>
        </w:rPr>
        <w:t>.</w:t>
      </w:r>
    </w:p>
    <w:p w14:paraId="242BE199"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27" w:anchor="by-ethnicity" w:history="1">
        <w:r w:rsidRPr="003237ED">
          <w:rPr>
            <w:rFonts w:ascii="Arial" w:eastAsia="Times New Roman" w:hAnsi="Arial" w:cs="Arial"/>
            <w:color w:val="1155CC"/>
            <w:sz w:val="24"/>
            <w:szCs w:val="24"/>
            <w:u w:val="single"/>
            <w:lang w:eastAsia="en-GB"/>
          </w:rPr>
          <w:t>https://www.ethnicity-facts-figures.service.gov.uk/crime-justice-and-the-law/policing/stop-and-search/latest#by-ethnicity</w:t>
        </w:r>
      </w:hyperlink>
      <w:r w:rsidRPr="003237ED">
        <w:rPr>
          <w:rFonts w:ascii="Arial" w:eastAsia="Times New Roman" w:hAnsi="Arial" w:cs="Arial"/>
          <w:color w:val="000000"/>
          <w:sz w:val="24"/>
          <w:szCs w:val="24"/>
          <w:lang w:eastAsia="en-GB"/>
        </w:rPr>
        <w:t> </w:t>
      </w:r>
    </w:p>
    <w:p w14:paraId="427A6FF7"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13/10/2021) </w:t>
      </w:r>
    </w:p>
    <w:p w14:paraId="6E263836" w14:textId="77777777" w:rsidR="003237ED" w:rsidRPr="003237ED" w:rsidRDefault="003237ED" w:rsidP="003237ED">
      <w:pPr>
        <w:spacing w:after="0" w:line="480" w:lineRule="auto"/>
        <w:rPr>
          <w:rFonts w:ascii="Arial" w:eastAsia="Times New Roman" w:hAnsi="Arial" w:cs="Arial"/>
          <w:sz w:val="24"/>
          <w:szCs w:val="24"/>
          <w:lang w:eastAsia="en-GB"/>
        </w:rPr>
      </w:pPr>
    </w:p>
    <w:p w14:paraId="4B475585"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Howard League (2016) </w:t>
      </w:r>
      <w:r w:rsidRPr="003237ED">
        <w:rPr>
          <w:rFonts w:ascii="Arial" w:eastAsia="Times New Roman" w:hAnsi="Arial" w:cs="Arial"/>
          <w:i/>
          <w:iCs/>
          <w:color w:val="000000"/>
          <w:sz w:val="24"/>
          <w:szCs w:val="24"/>
          <w:lang w:eastAsia="en-GB"/>
        </w:rPr>
        <w:t>History of the penal system.</w:t>
      </w:r>
    </w:p>
    <w:p w14:paraId="0AA8AA5C"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28" w:history="1">
        <w:r w:rsidRPr="003237ED">
          <w:rPr>
            <w:rFonts w:ascii="Arial" w:eastAsia="Times New Roman" w:hAnsi="Arial" w:cs="Arial"/>
            <w:color w:val="1155CC"/>
            <w:sz w:val="24"/>
            <w:szCs w:val="24"/>
            <w:u w:val="single"/>
            <w:lang w:eastAsia="en-GB"/>
          </w:rPr>
          <w:t>https://howardleague.org/history-of-the-penal-system/</w:t>
        </w:r>
      </w:hyperlink>
      <w:r w:rsidRPr="003237ED">
        <w:rPr>
          <w:rFonts w:ascii="Arial" w:eastAsia="Times New Roman" w:hAnsi="Arial" w:cs="Arial"/>
          <w:color w:val="000000"/>
          <w:sz w:val="24"/>
          <w:szCs w:val="24"/>
          <w:lang w:eastAsia="en-GB"/>
        </w:rPr>
        <w:t> </w:t>
      </w:r>
    </w:p>
    <w:p w14:paraId="039C3323"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03/10/2021)</w:t>
      </w:r>
    </w:p>
    <w:p w14:paraId="1A628389" w14:textId="77777777" w:rsidR="003237ED" w:rsidRPr="003237ED" w:rsidRDefault="003237ED" w:rsidP="003237ED">
      <w:pPr>
        <w:spacing w:after="0" w:line="480" w:lineRule="auto"/>
        <w:rPr>
          <w:rFonts w:ascii="Arial" w:eastAsia="Times New Roman" w:hAnsi="Arial" w:cs="Arial"/>
          <w:sz w:val="24"/>
          <w:szCs w:val="24"/>
          <w:lang w:eastAsia="en-GB"/>
        </w:rPr>
      </w:pPr>
    </w:p>
    <w:p w14:paraId="505CCCA0"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Human Rights Act (1998) c.42.</w:t>
      </w:r>
    </w:p>
    <w:p w14:paraId="1322F643"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29" w:history="1">
        <w:r w:rsidRPr="003237ED">
          <w:rPr>
            <w:rFonts w:ascii="Arial" w:eastAsia="Times New Roman" w:hAnsi="Arial" w:cs="Arial"/>
            <w:color w:val="1155CC"/>
            <w:sz w:val="24"/>
            <w:szCs w:val="24"/>
            <w:u w:val="single"/>
            <w:lang w:eastAsia="en-GB"/>
          </w:rPr>
          <w:t>https://www.legislation.gov.uk/ukpga/1998/42/contents</w:t>
        </w:r>
      </w:hyperlink>
      <w:r w:rsidRPr="003237ED">
        <w:rPr>
          <w:rFonts w:ascii="Arial" w:eastAsia="Times New Roman" w:hAnsi="Arial" w:cs="Arial"/>
          <w:color w:val="000000"/>
          <w:sz w:val="24"/>
          <w:szCs w:val="24"/>
          <w:lang w:eastAsia="en-GB"/>
        </w:rPr>
        <w:t> </w:t>
      </w:r>
    </w:p>
    <w:p w14:paraId="3F4E1D8A"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15/10/2021)</w:t>
      </w:r>
    </w:p>
    <w:p w14:paraId="32D00FA0" w14:textId="77777777" w:rsidR="003237ED" w:rsidRPr="003237ED" w:rsidRDefault="003237ED" w:rsidP="003237ED">
      <w:pPr>
        <w:spacing w:after="0" w:line="480" w:lineRule="auto"/>
        <w:rPr>
          <w:rFonts w:ascii="Arial" w:eastAsia="Times New Roman" w:hAnsi="Arial" w:cs="Arial"/>
          <w:sz w:val="24"/>
          <w:szCs w:val="24"/>
          <w:lang w:eastAsia="en-GB"/>
        </w:rPr>
      </w:pPr>
    </w:p>
    <w:p w14:paraId="72F43474"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Joseph, J (2006) </w:t>
      </w:r>
      <w:r w:rsidRPr="003237ED">
        <w:rPr>
          <w:rFonts w:ascii="Arial" w:eastAsia="Times New Roman" w:hAnsi="Arial" w:cs="Arial"/>
          <w:i/>
          <w:iCs/>
          <w:color w:val="000000"/>
          <w:sz w:val="24"/>
          <w:szCs w:val="24"/>
          <w:lang w:eastAsia="en-GB"/>
        </w:rPr>
        <w:t>Marxism and Social Theory</w:t>
      </w:r>
      <w:r w:rsidRPr="003237ED">
        <w:rPr>
          <w:rFonts w:ascii="Arial" w:eastAsia="Times New Roman" w:hAnsi="Arial" w:cs="Arial"/>
          <w:color w:val="000000"/>
          <w:sz w:val="24"/>
          <w:szCs w:val="24"/>
          <w:lang w:eastAsia="en-GB"/>
        </w:rPr>
        <w:t>, London: Palgrave Macmillan.</w:t>
      </w:r>
    </w:p>
    <w:p w14:paraId="1D8D4359" w14:textId="77777777" w:rsidR="003237ED" w:rsidRPr="003237ED" w:rsidRDefault="003237ED" w:rsidP="003237ED">
      <w:pPr>
        <w:spacing w:after="0" w:line="480" w:lineRule="auto"/>
        <w:rPr>
          <w:rFonts w:ascii="Arial" w:eastAsia="Times New Roman" w:hAnsi="Arial" w:cs="Arial"/>
          <w:sz w:val="24"/>
          <w:szCs w:val="24"/>
          <w:lang w:eastAsia="en-GB"/>
        </w:rPr>
      </w:pPr>
    </w:p>
    <w:p w14:paraId="4F5D74E3"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lastRenderedPageBreak/>
        <w:t xml:space="preserve">Knight, C and Wilson, K (2016) </w:t>
      </w:r>
      <w:r w:rsidRPr="003237ED">
        <w:rPr>
          <w:rFonts w:ascii="Arial" w:eastAsia="Times New Roman" w:hAnsi="Arial" w:cs="Arial"/>
          <w:i/>
          <w:iCs/>
          <w:color w:val="000000"/>
          <w:sz w:val="24"/>
          <w:szCs w:val="24"/>
          <w:lang w:eastAsia="en-GB"/>
        </w:rPr>
        <w:t>Lesbian, Gay, Bisexual and Trans People (LGBT) and the Criminal Justice System</w:t>
      </w:r>
      <w:r w:rsidRPr="003237ED">
        <w:rPr>
          <w:rFonts w:ascii="Arial" w:eastAsia="Times New Roman" w:hAnsi="Arial" w:cs="Arial"/>
          <w:color w:val="000000"/>
          <w:sz w:val="24"/>
          <w:szCs w:val="24"/>
          <w:lang w:eastAsia="en-GB"/>
        </w:rPr>
        <w:t>, New York: Springer. </w:t>
      </w:r>
    </w:p>
    <w:p w14:paraId="4F5A1436" w14:textId="77777777" w:rsidR="003237ED" w:rsidRPr="003237ED" w:rsidRDefault="003237ED" w:rsidP="003237ED">
      <w:pPr>
        <w:spacing w:after="0" w:line="480" w:lineRule="auto"/>
        <w:rPr>
          <w:rFonts w:ascii="Arial" w:eastAsia="Times New Roman" w:hAnsi="Arial" w:cs="Arial"/>
          <w:sz w:val="24"/>
          <w:szCs w:val="24"/>
          <w:lang w:eastAsia="en-GB"/>
        </w:rPr>
      </w:pPr>
    </w:p>
    <w:p w14:paraId="4DC63D19" w14:textId="77777777" w:rsidR="003237ED" w:rsidRPr="003237ED" w:rsidRDefault="003237ED" w:rsidP="003237ED">
      <w:pPr>
        <w:spacing w:after="0" w:line="480" w:lineRule="auto"/>
        <w:rPr>
          <w:rFonts w:ascii="Arial" w:eastAsia="Times New Roman" w:hAnsi="Arial" w:cs="Arial"/>
          <w:sz w:val="24"/>
          <w:szCs w:val="24"/>
          <w:lang w:eastAsia="en-GB"/>
        </w:rPr>
      </w:pPr>
      <w:proofErr w:type="spellStart"/>
      <w:r w:rsidRPr="003237ED">
        <w:rPr>
          <w:rFonts w:ascii="Arial" w:eastAsia="Times New Roman" w:hAnsi="Arial" w:cs="Arial"/>
          <w:color w:val="000000"/>
          <w:sz w:val="24"/>
          <w:szCs w:val="24"/>
          <w:lang w:eastAsia="en-GB"/>
        </w:rPr>
        <w:t>Knutsson</w:t>
      </w:r>
      <w:proofErr w:type="spellEnd"/>
      <w:r w:rsidRPr="003237ED">
        <w:rPr>
          <w:rFonts w:ascii="Arial" w:eastAsia="Times New Roman" w:hAnsi="Arial" w:cs="Arial"/>
          <w:color w:val="000000"/>
          <w:sz w:val="24"/>
          <w:szCs w:val="24"/>
          <w:lang w:eastAsia="en-GB"/>
        </w:rPr>
        <w:t xml:space="preserve">, J and </w:t>
      </w:r>
      <w:proofErr w:type="spellStart"/>
      <w:r w:rsidRPr="003237ED">
        <w:rPr>
          <w:rFonts w:ascii="Arial" w:eastAsia="Times New Roman" w:hAnsi="Arial" w:cs="Arial"/>
          <w:color w:val="000000"/>
          <w:sz w:val="24"/>
          <w:szCs w:val="24"/>
          <w:lang w:eastAsia="en-GB"/>
        </w:rPr>
        <w:t>Tompson</w:t>
      </w:r>
      <w:proofErr w:type="spellEnd"/>
      <w:r w:rsidRPr="003237ED">
        <w:rPr>
          <w:rFonts w:ascii="Arial" w:eastAsia="Times New Roman" w:hAnsi="Arial" w:cs="Arial"/>
          <w:color w:val="000000"/>
          <w:sz w:val="24"/>
          <w:szCs w:val="24"/>
          <w:lang w:eastAsia="en-GB"/>
        </w:rPr>
        <w:t>, L (2017)</w:t>
      </w:r>
      <w:r w:rsidRPr="003237ED">
        <w:rPr>
          <w:rFonts w:ascii="Arial" w:eastAsia="Times New Roman" w:hAnsi="Arial" w:cs="Arial"/>
          <w:i/>
          <w:iCs/>
          <w:color w:val="000000"/>
          <w:sz w:val="24"/>
          <w:szCs w:val="24"/>
          <w:lang w:eastAsia="en-GB"/>
        </w:rPr>
        <w:t xml:space="preserve"> Advances in Evidence-Based Policing</w:t>
      </w:r>
      <w:r w:rsidRPr="003237ED">
        <w:rPr>
          <w:rFonts w:ascii="Arial" w:eastAsia="Times New Roman" w:hAnsi="Arial" w:cs="Arial"/>
          <w:color w:val="000000"/>
          <w:sz w:val="24"/>
          <w:szCs w:val="24"/>
          <w:lang w:eastAsia="en-GB"/>
        </w:rPr>
        <w:t>, London: Taylor &amp; Francis Group.</w:t>
      </w:r>
    </w:p>
    <w:p w14:paraId="4922CDFC" w14:textId="77777777" w:rsidR="003237ED" w:rsidRPr="003237ED" w:rsidRDefault="003237ED" w:rsidP="003237ED">
      <w:pPr>
        <w:spacing w:after="0" w:line="480" w:lineRule="auto"/>
        <w:rPr>
          <w:rFonts w:ascii="Arial" w:eastAsia="Times New Roman" w:hAnsi="Arial" w:cs="Arial"/>
          <w:sz w:val="24"/>
          <w:szCs w:val="24"/>
          <w:lang w:eastAsia="en-GB"/>
        </w:rPr>
      </w:pPr>
    </w:p>
    <w:p w14:paraId="57451795"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MacKinnon, C. A (1982) ‘Feminism, Marxism, Method, and the State: An Agenda for Theory’, </w:t>
      </w:r>
      <w:r w:rsidRPr="003237ED">
        <w:rPr>
          <w:rFonts w:ascii="Arial" w:eastAsia="Times New Roman" w:hAnsi="Arial" w:cs="Arial"/>
          <w:i/>
          <w:iCs/>
          <w:color w:val="000000"/>
          <w:sz w:val="24"/>
          <w:szCs w:val="24"/>
          <w:lang w:eastAsia="en-GB"/>
        </w:rPr>
        <w:t>Signs</w:t>
      </w:r>
      <w:r w:rsidRPr="003237ED">
        <w:rPr>
          <w:rFonts w:ascii="Arial" w:eastAsia="Times New Roman" w:hAnsi="Arial" w:cs="Arial"/>
          <w:color w:val="000000"/>
          <w:sz w:val="24"/>
          <w:szCs w:val="24"/>
          <w:lang w:eastAsia="en-GB"/>
        </w:rPr>
        <w:t>, 7(3), pp. 515- 544.</w:t>
      </w:r>
    </w:p>
    <w:p w14:paraId="10A6A392"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30" w:history="1">
        <w:r w:rsidRPr="003237ED">
          <w:rPr>
            <w:rFonts w:ascii="Arial" w:eastAsia="Times New Roman" w:hAnsi="Arial" w:cs="Arial"/>
            <w:color w:val="1155CC"/>
            <w:sz w:val="24"/>
            <w:szCs w:val="24"/>
            <w:u w:val="single"/>
            <w:lang w:eastAsia="en-GB"/>
          </w:rPr>
          <w:t>https://www.jstor.org/stable/3173853</w:t>
        </w:r>
      </w:hyperlink>
      <w:r w:rsidRPr="003237ED">
        <w:rPr>
          <w:rFonts w:ascii="Arial" w:eastAsia="Times New Roman" w:hAnsi="Arial" w:cs="Arial"/>
          <w:color w:val="676765"/>
          <w:sz w:val="24"/>
          <w:szCs w:val="24"/>
          <w:lang w:eastAsia="en-GB"/>
        </w:rPr>
        <w:t> </w:t>
      </w:r>
    </w:p>
    <w:p w14:paraId="63DDD5DA"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07/10/2021)</w:t>
      </w:r>
    </w:p>
    <w:p w14:paraId="506206C7" w14:textId="77777777" w:rsidR="003237ED" w:rsidRPr="003237ED" w:rsidRDefault="003237ED" w:rsidP="003237ED">
      <w:pPr>
        <w:spacing w:after="0" w:line="480" w:lineRule="auto"/>
        <w:rPr>
          <w:rFonts w:ascii="Arial" w:eastAsia="Times New Roman" w:hAnsi="Arial" w:cs="Arial"/>
          <w:sz w:val="24"/>
          <w:szCs w:val="24"/>
          <w:lang w:eastAsia="en-GB"/>
        </w:rPr>
      </w:pPr>
    </w:p>
    <w:p w14:paraId="5BAAE06D"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MacDonald, C (2021) ‘Media representation and gender bias in science’, </w:t>
      </w:r>
      <w:r w:rsidRPr="003237ED">
        <w:rPr>
          <w:rFonts w:ascii="Arial" w:eastAsia="Times New Roman" w:hAnsi="Arial" w:cs="Arial"/>
          <w:i/>
          <w:iCs/>
          <w:color w:val="000000"/>
          <w:sz w:val="24"/>
          <w:szCs w:val="24"/>
          <w:lang w:eastAsia="en-GB"/>
        </w:rPr>
        <w:t>Journal of Environmental Media</w:t>
      </w:r>
      <w:r w:rsidRPr="003237ED">
        <w:rPr>
          <w:rFonts w:ascii="Arial" w:eastAsia="Times New Roman" w:hAnsi="Arial" w:cs="Arial"/>
          <w:color w:val="000000"/>
          <w:sz w:val="24"/>
          <w:szCs w:val="24"/>
          <w:lang w:eastAsia="en-GB"/>
        </w:rPr>
        <w:t>, 2(1), pp. 7 - 15.</w:t>
      </w:r>
    </w:p>
    <w:p w14:paraId="45709129"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31" w:history="1">
        <w:r w:rsidRPr="003237ED">
          <w:rPr>
            <w:rFonts w:ascii="Arial" w:eastAsia="Times New Roman" w:hAnsi="Arial" w:cs="Arial"/>
            <w:color w:val="1155CC"/>
            <w:sz w:val="24"/>
            <w:szCs w:val="24"/>
            <w:u w:val="single"/>
            <w:lang w:eastAsia="en-GB"/>
          </w:rPr>
          <w:t>https://www.ingentaconnect.com/content/intellect/jem/2021/00000002/00000001/art00002</w:t>
        </w:r>
      </w:hyperlink>
      <w:r w:rsidRPr="003237ED">
        <w:rPr>
          <w:rFonts w:ascii="Arial" w:eastAsia="Times New Roman" w:hAnsi="Arial" w:cs="Arial"/>
          <w:color w:val="000000"/>
          <w:sz w:val="24"/>
          <w:szCs w:val="24"/>
          <w:lang w:eastAsia="en-GB"/>
        </w:rPr>
        <w:t> </w:t>
      </w:r>
    </w:p>
    <w:p w14:paraId="0A7DAA63"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14/10/2021)</w:t>
      </w:r>
    </w:p>
    <w:p w14:paraId="11FE5F4D" w14:textId="77777777" w:rsidR="003237ED" w:rsidRPr="003237ED" w:rsidRDefault="003237ED" w:rsidP="003237ED">
      <w:pPr>
        <w:spacing w:after="0" w:line="480" w:lineRule="auto"/>
        <w:rPr>
          <w:rFonts w:ascii="Arial" w:eastAsia="Times New Roman" w:hAnsi="Arial" w:cs="Arial"/>
          <w:sz w:val="24"/>
          <w:szCs w:val="24"/>
          <w:lang w:eastAsia="en-GB"/>
        </w:rPr>
      </w:pPr>
    </w:p>
    <w:p w14:paraId="669ABD73"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Macpherson, Sir W (1999) </w:t>
      </w:r>
      <w:r w:rsidRPr="003237ED">
        <w:rPr>
          <w:rFonts w:ascii="Arial" w:eastAsia="Times New Roman" w:hAnsi="Arial" w:cs="Arial"/>
          <w:i/>
          <w:iCs/>
          <w:color w:val="000000"/>
          <w:sz w:val="24"/>
          <w:szCs w:val="24"/>
          <w:lang w:eastAsia="en-GB"/>
        </w:rPr>
        <w:t>The Stephen Lawrence Inquiry – Report of an Inquiry by Sir William Macpherson of Cluny</w:t>
      </w:r>
      <w:r w:rsidRPr="003237ED">
        <w:rPr>
          <w:rFonts w:ascii="Arial" w:eastAsia="Times New Roman" w:hAnsi="Arial" w:cs="Arial"/>
          <w:color w:val="000000"/>
          <w:sz w:val="24"/>
          <w:szCs w:val="24"/>
          <w:lang w:eastAsia="en-GB"/>
        </w:rPr>
        <w:t>, London: HMSO.</w:t>
      </w:r>
    </w:p>
    <w:p w14:paraId="5962D29F"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32" w:history="1">
        <w:r w:rsidRPr="003237ED">
          <w:rPr>
            <w:rFonts w:ascii="Arial" w:eastAsia="Times New Roman" w:hAnsi="Arial" w:cs="Arial"/>
            <w:color w:val="1155CC"/>
            <w:sz w:val="24"/>
            <w:szCs w:val="24"/>
            <w:u w:val="single"/>
            <w:lang w:eastAsia="en-GB"/>
          </w:rPr>
          <w:t>https://assets.publishing.service.gov.uk/government/uploads/system/uploads/attachment_data/file/277111/4262.pdf</w:t>
        </w:r>
      </w:hyperlink>
      <w:r w:rsidRPr="003237ED">
        <w:rPr>
          <w:rFonts w:ascii="Arial" w:eastAsia="Times New Roman" w:hAnsi="Arial" w:cs="Arial"/>
          <w:color w:val="000000"/>
          <w:sz w:val="24"/>
          <w:szCs w:val="24"/>
          <w:lang w:eastAsia="en-GB"/>
        </w:rPr>
        <w:t> </w:t>
      </w:r>
    </w:p>
    <w:p w14:paraId="3F37028A"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13/10/2021)</w:t>
      </w:r>
    </w:p>
    <w:p w14:paraId="3C694DBC" w14:textId="77777777" w:rsidR="003237ED" w:rsidRPr="003237ED" w:rsidRDefault="003237ED" w:rsidP="003237ED">
      <w:pPr>
        <w:spacing w:after="0" w:line="480" w:lineRule="auto"/>
        <w:rPr>
          <w:rFonts w:ascii="Arial" w:eastAsia="Times New Roman" w:hAnsi="Arial" w:cs="Arial"/>
          <w:sz w:val="24"/>
          <w:szCs w:val="24"/>
          <w:lang w:eastAsia="en-GB"/>
        </w:rPr>
      </w:pPr>
    </w:p>
    <w:p w14:paraId="2ED80AD3"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lastRenderedPageBreak/>
        <w:t xml:space="preserve">Maguire, M (1991) ‘The Needs and Rights of Victims of Crime’, </w:t>
      </w:r>
      <w:r w:rsidRPr="003237ED">
        <w:rPr>
          <w:rFonts w:ascii="Arial" w:eastAsia="Times New Roman" w:hAnsi="Arial" w:cs="Arial"/>
          <w:i/>
          <w:iCs/>
          <w:color w:val="000000"/>
          <w:sz w:val="24"/>
          <w:szCs w:val="24"/>
          <w:lang w:eastAsia="en-GB"/>
        </w:rPr>
        <w:t>The University of Chicago Press Journals</w:t>
      </w:r>
      <w:r w:rsidRPr="003237ED">
        <w:rPr>
          <w:rFonts w:ascii="Arial" w:eastAsia="Times New Roman" w:hAnsi="Arial" w:cs="Arial"/>
          <w:color w:val="000000"/>
          <w:sz w:val="24"/>
          <w:szCs w:val="24"/>
          <w:lang w:eastAsia="en-GB"/>
        </w:rPr>
        <w:t>, Volume 14, pp. 363-433.</w:t>
      </w:r>
    </w:p>
    <w:p w14:paraId="31241F37"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33" w:history="1">
        <w:r w:rsidRPr="003237ED">
          <w:rPr>
            <w:rFonts w:ascii="Arial" w:eastAsia="Times New Roman" w:hAnsi="Arial" w:cs="Arial"/>
            <w:color w:val="1155CC"/>
            <w:sz w:val="24"/>
            <w:szCs w:val="24"/>
            <w:u w:val="single"/>
            <w:lang w:eastAsia="en-GB"/>
          </w:rPr>
          <w:t>https://www.journals.uchicago.edu/doi/abs/10.1086/449190</w:t>
        </w:r>
      </w:hyperlink>
      <w:r w:rsidRPr="003237ED">
        <w:rPr>
          <w:rFonts w:ascii="Arial" w:eastAsia="Times New Roman" w:hAnsi="Arial" w:cs="Arial"/>
          <w:color w:val="000000"/>
          <w:sz w:val="24"/>
          <w:szCs w:val="24"/>
          <w:lang w:eastAsia="en-GB"/>
        </w:rPr>
        <w:t> </w:t>
      </w:r>
    </w:p>
    <w:p w14:paraId="51CE3D4C"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05/10/2021)</w:t>
      </w:r>
    </w:p>
    <w:p w14:paraId="70126EEA" w14:textId="77777777" w:rsidR="003237ED" w:rsidRPr="003237ED" w:rsidRDefault="003237ED" w:rsidP="003237ED">
      <w:pPr>
        <w:spacing w:after="0" w:line="480" w:lineRule="auto"/>
        <w:rPr>
          <w:rFonts w:ascii="Arial" w:eastAsia="Times New Roman" w:hAnsi="Arial" w:cs="Arial"/>
          <w:sz w:val="24"/>
          <w:szCs w:val="24"/>
          <w:lang w:eastAsia="en-GB"/>
        </w:rPr>
      </w:pPr>
    </w:p>
    <w:p w14:paraId="0E35ECD7" w14:textId="77777777" w:rsidR="003237ED" w:rsidRPr="003237ED" w:rsidRDefault="003237ED" w:rsidP="003237ED">
      <w:pPr>
        <w:spacing w:after="0" w:line="480" w:lineRule="auto"/>
        <w:rPr>
          <w:rFonts w:ascii="Arial" w:eastAsia="Times New Roman" w:hAnsi="Arial" w:cs="Arial"/>
          <w:sz w:val="24"/>
          <w:szCs w:val="24"/>
          <w:lang w:eastAsia="en-GB"/>
        </w:rPr>
      </w:pPr>
      <w:proofErr w:type="spellStart"/>
      <w:r w:rsidRPr="003237ED">
        <w:rPr>
          <w:rFonts w:ascii="Arial" w:eastAsia="Times New Roman" w:hAnsi="Arial" w:cs="Arial"/>
          <w:color w:val="000000"/>
          <w:sz w:val="24"/>
          <w:szCs w:val="24"/>
          <w:lang w:eastAsia="en-GB"/>
        </w:rPr>
        <w:t>Maung</w:t>
      </w:r>
      <w:proofErr w:type="spellEnd"/>
      <w:r w:rsidRPr="003237ED">
        <w:rPr>
          <w:rFonts w:ascii="Arial" w:eastAsia="Times New Roman" w:hAnsi="Arial" w:cs="Arial"/>
          <w:color w:val="000000"/>
          <w:sz w:val="24"/>
          <w:szCs w:val="24"/>
          <w:lang w:eastAsia="en-GB"/>
        </w:rPr>
        <w:t xml:space="preserve">, N. </w:t>
      </w:r>
      <w:proofErr w:type="gramStart"/>
      <w:r w:rsidRPr="003237ED">
        <w:rPr>
          <w:rFonts w:ascii="Arial" w:eastAsia="Times New Roman" w:hAnsi="Arial" w:cs="Arial"/>
          <w:color w:val="000000"/>
          <w:sz w:val="24"/>
          <w:szCs w:val="24"/>
          <w:lang w:eastAsia="en-GB"/>
        </w:rPr>
        <w:t>A and</w:t>
      </w:r>
      <w:proofErr w:type="gramEnd"/>
      <w:r w:rsidRPr="003237ED">
        <w:rPr>
          <w:rFonts w:ascii="Arial" w:eastAsia="Times New Roman" w:hAnsi="Arial" w:cs="Arial"/>
          <w:color w:val="000000"/>
          <w:sz w:val="24"/>
          <w:szCs w:val="24"/>
          <w:lang w:eastAsia="en-GB"/>
        </w:rPr>
        <w:t xml:space="preserve"> </w:t>
      </w:r>
      <w:proofErr w:type="spellStart"/>
      <w:r w:rsidRPr="003237ED">
        <w:rPr>
          <w:rFonts w:ascii="Arial" w:eastAsia="Times New Roman" w:hAnsi="Arial" w:cs="Arial"/>
          <w:color w:val="1B1B1B"/>
          <w:sz w:val="24"/>
          <w:szCs w:val="24"/>
          <w:shd w:val="clear" w:color="auto" w:fill="FFFFFF"/>
          <w:lang w:eastAsia="en-GB"/>
        </w:rPr>
        <w:t>Mirrlees</w:t>
      </w:r>
      <w:proofErr w:type="spellEnd"/>
      <w:r w:rsidRPr="003237ED">
        <w:rPr>
          <w:rFonts w:ascii="Arial" w:eastAsia="Times New Roman" w:hAnsi="Arial" w:cs="Arial"/>
          <w:color w:val="1B1B1B"/>
          <w:sz w:val="24"/>
          <w:szCs w:val="24"/>
          <w:shd w:val="clear" w:color="auto" w:fill="FFFFFF"/>
          <w:lang w:eastAsia="en-GB"/>
        </w:rPr>
        <w:t xml:space="preserve">-Black, C (1994) </w:t>
      </w:r>
      <w:r w:rsidRPr="003237ED">
        <w:rPr>
          <w:rFonts w:ascii="Arial" w:eastAsia="Times New Roman" w:hAnsi="Arial" w:cs="Arial"/>
          <w:i/>
          <w:iCs/>
          <w:color w:val="1B1B1B"/>
          <w:sz w:val="24"/>
          <w:szCs w:val="24"/>
          <w:shd w:val="clear" w:color="auto" w:fill="FFFFFF"/>
          <w:lang w:eastAsia="en-GB"/>
        </w:rPr>
        <w:t>Racially Motivated Crime: A British Crime Survey Analysis</w:t>
      </w:r>
      <w:r w:rsidRPr="003237ED">
        <w:rPr>
          <w:rFonts w:ascii="Arial" w:eastAsia="Times New Roman" w:hAnsi="Arial" w:cs="Arial"/>
          <w:color w:val="1B1B1B"/>
          <w:sz w:val="24"/>
          <w:szCs w:val="24"/>
          <w:shd w:val="clear" w:color="auto" w:fill="FFFFFF"/>
          <w:lang w:eastAsia="en-GB"/>
        </w:rPr>
        <w:t>.</w:t>
      </w:r>
    </w:p>
    <w:p w14:paraId="45CBA1E3"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1B1B1B"/>
          <w:sz w:val="24"/>
          <w:szCs w:val="24"/>
          <w:shd w:val="clear" w:color="auto" w:fill="FFFFFF"/>
          <w:lang w:eastAsia="en-GB"/>
        </w:rPr>
        <w:t xml:space="preserve">Available at: </w:t>
      </w:r>
      <w:hyperlink r:id="rId34" w:history="1">
        <w:r w:rsidRPr="003237ED">
          <w:rPr>
            <w:rFonts w:ascii="Arial" w:eastAsia="Times New Roman" w:hAnsi="Arial" w:cs="Arial"/>
            <w:color w:val="1155CC"/>
            <w:sz w:val="24"/>
            <w:szCs w:val="24"/>
            <w:u w:val="single"/>
            <w:shd w:val="clear" w:color="auto" w:fill="FFFFFF"/>
            <w:lang w:eastAsia="en-GB"/>
          </w:rPr>
          <w:t>https://www.ojp.gov/ncjrs/virtual-library/abstracts/racially-motivated-crime-british-crime-survey-analysis</w:t>
        </w:r>
      </w:hyperlink>
      <w:r w:rsidRPr="003237ED">
        <w:rPr>
          <w:rFonts w:ascii="Arial" w:eastAsia="Times New Roman" w:hAnsi="Arial" w:cs="Arial"/>
          <w:color w:val="1B1B1B"/>
          <w:sz w:val="24"/>
          <w:szCs w:val="24"/>
          <w:shd w:val="clear" w:color="auto" w:fill="FFFFFF"/>
          <w:lang w:eastAsia="en-GB"/>
        </w:rPr>
        <w:t> </w:t>
      </w:r>
    </w:p>
    <w:p w14:paraId="300E5AA1"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1B1B1B"/>
          <w:sz w:val="24"/>
          <w:szCs w:val="24"/>
          <w:shd w:val="clear" w:color="auto" w:fill="FFFFFF"/>
          <w:lang w:eastAsia="en-GB"/>
        </w:rPr>
        <w:t>(Accessed: 15/10/2021)</w:t>
      </w:r>
    </w:p>
    <w:p w14:paraId="31B7B22C" w14:textId="77777777" w:rsidR="003237ED" w:rsidRPr="003237ED" w:rsidRDefault="003237ED" w:rsidP="003237ED">
      <w:pPr>
        <w:spacing w:after="0" w:line="480" w:lineRule="auto"/>
        <w:rPr>
          <w:rFonts w:ascii="Arial" w:eastAsia="Times New Roman" w:hAnsi="Arial" w:cs="Arial"/>
          <w:sz w:val="24"/>
          <w:szCs w:val="24"/>
          <w:lang w:eastAsia="en-GB"/>
        </w:rPr>
      </w:pPr>
    </w:p>
    <w:p w14:paraId="6F3B1A19" w14:textId="77777777" w:rsidR="003237ED" w:rsidRPr="003237ED" w:rsidRDefault="003237ED" w:rsidP="003237ED">
      <w:pPr>
        <w:spacing w:after="0" w:line="480" w:lineRule="auto"/>
        <w:rPr>
          <w:rFonts w:ascii="Arial" w:eastAsia="Times New Roman" w:hAnsi="Arial" w:cs="Arial"/>
          <w:sz w:val="24"/>
          <w:szCs w:val="24"/>
          <w:lang w:eastAsia="en-GB"/>
        </w:rPr>
      </w:pPr>
      <w:proofErr w:type="spellStart"/>
      <w:r w:rsidRPr="003237ED">
        <w:rPr>
          <w:rFonts w:ascii="Arial" w:eastAsia="Times New Roman" w:hAnsi="Arial" w:cs="Arial"/>
          <w:color w:val="1B1B1B"/>
          <w:sz w:val="24"/>
          <w:szCs w:val="24"/>
          <w:shd w:val="clear" w:color="auto" w:fill="FFFFFF"/>
          <w:lang w:eastAsia="en-GB"/>
        </w:rPr>
        <w:t>Mawby</w:t>
      </w:r>
      <w:proofErr w:type="spellEnd"/>
      <w:r w:rsidRPr="003237ED">
        <w:rPr>
          <w:rFonts w:ascii="Arial" w:eastAsia="Times New Roman" w:hAnsi="Arial" w:cs="Arial"/>
          <w:color w:val="1B1B1B"/>
          <w:sz w:val="24"/>
          <w:szCs w:val="24"/>
          <w:shd w:val="clear" w:color="auto" w:fill="FFFFFF"/>
          <w:lang w:eastAsia="en-GB"/>
        </w:rPr>
        <w:t xml:space="preserve">, R (2016) ‘Victim support in England and Wales: The end of an era?’ </w:t>
      </w:r>
      <w:r w:rsidRPr="003237ED">
        <w:rPr>
          <w:rFonts w:ascii="Arial" w:eastAsia="Times New Roman" w:hAnsi="Arial" w:cs="Arial"/>
          <w:i/>
          <w:iCs/>
          <w:color w:val="1B1B1B"/>
          <w:sz w:val="24"/>
          <w:szCs w:val="24"/>
          <w:shd w:val="clear" w:color="auto" w:fill="FFFFFF"/>
          <w:lang w:eastAsia="en-GB"/>
        </w:rPr>
        <w:t>International Review of Victimology</w:t>
      </w:r>
      <w:r w:rsidRPr="003237ED">
        <w:rPr>
          <w:rFonts w:ascii="Arial" w:eastAsia="Times New Roman" w:hAnsi="Arial" w:cs="Arial"/>
          <w:color w:val="1B1B1B"/>
          <w:sz w:val="24"/>
          <w:szCs w:val="24"/>
          <w:shd w:val="clear" w:color="auto" w:fill="FFFFFF"/>
          <w:lang w:eastAsia="en-GB"/>
        </w:rPr>
        <w:t>, 22(3) pp. 203–221.</w:t>
      </w:r>
    </w:p>
    <w:p w14:paraId="4965224C"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1B1B1B"/>
          <w:sz w:val="24"/>
          <w:szCs w:val="24"/>
          <w:shd w:val="clear" w:color="auto" w:fill="FFFFFF"/>
          <w:lang w:eastAsia="en-GB"/>
        </w:rPr>
        <w:t xml:space="preserve">Available at: </w:t>
      </w:r>
      <w:hyperlink r:id="rId35" w:history="1">
        <w:r w:rsidRPr="003237ED">
          <w:rPr>
            <w:rFonts w:ascii="Arial" w:eastAsia="Times New Roman" w:hAnsi="Arial" w:cs="Arial"/>
            <w:color w:val="1155CC"/>
            <w:sz w:val="24"/>
            <w:szCs w:val="24"/>
            <w:u w:val="single"/>
            <w:shd w:val="clear" w:color="auto" w:fill="FFFFFF"/>
            <w:lang w:eastAsia="en-GB"/>
          </w:rPr>
          <w:t>https://journals.sagepub.com/doi/10.1177/0269758016649065</w:t>
        </w:r>
      </w:hyperlink>
      <w:r w:rsidRPr="003237ED">
        <w:rPr>
          <w:rFonts w:ascii="Arial" w:eastAsia="Times New Roman" w:hAnsi="Arial" w:cs="Arial"/>
          <w:color w:val="1B1B1B"/>
          <w:sz w:val="24"/>
          <w:szCs w:val="24"/>
          <w:shd w:val="clear" w:color="auto" w:fill="FFFFFF"/>
          <w:lang w:eastAsia="en-GB"/>
        </w:rPr>
        <w:t> </w:t>
      </w:r>
    </w:p>
    <w:p w14:paraId="47E1A922"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1B1B1B"/>
          <w:sz w:val="24"/>
          <w:szCs w:val="24"/>
          <w:shd w:val="clear" w:color="auto" w:fill="FFFFFF"/>
          <w:lang w:eastAsia="en-GB"/>
        </w:rPr>
        <w:t>(Accessed: 16/10/2021)</w:t>
      </w:r>
    </w:p>
    <w:p w14:paraId="372249EE" w14:textId="77777777" w:rsidR="003237ED" w:rsidRPr="003237ED" w:rsidRDefault="003237ED" w:rsidP="003237ED">
      <w:pPr>
        <w:spacing w:after="0" w:line="480" w:lineRule="auto"/>
        <w:rPr>
          <w:rFonts w:ascii="Arial" w:eastAsia="Times New Roman" w:hAnsi="Arial" w:cs="Arial"/>
          <w:sz w:val="24"/>
          <w:szCs w:val="24"/>
          <w:lang w:eastAsia="en-GB"/>
        </w:rPr>
      </w:pPr>
    </w:p>
    <w:p w14:paraId="397AFB5D" w14:textId="77777777" w:rsidR="003237ED" w:rsidRPr="003237ED" w:rsidRDefault="003237ED" w:rsidP="003237ED">
      <w:pPr>
        <w:spacing w:after="0" w:line="480" w:lineRule="auto"/>
        <w:rPr>
          <w:rFonts w:ascii="Arial" w:eastAsia="Times New Roman" w:hAnsi="Arial" w:cs="Arial"/>
          <w:sz w:val="24"/>
          <w:szCs w:val="24"/>
          <w:lang w:eastAsia="en-GB"/>
        </w:rPr>
      </w:pPr>
      <w:proofErr w:type="spellStart"/>
      <w:r w:rsidRPr="003237ED">
        <w:rPr>
          <w:rFonts w:ascii="Arial" w:eastAsia="Times New Roman" w:hAnsi="Arial" w:cs="Arial"/>
          <w:color w:val="000000"/>
          <w:sz w:val="24"/>
          <w:szCs w:val="24"/>
          <w:lang w:eastAsia="en-GB"/>
        </w:rPr>
        <w:t>McAvinchey</w:t>
      </w:r>
      <w:proofErr w:type="spellEnd"/>
      <w:r w:rsidRPr="003237ED">
        <w:rPr>
          <w:rFonts w:ascii="Arial" w:eastAsia="Times New Roman" w:hAnsi="Arial" w:cs="Arial"/>
          <w:color w:val="000000"/>
          <w:sz w:val="24"/>
          <w:szCs w:val="24"/>
          <w:lang w:eastAsia="en-GB"/>
        </w:rPr>
        <w:t xml:space="preserve">, C (2020) </w:t>
      </w:r>
      <w:r w:rsidRPr="003237ED">
        <w:rPr>
          <w:rFonts w:ascii="Arial" w:eastAsia="Times New Roman" w:hAnsi="Arial" w:cs="Arial"/>
          <w:i/>
          <w:iCs/>
          <w:color w:val="000000"/>
          <w:sz w:val="24"/>
          <w:szCs w:val="24"/>
          <w:lang w:eastAsia="en-GB"/>
        </w:rPr>
        <w:t xml:space="preserve">Women and the Criminal Justice </w:t>
      </w:r>
      <w:proofErr w:type="gramStart"/>
      <w:r w:rsidRPr="003237ED">
        <w:rPr>
          <w:rFonts w:ascii="Arial" w:eastAsia="Times New Roman" w:hAnsi="Arial" w:cs="Arial"/>
          <w:i/>
          <w:iCs/>
          <w:color w:val="000000"/>
          <w:sz w:val="24"/>
          <w:szCs w:val="24"/>
          <w:lang w:eastAsia="en-GB"/>
        </w:rPr>
        <w:t>System</w:t>
      </w:r>
      <w:r w:rsidRPr="003237ED">
        <w:rPr>
          <w:rFonts w:ascii="Arial" w:eastAsia="Times New Roman" w:hAnsi="Arial" w:cs="Arial"/>
          <w:color w:val="000000"/>
          <w:sz w:val="24"/>
          <w:szCs w:val="24"/>
          <w:lang w:eastAsia="en-GB"/>
        </w:rPr>
        <w:t>,  London</w:t>
      </w:r>
      <w:proofErr w:type="gramEnd"/>
      <w:r w:rsidRPr="003237ED">
        <w:rPr>
          <w:rFonts w:ascii="Arial" w:eastAsia="Times New Roman" w:hAnsi="Arial" w:cs="Arial"/>
          <w:color w:val="000000"/>
          <w:sz w:val="24"/>
          <w:szCs w:val="24"/>
          <w:lang w:eastAsia="en-GB"/>
        </w:rPr>
        <w:t>: Methuen Drama.</w:t>
      </w:r>
    </w:p>
    <w:p w14:paraId="3E09F8B3" w14:textId="77777777" w:rsidR="003237ED" w:rsidRPr="003237ED" w:rsidRDefault="003237ED" w:rsidP="003237ED">
      <w:pPr>
        <w:spacing w:after="0" w:line="480" w:lineRule="auto"/>
        <w:rPr>
          <w:rFonts w:ascii="Arial" w:eastAsia="Times New Roman" w:hAnsi="Arial" w:cs="Arial"/>
          <w:sz w:val="24"/>
          <w:szCs w:val="24"/>
          <w:lang w:eastAsia="en-GB"/>
        </w:rPr>
      </w:pPr>
    </w:p>
    <w:p w14:paraId="1F96C3AB" w14:textId="77777777" w:rsidR="003237ED" w:rsidRPr="003237ED" w:rsidRDefault="003237ED" w:rsidP="003237ED">
      <w:pPr>
        <w:spacing w:after="0" w:line="480" w:lineRule="auto"/>
        <w:rPr>
          <w:rFonts w:ascii="Arial" w:eastAsia="Times New Roman" w:hAnsi="Arial" w:cs="Arial"/>
          <w:sz w:val="24"/>
          <w:szCs w:val="24"/>
          <w:lang w:eastAsia="en-GB"/>
        </w:rPr>
      </w:pPr>
      <w:proofErr w:type="spellStart"/>
      <w:r w:rsidRPr="003237ED">
        <w:rPr>
          <w:rFonts w:ascii="Arial" w:eastAsia="Times New Roman" w:hAnsi="Arial" w:cs="Arial"/>
          <w:color w:val="000000"/>
          <w:sz w:val="24"/>
          <w:szCs w:val="24"/>
          <w:lang w:eastAsia="en-GB"/>
        </w:rPr>
        <w:t>Miers</w:t>
      </w:r>
      <w:proofErr w:type="spellEnd"/>
      <w:r w:rsidRPr="003237ED">
        <w:rPr>
          <w:rFonts w:ascii="Arial" w:eastAsia="Times New Roman" w:hAnsi="Arial" w:cs="Arial"/>
          <w:color w:val="000000"/>
          <w:sz w:val="24"/>
          <w:szCs w:val="24"/>
          <w:lang w:eastAsia="en-GB"/>
        </w:rPr>
        <w:t xml:space="preserve">, D (1985) ‘COMPENSATION AND SUPPORT FOR VICTIMS OF CRIME’, </w:t>
      </w:r>
      <w:r w:rsidRPr="003237ED">
        <w:rPr>
          <w:rFonts w:ascii="Arial" w:eastAsia="Times New Roman" w:hAnsi="Arial" w:cs="Arial"/>
          <w:i/>
          <w:iCs/>
          <w:color w:val="000000"/>
          <w:sz w:val="24"/>
          <w:szCs w:val="24"/>
          <w:lang w:eastAsia="en-GB"/>
        </w:rPr>
        <w:t>The British Journal of Criminology</w:t>
      </w:r>
      <w:r w:rsidRPr="003237ED">
        <w:rPr>
          <w:rFonts w:ascii="Arial" w:eastAsia="Times New Roman" w:hAnsi="Arial" w:cs="Arial"/>
          <w:color w:val="000000"/>
          <w:sz w:val="24"/>
          <w:szCs w:val="24"/>
          <w:lang w:eastAsia="en-GB"/>
        </w:rPr>
        <w:t>, 25(4), pp. 382-389.</w:t>
      </w:r>
    </w:p>
    <w:p w14:paraId="75DD4C63"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36" w:history="1">
        <w:r w:rsidRPr="003237ED">
          <w:rPr>
            <w:rFonts w:ascii="Arial" w:eastAsia="Times New Roman" w:hAnsi="Arial" w:cs="Arial"/>
            <w:color w:val="1155CC"/>
            <w:sz w:val="24"/>
            <w:szCs w:val="24"/>
            <w:u w:val="single"/>
            <w:lang w:eastAsia="en-GB"/>
          </w:rPr>
          <w:t>https://www.jstor.org/stable/23637223</w:t>
        </w:r>
      </w:hyperlink>
      <w:r w:rsidRPr="003237ED">
        <w:rPr>
          <w:rFonts w:ascii="Arial" w:eastAsia="Times New Roman" w:hAnsi="Arial" w:cs="Arial"/>
          <w:color w:val="676765"/>
          <w:sz w:val="24"/>
          <w:szCs w:val="24"/>
          <w:lang w:eastAsia="en-GB"/>
        </w:rPr>
        <w:t> </w:t>
      </w:r>
    </w:p>
    <w:p w14:paraId="45C866EE"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16/10/2021)</w:t>
      </w:r>
    </w:p>
    <w:p w14:paraId="342180C5" w14:textId="77777777" w:rsidR="003237ED" w:rsidRPr="003237ED" w:rsidRDefault="003237ED" w:rsidP="003237ED">
      <w:pPr>
        <w:spacing w:after="0" w:line="480" w:lineRule="auto"/>
        <w:rPr>
          <w:rFonts w:ascii="Arial" w:eastAsia="Times New Roman" w:hAnsi="Arial" w:cs="Arial"/>
          <w:sz w:val="24"/>
          <w:szCs w:val="24"/>
          <w:lang w:eastAsia="en-GB"/>
        </w:rPr>
      </w:pPr>
    </w:p>
    <w:p w14:paraId="0455C3E9"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lastRenderedPageBreak/>
        <w:t xml:space="preserve">Morris, Sir W, Burden, Sir A, Weekes, A (2004) </w:t>
      </w:r>
      <w:r w:rsidRPr="003237ED">
        <w:rPr>
          <w:rFonts w:ascii="Arial" w:eastAsia="Times New Roman" w:hAnsi="Arial" w:cs="Arial"/>
          <w:i/>
          <w:iCs/>
          <w:color w:val="000000"/>
          <w:sz w:val="24"/>
          <w:szCs w:val="24"/>
          <w:lang w:eastAsia="en-GB"/>
        </w:rPr>
        <w:t>The Case for Change: People in the Metropolitan Police Service, the Report of the Morris Inquiry,</w:t>
      </w:r>
      <w:r w:rsidRPr="003237ED">
        <w:rPr>
          <w:rFonts w:ascii="Arial" w:eastAsia="Times New Roman" w:hAnsi="Arial" w:cs="Arial"/>
          <w:color w:val="000000"/>
          <w:sz w:val="24"/>
          <w:szCs w:val="24"/>
          <w:lang w:eastAsia="en-GB"/>
        </w:rPr>
        <w:t xml:space="preserve"> London: Metropolitan Police Authority.</w:t>
      </w:r>
    </w:p>
    <w:p w14:paraId="694979EA"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37" w:history="1">
        <w:r w:rsidRPr="003237ED">
          <w:rPr>
            <w:rFonts w:ascii="Arial" w:eastAsia="Times New Roman" w:hAnsi="Arial" w:cs="Arial"/>
            <w:color w:val="1155CC"/>
            <w:sz w:val="24"/>
            <w:szCs w:val="24"/>
            <w:u w:val="single"/>
            <w:lang w:eastAsia="en-GB"/>
          </w:rPr>
          <w:t>http://www.policeauthority.org/Metropolitan/downloads/scrutinites/morris/morris-report.pdf</w:t>
        </w:r>
      </w:hyperlink>
      <w:r w:rsidRPr="003237ED">
        <w:rPr>
          <w:rFonts w:ascii="Arial" w:eastAsia="Times New Roman" w:hAnsi="Arial" w:cs="Arial"/>
          <w:color w:val="000000"/>
          <w:sz w:val="24"/>
          <w:szCs w:val="24"/>
          <w:lang w:eastAsia="en-GB"/>
        </w:rPr>
        <w:t> </w:t>
      </w:r>
    </w:p>
    <w:p w14:paraId="42D6EFA8"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13/10/2021)</w:t>
      </w:r>
    </w:p>
    <w:p w14:paraId="4AB4DE37" w14:textId="77777777" w:rsidR="003237ED" w:rsidRPr="003237ED" w:rsidRDefault="003237ED" w:rsidP="003237ED">
      <w:pPr>
        <w:spacing w:after="0" w:line="480" w:lineRule="auto"/>
        <w:rPr>
          <w:rFonts w:ascii="Arial" w:eastAsia="Times New Roman" w:hAnsi="Arial" w:cs="Arial"/>
          <w:sz w:val="24"/>
          <w:szCs w:val="24"/>
          <w:lang w:eastAsia="en-GB"/>
        </w:rPr>
      </w:pPr>
    </w:p>
    <w:p w14:paraId="17BDCA2F"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Morse, A (2016) </w:t>
      </w:r>
      <w:r w:rsidRPr="003237ED">
        <w:rPr>
          <w:rFonts w:ascii="Arial" w:eastAsia="Times New Roman" w:hAnsi="Arial" w:cs="Arial"/>
          <w:i/>
          <w:iCs/>
          <w:color w:val="000000"/>
          <w:sz w:val="24"/>
          <w:szCs w:val="24"/>
          <w:lang w:eastAsia="en-GB"/>
        </w:rPr>
        <w:t>Efficiency in the criminal justice system</w:t>
      </w:r>
      <w:r w:rsidRPr="003237ED">
        <w:rPr>
          <w:rFonts w:ascii="Arial" w:eastAsia="Times New Roman" w:hAnsi="Arial" w:cs="Arial"/>
          <w:color w:val="000000"/>
          <w:sz w:val="24"/>
          <w:szCs w:val="24"/>
          <w:lang w:eastAsia="en-GB"/>
        </w:rPr>
        <w:t>.</w:t>
      </w:r>
    </w:p>
    <w:p w14:paraId="67023D9F"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38" w:history="1">
        <w:r w:rsidRPr="003237ED">
          <w:rPr>
            <w:rFonts w:ascii="Arial" w:eastAsia="Times New Roman" w:hAnsi="Arial" w:cs="Arial"/>
            <w:color w:val="1155CC"/>
            <w:sz w:val="24"/>
            <w:szCs w:val="24"/>
            <w:u w:val="single"/>
            <w:lang w:eastAsia="en-GB"/>
          </w:rPr>
          <w:t>https://www.nao.org.uk/wp-content/uploads/2016/03/Efficiency-in-the-criminal-justice-system.pdf</w:t>
        </w:r>
      </w:hyperlink>
      <w:r w:rsidRPr="003237ED">
        <w:rPr>
          <w:rFonts w:ascii="Arial" w:eastAsia="Times New Roman" w:hAnsi="Arial" w:cs="Arial"/>
          <w:color w:val="000000"/>
          <w:sz w:val="24"/>
          <w:szCs w:val="24"/>
          <w:lang w:eastAsia="en-GB"/>
        </w:rPr>
        <w:t> </w:t>
      </w:r>
    </w:p>
    <w:p w14:paraId="5C02E0B7"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03/10/2021)</w:t>
      </w:r>
    </w:p>
    <w:p w14:paraId="7573B228" w14:textId="77777777" w:rsidR="003237ED" w:rsidRPr="003237ED" w:rsidRDefault="003237ED" w:rsidP="003237ED">
      <w:pPr>
        <w:spacing w:after="0" w:line="480" w:lineRule="auto"/>
        <w:rPr>
          <w:rFonts w:ascii="Arial" w:eastAsia="Times New Roman" w:hAnsi="Arial" w:cs="Arial"/>
          <w:sz w:val="24"/>
          <w:szCs w:val="24"/>
          <w:lang w:eastAsia="en-GB"/>
        </w:rPr>
      </w:pPr>
    </w:p>
    <w:p w14:paraId="72869506"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Muhammed, K. G (2019) </w:t>
      </w:r>
      <w:r w:rsidRPr="003237ED">
        <w:rPr>
          <w:rFonts w:ascii="Arial" w:eastAsia="Times New Roman" w:hAnsi="Arial" w:cs="Arial"/>
          <w:i/>
          <w:iCs/>
          <w:color w:val="000000"/>
          <w:sz w:val="24"/>
          <w:szCs w:val="24"/>
          <w:lang w:eastAsia="en-GB"/>
        </w:rPr>
        <w:t>The Condemnation of Blackness: Race, Crime, and the Making of Modern Urban America, with a New Preface,</w:t>
      </w:r>
      <w:r w:rsidRPr="003237ED">
        <w:rPr>
          <w:rFonts w:ascii="Arial" w:eastAsia="Times New Roman" w:hAnsi="Arial" w:cs="Arial"/>
          <w:color w:val="000000"/>
          <w:sz w:val="24"/>
          <w:szCs w:val="24"/>
          <w:lang w:eastAsia="en-GB"/>
        </w:rPr>
        <w:t xml:space="preserve"> Harvard: Harvard University Press. </w:t>
      </w:r>
    </w:p>
    <w:p w14:paraId="301007FC" w14:textId="77777777" w:rsidR="003237ED" w:rsidRPr="003237ED" w:rsidRDefault="003237ED" w:rsidP="003237ED">
      <w:pPr>
        <w:spacing w:after="0" w:line="480" w:lineRule="auto"/>
        <w:rPr>
          <w:rFonts w:ascii="Arial" w:eastAsia="Times New Roman" w:hAnsi="Arial" w:cs="Arial"/>
          <w:sz w:val="24"/>
          <w:szCs w:val="24"/>
          <w:lang w:eastAsia="en-GB"/>
        </w:rPr>
      </w:pPr>
    </w:p>
    <w:p w14:paraId="720F0B50"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Myers, W and Lantz, B (2020) ‘Reporting Racist Hate Crime Victimization to the Police in the United States and the United Kingdom: A Cross-National Comparison’, </w:t>
      </w:r>
      <w:r w:rsidRPr="003237ED">
        <w:rPr>
          <w:rFonts w:ascii="Arial" w:eastAsia="Times New Roman" w:hAnsi="Arial" w:cs="Arial"/>
          <w:i/>
          <w:iCs/>
          <w:color w:val="000000"/>
          <w:sz w:val="24"/>
          <w:szCs w:val="24"/>
          <w:lang w:eastAsia="en-GB"/>
        </w:rPr>
        <w:t>The British Journal of Criminology</w:t>
      </w:r>
      <w:r w:rsidRPr="003237ED">
        <w:rPr>
          <w:rFonts w:ascii="Arial" w:eastAsia="Times New Roman" w:hAnsi="Arial" w:cs="Arial"/>
          <w:color w:val="000000"/>
          <w:sz w:val="24"/>
          <w:szCs w:val="24"/>
          <w:lang w:eastAsia="en-GB"/>
        </w:rPr>
        <w:t xml:space="preserve"> 60(4), pp. 1034 – 1055.</w:t>
      </w:r>
    </w:p>
    <w:p w14:paraId="4631E1D1"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39" w:history="1">
        <w:r w:rsidRPr="003237ED">
          <w:rPr>
            <w:rFonts w:ascii="Arial" w:eastAsia="Times New Roman" w:hAnsi="Arial" w:cs="Arial"/>
            <w:color w:val="1155CC"/>
            <w:sz w:val="24"/>
            <w:szCs w:val="24"/>
            <w:u w:val="single"/>
            <w:lang w:eastAsia="en-GB"/>
          </w:rPr>
          <w:t>https://academic.oup.com/bjc/article/60/4/1034/5734315?login=true</w:t>
        </w:r>
      </w:hyperlink>
      <w:r w:rsidRPr="003237ED">
        <w:rPr>
          <w:rFonts w:ascii="Arial" w:eastAsia="Times New Roman" w:hAnsi="Arial" w:cs="Arial"/>
          <w:color w:val="000000"/>
          <w:sz w:val="24"/>
          <w:szCs w:val="24"/>
          <w:lang w:eastAsia="en-GB"/>
        </w:rPr>
        <w:t> </w:t>
      </w:r>
    </w:p>
    <w:p w14:paraId="02B0DC2E"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15/10/2021)</w:t>
      </w:r>
    </w:p>
    <w:p w14:paraId="55FB8E9A" w14:textId="77777777" w:rsidR="003237ED" w:rsidRPr="003237ED" w:rsidRDefault="003237ED" w:rsidP="003237ED">
      <w:pPr>
        <w:spacing w:after="0" w:line="480" w:lineRule="auto"/>
        <w:rPr>
          <w:rFonts w:ascii="Arial" w:eastAsia="Times New Roman" w:hAnsi="Arial" w:cs="Arial"/>
          <w:sz w:val="24"/>
          <w:szCs w:val="24"/>
          <w:lang w:eastAsia="en-GB"/>
        </w:rPr>
      </w:pPr>
    </w:p>
    <w:p w14:paraId="2E9A8523"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New Pathways (2021) </w:t>
      </w:r>
      <w:r w:rsidRPr="003237ED">
        <w:rPr>
          <w:rFonts w:ascii="Arial" w:eastAsia="Times New Roman" w:hAnsi="Arial" w:cs="Arial"/>
          <w:i/>
          <w:iCs/>
          <w:color w:val="000000"/>
          <w:sz w:val="24"/>
          <w:szCs w:val="24"/>
          <w:lang w:eastAsia="en-GB"/>
        </w:rPr>
        <w:t>About Us</w:t>
      </w:r>
      <w:r w:rsidRPr="003237ED">
        <w:rPr>
          <w:rFonts w:ascii="Arial" w:eastAsia="Times New Roman" w:hAnsi="Arial" w:cs="Arial"/>
          <w:color w:val="000000"/>
          <w:sz w:val="24"/>
          <w:szCs w:val="24"/>
          <w:lang w:eastAsia="en-GB"/>
        </w:rPr>
        <w:t>.</w:t>
      </w:r>
    </w:p>
    <w:p w14:paraId="78F25C5D"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40" w:history="1">
        <w:r w:rsidRPr="003237ED">
          <w:rPr>
            <w:rFonts w:ascii="Arial" w:eastAsia="Times New Roman" w:hAnsi="Arial" w:cs="Arial"/>
            <w:color w:val="1155CC"/>
            <w:sz w:val="24"/>
            <w:szCs w:val="24"/>
            <w:u w:val="single"/>
            <w:lang w:eastAsia="en-GB"/>
          </w:rPr>
          <w:t>http://www.newpathways.org.uk/about-us/</w:t>
        </w:r>
      </w:hyperlink>
      <w:r w:rsidRPr="003237ED">
        <w:rPr>
          <w:rFonts w:ascii="Arial" w:eastAsia="Times New Roman" w:hAnsi="Arial" w:cs="Arial"/>
          <w:color w:val="000000"/>
          <w:sz w:val="24"/>
          <w:szCs w:val="24"/>
          <w:lang w:eastAsia="en-GB"/>
        </w:rPr>
        <w:t> </w:t>
      </w:r>
    </w:p>
    <w:p w14:paraId="04CE5506"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lastRenderedPageBreak/>
        <w:t>(Accessed: 16/10/2021)</w:t>
      </w:r>
    </w:p>
    <w:p w14:paraId="7AA076C2" w14:textId="77777777" w:rsidR="003237ED" w:rsidRPr="003237ED" w:rsidRDefault="003237ED" w:rsidP="003237ED">
      <w:pPr>
        <w:spacing w:after="0" w:line="480" w:lineRule="auto"/>
        <w:rPr>
          <w:rFonts w:ascii="Arial" w:eastAsia="Times New Roman" w:hAnsi="Arial" w:cs="Arial"/>
          <w:sz w:val="24"/>
          <w:szCs w:val="24"/>
          <w:lang w:eastAsia="en-GB"/>
        </w:rPr>
      </w:pPr>
    </w:p>
    <w:p w14:paraId="78F8D76D"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O’Hanlon, R. J (1968) ‘Criminal Justice Bill, 1967’, </w:t>
      </w:r>
      <w:r w:rsidRPr="003237ED">
        <w:rPr>
          <w:rFonts w:ascii="Arial" w:eastAsia="Times New Roman" w:hAnsi="Arial" w:cs="Arial"/>
          <w:i/>
          <w:iCs/>
          <w:color w:val="000000"/>
          <w:sz w:val="24"/>
          <w:szCs w:val="24"/>
          <w:lang w:eastAsia="en-GB"/>
        </w:rPr>
        <w:t>Irish Jurist</w:t>
      </w:r>
      <w:r w:rsidRPr="003237ED">
        <w:rPr>
          <w:rFonts w:ascii="Arial" w:eastAsia="Times New Roman" w:hAnsi="Arial" w:cs="Arial"/>
          <w:color w:val="000000"/>
          <w:sz w:val="24"/>
          <w:szCs w:val="24"/>
          <w:lang w:eastAsia="en-GB"/>
        </w:rPr>
        <w:t>, 3(1), pp. 101 - 107.</w:t>
      </w:r>
    </w:p>
    <w:p w14:paraId="7D6D609D"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41" w:history="1">
        <w:r w:rsidRPr="003237ED">
          <w:rPr>
            <w:rFonts w:ascii="Arial" w:eastAsia="Times New Roman" w:hAnsi="Arial" w:cs="Arial"/>
            <w:color w:val="1155CC"/>
            <w:sz w:val="24"/>
            <w:szCs w:val="24"/>
            <w:u w:val="single"/>
            <w:lang w:eastAsia="en-GB"/>
          </w:rPr>
          <w:t>https://www.jstor.org/stable/44026062</w:t>
        </w:r>
      </w:hyperlink>
      <w:r w:rsidRPr="003237ED">
        <w:rPr>
          <w:rFonts w:ascii="Arial" w:eastAsia="Times New Roman" w:hAnsi="Arial" w:cs="Arial"/>
          <w:color w:val="000000"/>
          <w:sz w:val="24"/>
          <w:szCs w:val="24"/>
          <w:lang w:eastAsia="en-GB"/>
        </w:rPr>
        <w:t> </w:t>
      </w:r>
    </w:p>
    <w:p w14:paraId="68205627"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03/10/2021)</w:t>
      </w:r>
    </w:p>
    <w:p w14:paraId="3B95FE65" w14:textId="77777777" w:rsidR="003237ED" w:rsidRPr="003237ED" w:rsidRDefault="003237ED" w:rsidP="003237ED">
      <w:pPr>
        <w:spacing w:after="0" w:line="480" w:lineRule="auto"/>
        <w:rPr>
          <w:rFonts w:ascii="Arial" w:eastAsia="Times New Roman" w:hAnsi="Arial" w:cs="Arial"/>
          <w:sz w:val="24"/>
          <w:szCs w:val="24"/>
          <w:lang w:eastAsia="en-GB"/>
        </w:rPr>
      </w:pPr>
    </w:p>
    <w:p w14:paraId="044D3592" w14:textId="77777777" w:rsidR="003237ED" w:rsidRPr="003237ED" w:rsidRDefault="003237ED" w:rsidP="003237ED">
      <w:pPr>
        <w:spacing w:after="0" w:line="480" w:lineRule="auto"/>
        <w:rPr>
          <w:rFonts w:ascii="Arial" w:eastAsia="Times New Roman" w:hAnsi="Arial" w:cs="Arial"/>
          <w:sz w:val="24"/>
          <w:szCs w:val="24"/>
          <w:lang w:eastAsia="en-GB"/>
        </w:rPr>
      </w:pPr>
      <w:proofErr w:type="spellStart"/>
      <w:r w:rsidRPr="003237ED">
        <w:rPr>
          <w:rFonts w:ascii="Arial" w:eastAsia="Times New Roman" w:hAnsi="Arial" w:cs="Arial"/>
          <w:color w:val="000000"/>
          <w:sz w:val="24"/>
          <w:szCs w:val="24"/>
          <w:lang w:eastAsia="en-GB"/>
        </w:rPr>
        <w:t>Pashukanis</w:t>
      </w:r>
      <w:proofErr w:type="spellEnd"/>
      <w:r w:rsidRPr="003237ED">
        <w:rPr>
          <w:rFonts w:ascii="Arial" w:eastAsia="Times New Roman" w:hAnsi="Arial" w:cs="Arial"/>
          <w:color w:val="000000"/>
          <w:sz w:val="24"/>
          <w:szCs w:val="24"/>
          <w:lang w:eastAsia="en-GB"/>
        </w:rPr>
        <w:t xml:space="preserve">, E (2017) </w:t>
      </w:r>
      <w:r w:rsidRPr="003237ED">
        <w:rPr>
          <w:rFonts w:ascii="Arial" w:eastAsia="Times New Roman" w:hAnsi="Arial" w:cs="Arial"/>
          <w:i/>
          <w:iCs/>
          <w:color w:val="000000"/>
          <w:sz w:val="24"/>
          <w:szCs w:val="24"/>
          <w:lang w:eastAsia="en-GB"/>
        </w:rPr>
        <w:t>The General Theory of Law and Marxism</w:t>
      </w:r>
      <w:r w:rsidRPr="003237ED">
        <w:rPr>
          <w:rFonts w:ascii="Arial" w:eastAsia="Times New Roman" w:hAnsi="Arial" w:cs="Arial"/>
          <w:color w:val="000000"/>
          <w:sz w:val="24"/>
          <w:szCs w:val="24"/>
          <w:lang w:eastAsia="en-GB"/>
        </w:rPr>
        <w:t>, Oxford: Routledge.</w:t>
      </w:r>
    </w:p>
    <w:p w14:paraId="210CE374" w14:textId="77777777" w:rsidR="003237ED" w:rsidRPr="003237ED" w:rsidRDefault="003237ED" w:rsidP="003237ED">
      <w:pPr>
        <w:spacing w:after="0" w:line="480" w:lineRule="auto"/>
        <w:rPr>
          <w:rFonts w:ascii="Arial" w:eastAsia="Times New Roman" w:hAnsi="Arial" w:cs="Arial"/>
          <w:sz w:val="24"/>
          <w:szCs w:val="24"/>
          <w:lang w:eastAsia="en-GB"/>
        </w:rPr>
      </w:pPr>
    </w:p>
    <w:p w14:paraId="067EA293"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Phillips, C and Bowling, B (2003) ‘Racism, Ethnicity and Criminology. Developing Minority Perspectives’, </w:t>
      </w:r>
      <w:r w:rsidRPr="003237ED">
        <w:rPr>
          <w:rFonts w:ascii="Arial" w:eastAsia="Times New Roman" w:hAnsi="Arial" w:cs="Arial"/>
          <w:i/>
          <w:iCs/>
          <w:color w:val="000000"/>
          <w:sz w:val="24"/>
          <w:szCs w:val="24"/>
          <w:lang w:eastAsia="en-GB"/>
        </w:rPr>
        <w:t>The British Journal of Criminology,</w:t>
      </w:r>
      <w:r w:rsidRPr="003237ED">
        <w:rPr>
          <w:rFonts w:ascii="Arial" w:eastAsia="Times New Roman" w:hAnsi="Arial" w:cs="Arial"/>
          <w:color w:val="000000"/>
          <w:sz w:val="24"/>
          <w:szCs w:val="24"/>
          <w:lang w:eastAsia="en-GB"/>
        </w:rPr>
        <w:t xml:space="preserve"> 43(2), pp. 269–290.</w:t>
      </w:r>
    </w:p>
    <w:p w14:paraId="432F952E"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42" w:history="1">
        <w:r w:rsidRPr="003237ED">
          <w:rPr>
            <w:rFonts w:ascii="Arial" w:eastAsia="Times New Roman" w:hAnsi="Arial" w:cs="Arial"/>
            <w:color w:val="1155CC"/>
            <w:sz w:val="24"/>
            <w:szCs w:val="24"/>
            <w:u w:val="single"/>
            <w:lang w:eastAsia="en-GB"/>
          </w:rPr>
          <w:t>https://academic-oup-com.ezproxy.uwtsd.ac.uk/bjc/article/43/2/269/386678</w:t>
        </w:r>
      </w:hyperlink>
      <w:r w:rsidRPr="003237ED">
        <w:rPr>
          <w:rFonts w:ascii="Arial" w:eastAsia="Times New Roman" w:hAnsi="Arial" w:cs="Arial"/>
          <w:color w:val="000000"/>
          <w:sz w:val="24"/>
          <w:szCs w:val="24"/>
          <w:lang w:eastAsia="en-GB"/>
        </w:rPr>
        <w:t> </w:t>
      </w:r>
    </w:p>
    <w:p w14:paraId="137ACCE5"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13/10/2021)</w:t>
      </w:r>
    </w:p>
    <w:p w14:paraId="69133618" w14:textId="77777777" w:rsidR="003237ED" w:rsidRPr="003237ED" w:rsidRDefault="003237ED" w:rsidP="003237ED">
      <w:pPr>
        <w:spacing w:after="0" w:line="480" w:lineRule="auto"/>
        <w:rPr>
          <w:rFonts w:ascii="Arial" w:eastAsia="Times New Roman" w:hAnsi="Arial" w:cs="Arial"/>
          <w:sz w:val="24"/>
          <w:szCs w:val="24"/>
          <w:lang w:eastAsia="en-GB"/>
        </w:rPr>
      </w:pPr>
    </w:p>
    <w:p w14:paraId="210F2CCF"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Police UK (2021) </w:t>
      </w:r>
      <w:r w:rsidRPr="003237ED">
        <w:rPr>
          <w:rFonts w:ascii="Arial" w:eastAsia="Times New Roman" w:hAnsi="Arial" w:cs="Arial"/>
          <w:i/>
          <w:iCs/>
          <w:color w:val="000000"/>
          <w:sz w:val="24"/>
          <w:szCs w:val="24"/>
          <w:lang w:eastAsia="en-GB"/>
        </w:rPr>
        <w:t>How to Report</w:t>
      </w:r>
      <w:r w:rsidRPr="003237ED">
        <w:rPr>
          <w:rFonts w:ascii="Arial" w:eastAsia="Times New Roman" w:hAnsi="Arial" w:cs="Arial"/>
          <w:color w:val="000000"/>
          <w:sz w:val="24"/>
          <w:szCs w:val="24"/>
          <w:lang w:eastAsia="en-GB"/>
        </w:rPr>
        <w:t>.</w:t>
      </w:r>
    </w:p>
    <w:p w14:paraId="5E36BEDD"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43" w:history="1">
        <w:r w:rsidRPr="003237ED">
          <w:rPr>
            <w:rFonts w:ascii="Arial" w:eastAsia="Times New Roman" w:hAnsi="Arial" w:cs="Arial"/>
            <w:color w:val="1155CC"/>
            <w:sz w:val="24"/>
            <w:szCs w:val="24"/>
            <w:u w:val="single"/>
            <w:lang w:eastAsia="en-GB"/>
          </w:rPr>
          <w:t>https://www.police.uk/pu/contact-the-police/what-and-how-to-report/how-to-report/</w:t>
        </w:r>
      </w:hyperlink>
      <w:r w:rsidRPr="003237ED">
        <w:rPr>
          <w:rFonts w:ascii="Arial" w:eastAsia="Times New Roman" w:hAnsi="Arial" w:cs="Arial"/>
          <w:color w:val="000000"/>
          <w:sz w:val="24"/>
          <w:szCs w:val="24"/>
          <w:lang w:eastAsia="en-GB"/>
        </w:rPr>
        <w:t> </w:t>
      </w:r>
    </w:p>
    <w:p w14:paraId="754510EE"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16/10/2021)</w:t>
      </w:r>
    </w:p>
    <w:p w14:paraId="75A762D5" w14:textId="77777777" w:rsidR="003237ED" w:rsidRPr="003237ED" w:rsidRDefault="003237ED" w:rsidP="003237ED">
      <w:pPr>
        <w:spacing w:after="0" w:line="480" w:lineRule="auto"/>
        <w:rPr>
          <w:rFonts w:ascii="Arial" w:eastAsia="Times New Roman" w:hAnsi="Arial" w:cs="Arial"/>
          <w:sz w:val="24"/>
          <w:szCs w:val="24"/>
          <w:lang w:eastAsia="en-GB"/>
        </w:rPr>
      </w:pPr>
    </w:p>
    <w:p w14:paraId="318786A2"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Rock, P (1990) </w:t>
      </w:r>
      <w:r w:rsidRPr="003237ED">
        <w:rPr>
          <w:rFonts w:ascii="Arial" w:eastAsia="Times New Roman" w:hAnsi="Arial" w:cs="Arial"/>
          <w:i/>
          <w:iCs/>
          <w:color w:val="000000"/>
          <w:sz w:val="24"/>
          <w:szCs w:val="24"/>
          <w:lang w:eastAsia="en-GB"/>
        </w:rPr>
        <w:t>Helping Victims of Crime: The Home Office and the Rise of Victim Support in England and Wales</w:t>
      </w:r>
      <w:r w:rsidRPr="003237ED">
        <w:rPr>
          <w:rFonts w:ascii="Arial" w:eastAsia="Times New Roman" w:hAnsi="Arial" w:cs="Arial"/>
          <w:color w:val="000000"/>
          <w:sz w:val="24"/>
          <w:szCs w:val="24"/>
          <w:lang w:eastAsia="en-GB"/>
        </w:rPr>
        <w:t>.</w:t>
      </w:r>
    </w:p>
    <w:p w14:paraId="3744B511"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44" w:history="1">
        <w:r w:rsidRPr="003237ED">
          <w:rPr>
            <w:rFonts w:ascii="Arial" w:eastAsia="Times New Roman" w:hAnsi="Arial" w:cs="Arial"/>
            <w:color w:val="1155CC"/>
            <w:sz w:val="24"/>
            <w:szCs w:val="24"/>
            <w:u w:val="single"/>
            <w:lang w:eastAsia="en-GB"/>
          </w:rPr>
          <w:t>https://www.ojp.gov/ncjrs/virtual-library/abstracts/helping-victims-crime-home-office-and-rise-victim-support-england</w:t>
        </w:r>
      </w:hyperlink>
      <w:r w:rsidRPr="003237ED">
        <w:rPr>
          <w:rFonts w:ascii="Arial" w:eastAsia="Times New Roman" w:hAnsi="Arial" w:cs="Arial"/>
          <w:color w:val="000000"/>
          <w:sz w:val="24"/>
          <w:szCs w:val="24"/>
          <w:lang w:eastAsia="en-GB"/>
        </w:rPr>
        <w:t> </w:t>
      </w:r>
    </w:p>
    <w:p w14:paraId="61E31A33"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16/10/2021)</w:t>
      </w:r>
    </w:p>
    <w:p w14:paraId="60710C3D" w14:textId="77777777" w:rsidR="003237ED" w:rsidRPr="003237ED" w:rsidRDefault="003237ED" w:rsidP="003237ED">
      <w:pPr>
        <w:spacing w:after="0" w:line="480" w:lineRule="auto"/>
        <w:rPr>
          <w:rFonts w:ascii="Arial" w:eastAsia="Times New Roman" w:hAnsi="Arial" w:cs="Arial"/>
          <w:sz w:val="24"/>
          <w:szCs w:val="24"/>
          <w:lang w:eastAsia="en-GB"/>
        </w:rPr>
      </w:pPr>
    </w:p>
    <w:p w14:paraId="6BEF67B5"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lastRenderedPageBreak/>
        <w:t xml:space="preserve">Russell, E. K (2017) ‘Queer </w:t>
      </w:r>
      <w:proofErr w:type="spellStart"/>
      <w:r w:rsidRPr="003237ED">
        <w:rPr>
          <w:rFonts w:ascii="Arial" w:eastAsia="Times New Roman" w:hAnsi="Arial" w:cs="Arial"/>
          <w:color w:val="000000"/>
          <w:sz w:val="24"/>
          <w:szCs w:val="24"/>
          <w:lang w:eastAsia="en-GB"/>
        </w:rPr>
        <w:t>Penalities</w:t>
      </w:r>
      <w:proofErr w:type="spellEnd"/>
      <w:r w:rsidRPr="003237ED">
        <w:rPr>
          <w:rFonts w:ascii="Arial" w:eastAsia="Times New Roman" w:hAnsi="Arial" w:cs="Arial"/>
          <w:color w:val="000000"/>
          <w:sz w:val="24"/>
          <w:szCs w:val="24"/>
          <w:lang w:eastAsia="en-GB"/>
        </w:rPr>
        <w:t xml:space="preserve">: The Criminal Justice Paradigm in Lesbian and Gay Anti-Violence Politics’, </w:t>
      </w:r>
      <w:r w:rsidRPr="003237ED">
        <w:rPr>
          <w:rFonts w:ascii="Arial" w:eastAsia="Times New Roman" w:hAnsi="Arial" w:cs="Arial"/>
          <w:i/>
          <w:iCs/>
          <w:color w:val="000000"/>
          <w:sz w:val="24"/>
          <w:szCs w:val="24"/>
          <w:lang w:eastAsia="en-GB"/>
        </w:rPr>
        <w:t>Critical Criminology</w:t>
      </w:r>
      <w:r w:rsidRPr="003237ED">
        <w:rPr>
          <w:rFonts w:ascii="Arial" w:eastAsia="Times New Roman" w:hAnsi="Arial" w:cs="Arial"/>
          <w:color w:val="000000"/>
          <w:sz w:val="24"/>
          <w:szCs w:val="24"/>
          <w:lang w:eastAsia="en-GB"/>
        </w:rPr>
        <w:t>, 25, pp. 21 - 25.</w:t>
      </w:r>
    </w:p>
    <w:p w14:paraId="5A6A8C01"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45" w:history="1">
        <w:r w:rsidRPr="003237ED">
          <w:rPr>
            <w:rFonts w:ascii="Arial" w:eastAsia="Times New Roman" w:hAnsi="Arial" w:cs="Arial"/>
            <w:color w:val="1155CC"/>
            <w:sz w:val="24"/>
            <w:szCs w:val="24"/>
            <w:u w:val="single"/>
            <w:lang w:eastAsia="en-GB"/>
          </w:rPr>
          <w:t>https://link.springer.com/article/10.1007%2Fs10612-016-9337-4</w:t>
        </w:r>
      </w:hyperlink>
      <w:r w:rsidRPr="003237ED">
        <w:rPr>
          <w:rFonts w:ascii="Arial" w:eastAsia="Times New Roman" w:hAnsi="Arial" w:cs="Arial"/>
          <w:color w:val="000000"/>
          <w:sz w:val="24"/>
          <w:szCs w:val="24"/>
          <w:lang w:eastAsia="en-GB"/>
        </w:rPr>
        <w:t> </w:t>
      </w:r>
    </w:p>
    <w:p w14:paraId="4489E8F1"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15/10/2021)</w:t>
      </w:r>
    </w:p>
    <w:p w14:paraId="79BA3293" w14:textId="77777777" w:rsidR="003237ED" w:rsidRPr="003237ED" w:rsidRDefault="003237ED" w:rsidP="003237ED">
      <w:pPr>
        <w:spacing w:after="0" w:line="480" w:lineRule="auto"/>
        <w:rPr>
          <w:rFonts w:ascii="Arial" w:eastAsia="Times New Roman" w:hAnsi="Arial" w:cs="Arial"/>
          <w:sz w:val="24"/>
          <w:szCs w:val="24"/>
          <w:lang w:eastAsia="en-GB"/>
        </w:rPr>
      </w:pPr>
    </w:p>
    <w:p w14:paraId="7733271D"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 xml:space="preserve">Samuels, A (1968) ‘Criminal Justice Act’ </w:t>
      </w:r>
      <w:r w:rsidRPr="003237ED">
        <w:rPr>
          <w:rFonts w:ascii="Arial" w:eastAsia="Times New Roman" w:hAnsi="Arial" w:cs="Arial"/>
          <w:i/>
          <w:iCs/>
          <w:color w:val="222222"/>
          <w:sz w:val="24"/>
          <w:szCs w:val="24"/>
          <w:shd w:val="clear" w:color="auto" w:fill="FFFFFF"/>
          <w:lang w:eastAsia="en-GB"/>
        </w:rPr>
        <w:t>Mod. L. Rev</w:t>
      </w:r>
      <w:r w:rsidRPr="003237ED">
        <w:rPr>
          <w:rFonts w:ascii="Arial" w:eastAsia="Times New Roman" w:hAnsi="Arial" w:cs="Arial"/>
          <w:color w:val="222222"/>
          <w:sz w:val="24"/>
          <w:szCs w:val="24"/>
          <w:shd w:val="clear" w:color="auto" w:fill="FFFFFF"/>
          <w:lang w:eastAsia="en-GB"/>
        </w:rPr>
        <w:t>,</w:t>
      </w:r>
      <w:r w:rsidRPr="003237ED">
        <w:rPr>
          <w:rFonts w:ascii="Arial" w:eastAsia="Times New Roman" w:hAnsi="Arial" w:cs="Arial"/>
          <w:i/>
          <w:iCs/>
          <w:color w:val="222222"/>
          <w:sz w:val="24"/>
          <w:szCs w:val="24"/>
          <w:shd w:val="clear" w:color="auto" w:fill="FFFFFF"/>
          <w:lang w:eastAsia="en-GB"/>
        </w:rPr>
        <w:t xml:space="preserve"> </w:t>
      </w:r>
      <w:r w:rsidRPr="003237ED">
        <w:rPr>
          <w:rFonts w:ascii="Arial" w:eastAsia="Times New Roman" w:hAnsi="Arial" w:cs="Arial"/>
          <w:color w:val="222222"/>
          <w:sz w:val="24"/>
          <w:szCs w:val="24"/>
          <w:shd w:val="clear" w:color="auto" w:fill="FFFFFF"/>
          <w:lang w:eastAsia="en-GB"/>
        </w:rPr>
        <w:t>31, p.16.</w:t>
      </w:r>
    </w:p>
    <w:p w14:paraId="00706B2A"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 xml:space="preserve">Available at: </w:t>
      </w:r>
      <w:hyperlink r:id="rId46" w:history="1">
        <w:r w:rsidRPr="003237ED">
          <w:rPr>
            <w:rFonts w:ascii="Arial" w:eastAsia="Times New Roman" w:hAnsi="Arial" w:cs="Arial"/>
            <w:color w:val="1155CC"/>
            <w:sz w:val="24"/>
            <w:szCs w:val="24"/>
            <w:u w:val="single"/>
            <w:shd w:val="clear" w:color="auto" w:fill="FFFFFF"/>
            <w:lang w:eastAsia="en-GB"/>
          </w:rPr>
          <w:t>https://heinonline.org/HOL/LandingPage?handle=hein.journals/modlr31&amp;div=13&amp;id=&amp;page=</w:t>
        </w:r>
      </w:hyperlink>
      <w:r w:rsidRPr="003237ED">
        <w:rPr>
          <w:rFonts w:ascii="Arial" w:eastAsia="Times New Roman" w:hAnsi="Arial" w:cs="Arial"/>
          <w:color w:val="222222"/>
          <w:sz w:val="24"/>
          <w:szCs w:val="24"/>
          <w:shd w:val="clear" w:color="auto" w:fill="FFFFFF"/>
          <w:lang w:eastAsia="en-GB"/>
        </w:rPr>
        <w:t> </w:t>
      </w:r>
    </w:p>
    <w:p w14:paraId="73CBE5D3"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(Accessed: 03/10/2021)</w:t>
      </w:r>
    </w:p>
    <w:p w14:paraId="703CB900" w14:textId="77777777" w:rsidR="003237ED" w:rsidRPr="003237ED" w:rsidRDefault="003237ED" w:rsidP="003237ED">
      <w:pPr>
        <w:spacing w:after="0" w:line="480" w:lineRule="auto"/>
        <w:rPr>
          <w:rFonts w:ascii="Arial" w:eastAsia="Times New Roman" w:hAnsi="Arial" w:cs="Arial"/>
          <w:sz w:val="24"/>
          <w:szCs w:val="24"/>
          <w:lang w:eastAsia="en-GB"/>
        </w:rPr>
      </w:pPr>
    </w:p>
    <w:p w14:paraId="64922936" w14:textId="77777777" w:rsidR="003237ED" w:rsidRPr="003237ED" w:rsidRDefault="003237ED" w:rsidP="003237ED">
      <w:pPr>
        <w:spacing w:after="0" w:line="480" w:lineRule="auto"/>
        <w:rPr>
          <w:rFonts w:ascii="Arial" w:eastAsia="Times New Roman" w:hAnsi="Arial" w:cs="Arial"/>
          <w:sz w:val="24"/>
          <w:szCs w:val="24"/>
          <w:lang w:eastAsia="en-GB"/>
        </w:rPr>
      </w:pPr>
      <w:proofErr w:type="spellStart"/>
      <w:r w:rsidRPr="003237ED">
        <w:rPr>
          <w:rFonts w:ascii="Arial" w:eastAsia="Times New Roman" w:hAnsi="Arial" w:cs="Arial"/>
          <w:color w:val="222222"/>
          <w:sz w:val="24"/>
          <w:szCs w:val="24"/>
          <w:shd w:val="clear" w:color="auto" w:fill="FFFFFF"/>
          <w:lang w:eastAsia="en-GB"/>
        </w:rPr>
        <w:t>Sandland</w:t>
      </w:r>
      <w:proofErr w:type="spellEnd"/>
      <w:r w:rsidRPr="003237ED">
        <w:rPr>
          <w:rFonts w:ascii="Arial" w:eastAsia="Times New Roman" w:hAnsi="Arial" w:cs="Arial"/>
          <w:color w:val="222222"/>
          <w:sz w:val="24"/>
          <w:szCs w:val="24"/>
          <w:shd w:val="clear" w:color="auto" w:fill="FFFFFF"/>
          <w:lang w:eastAsia="en-GB"/>
        </w:rPr>
        <w:t xml:space="preserve">, R (2005) ‘Feminism and the Gender Recognition Act 2004’, </w:t>
      </w:r>
      <w:r w:rsidRPr="003237ED">
        <w:rPr>
          <w:rFonts w:ascii="Arial" w:eastAsia="Times New Roman" w:hAnsi="Arial" w:cs="Arial"/>
          <w:i/>
          <w:iCs/>
          <w:color w:val="222222"/>
          <w:sz w:val="24"/>
          <w:szCs w:val="24"/>
          <w:shd w:val="clear" w:color="auto" w:fill="FFFFFF"/>
          <w:lang w:eastAsia="en-GB"/>
        </w:rPr>
        <w:t>Feminism Legal Studies</w:t>
      </w:r>
      <w:r w:rsidRPr="003237ED">
        <w:rPr>
          <w:rFonts w:ascii="Arial" w:eastAsia="Times New Roman" w:hAnsi="Arial" w:cs="Arial"/>
          <w:color w:val="222222"/>
          <w:sz w:val="24"/>
          <w:szCs w:val="24"/>
          <w:shd w:val="clear" w:color="auto" w:fill="FFFFFF"/>
          <w:lang w:eastAsia="en-GB"/>
        </w:rPr>
        <w:t>, 13, pp. 43 - 66.</w:t>
      </w:r>
    </w:p>
    <w:p w14:paraId="5643F254"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 xml:space="preserve">Available at: </w:t>
      </w:r>
      <w:hyperlink r:id="rId47" w:history="1">
        <w:r w:rsidRPr="003237ED">
          <w:rPr>
            <w:rFonts w:ascii="Arial" w:eastAsia="Times New Roman" w:hAnsi="Arial" w:cs="Arial"/>
            <w:color w:val="1155CC"/>
            <w:sz w:val="24"/>
            <w:szCs w:val="24"/>
            <w:u w:val="single"/>
            <w:shd w:val="clear" w:color="auto" w:fill="FFFFFF"/>
            <w:lang w:eastAsia="en-GB"/>
          </w:rPr>
          <w:t>https://link.springer.com/article/10.1007/s10691-005-1456-3</w:t>
        </w:r>
      </w:hyperlink>
      <w:r w:rsidRPr="003237ED">
        <w:rPr>
          <w:rFonts w:ascii="Arial" w:eastAsia="Times New Roman" w:hAnsi="Arial" w:cs="Arial"/>
          <w:color w:val="222222"/>
          <w:sz w:val="24"/>
          <w:szCs w:val="24"/>
          <w:shd w:val="clear" w:color="auto" w:fill="FFFFFF"/>
          <w:lang w:eastAsia="en-GB"/>
        </w:rPr>
        <w:t> </w:t>
      </w:r>
    </w:p>
    <w:p w14:paraId="07B46812"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(Accessed: 15/10/2021)</w:t>
      </w:r>
    </w:p>
    <w:p w14:paraId="2F092F11" w14:textId="77777777" w:rsidR="003237ED" w:rsidRPr="003237ED" w:rsidRDefault="003237ED" w:rsidP="003237ED">
      <w:pPr>
        <w:spacing w:after="0" w:line="480" w:lineRule="auto"/>
        <w:rPr>
          <w:rFonts w:ascii="Arial" w:eastAsia="Times New Roman" w:hAnsi="Arial" w:cs="Arial"/>
          <w:sz w:val="24"/>
          <w:szCs w:val="24"/>
          <w:lang w:eastAsia="en-GB"/>
        </w:rPr>
      </w:pPr>
    </w:p>
    <w:p w14:paraId="0E5F5F51"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 xml:space="preserve">Sharpe, A. N (2007) ‘A Critique of the Gender Recognition Act 2004’, </w:t>
      </w:r>
      <w:r w:rsidRPr="003237ED">
        <w:rPr>
          <w:rFonts w:ascii="Arial" w:eastAsia="Times New Roman" w:hAnsi="Arial" w:cs="Arial"/>
          <w:i/>
          <w:iCs/>
          <w:color w:val="222222"/>
          <w:sz w:val="24"/>
          <w:szCs w:val="24"/>
          <w:shd w:val="clear" w:color="auto" w:fill="FFFFFF"/>
          <w:lang w:eastAsia="en-GB"/>
        </w:rPr>
        <w:t>Journal of Bioethical Inquiry</w:t>
      </w:r>
      <w:r w:rsidRPr="003237ED">
        <w:rPr>
          <w:rFonts w:ascii="Arial" w:eastAsia="Times New Roman" w:hAnsi="Arial" w:cs="Arial"/>
          <w:color w:val="222222"/>
          <w:sz w:val="24"/>
          <w:szCs w:val="24"/>
          <w:shd w:val="clear" w:color="auto" w:fill="FFFFFF"/>
          <w:lang w:eastAsia="en-GB"/>
        </w:rPr>
        <w:t>, 4, pp. 33 - 42. </w:t>
      </w:r>
    </w:p>
    <w:p w14:paraId="7BD86C7B"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 xml:space="preserve">Available at: </w:t>
      </w:r>
      <w:hyperlink r:id="rId48" w:history="1">
        <w:r w:rsidRPr="003237ED">
          <w:rPr>
            <w:rFonts w:ascii="Arial" w:eastAsia="Times New Roman" w:hAnsi="Arial" w:cs="Arial"/>
            <w:color w:val="1155CC"/>
            <w:sz w:val="24"/>
            <w:szCs w:val="24"/>
            <w:u w:val="single"/>
            <w:shd w:val="clear" w:color="auto" w:fill="FFFFFF"/>
            <w:lang w:eastAsia="en-GB"/>
          </w:rPr>
          <w:t>https://link.springer.com/article/10.1007/s11673-007-9032-y</w:t>
        </w:r>
      </w:hyperlink>
      <w:r w:rsidRPr="003237ED">
        <w:rPr>
          <w:rFonts w:ascii="Arial" w:eastAsia="Times New Roman" w:hAnsi="Arial" w:cs="Arial"/>
          <w:color w:val="222222"/>
          <w:sz w:val="24"/>
          <w:szCs w:val="24"/>
          <w:shd w:val="clear" w:color="auto" w:fill="FFFFFF"/>
          <w:lang w:eastAsia="en-GB"/>
        </w:rPr>
        <w:t> </w:t>
      </w:r>
    </w:p>
    <w:p w14:paraId="38C6A485"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(Accessed: 15/10/2021)</w:t>
      </w:r>
    </w:p>
    <w:p w14:paraId="37A24348" w14:textId="77777777" w:rsidR="003237ED" w:rsidRPr="003237ED" w:rsidRDefault="003237ED" w:rsidP="003237ED">
      <w:pPr>
        <w:spacing w:after="0" w:line="480" w:lineRule="auto"/>
        <w:rPr>
          <w:rFonts w:ascii="Arial" w:eastAsia="Times New Roman" w:hAnsi="Arial" w:cs="Arial"/>
          <w:sz w:val="24"/>
          <w:szCs w:val="24"/>
          <w:lang w:eastAsia="en-GB"/>
        </w:rPr>
      </w:pPr>
    </w:p>
    <w:p w14:paraId="66FBE723"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 xml:space="preserve">Sharpe, A. N (2007) ‘Endless Sex: The Gender Recognition Act 2004 and the Persistence of a Legal Category’, </w:t>
      </w:r>
      <w:r w:rsidRPr="003237ED">
        <w:rPr>
          <w:rFonts w:ascii="Arial" w:eastAsia="Times New Roman" w:hAnsi="Arial" w:cs="Arial"/>
          <w:i/>
          <w:iCs/>
          <w:color w:val="222222"/>
          <w:sz w:val="24"/>
          <w:szCs w:val="24"/>
          <w:shd w:val="clear" w:color="auto" w:fill="FFFFFF"/>
          <w:lang w:eastAsia="en-GB"/>
        </w:rPr>
        <w:t>Feminist Legal Studies</w:t>
      </w:r>
      <w:r w:rsidRPr="003237ED">
        <w:rPr>
          <w:rFonts w:ascii="Arial" w:eastAsia="Times New Roman" w:hAnsi="Arial" w:cs="Arial"/>
          <w:color w:val="222222"/>
          <w:sz w:val="24"/>
          <w:szCs w:val="24"/>
          <w:shd w:val="clear" w:color="auto" w:fill="FFFFFF"/>
          <w:lang w:eastAsia="en-GB"/>
        </w:rPr>
        <w:t>, 15, pp. 57–84.</w:t>
      </w:r>
    </w:p>
    <w:p w14:paraId="68DF1C94"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 xml:space="preserve">Available at: </w:t>
      </w:r>
      <w:hyperlink r:id="rId49" w:history="1">
        <w:r w:rsidRPr="003237ED">
          <w:rPr>
            <w:rFonts w:ascii="Arial" w:eastAsia="Times New Roman" w:hAnsi="Arial" w:cs="Arial"/>
            <w:color w:val="1155CC"/>
            <w:sz w:val="24"/>
            <w:szCs w:val="24"/>
            <w:u w:val="single"/>
            <w:shd w:val="clear" w:color="auto" w:fill="FFFFFF"/>
            <w:lang w:eastAsia="en-GB"/>
          </w:rPr>
          <w:t>https://link.springer.com/article/10.1007/s10691-006-9042-x</w:t>
        </w:r>
      </w:hyperlink>
      <w:r w:rsidRPr="003237ED">
        <w:rPr>
          <w:rFonts w:ascii="Arial" w:eastAsia="Times New Roman" w:hAnsi="Arial" w:cs="Arial"/>
          <w:color w:val="222222"/>
          <w:sz w:val="24"/>
          <w:szCs w:val="24"/>
          <w:shd w:val="clear" w:color="auto" w:fill="FFFFFF"/>
          <w:lang w:eastAsia="en-GB"/>
        </w:rPr>
        <w:t> </w:t>
      </w:r>
    </w:p>
    <w:p w14:paraId="52584510"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(Accessed: 15/10/2021)</w:t>
      </w:r>
    </w:p>
    <w:p w14:paraId="1F5E54DA" w14:textId="77777777" w:rsidR="003237ED" w:rsidRPr="003237ED" w:rsidRDefault="003237ED" w:rsidP="003237ED">
      <w:pPr>
        <w:spacing w:after="0" w:line="480" w:lineRule="auto"/>
        <w:rPr>
          <w:rFonts w:ascii="Arial" w:eastAsia="Times New Roman" w:hAnsi="Arial" w:cs="Arial"/>
          <w:sz w:val="24"/>
          <w:szCs w:val="24"/>
          <w:lang w:eastAsia="en-GB"/>
        </w:rPr>
      </w:pPr>
    </w:p>
    <w:p w14:paraId="00E9E11A"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 xml:space="preserve">Sherman, L. W (1998) </w:t>
      </w:r>
      <w:r w:rsidRPr="003237ED">
        <w:rPr>
          <w:rFonts w:ascii="Arial" w:eastAsia="Times New Roman" w:hAnsi="Arial" w:cs="Arial"/>
          <w:i/>
          <w:iCs/>
          <w:color w:val="222222"/>
          <w:sz w:val="24"/>
          <w:szCs w:val="24"/>
          <w:shd w:val="clear" w:color="auto" w:fill="FFFFFF"/>
          <w:lang w:eastAsia="en-GB"/>
        </w:rPr>
        <w:t>Evidence-Based Policing</w:t>
      </w:r>
      <w:r w:rsidRPr="003237ED">
        <w:rPr>
          <w:rFonts w:ascii="Arial" w:eastAsia="Times New Roman" w:hAnsi="Arial" w:cs="Arial"/>
          <w:color w:val="222222"/>
          <w:sz w:val="24"/>
          <w:szCs w:val="24"/>
          <w:shd w:val="clear" w:color="auto" w:fill="FFFFFF"/>
          <w:lang w:eastAsia="en-GB"/>
        </w:rPr>
        <w:t>. </w:t>
      </w:r>
    </w:p>
    <w:p w14:paraId="276D54E0"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 xml:space="preserve">Available at: </w:t>
      </w:r>
      <w:hyperlink r:id="rId50" w:history="1">
        <w:r w:rsidRPr="003237ED">
          <w:rPr>
            <w:rFonts w:ascii="Arial" w:eastAsia="Times New Roman" w:hAnsi="Arial" w:cs="Arial"/>
            <w:color w:val="1155CC"/>
            <w:sz w:val="24"/>
            <w:szCs w:val="24"/>
            <w:u w:val="single"/>
            <w:shd w:val="clear" w:color="auto" w:fill="FFFFFF"/>
            <w:lang w:eastAsia="en-GB"/>
          </w:rPr>
          <w:t>https://www.policefoundation.org/wp-content/uploads/2015/06/Sherman-1998-Evidence-Based-Policing.pdf</w:t>
        </w:r>
      </w:hyperlink>
      <w:r w:rsidRPr="003237ED">
        <w:rPr>
          <w:rFonts w:ascii="Arial" w:eastAsia="Times New Roman" w:hAnsi="Arial" w:cs="Arial"/>
          <w:color w:val="222222"/>
          <w:sz w:val="24"/>
          <w:szCs w:val="24"/>
          <w:shd w:val="clear" w:color="auto" w:fill="FFFFFF"/>
          <w:lang w:eastAsia="en-GB"/>
        </w:rPr>
        <w:t> </w:t>
      </w:r>
    </w:p>
    <w:p w14:paraId="285DD238"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(Accessed: 16/10/2021)</w:t>
      </w:r>
    </w:p>
    <w:p w14:paraId="32568034" w14:textId="77777777" w:rsidR="003237ED" w:rsidRPr="003237ED" w:rsidRDefault="003237ED" w:rsidP="003237ED">
      <w:pPr>
        <w:spacing w:after="0" w:line="480" w:lineRule="auto"/>
        <w:rPr>
          <w:rFonts w:ascii="Arial" w:eastAsia="Times New Roman" w:hAnsi="Arial" w:cs="Arial"/>
          <w:sz w:val="24"/>
          <w:szCs w:val="24"/>
          <w:lang w:eastAsia="en-GB"/>
        </w:rPr>
      </w:pPr>
    </w:p>
    <w:p w14:paraId="3B812285"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 xml:space="preserve">Simmonds, L (2016) ‘The potential impact of local commissioning on victim services in England and Wales’, </w:t>
      </w:r>
      <w:r w:rsidRPr="003237ED">
        <w:rPr>
          <w:rFonts w:ascii="Arial" w:eastAsia="Times New Roman" w:hAnsi="Arial" w:cs="Arial"/>
          <w:i/>
          <w:iCs/>
          <w:color w:val="222222"/>
          <w:sz w:val="24"/>
          <w:szCs w:val="24"/>
          <w:shd w:val="clear" w:color="auto" w:fill="FFFFFF"/>
          <w:lang w:eastAsia="en-GB"/>
        </w:rPr>
        <w:t>International Review of Victimology</w:t>
      </w:r>
      <w:r w:rsidRPr="003237ED">
        <w:rPr>
          <w:rFonts w:ascii="Arial" w:eastAsia="Times New Roman" w:hAnsi="Arial" w:cs="Arial"/>
          <w:color w:val="222222"/>
          <w:sz w:val="24"/>
          <w:szCs w:val="24"/>
          <w:shd w:val="clear" w:color="auto" w:fill="FFFFFF"/>
          <w:lang w:eastAsia="en-GB"/>
        </w:rPr>
        <w:t>, 22(3): 223–237.</w:t>
      </w:r>
    </w:p>
    <w:p w14:paraId="64161F6B"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 xml:space="preserve">Available at: </w:t>
      </w:r>
      <w:hyperlink r:id="rId51" w:history="1">
        <w:r w:rsidRPr="003237ED">
          <w:rPr>
            <w:rFonts w:ascii="Arial" w:eastAsia="Times New Roman" w:hAnsi="Arial" w:cs="Arial"/>
            <w:color w:val="1155CC"/>
            <w:sz w:val="24"/>
            <w:szCs w:val="24"/>
            <w:u w:val="single"/>
            <w:shd w:val="clear" w:color="auto" w:fill="FFFFFF"/>
            <w:lang w:eastAsia="en-GB"/>
          </w:rPr>
          <w:t>https://journals.sagepub.com/doi/full/10.1177/0269758016650355</w:t>
        </w:r>
      </w:hyperlink>
      <w:r w:rsidRPr="003237ED">
        <w:rPr>
          <w:rFonts w:ascii="Arial" w:eastAsia="Times New Roman" w:hAnsi="Arial" w:cs="Arial"/>
          <w:color w:val="222222"/>
          <w:sz w:val="24"/>
          <w:szCs w:val="24"/>
          <w:shd w:val="clear" w:color="auto" w:fill="FFFFFF"/>
          <w:lang w:eastAsia="en-GB"/>
        </w:rPr>
        <w:t> </w:t>
      </w:r>
    </w:p>
    <w:p w14:paraId="3FC03EF6"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(Accessed: 16/10/2021) </w:t>
      </w:r>
    </w:p>
    <w:p w14:paraId="4D3C3D35" w14:textId="77777777" w:rsidR="003237ED" w:rsidRPr="003237ED" w:rsidRDefault="003237ED" w:rsidP="003237ED">
      <w:pPr>
        <w:spacing w:after="0" w:line="480" w:lineRule="auto"/>
        <w:rPr>
          <w:rFonts w:ascii="Arial" w:eastAsia="Times New Roman" w:hAnsi="Arial" w:cs="Arial"/>
          <w:sz w:val="24"/>
          <w:szCs w:val="24"/>
          <w:lang w:eastAsia="en-GB"/>
        </w:rPr>
      </w:pPr>
    </w:p>
    <w:p w14:paraId="1B04EBEE"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 xml:space="preserve">The Guardian (2021) </w:t>
      </w:r>
      <w:r w:rsidRPr="003237ED">
        <w:rPr>
          <w:rFonts w:ascii="Arial" w:eastAsia="Times New Roman" w:hAnsi="Arial" w:cs="Arial"/>
          <w:i/>
          <w:iCs/>
          <w:color w:val="222222"/>
          <w:sz w:val="24"/>
          <w:szCs w:val="24"/>
          <w:shd w:val="clear" w:color="auto" w:fill="FFFFFF"/>
          <w:lang w:eastAsia="en-GB"/>
        </w:rPr>
        <w:t>Harvey Weinstein pleads not guilty to rape and sexual assault in LA trial</w:t>
      </w:r>
      <w:r w:rsidRPr="003237ED">
        <w:rPr>
          <w:rFonts w:ascii="Arial" w:eastAsia="Times New Roman" w:hAnsi="Arial" w:cs="Arial"/>
          <w:color w:val="222222"/>
          <w:sz w:val="24"/>
          <w:szCs w:val="24"/>
          <w:shd w:val="clear" w:color="auto" w:fill="FFFFFF"/>
          <w:lang w:eastAsia="en-GB"/>
        </w:rPr>
        <w:t>, 22 July.</w:t>
      </w:r>
    </w:p>
    <w:p w14:paraId="26DBBC7D"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 xml:space="preserve">Available at: </w:t>
      </w:r>
      <w:hyperlink r:id="rId52" w:history="1">
        <w:r w:rsidRPr="003237ED">
          <w:rPr>
            <w:rFonts w:ascii="Arial" w:eastAsia="Times New Roman" w:hAnsi="Arial" w:cs="Arial"/>
            <w:color w:val="1155CC"/>
            <w:sz w:val="24"/>
            <w:szCs w:val="24"/>
            <w:u w:val="single"/>
            <w:shd w:val="clear" w:color="auto" w:fill="FFFFFF"/>
            <w:lang w:eastAsia="en-GB"/>
          </w:rPr>
          <w:t>https://www.theguardian.com/world/2021/jul/21/harvey-weinstein-los-angeles-trial-sexual-assault-rape</w:t>
        </w:r>
      </w:hyperlink>
      <w:r w:rsidRPr="003237ED">
        <w:rPr>
          <w:rFonts w:ascii="Arial" w:eastAsia="Times New Roman" w:hAnsi="Arial" w:cs="Arial"/>
          <w:color w:val="222222"/>
          <w:sz w:val="24"/>
          <w:szCs w:val="24"/>
          <w:shd w:val="clear" w:color="auto" w:fill="FFFFFF"/>
          <w:lang w:eastAsia="en-GB"/>
        </w:rPr>
        <w:t> </w:t>
      </w:r>
    </w:p>
    <w:p w14:paraId="56DAD5A2"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(Accessed: 14/10/2021)</w:t>
      </w:r>
    </w:p>
    <w:p w14:paraId="244299F8" w14:textId="77777777" w:rsidR="003237ED" w:rsidRPr="003237ED" w:rsidRDefault="003237ED" w:rsidP="003237ED">
      <w:pPr>
        <w:spacing w:after="0" w:line="480" w:lineRule="auto"/>
        <w:rPr>
          <w:rFonts w:ascii="Arial" w:eastAsia="Times New Roman" w:hAnsi="Arial" w:cs="Arial"/>
          <w:sz w:val="24"/>
          <w:szCs w:val="24"/>
          <w:lang w:eastAsia="en-GB"/>
        </w:rPr>
      </w:pPr>
    </w:p>
    <w:p w14:paraId="2A198B13"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 xml:space="preserve">Varner, C (2021) ‘Women experts underrepresented in pandemic coverage’, </w:t>
      </w:r>
      <w:r w:rsidRPr="003237ED">
        <w:rPr>
          <w:rFonts w:ascii="Arial" w:eastAsia="Times New Roman" w:hAnsi="Arial" w:cs="Arial"/>
          <w:i/>
          <w:iCs/>
          <w:color w:val="222222"/>
          <w:sz w:val="24"/>
          <w:szCs w:val="24"/>
          <w:shd w:val="clear" w:color="auto" w:fill="FFFFFF"/>
          <w:lang w:eastAsia="en-GB"/>
        </w:rPr>
        <w:t>CMAJ</w:t>
      </w:r>
      <w:r w:rsidRPr="003237ED">
        <w:rPr>
          <w:rFonts w:ascii="Arial" w:eastAsia="Times New Roman" w:hAnsi="Arial" w:cs="Arial"/>
          <w:color w:val="222222"/>
          <w:sz w:val="24"/>
          <w:szCs w:val="24"/>
          <w:shd w:val="clear" w:color="auto" w:fill="FFFFFF"/>
          <w:lang w:eastAsia="en-GB"/>
        </w:rPr>
        <w:t>, 193(4), pp. 143 - 144.</w:t>
      </w:r>
    </w:p>
    <w:p w14:paraId="30F9126C"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 xml:space="preserve">Available at: </w:t>
      </w:r>
      <w:hyperlink r:id="rId53" w:history="1">
        <w:r w:rsidRPr="003237ED">
          <w:rPr>
            <w:rFonts w:ascii="Arial" w:eastAsia="Times New Roman" w:hAnsi="Arial" w:cs="Arial"/>
            <w:color w:val="1155CC"/>
            <w:sz w:val="24"/>
            <w:szCs w:val="24"/>
            <w:u w:val="single"/>
            <w:shd w:val="clear" w:color="auto" w:fill="FFFFFF"/>
            <w:lang w:eastAsia="en-GB"/>
          </w:rPr>
          <w:t>https://www.cmaj.ca/content/193/4/E143</w:t>
        </w:r>
      </w:hyperlink>
      <w:r w:rsidRPr="003237ED">
        <w:rPr>
          <w:rFonts w:ascii="Arial" w:eastAsia="Times New Roman" w:hAnsi="Arial" w:cs="Arial"/>
          <w:color w:val="222222"/>
          <w:sz w:val="24"/>
          <w:szCs w:val="24"/>
          <w:shd w:val="clear" w:color="auto" w:fill="FFFFFF"/>
          <w:lang w:eastAsia="en-GB"/>
        </w:rPr>
        <w:t> </w:t>
      </w:r>
    </w:p>
    <w:p w14:paraId="5E448DC1"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(Accessed: 14/10/2021)</w:t>
      </w:r>
    </w:p>
    <w:p w14:paraId="06FEFAC3" w14:textId="77777777" w:rsidR="003237ED" w:rsidRPr="003237ED" w:rsidRDefault="003237ED" w:rsidP="003237ED">
      <w:pPr>
        <w:spacing w:after="0" w:line="480" w:lineRule="auto"/>
        <w:rPr>
          <w:rFonts w:ascii="Arial" w:eastAsia="Times New Roman" w:hAnsi="Arial" w:cs="Arial"/>
          <w:sz w:val="24"/>
          <w:szCs w:val="24"/>
          <w:lang w:eastAsia="en-GB"/>
        </w:rPr>
      </w:pPr>
    </w:p>
    <w:p w14:paraId="7EE6AF8D"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 xml:space="preserve">Victims Support (2021) </w:t>
      </w:r>
      <w:r w:rsidRPr="003237ED">
        <w:rPr>
          <w:rFonts w:ascii="Arial" w:eastAsia="Times New Roman" w:hAnsi="Arial" w:cs="Arial"/>
          <w:i/>
          <w:iCs/>
          <w:color w:val="222222"/>
          <w:sz w:val="24"/>
          <w:szCs w:val="24"/>
          <w:shd w:val="clear" w:color="auto" w:fill="FFFFFF"/>
          <w:lang w:eastAsia="en-GB"/>
        </w:rPr>
        <w:t>Victims’ Code</w:t>
      </w:r>
      <w:r w:rsidRPr="003237ED">
        <w:rPr>
          <w:rFonts w:ascii="Arial" w:eastAsia="Times New Roman" w:hAnsi="Arial" w:cs="Arial"/>
          <w:color w:val="222222"/>
          <w:sz w:val="24"/>
          <w:szCs w:val="24"/>
          <w:shd w:val="clear" w:color="auto" w:fill="FFFFFF"/>
          <w:lang w:eastAsia="en-GB"/>
        </w:rPr>
        <w:t>.</w:t>
      </w:r>
    </w:p>
    <w:p w14:paraId="72E9B492"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 xml:space="preserve">Available at: </w:t>
      </w:r>
      <w:hyperlink r:id="rId54" w:history="1">
        <w:r w:rsidRPr="003237ED">
          <w:rPr>
            <w:rFonts w:ascii="Arial" w:eastAsia="Times New Roman" w:hAnsi="Arial" w:cs="Arial"/>
            <w:color w:val="1155CC"/>
            <w:sz w:val="24"/>
            <w:szCs w:val="24"/>
            <w:u w:val="single"/>
            <w:shd w:val="clear" w:color="auto" w:fill="FFFFFF"/>
            <w:lang w:eastAsia="en-GB"/>
          </w:rPr>
          <w:t>https://www.victimsupport.org.uk/help-and-support/your-rights/victims-code/</w:t>
        </w:r>
      </w:hyperlink>
      <w:r w:rsidRPr="003237ED">
        <w:rPr>
          <w:rFonts w:ascii="Arial" w:eastAsia="Times New Roman" w:hAnsi="Arial" w:cs="Arial"/>
          <w:color w:val="222222"/>
          <w:sz w:val="24"/>
          <w:szCs w:val="24"/>
          <w:shd w:val="clear" w:color="auto" w:fill="FFFFFF"/>
          <w:lang w:eastAsia="en-GB"/>
        </w:rPr>
        <w:t> </w:t>
      </w:r>
    </w:p>
    <w:p w14:paraId="0AC14B17"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lastRenderedPageBreak/>
        <w:t>(Accessed: 16/10/2021)</w:t>
      </w:r>
    </w:p>
    <w:p w14:paraId="346A632F" w14:textId="77777777" w:rsidR="003237ED" w:rsidRPr="003237ED" w:rsidRDefault="003237ED" w:rsidP="003237ED">
      <w:pPr>
        <w:spacing w:after="0" w:line="480" w:lineRule="auto"/>
        <w:rPr>
          <w:rFonts w:ascii="Arial" w:eastAsia="Times New Roman" w:hAnsi="Arial" w:cs="Arial"/>
          <w:sz w:val="24"/>
          <w:szCs w:val="24"/>
          <w:lang w:eastAsia="en-GB"/>
        </w:rPr>
      </w:pPr>
    </w:p>
    <w:p w14:paraId="706BD3E5"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 xml:space="preserve">Wahidin, A (2004) </w:t>
      </w:r>
      <w:r w:rsidRPr="003237ED">
        <w:rPr>
          <w:rFonts w:ascii="Arial" w:eastAsia="Times New Roman" w:hAnsi="Arial" w:cs="Arial"/>
          <w:i/>
          <w:iCs/>
          <w:color w:val="222222"/>
          <w:sz w:val="24"/>
          <w:szCs w:val="24"/>
          <w:shd w:val="clear" w:color="auto" w:fill="FFFFFF"/>
          <w:lang w:eastAsia="en-GB"/>
        </w:rPr>
        <w:t>Older Women in the Criminal Justice System: Running Out of Time</w:t>
      </w:r>
      <w:r w:rsidRPr="003237ED">
        <w:rPr>
          <w:rFonts w:ascii="Arial" w:eastAsia="Times New Roman" w:hAnsi="Arial" w:cs="Arial"/>
          <w:color w:val="222222"/>
          <w:sz w:val="24"/>
          <w:szCs w:val="24"/>
          <w:shd w:val="clear" w:color="auto" w:fill="FFFFFF"/>
          <w:lang w:eastAsia="en-GB"/>
        </w:rPr>
        <w:t>, London: Jessica Kingsley Publishers.</w:t>
      </w:r>
    </w:p>
    <w:p w14:paraId="73ACDF84" w14:textId="77777777" w:rsidR="003237ED" w:rsidRPr="003237ED" w:rsidRDefault="003237ED" w:rsidP="003237ED">
      <w:pPr>
        <w:spacing w:after="0" w:line="480" w:lineRule="auto"/>
        <w:rPr>
          <w:rFonts w:ascii="Arial" w:eastAsia="Times New Roman" w:hAnsi="Arial" w:cs="Arial"/>
          <w:sz w:val="24"/>
          <w:szCs w:val="24"/>
          <w:lang w:eastAsia="en-GB"/>
        </w:rPr>
      </w:pPr>
    </w:p>
    <w:p w14:paraId="4A07B760"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 xml:space="preserve">Waller, I (1996) </w:t>
      </w:r>
      <w:r w:rsidRPr="003237ED">
        <w:rPr>
          <w:rFonts w:ascii="Arial" w:eastAsia="Times New Roman" w:hAnsi="Arial" w:cs="Arial"/>
          <w:i/>
          <w:iCs/>
          <w:color w:val="222222"/>
          <w:sz w:val="24"/>
          <w:szCs w:val="24"/>
          <w:shd w:val="clear" w:color="auto" w:fill="FFFFFF"/>
          <w:lang w:eastAsia="en-GB"/>
        </w:rPr>
        <w:t>Victims of Crime: Justice, Support and Public Safety</w:t>
      </w:r>
      <w:r w:rsidRPr="003237ED">
        <w:rPr>
          <w:rFonts w:ascii="Arial" w:eastAsia="Times New Roman" w:hAnsi="Arial" w:cs="Arial"/>
          <w:color w:val="222222"/>
          <w:sz w:val="24"/>
          <w:szCs w:val="24"/>
          <w:shd w:val="clear" w:color="auto" w:fill="FFFFFF"/>
          <w:lang w:eastAsia="en-GB"/>
        </w:rPr>
        <w:t>, Oxford: Routledge.</w:t>
      </w:r>
    </w:p>
    <w:p w14:paraId="2512B16C" w14:textId="77777777" w:rsidR="003237ED" w:rsidRPr="003237ED" w:rsidRDefault="003237ED" w:rsidP="003237ED">
      <w:pPr>
        <w:spacing w:after="0" w:line="480" w:lineRule="auto"/>
        <w:rPr>
          <w:rFonts w:ascii="Arial" w:eastAsia="Times New Roman" w:hAnsi="Arial" w:cs="Arial"/>
          <w:sz w:val="24"/>
          <w:szCs w:val="24"/>
          <w:lang w:eastAsia="en-GB"/>
        </w:rPr>
      </w:pPr>
    </w:p>
    <w:p w14:paraId="592D4404"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 xml:space="preserve">Williams, M. L and </w:t>
      </w:r>
      <w:proofErr w:type="spellStart"/>
      <w:r w:rsidRPr="003237ED">
        <w:rPr>
          <w:rFonts w:ascii="Arial" w:eastAsia="Times New Roman" w:hAnsi="Arial" w:cs="Arial"/>
          <w:color w:val="222222"/>
          <w:sz w:val="24"/>
          <w:szCs w:val="24"/>
          <w:shd w:val="clear" w:color="auto" w:fill="FFFFFF"/>
          <w:lang w:eastAsia="en-GB"/>
        </w:rPr>
        <w:t>Tregidga</w:t>
      </w:r>
      <w:proofErr w:type="spellEnd"/>
      <w:r w:rsidRPr="003237ED">
        <w:rPr>
          <w:rFonts w:ascii="Arial" w:eastAsia="Times New Roman" w:hAnsi="Arial" w:cs="Arial"/>
          <w:color w:val="222222"/>
          <w:sz w:val="24"/>
          <w:szCs w:val="24"/>
          <w:shd w:val="clear" w:color="auto" w:fill="FFFFFF"/>
          <w:lang w:eastAsia="en-GB"/>
        </w:rPr>
        <w:t xml:space="preserve">, J (2014) ‘Hate Crime Victimization in Wales: Psychological and Physical Impacts Across Seven Hate Crime Victim Types’, </w:t>
      </w:r>
      <w:r w:rsidRPr="003237ED">
        <w:rPr>
          <w:rFonts w:ascii="Arial" w:eastAsia="Times New Roman" w:hAnsi="Arial" w:cs="Arial"/>
          <w:i/>
          <w:iCs/>
          <w:color w:val="222222"/>
          <w:sz w:val="24"/>
          <w:szCs w:val="24"/>
          <w:shd w:val="clear" w:color="auto" w:fill="FFFFFF"/>
          <w:lang w:eastAsia="en-GB"/>
        </w:rPr>
        <w:t>The British Journal of Criminology</w:t>
      </w:r>
      <w:r w:rsidRPr="003237ED">
        <w:rPr>
          <w:rFonts w:ascii="Arial" w:eastAsia="Times New Roman" w:hAnsi="Arial" w:cs="Arial"/>
          <w:color w:val="222222"/>
          <w:sz w:val="24"/>
          <w:szCs w:val="24"/>
          <w:shd w:val="clear" w:color="auto" w:fill="FFFFFF"/>
          <w:lang w:eastAsia="en-GB"/>
        </w:rPr>
        <w:t>, 54(5), pp. 946–967.</w:t>
      </w:r>
    </w:p>
    <w:p w14:paraId="389727BE"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 xml:space="preserve">Available at: </w:t>
      </w:r>
      <w:hyperlink r:id="rId55" w:history="1">
        <w:r w:rsidRPr="003237ED">
          <w:rPr>
            <w:rFonts w:ascii="Arial" w:eastAsia="Times New Roman" w:hAnsi="Arial" w:cs="Arial"/>
            <w:color w:val="1155CC"/>
            <w:sz w:val="24"/>
            <w:szCs w:val="24"/>
            <w:u w:val="single"/>
            <w:shd w:val="clear" w:color="auto" w:fill="FFFFFF"/>
            <w:lang w:eastAsia="en-GB"/>
          </w:rPr>
          <w:t>https://academic.oup.com/bjc/article/54/5/946/359971?login=true</w:t>
        </w:r>
      </w:hyperlink>
      <w:r w:rsidRPr="003237ED">
        <w:rPr>
          <w:rFonts w:ascii="Arial" w:eastAsia="Times New Roman" w:hAnsi="Arial" w:cs="Arial"/>
          <w:color w:val="222222"/>
          <w:sz w:val="24"/>
          <w:szCs w:val="24"/>
          <w:shd w:val="clear" w:color="auto" w:fill="FFFFFF"/>
          <w:lang w:eastAsia="en-GB"/>
        </w:rPr>
        <w:t> </w:t>
      </w:r>
    </w:p>
    <w:p w14:paraId="19DC7925"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222222"/>
          <w:sz w:val="24"/>
          <w:szCs w:val="24"/>
          <w:shd w:val="clear" w:color="auto" w:fill="FFFFFF"/>
          <w:lang w:eastAsia="en-GB"/>
        </w:rPr>
        <w:t>(Accessed: 15/10/2021)</w:t>
      </w:r>
    </w:p>
    <w:p w14:paraId="3A20411B" w14:textId="77777777" w:rsidR="003237ED" w:rsidRPr="003237ED" w:rsidRDefault="003237ED" w:rsidP="003237ED">
      <w:pPr>
        <w:spacing w:after="0" w:line="480" w:lineRule="auto"/>
        <w:rPr>
          <w:rFonts w:ascii="Arial" w:eastAsia="Times New Roman" w:hAnsi="Arial" w:cs="Arial"/>
          <w:sz w:val="24"/>
          <w:szCs w:val="24"/>
          <w:lang w:eastAsia="en-GB"/>
        </w:rPr>
      </w:pPr>
    </w:p>
    <w:p w14:paraId="026E7949"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Wood, J. C (1967) ‘Notes on the Criminal Justice Act 1967’, </w:t>
      </w:r>
      <w:r w:rsidRPr="003237ED">
        <w:rPr>
          <w:rFonts w:ascii="Arial" w:eastAsia="Times New Roman" w:hAnsi="Arial" w:cs="Arial"/>
          <w:i/>
          <w:iCs/>
          <w:color w:val="000000"/>
          <w:sz w:val="24"/>
          <w:szCs w:val="24"/>
          <w:lang w:eastAsia="en-GB"/>
        </w:rPr>
        <w:t>The Police Journal: Theory, Practise and Principles</w:t>
      </w:r>
      <w:r w:rsidRPr="003237ED">
        <w:rPr>
          <w:rFonts w:ascii="Arial" w:eastAsia="Times New Roman" w:hAnsi="Arial" w:cs="Arial"/>
          <w:color w:val="000000"/>
          <w:sz w:val="24"/>
          <w:szCs w:val="24"/>
          <w:lang w:eastAsia="en-GB"/>
        </w:rPr>
        <w:t>, 40(12), p. 555.</w:t>
      </w:r>
    </w:p>
    <w:p w14:paraId="632F9C24"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56" w:history="1">
        <w:r w:rsidRPr="003237ED">
          <w:rPr>
            <w:rFonts w:ascii="Arial" w:eastAsia="Times New Roman" w:hAnsi="Arial" w:cs="Arial"/>
            <w:color w:val="1155CC"/>
            <w:sz w:val="24"/>
            <w:szCs w:val="24"/>
            <w:u w:val="single"/>
            <w:lang w:eastAsia="en-GB"/>
          </w:rPr>
          <w:t>https://journals.sagepub.com/doi/abs/10.1177/0032258X6704001207?journalCode=pjxa</w:t>
        </w:r>
      </w:hyperlink>
      <w:r w:rsidRPr="003237ED">
        <w:rPr>
          <w:rFonts w:ascii="Arial" w:eastAsia="Times New Roman" w:hAnsi="Arial" w:cs="Arial"/>
          <w:color w:val="000000"/>
          <w:sz w:val="24"/>
          <w:szCs w:val="24"/>
          <w:lang w:eastAsia="en-GB"/>
        </w:rPr>
        <w:t> </w:t>
      </w:r>
    </w:p>
    <w:p w14:paraId="3485FAE1"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03/10/2021)</w:t>
      </w:r>
    </w:p>
    <w:p w14:paraId="12F66681" w14:textId="77777777" w:rsidR="003237ED" w:rsidRPr="003237ED" w:rsidRDefault="003237ED" w:rsidP="003237ED">
      <w:pPr>
        <w:spacing w:after="0" w:line="480" w:lineRule="auto"/>
        <w:rPr>
          <w:rFonts w:ascii="Arial" w:eastAsia="Times New Roman" w:hAnsi="Arial" w:cs="Arial"/>
          <w:sz w:val="24"/>
          <w:szCs w:val="24"/>
          <w:lang w:eastAsia="en-GB"/>
        </w:rPr>
      </w:pPr>
    </w:p>
    <w:p w14:paraId="11C71166"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Wood, J. T (1994) ‘Gendered media: The influence of media on views of gender.’ </w:t>
      </w:r>
      <w:r w:rsidRPr="003237ED">
        <w:rPr>
          <w:rFonts w:ascii="Arial" w:eastAsia="Times New Roman" w:hAnsi="Arial" w:cs="Arial"/>
          <w:i/>
          <w:iCs/>
          <w:color w:val="000000"/>
          <w:sz w:val="24"/>
          <w:szCs w:val="24"/>
          <w:lang w:eastAsia="en-GB"/>
        </w:rPr>
        <w:t>Gendered lives: Communication, gender, and culture</w:t>
      </w:r>
      <w:r w:rsidRPr="003237ED">
        <w:rPr>
          <w:rFonts w:ascii="Arial" w:eastAsia="Times New Roman" w:hAnsi="Arial" w:cs="Arial"/>
          <w:color w:val="000000"/>
          <w:sz w:val="24"/>
          <w:szCs w:val="24"/>
          <w:lang w:eastAsia="en-GB"/>
        </w:rPr>
        <w:t>, 9, pp. 231 - 244.</w:t>
      </w:r>
    </w:p>
    <w:p w14:paraId="1CF321D1"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57" w:history="1">
        <w:r w:rsidRPr="003237ED">
          <w:rPr>
            <w:rFonts w:ascii="Arial" w:eastAsia="Times New Roman" w:hAnsi="Arial" w:cs="Arial"/>
            <w:color w:val="1155CC"/>
            <w:sz w:val="24"/>
            <w:szCs w:val="24"/>
            <w:u w:val="single"/>
            <w:lang w:eastAsia="en-GB"/>
          </w:rPr>
          <w:t>http://www1.udel.edu/comm245/readings/GenderedMedia.pdf</w:t>
        </w:r>
      </w:hyperlink>
      <w:r w:rsidRPr="003237ED">
        <w:rPr>
          <w:rFonts w:ascii="Arial" w:eastAsia="Times New Roman" w:hAnsi="Arial" w:cs="Arial"/>
          <w:color w:val="000000"/>
          <w:sz w:val="24"/>
          <w:szCs w:val="24"/>
          <w:lang w:eastAsia="en-GB"/>
        </w:rPr>
        <w:t> </w:t>
      </w:r>
    </w:p>
    <w:p w14:paraId="36650566"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14/10/2021)</w:t>
      </w:r>
    </w:p>
    <w:p w14:paraId="5C8CF5EA" w14:textId="77777777" w:rsidR="003237ED" w:rsidRPr="003237ED" w:rsidRDefault="003237ED" w:rsidP="003237ED">
      <w:pPr>
        <w:spacing w:after="0" w:line="480" w:lineRule="auto"/>
        <w:rPr>
          <w:rFonts w:ascii="Arial" w:eastAsia="Times New Roman" w:hAnsi="Arial" w:cs="Arial"/>
          <w:sz w:val="24"/>
          <w:szCs w:val="24"/>
          <w:lang w:eastAsia="en-GB"/>
        </w:rPr>
      </w:pPr>
    </w:p>
    <w:p w14:paraId="26C30660"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Women’s Aid (2021) </w:t>
      </w:r>
      <w:r w:rsidRPr="003237ED">
        <w:rPr>
          <w:rFonts w:ascii="Arial" w:eastAsia="Times New Roman" w:hAnsi="Arial" w:cs="Arial"/>
          <w:i/>
          <w:iCs/>
          <w:color w:val="000000"/>
          <w:sz w:val="24"/>
          <w:szCs w:val="24"/>
          <w:lang w:eastAsia="en-GB"/>
        </w:rPr>
        <w:t>Extended support, education and training services</w:t>
      </w:r>
      <w:r w:rsidRPr="003237ED">
        <w:rPr>
          <w:rFonts w:ascii="Arial" w:eastAsia="Times New Roman" w:hAnsi="Arial" w:cs="Arial"/>
          <w:color w:val="000000"/>
          <w:sz w:val="24"/>
          <w:szCs w:val="24"/>
          <w:lang w:eastAsia="en-GB"/>
        </w:rPr>
        <w:t>.</w:t>
      </w:r>
    </w:p>
    <w:p w14:paraId="22D847BA"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58" w:history="1">
        <w:r w:rsidRPr="003237ED">
          <w:rPr>
            <w:rFonts w:ascii="Arial" w:eastAsia="Times New Roman" w:hAnsi="Arial" w:cs="Arial"/>
            <w:color w:val="1155CC"/>
            <w:sz w:val="24"/>
            <w:szCs w:val="24"/>
            <w:u w:val="single"/>
            <w:lang w:eastAsia="en-GB"/>
          </w:rPr>
          <w:t>https://cyfannol.org.uk/training-services</w:t>
        </w:r>
      </w:hyperlink>
      <w:r w:rsidRPr="003237ED">
        <w:rPr>
          <w:rFonts w:ascii="Arial" w:eastAsia="Times New Roman" w:hAnsi="Arial" w:cs="Arial"/>
          <w:color w:val="000000"/>
          <w:sz w:val="24"/>
          <w:szCs w:val="24"/>
          <w:lang w:eastAsia="en-GB"/>
        </w:rPr>
        <w:t> </w:t>
      </w:r>
    </w:p>
    <w:p w14:paraId="5E445C8C"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16/10/2021)</w:t>
      </w:r>
    </w:p>
    <w:p w14:paraId="7F9F469D" w14:textId="77777777" w:rsidR="003237ED" w:rsidRPr="003237ED" w:rsidRDefault="003237ED" w:rsidP="003237ED">
      <w:pPr>
        <w:spacing w:after="0" w:line="480" w:lineRule="auto"/>
        <w:rPr>
          <w:rFonts w:ascii="Arial" w:eastAsia="Times New Roman" w:hAnsi="Arial" w:cs="Arial"/>
          <w:sz w:val="24"/>
          <w:szCs w:val="24"/>
          <w:lang w:eastAsia="en-GB"/>
        </w:rPr>
      </w:pPr>
    </w:p>
    <w:p w14:paraId="1C64FA7C"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Wright, E. O, Levine, A, Sober, E (1992) </w:t>
      </w:r>
      <w:r w:rsidRPr="003237ED">
        <w:rPr>
          <w:rFonts w:ascii="Arial" w:eastAsia="Times New Roman" w:hAnsi="Arial" w:cs="Arial"/>
          <w:i/>
          <w:iCs/>
          <w:color w:val="000000"/>
          <w:sz w:val="24"/>
          <w:szCs w:val="24"/>
          <w:lang w:eastAsia="en-GB"/>
        </w:rPr>
        <w:t>Reconstructing Marxism: Essays on Explanation and the Theory of History</w:t>
      </w:r>
      <w:r w:rsidRPr="003237ED">
        <w:rPr>
          <w:rFonts w:ascii="Arial" w:eastAsia="Times New Roman" w:hAnsi="Arial" w:cs="Arial"/>
          <w:color w:val="000000"/>
          <w:sz w:val="24"/>
          <w:szCs w:val="24"/>
          <w:lang w:eastAsia="en-GB"/>
        </w:rPr>
        <w:t>, New York: Verso. </w:t>
      </w:r>
    </w:p>
    <w:p w14:paraId="68EA2DDA" w14:textId="77777777" w:rsidR="003237ED" w:rsidRPr="003237ED" w:rsidRDefault="003237ED" w:rsidP="003237ED">
      <w:pPr>
        <w:spacing w:after="0" w:line="480" w:lineRule="auto"/>
        <w:rPr>
          <w:rFonts w:ascii="Arial" w:eastAsia="Times New Roman" w:hAnsi="Arial" w:cs="Arial"/>
          <w:sz w:val="24"/>
          <w:szCs w:val="24"/>
          <w:lang w:eastAsia="en-GB"/>
        </w:rPr>
      </w:pPr>
    </w:p>
    <w:p w14:paraId="7AEDF6FB" w14:textId="77777777" w:rsidR="003237ED" w:rsidRPr="003237ED" w:rsidRDefault="003237ED" w:rsidP="003237ED">
      <w:pPr>
        <w:spacing w:after="0" w:line="480" w:lineRule="auto"/>
        <w:rPr>
          <w:rFonts w:ascii="Arial" w:eastAsia="Times New Roman" w:hAnsi="Arial" w:cs="Arial"/>
          <w:sz w:val="24"/>
          <w:szCs w:val="24"/>
          <w:lang w:eastAsia="en-GB"/>
        </w:rPr>
      </w:pPr>
      <w:proofErr w:type="spellStart"/>
      <w:r w:rsidRPr="003237ED">
        <w:rPr>
          <w:rFonts w:ascii="Arial" w:eastAsia="Times New Roman" w:hAnsi="Arial" w:cs="Arial"/>
          <w:color w:val="000000"/>
          <w:sz w:val="24"/>
          <w:szCs w:val="24"/>
          <w:lang w:eastAsia="en-GB"/>
        </w:rPr>
        <w:t>Ziyanak</w:t>
      </w:r>
      <w:proofErr w:type="spellEnd"/>
      <w:r w:rsidRPr="003237ED">
        <w:rPr>
          <w:rFonts w:ascii="Arial" w:eastAsia="Times New Roman" w:hAnsi="Arial" w:cs="Arial"/>
          <w:color w:val="000000"/>
          <w:sz w:val="24"/>
          <w:szCs w:val="24"/>
          <w:lang w:eastAsia="en-GB"/>
        </w:rPr>
        <w:t xml:space="preserve">, S, Williams, J. L (2014) </w:t>
      </w:r>
      <w:r w:rsidRPr="003237ED">
        <w:rPr>
          <w:rFonts w:ascii="Arial" w:eastAsia="Times New Roman" w:hAnsi="Arial" w:cs="Arial"/>
          <w:i/>
          <w:iCs/>
          <w:color w:val="000000"/>
          <w:sz w:val="24"/>
          <w:szCs w:val="24"/>
          <w:lang w:eastAsia="en-GB"/>
        </w:rPr>
        <w:t>‘</w:t>
      </w:r>
      <w:r w:rsidRPr="003237ED">
        <w:rPr>
          <w:rFonts w:ascii="Arial" w:eastAsia="Times New Roman" w:hAnsi="Arial" w:cs="Arial"/>
          <w:color w:val="000000"/>
          <w:sz w:val="24"/>
          <w:szCs w:val="24"/>
          <w:lang w:eastAsia="en-GB"/>
        </w:rPr>
        <w:t xml:space="preserve">Functionalist perspective on deviance’, </w:t>
      </w:r>
      <w:r w:rsidRPr="003237ED">
        <w:rPr>
          <w:rFonts w:ascii="Arial" w:eastAsia="Times New Roman" w:hAnsi="Arial" w:cs="Arial"/>
          <w:i/>
          <w:iCs/>
          <w:color w:val="000000"/>
          <w:sz w:val="24"/>
          <w:szCs w:val="24"/>
          <w:lang w:eastAsia="en-GB"/>
        </w:rPr>
        <w:t>Journal of Human Sciences</w:t>
      </w:r>
      <w:r w:rsidRPr="003237ED">
        <w:rPr>
          <w:rFonts w:ascii="Arial" w:eastAsia="Times New Roman" w:hAnsi="Arial" w:cs="Arial"/>
          <w:color w:val="000000"/>
          <w:sz w:val="24"/>
          <w:szCs w:val="24"/>
          <w:lang w:eastAsia="en-GB"/>
        </w:rPr>
        <w:t>, 11(2), pp. 1 - 9.</w:t>
      </w:r>
    </w:p>
    <w:p w14:paraId="162905E1"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 xml:space="preserve">Available at: </w:t>
      </w:r>
      <w:hyperlink r:id="rId59" w:history="1">
        <w:r w:rsidRPr="003237ED">
          <w:rPr>
            <w:rFonts w:ascii="Arial" w:eastAsia="Times New Roman" w:hAnsi="Arial" w:cs="Arial"/>
            <w:color w:val="1155CC"/>
            <w:sz w:val="24"/>
            <w:szCs w:val="24"/>
            <w:u w:val="single"/>
            <w:lang w:eastAsia="en-GB"/>
          </w:rPr>
          <w:t>https://www.j-humansciences.com/ojs/index.php/ijhs/article/view/2791</w:t>
        </w:r>
      </w:hyperlink>
      <w:r w:rsidRPr="003237ED">
        <w:rPr>
          <w:rFonts w:ascii="Arial" w:eastAsia="Times New Roman" w:hAnsi="Arial" w:cs="Arial"/>
          <w:color w:val="000000"/>
          <w:sz w:val="24"/>
          <w:szCs w:val="24"/>
          <w:lang w:eastAsia="en-GB"/>
        </w:rPr>
        <w:t> </w:t>
      </w:r>
    </w:p>
    <w:p w14:paraId="3ED3449B" w14:textId="77777777" w:rsidR="003237ED" w:rsidRPr="003237ED" w:rsidRDefault="003237ED" w:rsidP="003237ED">
      <w:pPr>
        <w:spacing w:after="0" w:line="480" w:lineRule="auto"/>
        <w:rPr>
          <w:rFonts w:ascii="Arial" w:eastAsia="Times New Roman" w:hAnsi="Arial" w:cs="Arial"/>
          <w:sz w:val="24"/>
          <w:szCs w:val="24"/>
          <w:lang w:eastAsia="en-GB"/>
        </w:rPr>
      </w:pPr>
      <w:r w:rsidRPr="003237ED">
        <w:rPr>
          <w:rFonts w:ascii="Arial" w:eastAsia="Times New Roman" w:hAnsi="Arial" w:cs="Arial"/>
          <w:color w:val="000000"/>
          <w:sz w:val="24"/>
          <w:szCs w:val="24"/>
          <w:lang w:eastAsia="en-GB"/>
        </w:rPr>
        <w:t>(Accessed: 07/10/2021) </w:t>
      </w:r>
    </w:p>
    <w:p w14:paraId="07B2F693" w14:textId="77777777" w:rsidR="009203B9" w:rsidRPr="003237ED" w:rsidRDefault="009203B9" w:rsidP="003237ED">
      <w:pPr>
        <w:spacing w:line="480" w:lineRule="auto"/>
        <w:rPr>
          <w:rFonts w:ascii="Arial" w:hAnsi="Arial" w:cs="Arial"/>
          <w:sz w:val="24"/>
          <w:szCs w:val="24"/>
        </w:rPr>
      </w:pPr>
    </w:p>
    <w:sectPr w:rsidR="009203B9" w:rsidRPr="003237ED" w:rsidSect="008F5D7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7ED"/>
    <w:rsid w:val="00251529"/>
    <w:rsid w:val="003237ED"/>
    <w:rsid w:val="0047773E"/>
    <w:rsid w:val="008F5D77"/>
    <w:rsid w:val="00920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9C831"/>
  <w15:chartTrackingRefBased/>
  <w15:docId w15:val="{6E216064-206F-42DD-A204-39BABE2AF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237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3237ED"/>
  </w:style>
  <w:style w:type="character" w:styleId="Hyperlink">
    <w:name w:val="Hyperlink"/>
    <w:basedOn w:val="DefaultParagraphFont"/>
    <w:uiPriority w:val="99"/>
    <w:semiHidden/>
    <w:unhideWhenUsed/>
    <w:rsid w:val="003237ED"/>
    <w:rPr>
      <w:color w:val="0000FF"/>
      <w:u w:val="single"/>
    </w:rPr>
  </w:style>
  <w:style w:type="paragraph" w:styleId="NoSpacing">
    <w:name w:val="No Spacing"/>
    <w:link w:val="NoSpacingChar"/>
    <w:uiPriority w:val="1"/>
    <w:qFormat/>
    <w:rsid w:val="008F5D7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5D7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048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Geo6/11-12/58/contents" TargetMode="External"/><Relationship Id="rId18" Type="http://schemas.openxmlformats.org/officeDocument/2006/relationships/hyperlink" Target="https://www.legislation.gov.uk/ukpga/2004/28/contents" TargetMode="External"/><Relationship Id="rId26" Type="http://schemas.openxmlformats.org/officeDocument/2006/relationships/hyperlink" Target="https://journals.sagepub.com/doi/full/10.1177/0269758017747055" TargetMode="External"/><Relationship Id="rId39" Type="http://schemas.openxmlformats.org/officeDocument/2006/relationships/hyperlink" Target="https://academic.oup.com/bjc/article/60/4/1034/5734315?login=true" TargetMode="External"/><Relationship Id="rId21" Type="http://schemas.openxmlformats.org/officeDocument/2006/relationships/hyperlink" Target="https://www.equalityhumanrights.com/en/advice-and-guidance/what-victimisation" TargetMode="External"/><Relationship Id="rId34" Type="http://schemas.openxmlformats.org/officeDocument/2006/relationships/hyperlink" Target="https://www.ojp.gov/ncjrs/virtual-library/abstracts/racially-motivated-crime-british-crime-survey-analysis" TargetMode="External"/><Relationship Id="rId42" Type="http://schemas.openxmlformats.org/officeDocument/2006/relationships/hyperlink" Target="https://academic-oup-com.ezproxy.uwtsd.ac.uk/bjc/article/43/2/269/386678" TargetMode="External"/><Relationship Id="rId47" Type="http://schemas.openxmlformats.org/officeDocument/2006/relationships/hyperlink" Target="https://link.springer.com/article/10.1007/s10691-005-1456-3" TargetMode="External"/><Relationship Id="rId50" Type="http://schemas.openxmlformats.org/officeDocument/2006/relationships/hyperlink" Target="https://www.policefoundation.org/wp-content/uploads/2015/06/Sherman-1998-Evidence-Based-Policing.pdf" TargetMode="External"/><Relationship Id="rId55" Type="http://schemas.openxmlformats.org/officeDocument/2006/relationships/hyperlink" Target="https://academic.oup.com/bjc/article/54/5/946/359971?login=true" TargetMode="External"/><Relationship Id="rId7" Type="http://schemas.openxmlformats.org/officeDocument/2006/relationships/hyperlink" Target="https://www.bbc.com/news/uk-58682356" TargetMode="External"/><Relationship Id="rId2" Type="http://schemas.openxmlformats.org/officeDocument/2006/relationships/styles" Target="styles.xml"/><Relationship Id="rId16" Type="http://schemas.openxmlformats.org/officeDocument/2006/relationships/hyperlink" Target="https://webarchive.nationalarchives.gov.uk/ukgwa/20100920201828/http:/www.cjsonline.gov.uk/aims_and_objectives/" TargetMode="External"/><Relationship Id="rId29" Type="http://schemas.openxmlformats.org/officeDocument/2006/relationships/hyperlink" Target="https://www.legislation.gov.uk/ukpga/1998/42/contents" TargetMode="External"/><Relationship Id="rId11" Type="http://schemas.openxmlformats.org/officeDocument/2006/relationships/hyperlink" Target="https://assets.publishing.service.gov.uk/government/uploads/system/uploads/attachment_data/file/231753/1192.pdf" TargetMode="External"/><Relationship Id="rId24" Type="http://schemas.openxmlformats.org/officeDocument/2006/relationships/hyperlink" Target="https://www.legislation.gov.uk/ukpga/2004/7/contents" TargetMode="External"/><Relationship Id="rId32" Type="http://schemas.openxmlformats.org/officeDocument/2006/relationships/hyperlink" Target="https://assets.publishing.service.gov.uk/government/uploads/system/uploads/attachment_data/file/277111/4262.pdf" TargetMode="External"/><Relationship Id="rId37" Type="http://schemas.openxmlformats.org/officeDocument/2006/relationships/hyperlink" Target="http://www.policeauthority.org/Metropolitan/downloads/scrutinites/morris/morris-report.pdf" TargetMode="External"/><Relationship Id="rId40" Type="http://schemas.openxmlformats.org/officeDocument/2006/relationships/hyperlink" Target="http://www.newpathways.org.uk/about-us/" TargetMode="External"/><Relationship Id="rId45" Type="http://schemas.openxmlformats.org/officeDocument/2006/relationships/hyperlink" Target="https://link.springer.com/article/10.1007%2Fs10612-016-9337-4" TargetMode="External"/><Relationship Id="rId53" Type="http://schemas.openxmlformats.org/officeDocument/2006/relationships/hyperlink" Target="https://www.cmaj.ca/content/193/4/E143" TargetMode="External"/><Relationship Id="rId58" Type="http://schemas.openxmlformats.org/officeDocument/2006/relationships/hyperlink" Target="https://cyfannol.org.uk/training-services" TargetMode="External"/><Relationship Id="rId5" Type="http://schemas.openxmlformats.org/officeDocument/2006/relationships/hyperlink" Target="https://link.springer.com/article/10.1007%2FBF02766689" TargetMode="External"/><Relationship Id="rId61" Type="http://schemas.openxmlformats.org/officeDocument/2006/relationships/theme" Target="theme/theme1.xml"/><Relationship Id="rId19" Type="http://schemas.openxmlformats.org/officeDocument/2006/relationships/hyperlink" Target="https://www.legislation.gov.uk/ukpga/2010/15/section/13" TargetMode="External"/><Relationship Id="rId14" Type="http://schemas.openxmlformats.org/officeDocument/2006/relationships/hyperlink" Target="https://www.legislation.gov.uk/ukpga/1967/80" TargetMode="External"/><Relationship Id="rId22" Type="http://schemas.openxmlformats.org/officeDocument/2006/relationships/hyperlink" Target="https://www.ojp.gov/ncjrs/virtual-library/abstracts/ethnic-minorities-victimisation-and-racial-harassment" TargetMode="External"/><Relationship Id="rId27" Type="http://schemas.openxmlformats.org/officeDocument/2006/relationships/hyperlink" Target="https://www.ethnicity-facts-figures.service.gov.uk/crime-justice-and-the-law/policing/stop-and-search/latest" TargetMode="External"/><Relationship Id="rId30" Type="http://schemas.openxmlformats.org/officeDocument/2006/relationships/hyperlink" Target="https://www.jstor.org/stable/3173853" TargetMode="External"/><Relationship Id="rId35" Type="http://schemas.openxmlformats.org/officeDocument/2006/relationships/hyperlink" Target="https://journals.sagepub.com/doi/10.1177/0269758016649065" TargetMode="External"/><Relationship Id="rId43" Type="http://schemas.openxmlformats.org/officeDocument/2006/relationships/hyperlink" Target="https://www.police.uk/pu/contact-the-police/what-and-how-to-report/how-to-report/" TargetMode="External"/><Relationship Id="rId48" Type="http://schemas.openxmlformats.org/officeDocument/2006/relationships/hyperlink" Target="https://link.springer.com/article/10.1007/s11673-007-9032-y" TargetMode="External"/><Relationship Id="rId56" Type="http://schemas.openxmlformats.org/officeDocument/2006/relationships/hyperlink" Target="https://journals.sagepub.com/doi/abs/10.1177/0032258X6704001207?journalCode=pjxa" TargetMode="External"/><Relationship Id="rId8" Type="http://schemas.openxmlformats.org/officeDocument/2006/relationships/hyperlink" Target="https://www.nationalarchives.gov.uk/cabinetpapers/themes/criminal-justice-policy.htm" TargetMode="External"/><Relationship Id="rId51" Type="http://schemas.openxmlformats.org/officeDocument/2006/relationships/hyperlink" Target="https://journals.sagepub.com/doi/full/10.1177/0269758016650355" TargetMode="External"/><Relationship Id="rId3" Type="http://schemas.openxmlformats.org/officeDocument/2006/relationships/settings" Target="settings.xml"/><Relationship Id="rId12" Type="http://schemas.openxmlformats.org/officeDocument/2006/relationships/hyperlink" Target="https://www.cps.gov.uk/crime-info/sexual-offences" TargetMode="External"/><Relationship Id="rId17" Type="http://schemas.openxmlformats.org/officeDocument/2006/relationships/hyperlink" Target="https://www.met.police.uk/notices/met/commissioner-statement-working-with-londons-communities-build-further-trust-confidence-police/" TargetMode="External"/><Relationship Id="rId25" Type="http://schemas.openxmlformats.org/officeDocument/2006/relationships/hyperlink" Target="https://www.gwent.pcc.police.uk/en/news-room/uk-government-announces-major-funding-boost-for-victims/" TargetMode="External"/><Relationship Id="rId33" Type="http://schemas.openxmlformats.org/officeDocument/2006/relationships/hyperlink" Target="https://www.journals.uchicago.edu/doi/abs/10.1086/449190" TargetMode="External"/><Relationship Id="rId38" Type="http://schemas.openxmlformats.org/officeDocument/2006/relationships/hyperlink" Target="https://www.nao.org.uk/wp-content/uploads/2016/03/Efficiency-in-the-criminal-justice-system.pdf" TargetMode="External"/><Relationship Id="rId46" Type="http://schemas.openxmlformats.org/officeDocument/2006/relationships/hyperlink" Target="https://heinonline.org/HOL/LandingPage?handle=hein.journals/modlr31&amp;div=13&amp;id=&amp;page=" TargetMode="External"/><Relationship Id="rId59" Type="http://schemas.openxmlformats.org/officeDocument/2006/relationships/hyperlink" Target="https://www.j-humansciences.com/ojs/index.php/ijhs/article/view/2791" TargetMode="External"/><Relationship Id="rId20" Type="http://schemas.openxmlformats.org/officeDocument/2006/relationships/hyperlink" Target="https://www.equalityhumanrights.com/en/human-rights/human-rights-act" TargetMode="External"/><Relationship Id="rId41" Type="http://schemas.openxmlformats.org/officeDocument/2006/relationships/hyperlink" Target="https://www.jstor.org/stable/44026062" TargetMode="External"/><Relationship Id="rId54" Type="http://schemas.openxmlformats.org/officeDocument/2006/relationships/hyperlink" Target="https://www.victimsupport.org.uk/help-and-support/your-rights/victims-code/" TargetMode="External"/><Relationship Id="rId1" Type="http://schemas.openxmlformats.org/officeDocument/2006/relationships/customXml" Target="../customXml/item1.xml"/><Relationship Id="rId6" Type="http://schemas.openxmlformats.org/officeDocument/2006/relationships/hyperlink" Target="https://www.bbc.com/news/uk-26465916" TargetMode="External"/><Relationship Id="rId15" Type="http://schemas.openxmlformats.org/officeDocument/2006/relationships/hyperlink" Target="https://www.cps.gov.uk/about-cps/criminal-justice-system" TargetMode="External"/><Relationship Id="rId23" Type="http://schemas.openxmlformats.org/officeDocument/2006/relationships/hyperlink" Target="https://journals.sagepub.com/doi/abs/10.1177/0306624X7501900309?journalCode=ijoe" TargetMode="External"/><Relationship Id="rId28" Type="http://schemas.openxmlformats.org/officeDocument/2006/relationships/hyperlink" Target="https://howardleague.org/history-of-the-penal-system/" TargetMode="External"/><Relationship Id="rId36" Type="http://schemas.openxmlformats.org/officeDocument/2006/relationships/hyperlink" Target="https://www.jstor.org/stable/23637223" TargetMode="External"/><Relationship Id="rId49" Type="http://schemas.openxmlformats.org/officeDocument/2006/relationships/hyperlink" Target="https://link.springer.com/article/10.1007/s10691-006-9042-x" TargetMode="External"/><Relationship Id="rId57" Type="http://schemas.openxmlformats.org/officeDocument/2006/relationships/hyperlink" Target="http://www1.udel.edu/comm245/readings/GenderedMedia.pdf" TargetMode="External"/><Relationship Id="rId10" Type="http://schemas.openxmlformats.org/officeDocument/2006/relationships/hyperlink" Target="https://www-jstor-org.ezproxy.uwtsd.ac.uk/stable/j.ctt1t8904s" TargetMode="External"/><Relationship Id="rId31" Type="http://schemas.openxmlformats.org/officeDocument/2006/relationships/hyperlink" Target="https://www.ingentaconnect.com/content/intellect/jem/2021/00000002/00000001/art00002" TargetMode="External"/><Relationship Id="rId44" Type="http://schemas.openxmlformats.org/officeDocument/2006/relationships/hyperlink" Target="https://www.ojp.gov/ncjrs/virtual-library/abstracts/helping-victims-crime-home-office-and-rise-victim-support-england" TargetMode="External"/><Relationship Id="rId52" Type="http://schemas.openxmlformats.org/officeDocument/2006/relationships/hyperlink" Target="https://www.theguardian.com/world/2021/jul/21/harvey-weinstein-los-angeles-trial-sexual-assault-rape"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ambs.police.uk/information-and-services/Victims-and-Witnesses/Victim-information"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Submission Date: 5/11/2021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25</Pages>
  <Words>5390</Words>
  <Characters>30727</Characters>
  <Application>Microsoft Office Word</Application>
  <DocSecurity>0</DocSecurity>
  <Lines>256</Lines>
  <Paragraphs>72</Paragraphs>
  <ScaleCrop>false</ScaleCrop>
  <Company>Lecturer: Jane thomas</Company>
  <LinksUpToDate>false</LinksUpToDate>
  <CharactersWithSpaces>36045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response of the Criminal Justice System to Victims of Crime</dc:title>
  <dc:subject>Aaron williams</dc:subject>
  <dc:creator>1900369</dc:creator>
  <cp:keywords/>
  <dc:description/>
  <cp:lastModifiedBy>Aaron Williams</cp:lastModifiedBy>
  <cp:revision>4</cp:revision>
  <dcterms:created xsi:type="dcterms:W3CDTF">2021-10-17T15:22:00Z</dcterms:created>
  <dcterms:modified xsi:type="dcterms:W3CDTF">2021-10-17T15:37:00Z</dcterms:modified>
</cp:coreProperties>
</file>