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6D54D04A" w14:textId="77777777" w:rsidR="00B322E0" w:rsidRDefault="00B322E0">
      <w:pPr>
        <w:jc w:val="center"/>
        <w:rPr>
          <w:b/>
          <w:i/>
          <w:color w:val="auto"/>
          <w:sz w:val="88"/>
          <w:szCs w:val="88"/>
        </w:rPr>
      </w:pPr>
    </w:p>
    <w:p w14:paraId="69C7A270" w14:textId="77777777" w:rsidR="00410CBD" w:rsidRPr="00752C57" w:rsidRDefault="00410CBD">
      <w:pPr>
        <w:jc w:val="center"/>
        <w:rPr>
          <w:b/>
          <w:i/>
          <w:color w:val="auto"/>
          <w:sz w:val="88"/>
          <w:szCs w:val="8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3"/>
        <w:gridCol w:w="7307"/>
      </w:tblGrid>
      <w:tr w:rsidR="00656B94" w:rsidRPr="00C23109" w14:paraId="4289AC59" w14:textId="77777777" w:rsidTr="00B66FA3">
        <w:trPr>
          <w:trHeight w:val="692"/>
        </w:trPr>
        <w:tc>
          <w:tcPr>
            <w:tcW w:w="2048" w:type="dxa"/>
          </w:tcPr>
          <w:p w14:paraId="6DDC6F4C" w14:textId="77777777" w:rsidR="00656B94" w:rsidRDefault="00656B94" w:rsidP="00F80D70">
            <w:pPr>
              <w:rPr>
                <w:b/>
                <w:i/>
              </w:rPr>
            </w:pPr>
            <w:r w:rsidRPr="00C23109">
              <w:rPr>
                <w:b/>
                <w:i/>
              </w:rPr>
              <w:t>Module</w:t>
            </w:r>
          </w:p>
          <w:p w14:paraId="2AAF90C2" w14:textId="028A6D3E" w:rsidR="00B66FA3" w:rsidRPr="00C23109" w:rsidRDefault="00B66FA3" w:rsidP="00F80D70">
            <w:pPr>
              <w:rPr>
                <w:b/>
                <w:i/>
              </w:rPr>
            </w:pPr>
            <w:r>
              <w:rPr>
                <w:b/>
                <w:i/>
              </w:rPr>
              <w:t>Module Code</w:t>
            </w:r>
          </w:p>
        </w:tc>
        <w:tc>
          <w:tcPr>
            <w:tcW w:w="7347" w:type="dxa"/>
          </w:tcPr>
          <w:p w14:paraId="39A1AFC7" w14:textId="77777777" w:rsidR="00656B94" w:rsidRDefault="00366A29" w:rsidP="00366A29">
            <w:r>
              <w:t>Introduction to Physiology</w:t>
            </w:r>
          </w:p>
          <w:p w14:paraId="2C5135CC" w14:textId="3252BB4D" w:rsidR="00B66FA3" w:rsidRPr="00C23109" w:rsidRDefault="0001410E" w:rsidP="00366A29">
            <w:r>
              <w:t xml:space="preserve">BMHP5023 </w:t>
            </w:r>
          </w:p>
        </w:tc>
      </w:tr>
      <w:tr w:rsidR="00656B94" w:rsidRPr="00C23109" w14:paraId="07E1F2BA" w14:textId="77777777" w:rsidTr="00B66FA3">
        <w:trPr>
          <w:trHeight w:val="717"/>
        </w:trPr>
        <w:tc>
          <w:tcPr>
            <w:tcW w:w="2048" w:type="dxa"/>
          </w:tcPr>
          <w:p w14:paraId="4D1109D3" w14:textId="77777777" w:rsidR="00656B94" w:rsidRDefault="0001410E" w:rsidP="00F80D70">
            <w:pPr>
              <w:rPr>
                <w:b/>
                <w:i/>
              </w:rPr>
            </w:pPr>
            <w:r>
              <w:rPr>
                <w:b/>
                <w:i/>
              </w:rPr>
              <w:t xml:space="preserve">Lecturer </w:t>
            </w:r>
          </w:p>
          <w:p w14:paraId="36A5B8FC" w14:textId="12B0937B" w:rsidR="0001410E" w:rsidRPr="00C23109" w:rsidRDefault="0001410E" w:rsidP="00F80D70">
            <w:pPr>
              <w:rPr>
                <w:b/>
                <w:i/>
              </w:rPr>
            </w:pPr>
            <w:r>
              <w:rPr>
                <w:b/>
                <w:i/>
              </w:rPr>
              <w:t xml:space="preserve">Name </w:t>
            </w:r>
          </w:p>
        </w:tc>
        <w:tc>
          <w:tcPr>
            <w:tcW w:w="7347" w:type="dxa"/>
          </w:tcPr>
          <w:p w14:paraId="0EB66F8B" w14:textId="787D1087" w:rsidR="00656B94" w:rsidRPr="00C23109" w:rsidRDefault="0001410E" w:rsidP="00CD4DBD">
            <w:r>
              <w:t xml:space="preserve">Gillian Weaver </w:t>
            </w:r>
          </w:p>
        </w:tc>
      </w:tr>
      <w:tr w:rsidR="00656B94" w:rsidRPr="00C23109" w14:paraId="2D635ABF" w14:textId="77777777" w:rsidTr="00B66FA3">
        <w:trPr>
          <w:trHeight w:val="692"/>
        </w:trPr>
        <w:tc>
          <w:tcPr>
            <w:tcW w:w="2048" w:type="dxa"/>
          </w:tcPr>
          <w:p w14:paraId="02298B23" w14:textId="77777777" w:rsidR="00656B94" w:rsidRPr="00C23109" w:rsidRDefault="00656B94" w:rsidP="00F80D70">
            <w:pPr>
              <w:rPr>
                <w:b/>
                <w:i/>
              </w:rPr>
            </w:pPr>
            <w:r w:rsidRPr="00C23109">
              <w:rPr>
                <w:b/>
                <w:i/>
              </w:rPr>
              <w:t xml:space="preserve">Student Name/ ID </w:t>
            </w:r>
          </w:p>
        </w:tc>
        <w:tc>
          <w:tcPr>
            <w:tcW w:w="7347" w:type="dxa"/>
          </w:tcPr>
          <w:p w14:paraId="0ECB6EB9" w14:textId="00EA47AB" w:rsidR="00656B94" w:rsidRPr="00C23109" w:rsidRDefault="009A1034" w:rsidP="00F80D70">
            <w:r>
              <w:t>Samara Bibi</w:t>
            </w:r>
          </w:p>
        </w:tc>
      </w:tr>
      <w:tr w:rsidR="00656B94" w:rsidRPr="00C23109" w14:paraId="494BA7F5" w14:textId="77777777" w:rsidTr="00B66FA3">
        <w:trPr>
          <w:trHeight w:val="692"/>
        </w:trPr>
        <w:tc>
          <w:tcPr>
            <w:tcW w:w="2048" w:type="dxa"/>
          </w:tcPr>
          <w:p w14:paraId="579D09F5" w14:textId="77777777" w:rsidR="00656B94" w:rsidRPr="00C23109" w:rsidRDefault="00656B94" w:rsidP="00F80D70">
            <w:pPr>
              <w:rPr>
                <w:b/>
                <w:i/>
              </w:rPr>
            </w:pPr>
            <w:r w:rsidRPr="00C23109">
              <w:rPr>
                <w:b/>
                <w:i/>
              </w:rPr>
              <w:t>Assignment Title</w:t>
            </w:r>
          </w:p>
        </w:tc>
        <w:tc>
          <w:tcPr>
            <w:tcW w:w="7347" w:type="dxa"/>
          </w:tcPr>
          <w:p w14:paraId="3E93DB2A" w14:textId="77777777" w:rsidR="00656B94" w:rsidRPr="00C23109" w:rsidRDefault="00CD4DBD" w:rsidP="00F80D70">
            <w:r w:rsidRPr="00CD4DBD">
              <w:t>Type 2 Diabetes – Blood Glucose Regulation, Cellular Metabolism, Monitoring and Lifestyle Management</w:t>
            </w:r>
          </w:p>
        </w:tc>
      </w:tr>
      <w:tr w:rsidR="00656B94" w:rsidRPr="00C23109" w14:paraId="6FAB8750" w14:textId="77777777" w:rsidTr="00B66FA3">
        <w:trPr>
          <w:trHeight w:val="692"/>
        </w:trPr>
        <w:tc>
          <w:tcPr>
            <w:tcW w:w="2048" w:type="dxa"/>
          </w:tcPr>
          <w:p w14:paraId="767749B4" w14:textId="77777777" w:rsidR="00656B94" w:rsidRPr="00C23109" w:rsidRDefault="00656B94" w:rsidP="00F80D70">
            <w:pPr>
              <w:rPr>
                <w:b/>
                <w:i/>
              </w:rPr>
            </w:pPr>
            <w:r w:rsidRPr="00C23109">
              <w:rPr>
                <w:b/>
                <w:i/>
              </w:rPr>
              <w:t>Submission Date</w:t>
            </w:r>
          </w:p>
        </w:tc>
        <w:tc>
          <w:tcPr>
            <w:tcW w:w="7347" w:type="dxa"/>
          </w:tcPr>
          <w:p w14:paraId="59536737" w14:textId="4A0DB910" w:rsidR="00656B94" w:rsidRPr="00C23109" w:rsidRDefault="009A1034" w:rsidP="00F80D70">
            <w:r>
              <w:t>21</w:t>
            </w:r>
            <w:r w:rsidRPr="009A1034">
              <w:rPr>
                <w:vertAlign w:val="superscript"/>
              </w:rPr>
              <w:t>st</w:t>
            </w:r>
            <w:r>
              <w:t xml:space="preserve"> October </w:t>
            </w:r>
            <w:r w:rsidR="00573783">
              <w:t>2026</w:t>
            </w:r>
          </w:p>
        </w:tc>
      </w:tr>
    </w:tbl>
    <w:p w14:paraId="2272FC34" w14:textId="77777777" w:rsidR="00793373" w:rsidRPr="00752C57" w:rsidRDefault="009C2D59">
      <w:pPr>
        <w:jc w:val="center"/>
        <w:rPr>
          <w:b/>
          <w:i/>
          <w:color w:val="auto"/>
          <w:sz w:val="72"/>
          <w:szCs w:val="72"/>
        </w:rPr>
      </w:pPr>
      <w:r w:rsidRPr="00752C57">
        <w:rPr>
          <w:b/>
          <w:bCs/>
          <w:i/>
          <w:color w:val="auto"/>
          <w:sz w:val="72"/>
          <w:szCs w:val="72"/>
        </w:rPr>
        <w:t> </w:t>
      </w:r>
      <w:r w:rsidR="00B57A65" w:rsidRPr="00752C57">
        <w:rPr>
          <w:b/>
          <w:i/>
          <w:color w:val="auto"/>
          <w:sz w:val="72"/>
          <w:szCs w:val="72"/>
        </w:rPr>
        <w:t xml:space="preserve"> </w:t>
      </w:r>
    </w:p>
    <w:p w14:paraId="30421F33" w14:textId="77777777" w:rsidR="00793373" w:rsidRPr="00752C57" w:rsidRDefault="00793373">
      <w:pPr>
        <w:pStyle w:val="ContentsHeading"/>
        <w:pageBreakBefore/>
        <w:rPr>
          <w:color w:val="auto"/>
        </w:rPr>
      </w:pPr>
      <w:r w:rsidRPr="00752C57">
        <w:rPr>
          <w:color w:val="auto"/>
        </w:rPr>
        <w:t>Table of Contents</w:t>
      </w:r>
    </w:p>
    <w:p w14:paraId="73B3A5DD" w14:textId="77777777" w:rsidR="003849A8" w:rsidRDefault="00793373">
      <w:pPr>
        <w:pStyle w:val="TOC1"/>
        <w:rPr>
          <w:rFonts w:asciiTheme="minorHAnsi" w:eastAsiaTheme="minorEastAsia" w:hAnsiTheme="minorHAnsi" w:cstheme="minorBidi"/>
          <w:noProof/>
          <w:color w:val="auto"/>
          <w:sz w:val="22"/>
          <w:lang w:eastAsia="en-GB"/>
        </w:rPr>
      </w:pPr>
      <w:r w:rsidRPr="00752C57">
        <w:rPr>
          <w:rFonts w:cs="Times New Roman"/>
          <w:color w:val="auto"/>
        </w:rPr>
        <w:fldChar w:fldCharType="begin"/>
      </w:r>
      <w:r w:rsidRPr="00752C57">
        <w:rPr>
          <w:rFonts w:cs="Times New Roman"/>
          <w:color w:val="auto"/>
        </w:rPr>
        <w:instrText xml:space="preserve"> TOC \f \o "1-9" \o "1-9" </w:instrText>
      </w:r>
      <w:r w:rsidRPr="00752C57">
        <w:rPr>
          <w:rFonts w:cs="Times New Roman"/>
          <w:color w:val="auto"/>
        </w:rPr>
        <w:fldChar w:fldCharType="separate"/>
      </w:r>
      <w:r w:rsidR="003849A8">
        <w:rPr>
          <w:noProof/>
        </w:rPr>
        <w:t>Introduction</w:t>
      </w:r>
      <w:r w:rsidR="003849A8">
        <w:rPr>
          <w:noProof/>
        </w:rPr>
        <w:tab/>
      </w:r>
      <w:r w:rsidR="003849A8">
        <w:rPr>
          <w:noProof/>
        </w:rPr>
        <w:fldChar w:fldCharType="begin"/>
      </w:r>
      <w:r w:rsidR="003849A8">
        <w:rPr>
          <w:noProof/>
        </w:rPr>
        <w:instrText xml:space="preserve"> PAGEREF _Toc241145884 \h </w:instrText>
      </w:r>
      <w:r w:rsidR="003849A8">
        <w:rPr>
          <w:noProof/>
        </w:rPr>
      </w:r>
      <w:r w:rsidR="003849A8">
        <w:rPr>
          <w:noProof/>
        </w:rPr>
        <w:fldChar w:fldCharType="separate"/>
      </w:r>
      <w:r w:rsidR="003849A8">
        <w:rPr>
          <w:noProof/>
        </w:rPr>
        <w:t>3</w:t>
      </w:r>
      <w:r w:rsidR="003849A8">
        <w:rPr>
          <w:noProof/>
        </w:rPr>
        <w:fldChar w:fldCharType="end"/>
      </w:r>
    </w:p>
    <w:p w14:paraId="4DEF1448" w14:textId="77777777" w:rsidR="003849A8" w:rsidRDefault="003849A8">
      <w:pPr>
        <w:pStyle w:val="TOC1"/>
        <w:rPr>
          <w:rFonts w:asciiTheme="minorHAnsi" w:eastAsiaTheme="minorEastAsia" w:hAnsiTheme="minorHAnsi" w:cstheme="minorBidi"/>
          <w:noProof/>
          <w:color w:val="auto"/>
          <w:sz w:val="22"/>
          <w:lang w:eastAsia="en-GB"/>
        </w:rPr>
      </w:pPr>
      <w:r>
        <w:rPr>
          <w:noProof/>
        </w:rPr>
        <w:t>Blood-Glucose Regulation: Anatomy and Physiology</w:t>
      </w:r>
      <w:r>
        <w:rPr>
          <w:noProof/>
        </w:rPr>
        <w:tab/>
      </w:r>
      <w:r>
        <w:rPr>
          <w:noProof/>
        </w:rPr>
        <w:fldChar w:fldCharType="begin"/>
      </w:r>
      <w:r>
        <w:rPr>
          <w:noProof/>
        </w:rPr>
        <w:instrText xml:space="preserve"> PAGEREF _Toc241145885 \h </w:instrText>
      </w:r>
      <w:r>
        <w:rPr>
          <w:noProof/>
        </w:rPr>
      </w:r>
      <w:r>
        <w:rPr>
          <w:noProof/>
        </w:rPr>
        <w:fldChar w:fldCharType="separate"/>
      </w:r>
      <w:r>
        <w:rPr>
          <w:noProof/>
        </w:rPr>
        <w:t>3</w:t>
      </w:r>
      <w:r>
        <w:rPr>
          <w:noProof/>
        </w:rPr>
        <w:fldChar w:fldCharType="end"/>
      </w:r>
    </w:p>
    <w:p w14:paraId="67E9F7E1" w14:textId="77777777" w:rsidR="003849A8" w:rsidRDefault="003849A8">
      <w:pPr>
        <w:pStyle w:val="TOC1"/>
        <w:rPr>
          <w:rFonts w:asciiTheme="minorHAnsi" w:eastAsiaTheme="minorEastAsia" w:hAnsiTheme="minorHAnsi" w:cstheme="minorBidi"/>
          <w:noProof/>
          <w:color w:val="auto"/>
          <w:sz w:val="22"/>
          <w:lang w:eastAsia="en-GB"/>
        </w:rPr>
      </w:pPr>
      <w:r>
        <w:rPr>
          <w:noProof/>
        </w:rPr>
        <w:t>Cellular Metabolism and Type 2 Diabetes Pathophysiology</w:t>
      </w:r>
      <w:r>
        <w:rPr>
          <w:noProof/>
        </w:rPr>
        <w:tab/>
      </w:r>
      <w:r>
        <w:rPr>
          <w:noProof/>
        </w:rPr>
        <w:fldChar w:fldCharType="begin"/>
      </w:r>
      <w:r>
        <w:rPr>
          <w:noProof/>
        </w:rPr>
        <w:instrText xml:space="preserve"> PAGEREF _Toc241145886 \h </w:instrText>
      </w:r>
      <w:r>
        <w:rPr>
          <w:noProof/>
        </w:rPr>
      </w:r>
      <w:r>
        <w:rPr>
          <w:noProof/>
        </w:rPr>
        <w:fldChar w:fldCharType="separate"/>
      </w:r>
      <w:r>
        <w:rPr>
          <w:noProof/>
        </w:rPr>
        <w:t>5</w:t>
      </w:r>
      <w:r>
        <w:rPr>
          <w:noProof/>
        </w:rPr>
        <w:fldChar w:fldCharType="end"/>
      </w:r>
    </w:p>
    <w:p w14:paraId="15D757E5" w14:textId="77777777" w:rsidR="003849A8" w:rsidRDefault="003849A8">
      <w:pPr>
        <w:pStyle w:val="TOC1"/>
        <w:rPr>
          <w:rFonts w:asciiTheme="minorHAnsi" w:eastAsiaTheme="minorEastAsia" w:hAnsiTheme="minorHAnsi" w:cstheme="minorBidi"/>
          <w:noProof/>
          <w:color w:val="auto"/>
          <w:sz w:val="22"/>
          <w:lang w:eastAsia="en-GB"/>
        </w:rPr>
      </w:pPr>
      <w:r>
        <w:rPr>
          <w:noProof/>
        </w:rPr>
        <w:t>Blood-Glucose Monitoring and Use of Routine Data</w:t>
      </w:r>
      <w:r>
        <w:rPr>
          <w:noProof/>
        </w:rPr>
        <w:tab/>
      </w:r>
      <w:r>
        <w:rPr>
          <w:noProof/>
        </w:rPr>
        <w:fldChar w:fldCharType="begin"/>
      </w:r>
      <w:r>
        <w:rPr>
          <w:noProof/>
        </w:rPr>
        <w:instrText xml:space="preserve"> PAGEREF _Toc241145887 \h </w:instrText>
      </w:r>
      <w:r>
        <w:rPr>
          <w:noProof/>
        </w:rPr>
      </w:r>
      <w:r>
        <w:rPr>
          <w:noProof/>
        </w:rPr>
        <w:fldChar w:fldCharType="separate"/>
      </w:r>
      <w:r>
        <w:rPr>
          <w:noProof/>
        </w:rPr>
        <w:t>6</w:t>
      </w:r>
      <w:r>
        <w:rPr>
          <w:noProof/>
        </w:rPr>
        <w:fldChar w:fldCharType="end"/>
      </w:r>
    </w:p>
    <w:p w14:paraId="0153A7EA" w14:textId="77777777" w:rsidR="003849A8" w:rsidRDefault="003849A8">
      <w:pPr>
        <w:pStyle w:val="TOC1"/>
        <w:rPr>
          <w:rFonts w:asciiTheme="minorHAnsi" w:eastAsiaTheme="minorEastAsia" w:hAnsiTheme="minorHAnsi" w:cstheme="minorBidi"/>
          <w:noProof/>
          <w:color w:val="auto"/>
          <w:sz w:val="22"/>
          <w:lang w:eastAsia="en-GB"/>
        </w:rPr>
      </w:pPr>
      <w:r>
        <w:rPr>
          <w:noProof/>
        </w:rPr>
        <w:t>Evidence-Based Lifestyle Management</w:t>
      </w:r>
      <w:r>
        <w:rPr>
          <w:noProof/>
        </w:rPr>
        <w:tab/>
      </w:r>
      <w:r>
        <w:rPr>
          <w:noProof/>
        </w:rPr>
        <w:fldChar w:fldCharType="begin"/>
      </w:r>
      <w:r>
        <w:rPr>
          <w:noProof/>
        </w:rPr>
        <w:instrText xml:space="preserve"> PAGEREF _Toc241145888 \h </w:instrText>
      </w:r>
      <w:r>
        <w:rPr>
          <w:noProof/>
        </w:rPr>
      </w:r>
      <w:r>
        <w:rPr>
          <w:noProof/>
        </w:rPr>
        <w:fldChar w:fldCharType="separate"/>
      </w:r>
      <w:r>
        <w:rPr>
          <w:noProof/>
        </w:rPr>
        <w:t>7</w:t>
      </w:r>
      <w:r>
        <w:rPr>
          <w:noProof/>
        </w:rPr>
        <w:fldChar w:fldCharType="end"/>
      </w:r>
    </w:p>
    <w:p w14:paraId="015D6692" w14:textId="77777777" w:rsidR="003849A8" w:rsidRDefault="003849A8">
      <w:pPr>
        <w:pStyle w:val="TOC2"/>
        <w:rPr>
          <w:rFonts w:asciiTheme="minorHAnsi" w:eastAsiaTheme="minorEastAsia" w:hAnsiTheme="minorHAnsi" w:cstheme="minorBidi"/>
          <w:noProof/>
          <w:color w:val="auto"/>
          <w:sz w:val="22"/>
          <w:lang w:eastAsia="en-GB"/>
        </w:rPr>
      </w:pPr>
      <w:r>
        <w:rPr>
          <w:noProof/>
        </w:rPr>
        <w:t>Physical activity</w:t>
      </w:r>
      <w:r>
        <w:rPr>
          <w:noProof/>
        </w:rPr>
        <w:tab/>
      </w:r>
      <w:r>
        <w:rPr>
          <w:noProof/>
        </w:rPr>
        <w:fldChar w:fldCharType="begin"/>
      </w:r>
      <w:r>
        <w:rPr>
          <w:noProof/>
        </w:rPr>
        <w:instrText xml:space="preserve"> PAGEREF _Toc241145889 \h </w:instrText>
      </w:r>
      <w:r>
        <w:rPr>
          <w:noProof/>
        </w:rPr>
      </w:r>
      <w:r>
        <w:rPr>
          <w:noProof/>
        </w:rPr>
        <w:fldChar w:fldCharType="separate"/>
      </w:r>
      <w:r>
        <w:rPr>
          <w:noProof/>
        </w:rPr>
        <w:t>7</w:t>
      </w:r>
      <w:r>
        <w:rPr>
          <w:noProof/>
        </w:rPr>
        <w:fldChar w:fldCharType="end"/>
      </w:r>
    </w:p>
    <w:p w14:paraId="7734A91B" w14:textId="77777777" w:rsidR="003849A8" w:rsidRDefault="003849A8">
      <w:pPr>
        <w:pStyle w:val="TOC2"/>
        <w:rPr>
          <w:rFonts w:asciiTheme="minorHAnsi" w:eastAsiaTheme="minorEastAsia" w:hAnsiTheme="minorHAnsi" w:cstheme="minorBidi"/>
          <w:noProof/>
          <w:color w:val="auto"/>
          <w:sz w:val="22"/>
          <w:lang w:eastAsia="en-GB"/>
        </w:rPr>
      </w:pPr>
      <w:r>
        <w:rPr>
          <w:noProof/>
        </w:rPr>
        <w:t>Dietary modification</w:t>
      </w:r>
      <w:r>
        <w:rPr>
          <w:noProof/>
        </w:rPr>
        <w:tab/>
      </w:r>
      <w:r>
        <w:rPr>
          <w:noProof/>
        </w:rPr>
        <w:fldChar w:fldCharType="begin"/>
      </w:r>
      <w:r>
        <w:rPr>
          <w:noProof/>
        </w:rPr>
        <w:instrText xml:space="preserve"> PAGEREF _Toc241145890 \h </w:instrText>
      </w:r>
      <w:r>
        <w:rPr>
          <w:noProof/>
        </w:rPr>
      </w:r>
      <w:r>
        <w:rPr>
          <w:noProof/>
        </w:rPr>
        <w:fldChar w:fldCharType="separate"/>
      </w:r>
      <w:r>
        <w:rPr>
          <w:noProof/>
        </w:rPr>
        <w:t>8</w:t>
      </w:r>
      <w:r>
        <w:rPr>
          <w:noProof/>
        </w:rPr>
        <w:fldChar w:fldCharType="end"/>
      </w:r>
    </w:p>
    <w:p w14:paraId="3A4873BE" w14:textId="77777777" w:rsidR="003849A8" w:rsidRDefault="003849A8">
      <w:pPr>
        <w:pStyle w:val="TOC2"/>
        <w:rPr>
          <w:rFonts w:asciiTheme="minorHAnsi" w:eastAsiaTheme="minorEastAsia" w:hAnsiTheme="minorHAnsi" w:cstheme="minorBidi"/>
          <w:noProof/>
          <w:color w:val="auto"/>
          <w:sz w:val="22"/>
          <w:lang w:eastAsia="en-GB"/>
        </w:rPr>
      </w:pPr>
      <w:r>
        <w:rPr>
          <w:noProof/>
        </w:rPr>
        <w:t>Smoking cessation</w:t>
      </w:r>
      <w:r>
        <w:rPr>
          <w:noProof/>
        </w:rPr>
        <w:tab/>
      </w:r>
      <w:r>
        <w:rPr>
          <w:noProof/>
        </w:rPr>
        <w:fldChar w:fldCharType="begin"/>
      </w:r>
      <w:r>
        <w:rPr>
          <w:noProof/>
        </w:rPr>
        <w:instrText xml:space="preserve"> PAGEREF _Toc241145891 \h </w:instrText>
      </w:r>
      <w:r>
        <w:rPr>
          <w:noProof/>
        </w:rPr>
      </w:r>
      <w:r>
        <w:rPr>
          <w:noProof/>
        </w:rPr>
        <w:fldChar w:fldCharType="separate"/>
      </w:r>
      <w:r>
        <w:rPr>
          <w:noProof/>
        </w:rPr>
        <w:t>8</w:t>
      </w:r>
      <w:r>
        <w:rPr>
          <w:noProof/>
        </w:rPr>
        <w:fldChar w:fldCharType="end"/>
      </w:r>
    </w:p>
    <w:p w14:paraId="088D2601" w14:textId="77777777" w:rsidR="003849A8" w:rsidRDefault="003849A8">
      <w:pPr>
        <w:pStyle w:val="TOC2"/>
        <w:rPr>
          <w:rFonts w:asciiTheme="minorHAnsi" w:eastAsiaTheme="minorEastAsia" w:hAnsiTheme="minorHAnsi" w:cstheme="minorBidi"/>
          <w:noProof/>
          <w:color w:val="auto"/>
          <w:sz w:val="22"/>
          <w:lang w:eastAsia="en-GB"/>
        </w:rPr>
      </w:pPr>
      <w:r>
        <w:rPr>
          <w:noProof/>
        </w:rPr>
        <w:t>Individualisation and professional support</w:t>
      </w:r>
      <w:r>
        <w:rPr>
          <w:noProof/>
        </w:rPr>
        <w:tab/>
      </w:r>
      <w:r>
        <w:rPr>
          <w:noProof/>
        </w:rPr>
        <w:fldChar w:fldCharType="begin"/>
      </w:r>
      <w:r>
        <w:rPr>
          <w:noProof/>
        </w:rPr>
        <w:instrText xml:space="preserve"> PAGEREF _Toc241145892 \h </w:instrText>
      </w:r>
      <w:r>
        <w:rPr>
          <w:noProof/>
        </w:rPr>
      </w:r>
      <w:r>
        <w:rPr>
          <w:noProof/>
        </w:rPr>
        <w:fldChar w:fldCharType="separate"/>
      </w:r>
      <w:r>
        <w:rPr>
          <w:noProof/>
        </w:rPr>
        <w:t>8</w:t>
      </w:r>
      <w:r>
        <w:rPr>
          <w:noProof/>
        </w:rPr>
        <w:fldChar w:fldCharType="end"/>
      </w:r>
    </w:p>
    <w:p w14:paraId="29F7B002" w14:textId="77777777" w:rsidR="003849A8" w:rsidRDefault="003849A8">
      <w:pPr>
        <w:pStyle w:val="TOC1"/>
        <w:rPr>
          <w:rFonts w:asciiTheme="minorHAnsi" w:eastAsiaTheme="minorEastAsia" w:hAnsiTheme="minorHAnsi" w:cstheme="minorBidi"/>
          <w:noProof/>
          <w:color w:val="auto"/>
          <w:sz w:val="22"/>
          <w:lang w:eastAsia="en-GB"/>
        </w:rPr>
      </w:pPr>
      <w:r>
        <w:rPr>
          <w:noProof/>
        </w:rPr>
        <w:t>Conclusion</w:t>
      </w:r>
      <w:r>
        <w:rPr>
          <w:noProof/>
        </w:rPr>
        <w:tab/>
      </w:r>
      <w:r>
        <w:rPr>
          <w:noProof/>
        </w:rPr>
        <w:fldChar w:fldCharType="begin"/>
      </w:r>
      <w:r>
        <w:rPr>
          <w:noProof/>
        </w:rPr>
        <w:instrText xml:space="preserve"> PAGEREF _Toc241145893 \h </w:instrText>
      </w:r>
      <w:r>
        <w:rPr>
          <w:noProof/>
        </w:rPr>
      </w:r>
      <w:r>
        <w:rPr>
          <w:noProof/>
        </w:rPr>
        <w:fldChar w:fldCharType="separate"/>
      </w:r>
      <w:r>
        <w:rPr>
          <w:noProof/>
        </w:rPr>
        <w:t>9</w:t>
      </w:r>
      <w:r>
        <w:rPr>
          <w:noProof/>
        </w:rPr>
        <w:fldChar w:fldCharType="end"/>
      </w:r>
    </w:p>
    <w:p w14:paraId="1E2806AF" w14:textId="77777777" w:rsidR="003849A8" w:rsidRDefault="003849A8">
      <w:pPr>
        <w:pStyle w:val="TOC1"/>
        <w:rPr>
          <w:rFonts w:asciiTheme="minorHAnsi" w:eastAsiaTheme="minorEastAsia" w:hAnsiTheme="minorHAnsi" w:cstheme="minorBidi"/>
          <w:noProof/>
          <w:color w:val="auto"/>
          <w:sz w:val="22"/>
          <w:lang w:eastAsia="en-GB"/>
        </w:rPr>
      </w:pPr>
      <w:r>
        <w:rPr>
          <w:noProof/>
        </w:rPr>
        <w:t>References</w:t>
      </w:r>
      <w:r>
        <w:rPr>
          <w:noProof/>
        </w:rPr>
        <w:tab/>
      </w:r>
      <w:r>
        <w:rPr>
          <w:noProof/>
        </w:rPr>
        <w:fldChar w:fldCharType="begin"/>
      </w:r>
      <w:r>
        <w:rPr>
          <w:noProof/>
        </w:rPr>
        <w:instrText xml:space="preserve"> PAGEREF _Toc241145894 \h </w:instrText>
      </w:r>
      <w:r>
        <w:rPr>
          <w:noProof/>
        </w:rPr>
      </w:r>
      <w:r>
        <w:rPr>
          <w:noProof/>
        </w:rPr>
        <w:fldChar w:fldCharType="separate"/>
      </w:r>
      <w:r>
        <w:rPr>
          <w:noProof/>
        </w:rPr>
        <w:t>11</w:t>
      </w:r>
      <w:r>
        <w:rPr>
          <w:noProof/>
        </w:rPr>
        <w:fldChar w:fldCharType="end"/>
      </w:r>
    </w:p>
    <w:p w14:paraId="009525C5" w14:textId="77777777" w:rsidR="005901D0" w:rsidRPr="00752C57" w:rsidRDefault="00793373" w:rsidP="005901D0">
      <w:pPr>
        <w:pStyle w:val="TOC1"/>
        <w:rPr>
          <w:rFonts w:cs="Times New Roman"/>
          <w:color w:val="auto"/>
          <w:szCs w:val="24"/>
        </w:rPr>
      </w:pPr>
      <w:r w:rsidRPr="00752C57">
        <w:rPr>
          <w:rFonts w:cs="Times New Roman"/>
          <w:color w:val="auto"/>
        </w:rPr>
        <w:fldChar w:fldCharType="end"/>
      </w:r>
    </w:p>
    <w:p w14:paraId="74D6A0E6" w14:textId="77777777" w:rsidR="00793373" w:rsidRPr="003849A8" w:rsidRDefault="003849A8" w:rsidP="003849A8">
      <w:pPr>
        <w:jc w:val="center"/>
        <w:rPr>
          <w:b/>
          <w:color w:val="auto"/>
          <w:sz w:val="28"/>
          <w:szCs w:val="24"/>
        </w:rPr>
      </w:pPr>
      <w:r w:rsidRPr="003849A8">
        <w:rPr>
          <w:b/>
          <w:color w:val="auto"/>
          <w:sz w:val="28"/>
          <w:szCs w:val="24"/>
        </w:rPr>
        <w:t>List of Tables</w:t>
      </w:r>
    </w:p>
    <w:p w14:paraId="68E78972" w14:textId="77777777" w:rsidR="00E95EF8" w:rsidRDefault="003849A8">
      <w:pPr>
        <w:pStyle w:val="TableofFigures"/>
        <w:tabs>
          <w:tab w:val="right" w:leader="dot" w:pos="9350"/>
        </w:tabs>
        <w:rPr>
          <w:rFonts w:asciiTheme="minorHAnsi" w:eastAsiaTheme="minorEastAsia" w:hAnsiTheme="minorHAnsi" w:cstheme="minorBidi"/>
          <w:noProof/>
          <w:color w:val="auto"/>
          <w:sz w:val="22"/>
          <w:lang w:eastAsia="en-GB"/>
        </w:rPr>
      </w:pPr>
      <w:r>
        <w:rPr>
          <w:color w:val="auto"/>
          <w:szCs w:val="24"/>
        </w:rPr>
        <w:fldChar w:fldCharType="begin"/>
      </w:r>
      <w:r>
        <w:rPr>
          <w:color w:val="auto"/>
          <w:szCs w:val="24"/>
        </w:rPr>
        <w:instrText xml:space="preserve"> TOC \h \z \c "Table" </w:instrText>
      </w:r>
      <w:r>
        <w:rPr>
          <w:color w:val="auto"/>
          <w:szCs w:val="24"/>
        </w:rPr>
        <w:fldChar w:fldCharType="separate"/>
      </w:r>
      <w:hyperlink w:anchor="_Toc241145953" w:history="1">
        <w:r w:rsidR="00E95EF8" w:rsidRPr="00234258">
          <w:rPr>
            <w:rStyle w:val="Hyperlink"/>
            <w:noProof/>
          </w:rPr>
          <w:t>Table 1: Relationship between normal glucose regulation and physiological function</w:t>
        </w:r>
        <w:r w:rsidR="00E95EF8">
          <w:rPr>
            <w:noProof/>
            <w:webHidden/>
          </w:rPr>
          <w:tab/>
        </w:r>
        <w:r w:rsidR="00E95EF8">
          <w:rPr>
            <w:noProof/>
            <w:webHidden/>
          </w:rPr>
          <w:fldChar w:fldCharType="begin"/>
        </w:r>
        <w:r w:rsidR="00E95EF8">
          <w:rPr>
            <w:noProof/>
            <w:webHidden/>
          </w:rPr>
          <w:instrText xml:space="preserve"> PAGEREF _Toc241145953 \h </w:instrText>
        </w:r>
        <w:r w:rsidR="00E95EF8">
          <w:rPr>
            <w:noProof/>
            <w:webHidden/>
          </w:rPr>
        </w:r>
        <w:r w:rsidR="00E95EF8">
          <w:rPr>
            <w:noProof/>
            <w:webHidden/>
          </w:rPr>
          <w:fldChar w:fldCharType="separate"/>
        </w:r>
        <w:r w:rsidR="00E95EF8">
          <w:rPr>
            <w:noProof/>
            <w:webHidden/>
          </w:rPr>
          <w:t>4</w:t>
        </w:r>
        <w:r w:rsidR="00E95EF8">
          <w:rPr>
            <w:noProof/>
            <w:webHidden/>
          </w:rPr>
          <w:fldChar w:fldCharType="end"/>
        </w:r>
      </w:hyperlink>
    </w:p>
    <w:p w14:paraId="1590C364" w14:textId="77777777" w:rsidR="00E95EF8" w:rsidRDefault="00E95EF8">
      <w:pPr>
        <w:pStyle w:val="TableofFigures"/>
        <w:tabs>
          <w:tab w:val="right" w:leader="dot" w:pos="9350"/>
        </w:tabs>
        <w:rPr>
          <w:rFonts w:asciiTheme="minorHAnsi" w:eastAsiaTheme="minorEastAsia" w:hAnsiTheme="minorHAnsi" w:cstheme="minorBidi"/>
          <w:noProof/>
          <w:color w:val="auto"/>
          <w:sz w:val="22"/>
          <w:lang w:eastAsia="en-GB"/>
        </w:rPr>
      </w:pPr>
      <w:hyperlink w:anchor="_Toc241145954" w:history="1">
        <w:r w:rsidRPr="00234258">
          <w:rPr>
            <w:rStyle w:val="Hyperlink"/>
            <w:noProof/>
          </w:rPr>
          <w:t>Table 2: Comparison of routine glycaemic data</w:t>
        </w:r>
        <w:r>
          <w:rPr>
            <w:noProof/>
            <w:webHidden/>
          </w:rPr>
          <w:tab/>
        </w:r>
        <w:r>
          <w:rPr>
            <w:noProof/>
            <w:webHidden/>
          </w:rPr>
          <w:fldChar w:fldCharType="begin"/>
        </w:r>
        <w:r>
          <w:rPr>
            <w:noProof/>
            <w:webHidden/>
          </w:rPr>
          <w:instrText xml:space="preserve"> PAGEREF _Toc241145954 \h </w:instrText>
        </w:r>
        <w:r>
          <w:rPr>
            <w:noProof/>
            <w:webHidden/>
          </w:rPr>
        </w:r>
        <w:r>
          <w:rPr>
            <w:noProof/>
            <w:webHidden/>
          </w:rPr>
          <w:fldChar w:fldCharType="separate"/>
        </w:r>
        <w:r>
          <w:rPr>
            <w:noProof/>
            <w:webHidden/>
          </w:rPr>
          <w:t>6</w:t>
        </w:r>
        <w:r>
          <w:rPr>
            <w:noProof/>
            <w:webHidden/>
          </w:rPr>
          <w:fldChar w:fldCharType="end"/>
        </w:r>
      </w:hyperlink>
    </w:p>
    <w:p w14:paraId="6DA49929" w14:textId="77777777" w:rsidR="00E95EF8" w:rsidRDefault="00E95EF8">
      <w:pPr>
        <w:pStyle w:val="TableofFigures"/>
        <w:tabs>
          <w:tab w:val="right" w:leader="dot" w:pos="9350"/>
        </w:tabs>
        <w:rPr>
          <w:rFonts w:asciiTheme="minorHAnsi" w:eastAsiaTheme="minorEastAsia" w:hAnsiTheme="minorHAnsi" w:cstheme="minorBidi"/>
          <w:noProof/>
          <w:color w:val="auto"/>
          <w:sz w:val="22"/>
          <w:lang w:eastAsia="en-GB"/>
        </w:rPr>
      </w:pPr>
      <w:hyperlink w:anchor="_Toc241145955" w:history="1">
        <w:r w:rsidRPr="00234258">
          <w:rPr>
            <w:rStyle w:val="Hyperlink"/>
            <w:noProof/>
          </w:rPr>
          <w:t>Table 3: Critical evaluation of lifestyle interventions</w:t>
        </w:r>
        <w:r>
          <w:rPr>
            <w:noProof/>
            <w:webHidden/>
          </w:rPr>
          <w:tab/>
        </w:r>
        <w:r>
          <w:rPr>
            <w:noProof/>
            <w:webHidden/>
          </w:rPr>
          <w:fldChar w:fldCharType="begin"/>
        </w:r>
        <w:r>
          <w:rPr>
            <w:noProof/>
            <w:webHidden/>
          </w:rPr>
          <w:instrText xml:space="preserve"> PAGEREF _Toc241145955 \h </w:instrText>
        </w:r>
        <w:r>
          <w:rPr>
            <w:noProof/>
            <w:webHidden/>
          </w:rPr>
        </w:r>
        <w:r>
          <w:rPr>
            <w:noProof/>
            <w:webHidden/>
          </w:rPr>
          <w:fldChar w:fldCharType="separate"/>
        </w:r>
        <w:r>
          <w:rPr>
            <w:noProof/>
            <w:webHidden/>
          </w:rPr>
          <w:t>9</w:t>
        </w:r>
        <w:r>
          <w:rPr>
            <w:noProof/>
            <w:webHidden/>
          </w:rPr>
          <w:fldChar w:fldCharType="end"/>
        </w:r>
      </w:hyperlink>
    </w:p>
    <w:p w14:paraId="5E949ED2" w14:textId="77777777" w:rsidR="00FA3835" w:rsidRPr="00752C57" w:rsidRDefault="003849A8">
      <w:pPr>
        <w:rPr>
          <w:color w:val="auto"/>
          <w:szCs w:val="24"/>
        </w:rPr>
      </w:pPr>
      <w:r>
        <w:rPr>
          <w:color w:val="auto"/>
          <w:szCs w:val="24"/>
        </w:rPr>
        <w:fldChar w:fldCharType="end"/>
      </w:r>
    </w:p>
    <w:p w14:paraId="069DD1E8" w14:textId="77777777" w:rsidR="00FA3835" w:rsidRPr="00752C57" w:rsidRDefault="00FA3835">
      <w:pPr>
        <w:rPr>
          <w:color w:val="auto"/>
          <w:szCs w:val="24"/>
        </w:rPr>
      </w:pPr>
    </w:p>
    <w:p w14:paraId="6F8A6F2B" w14:textId="77777777" w:rsidR="0093725C" w:rsidRDefault="006407FE" w:rsidP="00F623A0">
      <w:pPr>
        <w:pStyle w:val="Heading1"/>
        <w:ind w:left="0" w:firstLine="0"/>
      </w:pPr>
      <w:r w:rsidRPr="00752C57">
        <w:br w:type="page"/>
      </w:r>
      <w:bookmarkStart w:id="0" w:name="_Toc241145884"/>
      <w:r w:rsidR="00607926" w:rsidRPr="00752C57">
        <w:t>Introduction</w:t>
      </w:r>
      <w:bookmarkEnd w:id="0"/>
    </w:p>
    <w:p w14:paraId="2CD7C62C" w14:textId="77777777" w:rsidR="00366A29" w:rsidRDefault="00366A29" w:rsidP="00366A29">
      <w:r>
        <w:t xml:space="preserve">Type 2 diabetes mellitus (T2DM) is a metabolic disorder characterised by ongoing disruption of glucose dysregulation due to insulin resistance and pancreatic β-cell dysfunction. While hyperglycaemia is the key physiological aspect of this disease, it is overly simplistic to define this disorder as just an issue of high blood glucose levels. This disorder involves the interplay of different pathophysiological issues associated with insulin signalling, glucose production by the liver, muscle glucose uptake, dysfunctional fat tissue and impaired function of endocrine pancreas. In particular, insulin resistance plays a crucial role in the onset of the disease because impaired insulin response may occur along with compensatory hyperinsulinaemia until there will be insufficient functioning of β-cells to maintain proper glucose homeostasis </w:t>
      </w:r>
      <w:r w:rsidR="009C7C4B" w:rsidRPr="009C7C4B">
        <w:t>(</w:t>
      </w:r>
      <w:proofErr w:type="spellStart"/>
      <w:r w:rsidR="009C7C4B" w:rsidRPr="009C7C4B">
        <w:t>Roden</w:t>
      </w:r>
      <w:proofErr w:type="spellEnd"/>
      <w:r w:rsidR="009C7C4B" w:rsidRPr="009C7C4B">
        <w:t xml:space="preserve"> and </w:t>
      </w:r>
      <w:proofErr w:type="spellStart"/>
      <w:r w:rsidR="009C7C4B" w:rsidRPr="009C7C4B">
        <w:t>Shulman</w:t>
      </w:r>
      <w:proofErr w:type="spellEnd"/>
      <w:r w:rsidR="009C7C4B" w:rsidRPr="009C7C4B">
        <w:t>, 2019)</w:t>
      </w:r>
      <w:r>
        <w:t>.</w:t>
      </w:r>
    </w:p>
    <w:p w14:paraId="6CDA6212" w14:textId="77777777" w:rsidR="005770C2" w:rsidRDefault="00366A29" w:rsidP="005770C2">
      <w:r>
        <w:tab/>
      </w:r>
      <w:r w:rsidR="005770C2">
        <w:t xml:space="preserve">Risk factors of T2DM development include adiposity, physical inactivity, diet, aging, and genetic susceptibility. Furthermore, smoking serves as one of the risk factors affecting metabolic and cardiovascular system. Nevertheless, risk factors mentioned above cannot be regarded as independent causes of this disorder since factors such as energy imbalance, fat tissue malfunction, inflammation, and insulin </w:t>
      </w:r>
      <w:r w:rsidR="00AA38E2">
        <w:t>signalling</w:t>
      </w:r>
      <w:r w:rsidR="005770C2">
        <w:t xml:space="preserve"> can cause metabolic risks (</w:t>
      </w:r>
      <w:proofErr w:type="spellStart"/>
      <w:r w:rsidR="005770C2">
        <w:t>Veelen</w:t>
      </w:r>
      <w:proofErr w:type="spellEnd"/>
      <w:r w:rsidR="005770C2">
        <w:t xml:space="preserve"> et al., 2021).</w:t>
      </w:r>
    </w:p>
    <w:p w14:paraId="10F12F73" w14:textId="77777777" w:rsidR="00366A29" w:rsidRDefault="005770C2" w:rsidP="005770C2">
      <w:r>
        <w:tab/>
        <w:t>This research paper focuses on the issues related to normal glucose and cellular energy metabolism as well as its dysfunction in Type 2 diabetes mellitus. Then the pros and cons of glucose test will be addressed followed by the discussion of evidence-based approaches to dealing with T2DM. Main idea of the research is that management of T2DM implies more than just lowering the level of blood glucose.</w:t>
      </w:r>
    </w:p>
    <w:p w14:paraId="0FB5F944" w14:textId="77777777" w:rsidR="00366A29" w:rsidRDefault="00366A29" w:rsidP="00366A29">
      <w:pPr>
        <w:pStyle w:val="Heading1"/>
      </w:pPr>
      <w:bookmarkStart w:id="1" w:name="_Toc241145885"/>
      <w:r>
        <w:t>Blood-Glucose Regulation: Anatomy and Physiology</w:t>
      </w:r>
      <w:bookmarkEnd w:id="1"/>
    </w:p>
    <w:p w14:paraId="532858CE" w14:textId="77777777" w:rsidR="00366A29" w:rsidRDefault="000770D6" w:rsidP="00366A29">
      <w:r>
        <w:t>The p</w:t>
      </w:r>
      <w:r w:rsidR="00366A29">
        <w:t xml:space="preserve">ancreas is considered an organ that has the features of both exocrine and endocrine systems, where the role of the latter is mainly fulfilled through the pancreatic islets. In the islets, β-cells release insulin due to the rising level of circulating glucose, whereas α-cells release glucagon when there is not enough glucose. Both hormones perform opposite actions on the body and thereby help keep glucose in a rather narrow range. Hence, the activity of β-cells is vital for homeostasis since insulin secretion depends on the availability of nutrients and is related to glucose removal </w:t>
      </w:r>
      <w:r w:rsidR="00260AE4" w:rsidRPr="00260AE4">
        <w:t>(Marrano et al., 2020)</w:t>
      </w:r>
      <w:r w:rsidR="00366A29">
        <w:t>.</w:t>
      </w:r>
    </w:p>
    <w:p w14:paraId="4DE3AC07" w14:textId="77777777" w:rsidR="00366A29" w:rsidRDefault="00366A29" w:rsidP="00366A29">
      <w:r>
        <w:tab/>
        <w:t>The rise in circulating glucose results in the release of insulin from pancreatic β-cells. Afterward, the hormone helps glucose to be taken up by insulin-sensitive tissues such as muscle tissue and adipose tissue. At the same time, insulin pro</w:t>
      </w:r>
      <w:r w:rsidR="000770D6">
        <w:t>mot</w:t>
      </w:r>
      <w:r>
        <w:t>es glycogen synthesis and reduces unnecessary glucose production in the liver.</w:t>
      </w:r>
    </w:p>
    <w:p w14:paraId="324B768A" w14:textId="77777777" w:rsidR="00366A29" w:rsidRDefault="00366A29" w:rsidP="00366A29">
      <w:r>
        <w:tab/>
        <w:t xml:space="preserve">Conversely, when fasting occurs, the physiological conditions become opposite. Low levels of glucose lead to </w:t>
      </w:r>
      <w:r w:rsidR="000770D6">
        <w:t>a</w:t>
      </w:r>
      <w:r>
        <w:t xml:space="preserve"> decrease in the release of insulin while glucagon stimulates hepatic </w:t>
      </w:r>
      <w:proofErr w:type="spellStart"/>
      <w:r>
        <w:t>glycogenolysis</w:t>
      </w:r>
      <w:proofErr w:type="spellEnd"/>
      <w:r>
        <w:t xml:space="preserve"> and </w:t>
      </w:r>
      <w:proofErr w:type="spellStart"/>
      <w:r>
        <w:t>gluconeogenesis</w:t>
      </w:r>
      <w:proofErr w:type="spellEnd"/>
      <w:r>
        <w:t xml:space="preserve"> so as to keep up glucose in the blood for tissues that still have metabolic needs. The above mentioned reciprocal relationship is an example of negative-feedback regulation, whereby deviations from the optimal physiological conditions stimulate physiological responses which counteract the deviation.</w:t>
      </w:r>
    </w:p>
    <w:p w14:paraId="140F587D" w14:textId="77777777" w:rsidR="00366A29" w:rsidRDefault="00E76640" w:rsidP="001C22BD">
      <w:r>
        <w:tab/>
      </w:r>
      <w:r w:rsidR="00366A29">
        <w:t>Glucose regulation is especially vital since glucose serves as the main metabolic substance for the generation of ATP. After the absorption of glucose by cells, glucose is converted into pyruvate and some amount of ATP through glycolysis. In case oxygen is available, pyruvate enters mitochondria leading to oxidative phosphorylation and more production of ATP. Metabolic end products include carbon dioxide and water. ATP is used to energi</w:t>
      </w:r>
      <w:r>
        <w:t>s</w:t>
      </w:r>
      <w:r w:rsidR="00366A29">
        <w:t xml:space="preserve">e such processes as membrane transport, biosynthesis, muscle contraction, and cell maintenance. Defective function of mitochondria in pancreatic β-cells may affect glucose sensing and insulin secretion </w:t>
      </w:r>
      <w:r w:rsidR="00C90937" w:rsidRPr="00C90937">
        <w:t xml:space="preserve">(Las, Oliveira and </w:t>
      </w:r>
      <w:proofErr w:type="spellStart"/>
      <w:r w:rsidR="00C90937" w:rsidRPr="00C90937">
        <w:t>Shirihai</w:t>
      </w:r>
      <w:proofErr w:type="spellEnd"/>
      <w:r w:rsidR="00C90937" w:rsidRPr="00C90937">
        <w:t>, 2020)</w:t>
      </w:r>
      <w:r w:rsidR="00366A29">
        <w:t>.</w:t>
      </w:r>
    </w:p>
    <w:p w14:paraId="2BC26A69" w14:textId="77777777" w:rsidR="001C22BD" w:rsidRDefault="001C22BD" w:rsidP="001C22BD">
      <w:pPr>
        <w:pStyle w:val="Caption"/>
        <w:keepNext/>
        <w:jc w:val="center"/>
      </w:pPr>
      <w:bookmarkStart w:id="2" w:name="_Toc241145953"/>
      <w:r>
        <w:t xml:space="preserve">Table </w:t>
      </w:r>
      <w:r w:rsidR="004658CD">
        <w:fldChar w:fldCharType="begin"/>
      </w:r>
      <w:r w:rsidR="004658CD">
        <w:instrText xml:space="preserve"> SEQ Table \* ARABIC </w:instrText>
      </w:r>
      <w:r w:rsidR="004658CD">
        <w:fldChar w:fldCharType="separate"/>
      </w:r>
      <w:r w:rsidR="003849A8">
        <w:rPr>
          <w:noProof/>
        </w:rPr>
        <w:t>1</w:t>
      </w:r>
      <w:r w:rsidR="004658CD">
        <w:rPr>
          <w:noProof/>
        </w:rPr>
        <w:fldChar w:fldCharType="end"/>
      </w:r>
      <w:r>
        <w:t xml:space="preserve">: </w:t>
      </w:r>
      <w:r w:rsidRPr="008C2D7D">
        <w:t>Relationship between normal glucose regulation and physiological function</w:t>
      </w:r>
      <w:bookmarkEnd w:id="2"/>
    </w:p>
    <w:tbl>
      <w:tblPr>
        <w:tblStyle w:val="GridTable6Colourful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7"/>
        <w:gridCol w:w="3117"/>
        <w:gridCol w:w="3116"/>
      </w:tblGrid>
      <w:tr w:rsidR="00366A29" w:rsidRPr="00366A29" w14:paraId="5ED72D5D" w14:textId="77777777" w:rsidTr="001C22BD">
        <w:trPr>
          <w:cnfStyle w:val="100000000000" w:firstRow="1" w:lastRow="0" w:firstColumn="0" w:lastColumn="0" w:oddVBand="0" w:evenVBand="0" w:oddHBand="0" w:evenHBand="0" w:firstRowFirstColumn="0" w:firstRowLastColumn="0" w:lastRowFirstColumn="0" w:lastRowLastColumn="0"/>
          <w:trHeight w:val="696"/>
        </w:trPr>
        <w:tc>
          <w:tcPr>
            <w:cnfStyle w:val="001000000000" w:firstRow="0" w:lastRow="0" w:firstColumn="1" w:lastColumn="0" w:oddVBand="0" w:evenVBand="0" w:oddHBand="0" w:evenHBand="0" w:firstRowFirstColumn="0" w:firstRowLastColumn="0" w:lastRowFirstColumn="0" w:lastRowLastColumn="0"/>
            <w:tcW w:w="3117" w:type="dxa"/>
            <w:tcBorders>
              <w:bottom w:val="none" w:sz="0" w:space="0" w:color="auto"/>
            </w:tcBorders>
          </w:tcPr>
          <w:p w14:paraId="5C78FE0F" w14:textId="77777777" w:rsidR="00366A29" w:rsidRPr="00366A29" w:rsidRDefault="00366A29" w:rsidP="007C5C30">
            <w:pPr>
              <w:spacing w:line="240" w:lineRule="auto"/>
            </w:pPr>
            <w:r w:rsidRPr="00366A29">
              <w:t>Physiological component</w:t>
            </w:r>
          </w:p>
        </w:tc>
        <w:tc>
          <w:tcPr>
            <w:tcW w:w="3117" w:type="dxa"/>
            <w:tcBorders>
              <w:bottom w:val="none" w:sz="0" w:space="0" w:color="auto"/>
            </w:tcBorders>
          </w:tcPr>
          <w:p w14:paraId="28B75CF8" w14:textId="77777777" w:rsidR="00366A29" w:rsidRPr="00366A29" w:rsidRDefault="00366A29" w:rsidP="007C5C30">
            <w:pPr>
              <w:spacing w:line="240" w:lineRule="auto"/>
              <w:cnfStyle w:val="100000000000" w:firstRow="1" w:lastRow="0" w:firstColumn="0" w:lastColumn="0" w:oddVBand="0" w:evenVBand="0" w:oddHBand="0" w:evenHBand="0" w:firstRowFirstColumn="0" w:firstRowLastColumn="0" w:lastRowFirstColumn="0" w:lastRowLastColumn="0"/>
            </w:pPr>
            <w:r w:rsidRPr="00366A29">
              <w:t>Normal process</w:t>
            </w:r>
          </w:p>
        </w:tc>
        <w:tc>
          <w:tcPr>
            <w:tcW w:w="3116" w:type="dxa"/>
            <w:tcBorders>
              <w:bottom w:val="none" w:sz="0" w:space="0" w:color="auto"/>
            </w:tcBorders>
          </w:tcPr>
          <w:p w14:paraId="1D764F91" w14:textId="77777777" w:rsidR="00366A29" w:rsidRPr="00366A29" w:rsidRDefault="00366A29" w:rsidP="007C5C30">
            <w:pPr>
              <w:spacing w:line="240" w:lineRule="auto"/>
              <w:cnfStyle w:val="100000000000" w:firstRow="1" w:lastRow="0" w:firstColumn="0" w:lastColumn="0" w:oddVBand="0" w:evenVBand="0" w:oddHBand="0" w:evenHBand="0" w:firstRowFirstColumn="0" w:firstRowLastColumn="0" w:lastRowFirstColumn="0" w:lastRowLastColumn="0"/>
            </w:pPr>
            <w:r w:rsidRPr="00366A29">
              <w:t>Functional significance</w:t>
            </w:r>
          </w:p>
        </w:tc>
      </w:tr>
      <w:tr w:rsidR="00366A29" w:rsidRPr="00366A29" w14:paraId="351631AF" w14:textId="77777777" w:rsidTr="001C22BD">
        <w:trPr>
          <w:cnfStyle w:val="000000100000" w:firstRow="0" w:lastRow="0" w:firstColumn="0" w:lastColumn="0" w:oddVBand="0" w:evenVBand="0" w:oddHBand="1" w:evenHBand="0" w:firstRowFirstColumn="0" w:firstRowLastColumn="0" w:lastRowFirstColumn="0" w:lastRowLastColumn="0"/>
          <w:trHeight w:val="736"/>
        </w:trPr>
        <w:tc>
          <w:tcPr>
            <w:cnfStyle w:val="001000000000" w:firstRow="0" w:lastRow="0" w:firstColumn="1" w:lastColumn="0" w:oddVBand="0" w:evenVBand="0" w:oddHBand="0" w:evenHBand="0" w:firstRowFirstColumn="0" w:firstRowLastColumn="0" w:lastRowFirstColumn="0" w:lastRowLastColumn="0"/>
            <w:tcW w:w="3117" w:type="dxa"/>
          </w:tcPr>
          <w:p w14:paraId="7FF431C2" w14:textId="77777777" w:rsidR="00366A29" w:rsidRPr="00366A29" w:rsidRDefault="00366A29" w:rsidP="007C5C30">
            <w:pPr>
              <w:spacing w:line="240" w:lineRule="auto"/>
            </w:pPr>
            <w:r w:rsidRPr="00366A29">
              <w:t>Pancreatic β-cells</w:t>
            </w:r>
          </w:p>
        </w:tc>
        <w:tc>
          <w:tcPr>
            <w:tcW w:w="3117" w:type="dxa"/>
          </w:tcPr>
          <w:p w14:paraId="5625CBAC" w14:textId="77777777" w:rsidR="00366A29" w:rsidRPr="00366A29" w:rsidRDefault="00366A29" w:rsidP="007C5C30">
            <w:pPr>
              <w:spacing w:line="240" w:lineRule="auto"/>
              <w:cnfStyle w:val="000000100000" w:firstRow="0" w:lastRow="0" w:firstColumn="0" w:lastColumn="0" w:oddVBand="0" w:evenVBand="0" w:oddHBand="1" w:evenHBand="0" w:firstRowFirstColumn="0" w:firstRowLastColumn="0" w:lastRowFirstColumn="0" w:lastRowLastColumn="0"/>
            </w:pPr>
            <w:r w:rsidRPr="00366A29">
              <w:t>Detect increased circulating glucose and release insulin</w:t>
            </w:r>
          </w:p>
        </w:tc>
        <w:tc>
          <w:tcPr>
            <w:tcW w:w="3116" w:type="dxa"/>
          </w:tcPr>
          <w:p w14:paraId="03036A6B" w14:textId="77777777" w:rsidR="00366A29" w:rsidRPr="00366A29" w:rsidRDefault="00366A29" w:rsidP="007C5C30">
            <w:pPr>
              <w:spacing w:line="240" w:lineRule="auto"/>
              <w:cnfStyle w:val="000000100000" w:firstRow="0" w:lastRow="0" w:firstColumn="0" w:lastColumn="0" w:oddVBand="0" w:evenVBand="0" w:oddHBand="1" w:evenHBand="0" w:firstRowFirstColumn="0" w:firstRowLastColumn="0" w:lastRowFirstColumn="0" w:lastRowLastColumn="0"/>
            </w:pPr>
            <w:r w:rsidRPr="00366A29">
              <w:t>Initiates glucose-lowering response</w:t>
            </w:r>
          </w:p>
        </w:tc>
      </w:tr>
      <w:tr w:rsidR="00366A29" w:rsidRPr="00366A29" w14:paraId="1875D36F" w14:textId="77777777" w:rsidTr="001C22BD">
        <w:trPr>
          <w:trHeight w:val="1178"/>
        </w:trPr>
        <w:tc>
          <w:tcPr>
            <w:cnfStyle w:val="001000000000" w:firstRow="0" w:lastRow="0" w:firstColumn="1" w:lastColumn="0" w:oddVBand="0" w:evenVBand="0" w:oddHBand="0" w:evenHBand="0" w:firstRowFirstColumn="0" w:firstRowLastColumn="0" w:lastRowFirstColumn="0" w:lastRowLastColumn="0"/>
            <w:tcW w:w="3117" w:type="dxa"/>
          </w:tcPr>
          <w:p w14:paraId="2F7CE3DD" w14:textId="77777777" w:rsidR="00366A29" w:rsidRPr="00366A29" w:rsidRDefault="00366A29" w:rsidP="007C5C30">
            <w:pPr>
              <w:spacing w:line="240" w:lineRule="auto"/>
            </w:pPr>
            <w:r w:rsidRPr="00366A29">
              <w:t>Insulin</w:t>
            </w:r>
          </w:p>
        </w:tc>
        <w:tc>
          <w:tcPr>
            <w:tcW w:w="3117" w:type="dxa"/>
          </w:tcPr>
          <w:p w14:paraId="653E653B" w14:textId="77777777" w:rsidR="00366A29" w:rsidRPr="00366A29" w:rsidRDefault="00366A29" w:rsidP="007C5C30">
            <w:pPr>
              <w:spacing w:line="240" w:lineRule="auto"/>
              <w:cnfStyle w:val="000000000000" w:firstRow="0" w:lastRow="0" w:firstColumn="0" w:lastColumn="0" w:oddVBand="0" w:evenVBand="0" w:oddHBand="0" w:evenHBand="0" w:firstRowFirstColumn="0" w:firstRowLastColumn="0" w:lastRowFirstColumn="0" w:lastRowLastColumn="0"/>
            </w:pPr>
            <w:r w:rsidRPr="00366A29">
              <w:t>Promotes glucose uptake and storage while suppressing excessive hepatic glucose production</w:t>
            </w:r>
          </w:p>
        </w:tc>
        <w:tc>
          <w:tcPr>
            <w:tcW w:w="3116" w:type="dxa"/>
          </w:tcPr>
          <w:p w14:paraId="25BE815F" w14:textId="77777777" w:rsidR="00366A29" w:rsidRPr="00366A29" w:rsidRDefault="00366A29" w:rsidP="007C5C30">
            <w:pPr>
              <w:spacing w:line="240" w:lineRule="auto"/>
              <w:cnfStyle w:val="000000000000" w:firstRow="0" w:lastRow="0" w:firstColumn="0" w:lastColumn="0" w:oddVBand="0" w:evenVBand="0" w:oddHBand="0" w:evenHBand="0" w:firstRowFirstColumn="0" w:firstRowLastColumn="0" w:lastRowFirstColumn="0" w:lastRowLastColumn="0"/>
            </w:pPr>
            <w:r w:rsidRPr="00366A29">
              <w:t>Maintains glucose homeostasis</w:t>
            </w:r>
          </w:p>
        </w:tc>
      </w:tr>
      <w:tr w:rsidR="00366A29" w:rsidRPr="00366A29" w14:paraId="0E25ADEE" w14:textId="77777777" w:rsidTr="001C22BD">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3117" w:type="dxa"/>
          </w:tcPr>
          <w:p w14:paraId="7B3D0C75" w14:textId="77777777" w:rsidR="00366A29" w:rsidRPr="00366A29" w:rsidRDefault="00366A29" w:rsidP="007C5C30">
            <w:pPr>
              <w:spacing w:line="240" w:lineRule="auto"/>
            </w:pPr>
            <w:r w:rsidRPr="00366A29">
              <w:t>Skeletal muscle</w:t>
            </w:r>
          </w:p>
        </w:tc>
        <w:tc>
          <w:tcPr>
            <w:tcW w:w="3117" w:type="dxa"/>
          </w:tcPr>
          <w:p w14:paraId="7013DB1D" w14:textId="77777777" w:rsidR="00366A29" w:rsidRPr="00366A29" w:rsidRDefault="00366A29" w:rsidP="007C5C30">
            <w:pPr>
              <w:spacing w:line="240" w:lineRule="auto"/>
              <w:cnfStyle w:val="000000100000" w:firstRow="0" w:lastRow="0" w:firstColumn="0" w:lastColumn="0" w:oddVBand="0" w:evenVBand="0" w:oddHBand="1" w:evenHBand="0" w:firstRowFirstColumn="0" w:firstRowLastColumn="0" w:lastRowFirstColumn="0" w:lastRowLastColumn="0"/>
            </w:pPr>
            <w:r w:rsidRPr="00366A29">
              <w:t>Takes up and utilises glucose, particularly during activity</w:t>
            </w:r>
          </w:p>
        </w:tc>
        <w:tc>
          <w:tcPr>
            <w:tcW w:w="3116" w:type="dxa"/>
          </w:tcPr>
          <w:p w14:paraId="44C9D60E" w14:textId="77777777" w:rsidR="00366A29" w:rsidRPr="00366A29" w:rsidRDefault="00366A29" w:rsidP="007C5C30">
            <w:pPr>
              <w:spacing w:line="240" w:lineRule="auto"/>
              <w:cnfStyle w:val="000000100000" w:firstRow="0" w:lastRow="0" w:firstColumn="0" w:lastColumn="0" w:oddVBand="0" w:evenVBand="0" w:oddHBand="1" w:evenHBand="0" w:firstRowFirstColumn="0" w:firstRowLastColumn="0" w:lastRowFirstColumn="0" w:lastRowLastColumn="0"/>
            </w:pPr>
            <w:r w:rsidRPr="00366A29">
              <w:t>Major site of glucose disposal and ATP production</w:t>
            </w:r>
          </w:p>
        </w:tc>
      </w:tr>
      <w:tr w:rsidR="00366A29" w:rsidRPr="00366A29" w14:paraId="1A47746E" w14:textId="77777777" w:rsidTr="001C22BD">
        <w:trPr>
          <w:trHeight w:val="888"/>
        </w:trPr>
        <w:tc>
          <w:tcPr>
            <w:cnfStyle w:val="001000000000" w:firstRow="0" w:lastRow="0" w:firstColumn="1" w:lastColumn="0" w:oddVBand="0" w:evenVBand="0" w:oddHBand="0" w:evenHBand="0" w:firstRowFirstColumn="0" w:firstRowLastColumn="0" w:lastRowFirstColumn="0" w:lastRowLastColumn="0"/>
            <w:tcW w:w="3117" w:type="dxa"/>
          </w:tcPr>
          <w:p w14:paraId="568E4AF1" w14:textId="77777777" w:rsidR="00366A29" w:rsidRPr="00366A29" w:rsidRDefault="00366A29" w:rsidP="007C5C30">
            <w:pPr>
              <w:spacing w:line="240" w:lineRule="auto"/>
            </w:pPr>
            <w:r w:rsidRPr="00366A29">
              <w:t>Liver</w:t>
            </w:r>
          </w:p>
        </w:tc>
        <w:tc>
          <w:tcPr>
            <w:tcW w:w="3117" w:type="dxa"/>
          </w:tcPr>
          <w:p w14:paraId="2BDDE455" w14:textId="77777777" w:rsidR="00366A29" w:rsidRPr="00366A29" w:rsidRDefault="00366A29" w:rsidP="007C5C30">
            <w:pPr>
              <w:spacing w:line="240" w:lineRule="auto"/>
              <w:cnfStyle w:val="000000000000" w:firstRow="0" w:lastRow="0" w:firstColumn="0" w:lastColumn="0" w:oddVBand="0" w:evenVBand="0" w:oddHBand="0" w:evenHBand="0" w:firstRowFirstColumn="0" w:firstRowLastColumn="0" w:lastRowFirstColumn="0" w:lastRowLastColumn="0"/>
            </w:pPr>
            <w:r w:rsidRPr="00366A29">
              <w:t>Stores glucose as glycogen and releases/produces glucose when required</w:t>
            </w:r>
          </w:p>
        </w:tc>
        <w:tc>
          <w:tcPr>
            <w:tcW w:w="3116" w:type="dxa"/>
          </w:tcPr>
          <w:p w14:paraId="7A8D501D" w14:textId="77777777" w:rsidR="00366A29" w:rsidRPr="00366A29" w:rsidRDefault="00366A29" w:rsidP="007C5C30">
            <w:pPr>
              <w:spacing w:line="240" w:lineRule="auto"/>
              <w:cnfStyle w:val="000000000000" w:firstRow="0" w:lastRow="0" w:firstColumn="0" w:lastColumn="0" w:oddVBand="0" w:evenVBand="0" w:oddHBand="0" w:evenHBand="0" w:firstRowFirstColumn="0" w:firstRowLastColumn="0" w:lastRowFirstColumn="0" w:lastRowLastColumn="0"/>
            </w:pPr>
            <w:r w:rsidRPr="00366A29">
              <w:t>Maintains circulating glucose during fasting</w:t>
            </w:r>
          </w:p>
        </w:tc>
      </w:tr>
      <w:tr w:rsidR="00366A29" w:rsidRPr="00366A29" w14:paraId="0B3469C5" w14:textId="77777777" w:rsidTr="001C22BD">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3117" w:type="dxa"/>
          </w:tcPr>
          <w:p w14:paraId="424A583B" w14:textId="77777777" w:rsidR="00366A29" w:rsidRPr="00366A29" w:rsidRDefault="00366A29" w:rsidP="007C5C30">
            <w:pPr>
              <w:spacing w:line="240" w:lineRule="auto"/>
            </w:pPr>
            <w:r w:rsidRPr="00366A29">
              <w:t>Pancreatic α-cells</w:t>
            </w:r>
          </w:p>
        </w:tc>
        <w:tc>
          <w:tcPr>
            <w:tcW w:w="3117" w:type="dxa"/>
          </w:tcPr>
          <w:p w14:paraId="3927B915" w14:textId="77777777" w:rsidR="00366A29" w:rsidRPr="00366A29" w:rsidRDefault="00366A29" w:rsidP="007C5C30">
            <w:pPr>
              <w:spacing w:line="240" w:lineRule="auto"/>
              <w:cnfStyle w:val="000000100000" w:firstRow="0" w:lastRow="0" w:firstColumn="0" w:lastColumn="0" w:oddVBand="0" w:evenVBand="0" w:oddHBand="1" w:evenHBand="0" w:firstRowFirstColumn="0" w:firstRowLastColumn="0" w:lastRowFirstColumn="0" w:lastRowLastColumn="0"/>
            </w:pPr>
            <w:r w:rsidRPr="00366A29">
              <w:t>Release glucagon when glucose falls</w:t>
            </w:r>
          </w:p>
        </w:tc>
        <w:tc>
          <w:tcPr>
            <w:tcW w:w="3116" w:type="dxa"/>
          </w:tcPr>
          <w:p w14:paraId="43F438D0" w14:textId="77777777" w:rsidR="00366A29" w:rsidRPr="00366A29" w:rsidRDefault="00366A29" w:rsidP="007C5C30">
            <w:pPr>
              <w:spacing w:line="240" w:lineRule="auto"/>
              <w:cnfStyle w:val="000000100000" w:firstRow="0" w:lastRow="0" w:firstColumn="0" w:lastColumn="0" w:oddVBand="0" w:evenVBand="0" w:oddHBand="1" w:evenHBand="0" w:firstRowFirstColumn="0" w:firstRowLastColumn="0" w:lastRowFirstColumn="0" w:lastRowLastColumn="0"/>
            </w:pPr>
            <w:r w:rsidRPr="00366A29">
              <w:t>Prevents excessive decline in circulating glucose</w:t>
            </w:r>
          </w:p>
        </w:tc>
      </w:tr>
      <w:tr w:rsidR="00366A29" w:rsidRPr="00366A29" w14:paraId="25B3D0AD" w14:textId="77777777" w:rsidTr="001C22BD">
        <w:trPr>
          <w:trHeight w:val="888"/>
        </w:trPr>
        <w:tc>
          <w:tcPr>
            <w:cnfStyle w:val="001000000000" w:firstRow="0" w:lastRow="0" w:firstColumn="1" w:lastColumn="0" w:oddVBand="0" w:evenVBand="0" w:oddHBand="0" w:evenHBand="0" w:firstRowFirstColumn="0" w:firstRowLastColumn="0" w:lastRowFirstColumn="0" w:lastRowLastColumn="0"/>
            <w:tcW w:w="3117" w:type="dxa"/>
          </w:tcPr>
          <w:p w14:paraId="74CA54C0" w14:textId="77777777" w:rsidR="00366A29" w:rsidRPr="00366A29" w:rsidRDefault="00366A29" w:rsidP="007C5C30">
            <w:pPr>
              <w:spacing w:line="240" w:lineRule="auto"/>
            </w:pPr>
            <w:r w:rsidRPr="00366A29">
              <w:t>Mitochondria</w:t>
            </w:r>
          </w:p>
        </w:tc>
        <w:tc>
          <w:tcPr>
            <w:tcW w:w="3117" w:type="dxa"/>
          </w:tcPr>
          <w:p w14:paraId="11222DB5" w14:textId="77777777" w:rsidR="00366A29" w:rsidRPr="00366A29" w:rsidRDefault="00366A29" w:rsidP="007C5C30">
            <w:pPr>
              <w:spacing w:line="240" w:lineRule="auto"/>
              <w:cnfStyle w:val="000000000000" w:firstRow="0" w:lastRow="0" w:firstColumn="0" w:lastColumn="0" w:oddVBand="0" w:evenVBand="0" w:oddHBand="0" w:evenHBand="0" w:firstRowFirstColumn="0" w:firstRowLastColumn="0" w:lastRowFirstColumn="0" w:lastRowLastColumn="0"/>
            </w:pPr>
            <w:r w:rsidRPr="00366A29">
              <w:t>Oxidative metabolism produces ATP from metabolic substrates</w:t>
            </w:r>
          </w:p>
        </w:tc>
        <w:tc>
          <w:tcPr>
            <w:tcW w:w="3116" w:type="dxa"/>
          </w:tcPr>
          <w:p w14:paraId="67403811" w14:textId="77777777" w:rsidR="00366A29" w:rsidRPr="00366A29" w:rsidRDefault="00366A29" w:rsidP="007C5C30">
            <w:pPr>
              <w:spacing w:line="240" w:lineRule="auto"/>
              <w:cnfStyle w:val="000000000000" w:firstRow="0" w:lastRow="0" w:firstColumn="0" w:lastColumn="0" w:oddVBand="0" w:evenVBand="0" w:oddHBand="0" w:evenHBand="0" w:firstRowFirstColumn="0" w:firstRowLastColumn="0" w:lastRowFirstColumn="0" w:lastRowLastColumn="0"/>
            </w:pPr>
            <w:r w:rsidRPr="00366A29">
              <w:t>Provides cellular energy for physiological work</w:t>
            </w:r>
          </w:p>
        </w:tc>
      </w:tr>
    </w:tbl>
    <w:p w14:paraId="7E5930EB" w14:textId="77777777" w:rsidR="00366A29" w:rsidRPr="00366A29" w:rsidRDefault="00F42792" w:rsidP="00366A29">
      <w:r w:rsidRPr="00F42792">
        <w:t xml:space="preserve">It is clear that the importance of the system can only be seen when the individual elements are considered in combination. Glucose homeostasis is an intricate mechanism that is achieved through hormone </w:t>
      </w:r>
      <w:r w:rsidR="008369B0" w:rsidRPr="00F42792">
        <w:t>signalling</w:t>
      </w:r>
      <w:r w:rsidRPr="00F42792">
        <w:t>, regulation by the liver, and action in target tissue.</w:t>
      </w:r>
    </w:p>
    <w:p w14:paraId="3EB6B0CA" w14:textId="77777777" w:rsidR="001C22BD" w:rsidRDefault="001C22BD" w:rsidP="001C22BD">
      <w:pPr>
        <w:pStyle w:val="Heading1"/>
      </w:pPr>
      <w:bookmarkStart w:id="3" w:name="_Toc241145886"/>
      <w:r>
        <w:t>Cellular Metabolism and Type 2 Diabetes Pathophysiology</w:t>
      </w:r>
      <w:bookmarkEnd w:id="3"/>
    </w:p>
    <w:p w14:paraId="01A9142C" w14:textId="77777777" w:rsidR="001C22BD" w:rsidRDefault="001C22BD" w:rsidP="001C22BD">
      <w:r>
        <w:t xml:space="preserve">In T2DM, the major physiological abnormality involves insulin resistance and associated progressive β-cell dysfunction. In cases of insulin resistance, there is a defective response by the target tissues to insulin, so higher levels of insulin will be needed to produce the same biological effect. Subsequently, metabolic stress may exceed the ability of β-cells to compensate, producing insufficient insulin levels compared to physiological demands. It is reported that in humans, β-cell dysfunction is considerable even at the time of diagnosis and can progressively worsen in the course of disease progression </w:t>
      </w:r>
      <w:r w:rsidR="003467C5" w:rsidRPr="003467C5">
        <w:t>(Marrano et al., 2020)</w:t>
      </w:r>
      <w:r>
        <w:t>.</w:t>
      </w:r>
    </w:p>
    <w:p w14:paraId="4E7786D8" w14:textId="77777777" w:rsidR="001C22BD" w:rsidRDefault="001C22BD" w:rsidP="001C22BD">
      <w:r>
        <w:tab/>
        <w:t xml:space="preserve">The ensuing cascade starts with insulin resistance, where there is low disposal of glucose and leads to compensatory hyperinsulinaemia. Over time, β-cell dysfunction can ensue, resulting in sustained hyperglycaemia. This process is important from the clinical point of view, as it involves the disruption of regulatory mechanisms, rather than mere excess of circulating glucose. </w:t>
      </w:r>
      <w:r w:rsidR="008369B0" w:rsidRPr="008369B0">
        <w:t>Insulin resistance may happen concurrently in the skeletal muscles, the liver, and adipose tissues, with increased production of glucose in the liver causing an increase in blood sugar levels. The implication of such a complicated process in the pathogenesis is that treatment of the biochemistry problem cannot cure the disease.</w:t>
      </w:r>
    </w:p>
    <w:p w14:paraId="5A7CE269" w14:textId="77777777" w:rsidR="001C22BD" w:rsidRDefault="001C22BD" w:rsidP="001C22BD">
      <w:r>
        <w:tab/>
        <w:t xml:space="preserve">The sustained surplus of energy can affect fat cell function as well as certain metabolites that mediate the interaction between metabolic tissues and insulin signalling mechanisms. The inflammatory processes may exacerbate such disorders, indicating that adiposity and insulin resistance should not be considered just as independent factors </w:t>
      </w:r>
      <w:r w:rsidR="009C7C4B" w:rsidRPr="009C7C4B">
        <w:t>(</w:t>
      </w:r>
      <w:proofErr w:type="spellStart"/>
      <w:r w:rsidR="009C7C4B" w:rsidRPr="009C7C4B">
        <w:t>Roden</w:t>
      </w:r>
      <w:proofErr w:type="spellEnd"/>
      <w:r w:rsidR="009C7C4B" w:rsidRPr="009C7C4B">
        <w:t xml:space="preserve"> and </w:t>
      </w:r>
      <w:proofErr w:type="spellStart"/>
      <w:r w:rsidR="009C7C4B" w:rsidRPr="009C7C4B">
        <w:t>Shulman</w:t>
      </w:r>
      <w:proofErr w:type="spellEnd"/>
      <w:r w:rsidR="009C7C4B" w:rsidRPr="009C7C4B">
        <w:t>, 2019)</w:t>
      </w:r>
      <w:r>
        <w:t>.</w:t>
      </w:r>
    </w:p>
    <w:p w14:paraId="0406C890" w14:textId="77777777" w:rsidR="001C22BD" w:rsidRDefault="001C22BD" w:rsidP="001C22BD">
      <w:r>
        <w:t>Physical inactivity may lower the opportunities for glucose uptake by muscles, while dieting may affect energy balance, glucose response after eating and adiposity. Finally, smoking may become an important issue because of the involvement in the metabolic and cardiovascular risks, which increase the adverse outcomes associated with diabetes. Attributing T2DM to personal lifestyle only becomes both physiologically and socially inappropriate taking into consideration genetic predisposition, age, socio-economic conditions and biological diversity.</w:t>
      </w:r>
    </w:p>
    <w:p w14:paraId="1348FDCE" w14:textId="77777777" w:rsidR="0048003F" w:rsidRDefault="001C22BD" w:rsidP="001C22BD">
      <w:r>
        <w:tab/>
      </w:r>
      <w:r w:rsidRPr="001C22BD">
        <w:t>Consequently, this pathophysiology illustrates a significant anatomical-physiological connection, whereby the dysfunction of the endocrine function of the pancreas is associated with a change in tissue response, metabolism in the liver, and energy metabolism within cells. This is the reason why management involves actions related to glucose and metabolism.</w:t>
      </w:r>
    </w:p>
    <w:p w14:paraId="723D71DE" w14:textId="77777777" w:rsidR="001C22BD" w:rsidRDefault="001C22BD" w:rsidP="001C22BD">
      <w:pPr>
        <w:pStyle w:val="Heading1"/>
      </w:pPr>
      <w:bookmarkStart w:id="4" w:name="_Toc241145887"/>
      <w:r>
        <w:t>Blood-Glucose Monitoring and Use of Routine Data</w:t>
      </w:r>
      <w:bookmarkEnd w:id="4"/>
    </w:p>
    <w:p w14:paraId="3A464E08" w14:textId="77777777" w:rsidR="001C22BD" w:rsidRDefault="001C22BD" w:rsidP="001C22BD">
      <w:r>
        <w:t>Physiological information collected through routine physiological data collection can turn an invisible metabolic activity into something that is meaningful to patients and clinicians. But the usefulness of the monitoring process depends on the parameters being measured, the frequency at which the measurement takes place, interpretation of the results obtained, and whether the information gathered makes a difference in how the condition is managed.</w:t>
      </w:r>
    </w:p>
    <w:p w14:paraId="362C5077" w14:textId="77777777" w:rsidR="001C22BD" w:rsidRDefault="001C22BD" w:rsidP="00C961BE">
      <w:r>
        <w:tab/>
        <w:t>Capillary blood glucose measures the present glucose levels while HbA1C is indicative of the average glucose levels over a longer period. The continuous monitoring of glucose levels can further reveal temporal changes that cannot be captured through non-continuous monitoring of glucose levels. For instance, flash glucose monitoring provides repeated recordings of interstitial glucose levels alongside trends</w:t>
      </w:r>
      <w:r w:rsidR="00BA5E56">
        <w:t xml:space="preserve"> </w:t>
      </w:r>
      <w:r w:rsidR="00BA5E56" w:rsidRPr="00BA5E56">
        <w:t>(Krakauer et al., 2021)</w:t>
      </w:r>
      <w:r>
        <w:t>.</w:t>
      </w:r>
    </w:p>
    <w:p w14:paraId="5D17AA9D" w14:textId="77777777" w:rsidR="00C961BE" w:rsidRDefault="00C961BE" w:rsidP="00C961BE">
      <w:pPr>
        <w:pStyle w:val="Caption"/>
        <w:keepNext/>
        <w:jc w:val="center"/>
      </w:pPr>
      <w:bookmarkStart w:id="5" w:name="_Toc241145954"/>
      <w:r>
        <w:t xml:space="preserve">Table </w:t>
      </w:r>
      <w:r w:rsidR="004658CD">
        <w:fldChar w:fldCharType="begin"/>
      </w:r>
      <w:r w:rsidR="004658CD">
        <w:instrText xml:space="preserve"> SEQ Table \* ARABIC </w:instrText>
      </w:r>
      <w:r w:rsidR="004658CD">
        <w:fldChar w:fldCharType="separate"/>
      </w:r>
      <w:r w:rsidR="003849A8">
        <w:rPr>
          <w:noProof/>
        </w:rPr>
        <w:t>2</w:t>
      </w:r>
      <w:r w:rsidR="004658CD">
        <w:rPr>
          <w:noProof/>
        </w:rPr>
        <w:fldChar w:fldCharType="end"/>
      </w:r>
      <w:r>
        <w:t xml:space="preserve">: </w:t>
      </w:r>
      <w:r w:rsidRPr="00487666">
        <w:t>Comparison of routine glycaemic data</w:t>
      </w:r>
      <w:bookmarkEnd w:id="5"/>
    </w:p>
    <w:tbl>
      <w:tblPr>
        <w:tblStyle w:val="GridTable6ColourfulAccent5"/>
        <w:tblW w:w="9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2341"/>
        <w:gridCol w:w="2340"/>
        <w:gridCol w:w="2341"/>
      </w:tblGrid>
      <w:tr w:rsidR="001C22BD" w:rsidRPr="001C22BD" w14:paraId="37D7B736" w14:textId="77777777" w:rsidTr="00C961BE">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340" w:type="dxa"/>
            <w:tcBorders>
              <w:bottom w:val="none" w:sz="0" w:space="0" w:color="auto"/>
            </w:tcBorders>
          </w:tcPr>
          <w:p w14:paraId="6FF92A84" w14:textId="77777777" w:rsidR="001C22BD" w:rsidRPr="001C22BD" w:rsidRDefault="001C22BD" w:rsidP="007C5C30">
            <w:pPr>
              <w:spacing w:line="240" w:lineRule="auto"/>
            </w:pPr>
            <w:r w:rsidRPr="001C22BD">
              <w:t>Measure</w:t>
            </w:r>
          </w:p>
        </w:tc>
        <w:tc>
          <w:tcPr>
            <w:tcW w:w="2341" w:type="dxa"/>
            <w:tcBorders>
              <w:bottom w:val="none" w:sz="0" w:space="0" w:color="auto"/>
            </w:tcBorders>
          </w:tcPr>
          <w:p w14:paraId="44E0EFDB" w14:textId="77777777" w:rsidR="001C22BD" w:rsidRPr="001C22BD" w:rsidRDefault="001C22BD" w:rsidP="007C5C30">
            <w:pPr>
              <w:spacing w:line="240" w:lineRule="auto"/>
              <w:cnfStyle w:val="100000000000" w:firstRow="1" w:lastRow="0" w:firstColumn="0" w:lastColumn="0" w:oddVBand="0" w:evenVBand="0" w:oddHBand="0" w:evenHBand="0" w:firstRowFirstColumn="0" w:firstRowLastColumn="0" w:lastRowFirstColumn="0" w:lastRowLastColumn="0"/>
            </w:pPr>
            <w:r w:rsidRPr="001C22BD">
              <w:t>Primary information</w:t>
            </w:r>
          </w:p>
        </w:tc>
        <w:tc>
          <w:tcPr>
            <w:tcW w:w="2340" w:type="dxa"/>
            <w:tcBorders>
              <w:bottom w:val="none" w:sz="0" w:space="0" w:color="auto"/>
            </w:tcBorders>
          </w:tcPr>
          <w:p w14:paraId="045E7F9A" w14:textId="77777777" w:rsidR="001C22BD" w:rsidRPr="001C22BD" w:rsidRDefault="001C22BD" w:rsidP="007C5C30">
            <w:pPr>
              <w:spacing w:line="240" w:lineRule="auto"/>
              <w:cnfStyle w:val="100000000000" w:firstRow="1" w:lastRow="0" w:firstColumn="0" w:lastColumn="0" w:oddVBand="0" w:evenVBand="0" w:oddHBand="0" w:evenHBand="0" w:firstRowFirstColumn="0" w:firstRowLastColumn="0" w:lastRowFirstColumn="0" w:lastRowLastColumn="0"/>
            </w:pPr>
            <w:r w:rsidRPr="001C22BD">
              <w:t>Principal value</w:t>
            </w:r>
          </w:p>
        </w:tc>
        <w:tc>
          <w:tcPr>
            <w:tcW w:w="2341" w:type="dxa"/>
            <w:tcBorders>
              <w:bottom w:val="none" w:sz="0" w:space="0" w:color="auto"/>
            </w:tcBorders>
          </w:tcPr>
          <w:p w14:paraId="3851DEA8" w14:textId="77777777" w:rsidR="001C22BD" w:rsidRPr="001C22BD" w:rsidRDefault="001C22BD" w:rsidP="007C5C30">
            <w:pPr>
              <w:spacing w:line="240" w:lineRule="auto"/>
              <w:cnfStyle w:val="100000000000" w:firstRow="1" w:lastRow="0" w:firstColumn="0" w:lastColumn="0" w:oddVBand="0" w:evenVBand="0" w:oddHBand="0" w:evenHBand="0" w:firstRowFirstColumn="0" w:firstRowLastColumn="0" w:lastRowFirstColumn="0" w:lastRowLastColumn="0"/>
            </w:pPr>
            <w:r w:rsidRPr="001C22BD">
              <w:t>Important limitation</w:t>
            </w:r>
          </w:p>
        </w:tc>
      </w:tr>
      <w:tr w:rsidR="001C22BD" w:rsidRPr="001C22BD" w14:paraId="18ACD48C" w14:textId="77777777" w:rsidTr="00C961BE">
        <w:trPr>
          <w:cnfStyle w:val="000000100000" w:firstRow="0" w:lastRow="0" w:firstColumn="0" w:lastColumn="0" w:oddVBand="0" w:evenVBand="0" w:oddHBand="1"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2340" w:type="dxa"/>
          </w:tcPr>
          <w:p w14:paraId="699C66D6" w14:textId="77777777" w:rsidR="001C22BD" w:rsidRPr="001C22BD" w:rsidRDefault="001C22BD" w:rsidP="007C5C30">
            <w:pPr>
              <w:spacing w:line="240" w:lineRule="auto"/>
            </w:pPr>
            <w:r w:rsidRPr="001C22BD">
              <w:t>Capillary blood glucose</w:t>
            </w:r>
          </w:p>
        </w:tc>
        <w:tc>
          <w:tcPr>
            <w:tcW w:w="2341" w:type="dxa"/>
          </w:tcPr>
          <w:p w14:paraId="3021FFE0" w14:textId="77777777" w:rsidR="001C22BD" w:rsidRPr="001C22BD" w:rsidRDefault="001C22BD" w:rsidP="007C5C30">
            <w:pPr>
              <w:spacing w:line="240" w:lineRule="auto"/>
              <w:cnfStyle w:val="000000100000" w:firstRow="0" w:lastRow="0" w:firstColumn="0" w:lastColumn="0" w:oddVBand="0" w:evenVBand="0" w:oddHBand="1" w:evenHBand="0" w:firstRowFirstColumn="0" w:firstRowLastColumn="0" w:lastRowFirstColumn="0" w:lastRowLastColumn="0"/>
            </w:pPr>
            <w:r w:rsidRPr="001C22BD">
              <w:t>Point-in-time glucose concentration</w:t>
            </w:r>
          </w:p>
        </w:tc>
        <w:tc>
          <w:tcPr>
            <w:tcW w:w="2340" w:type="dxa"/>
          </w:tcPr>
          <w:p w14:paraId="23620FF0" w14:textId="77777777" w:rsidR="001C22BD" w:rsidRPr="001C22BD" w:rsidRDefault="001C22BD" w:rsidP="007C5C30">
            <w:pPr>
              <w:spacing w:line="240" w:lineRule="auto"/>
              <w:cnfStyle w:val="000000100000" w:firstRow="0" w:lastRow="0" w:firstColumn="0" w:lastColumn="0" w:oddVBand="0" w:evenVBand="0" w:oddHBand="1" w:evenHBand="0" w:firstRowFirstColumn="0" w:firstRowLastColumn="0" w:lastRowFirstColumn="0" w:lastRowLastColumn="0"/>
            </w:pPr>
            <w:r w:rsidRPr="001C22BD">
              <w:t>Identifies immediate glucose response</w:t>
            </w:r>
          </w:p>
        </w:tc>
        <w:tc>
          <w:tcPr>
            <w:tcW w:w="2341" w:type="dxa"/>
          </w:tcPr>
          <w:p w14:paraId="040A42AF" w14:textId="77777777" w:rsidR="001C22BD" w:rsidRPr="001C22BD" w:rsidRDefault="001C22BD" w:rsidP="007C5C30">
            <w:pPr>
              <w:spacing w:line="240" w:lineRule="auto"/>
              <w:cnfStyle w:val="000000100000" w:firstRow="0" w:lastRow="0" w:firstColumn="0" w:lastColumn="0" w:oddVBand="0" w:evenVBand="0" w:oddHBand="1" w:evenHBand="0" w:firstRowFirstColumn="0" w:firstRowLastColumn="0" w:lastRowFirstColumn="0" w:lastRowLastColumn="0"/>
            </w:pPr>
            <w:r w:rsidRPr="001C22BD">
              <w:t>Can miss longer-term patterns</w:t>
            </w:r>
          </w:p>
        </w:tc>
      </w:tr>
      <w:tr w:rsidR="001C22BD" w:rsidRPr="001C22BD" w14:paraId="2C46DA27" w14:textId="77777777" w:rsidTr="00C961BE">
        <w:trPr>
          <w:trHeight w:val="977"/>
        </w:trPr>
        <w:tc>
          <w:tcPr>
            <w:cnfStyle w:val="001000000000" w:firstRow="0" w:lastRow="0" w:firstColumn="1" w:lastColumn="0" w:oddVBand="0" w:evenVBand="0" w:oddHBand="0" w:evenHBand="0" w:firstRowFirstColumn="0" w:firstRowLastColumn="0" w:lastRowFirstColumn="0" w:lastRowLastColumn="0"/>
            <w:tcW w:w="2340" w:type="dxa"/>
          </w:tcPr>
          <w:p w14:paraId="3962AF57" w14:textId="77777777" w:rsidR="001C22BD" w:rsidRPr="001C22BD" w:rsidRDefault="001C22BD" w:rsidP="007C5C30">
            <w:pPr>
              <w:spacing w:line="240" w:lineRule="auto"/>
            </w:pPr>
            <w:r w:rsidRPr="001C22BD">
              <w:t>HbA1c</w:t>
            </w:r>
          </w:p>
        </w:tc>
        <w:tc>
          <w:tcPr>
            <w:tcW w:w="2341" w:type="dxa"/>
          </w:tcPr>
          <w:p w14:paraId="19ED6417" w14:textId="77777777" w:rsidR="001C22BD" w:rsidRPr="001C22BD" w:rsidRDefault="001C22BD" w:rsidP="007C5C30">
            <w:pPr>
              <w:spacing w:line="240" w:lineRule="auto"/>
              <w:cnfStyle w:val="000000000000" w:firstRow="0" w:lastRow="0" w:firstColumn="0" w:lastColumn="0" w:oddVBand="0" w:evenVBand="0" w:oddHBand="0" w:evenHBand="0" w:firstRowFirstColumn="0" w:firstRowLastColumn="0" w:lastRowFirstColumn="0" w:lastRowLastColumn="0"/>
            </w:pPr>
            <w:r w:rsidRPr="001C22BD">
              <w:t>Longer-term glycaemic exposure</w:t>
            </w:r>
          </w:p>
        </w:tc>
        <w:tc>
          <w:tcPr>
            <w:tcW w:w="2340" w:type="dxa"/>
          </w:tcPr>
          <w:p w14:paraId="432584C5" w14:textId="77777777" w:rsidR="001C22BD" w:rsidRPr="001C22BD" w:rsidRDefault="001C22BD" w:rsidP="007C5C30">
            <w:pPr>
              <w:spacing w:line="240" w:lineRule="auto"/>
              <w:cnfStyle w:val="000000000000" w:firstRow="0" w:lastRow="0" w:firstColumn="0" w:lastColumn="0" w:oddVBand="0" w:evenVBand="0" w:oddHBand="0" w:evenHBand="0" w:firstRowFirstColumn="0" w:firstRowLastColumn="0" w:lastRowFirstColumn="0" w:lastRowLastColumn="0"/>
            </w:pPr>
            <w:r w:rsidRPr="001C22BD">
              <w:t>Supports assessment of overall glycaemic control</w:t>
            </w:r>
          </w:p>
        </w:tc>
        <w:tc>
          <w:tcPr>
            <w:tcW w:w="2341" w:type="dxa"/>
          </w:tcPr>
          <w:p w14:paraId="11635F2C" w14:textId="77777777" w:rsidR="001C22BD" w:rsidRPr="001C22BD" w:rsidRDefault="001C22BD" w:rsidP="007C5C30">
            <w:pPr>
              <w:spacing w:line="240" w:lineRule="auto"/>
              <w:cnfStyle w:val="000000000000" w:firstRow="0" w:lastRow="0" w:firstColumn="0" w:lastColumn="0" w:oddVBand="0" w:evenVBand="0" w:oddHBand="0" w:evenHBand="0" w:firstRowFirstColumn="0" w:firstRowLastColumn="0" w:lastRowFirstColumn="0" w:lastRowLastColumn="0"/>
            </w:pPr>
            <w:r w:rsidRPr="001C22BD">
              <w:t>Does not show short-term fluctuations</w:t>
            </w:r>
          </w:p>
        </w:tc>
      </w:tr>
      <w:tr w:rsidR="001C22BD" w:rsidRPr="001C22BD" w14:paraId="430C85A7" w14:textId="77777777" w:rsidTr="00C961BE">
        <w:trPr>
          <w:cnfStyle w:val="000000100000" w:firstRow="0" w:lastRow="0" w:firstColumn="0" w:lastColumn="0" w:oddVBand="0" w:evenVBand="0" w:oddHBand="1" w:evenHBand="0" w:firstRowFirstColumn="0" w:firstRowLastColumn="0" w:lastRowFirstColumn="0" w:lastRowLastColumn="0"/>
          <w:trHeight w:val="1339"/>
        </w:trPr>
        <w:tc>
          <w:tcPr>
            <w:cnfStyle w:val="001000000000" w:firstRow="0" w:lastRow="0" w:firstColumn="1" w:lastColumn="0" w:oddVBand="0" w:evenVBand="0" w:oddHBand="0" w:evenHBand="0" w:firstRowFirstColumn="0" w:firstRowLastColumn="0" w:lastRowFirstColumn="0" w:lastRowLastColumn="0"/>
            <w:tcW w:w="2340" w:type="dxa"/>
          </w:tcPr>
          <w:p w14:paraId="352BC25D" w14:textId="77777777" w:rsidR="001C22BD" w:rsidRPr="001C22BD" w:rsidRDefault="001C22BD" w:rsidP="007C5C30">
            <w:pPr>
              <w:spacing w:line="240" w:lineRule="auto"/>
            </w:pPr>
            <w:r w:rsidRPr="001C22BD">
              <w:t>CGM/flash monitoring</w:t>
            </w:r>
          </w:p>
        </w:tc>
        <w:tc>
          <w:tcPr>
            <w:tcW w:w="2341" w:type="dxa"/>
          </w:tcPr>
          <w:p w14:paraId="6ACC4C77" w14:textId="77777777" w:rsidR="001C22BD" w:rsidRPr="001C22BD" w:rsidRDefault="001C22BD" w:rsidP="007C5C30">
            <w:pPr>
              <w:spacing w:line="240" w:lineRule="auto"/>
              <w:cnfStyle w:val="000000100000" w:firstRow="0" w:lastRow="0" w:firstColumn="0" w:lastColumn="0" w:oddVBand="0" w:evenVBand="0" w:oddHBand="1" w:evenHBand="0" w:firstRowFirstColumn="0" w:firstRowLastColumn="0" w:lastRowFirstColumn="0" w:lastRowLastColumn="0"/>
            </w:pPr>
            <w:r w:rsidRPr="001C22BD">
              <w:t>Repeated interstitial glucose measurements and trends</w:t>
            </w:r>
          </w:p>
        </w:tc>
        <w:tc>
          <w:tcPr>
            <w:tcW w:w="2340" w:type="dxa"/>
          </w:tcPr>
          <w:p w14:paraId="3A9E5389" w14:textId="77777777" w:rsidR="001C22BD" w:rsidRPr="001C22BD" w:rsidRDefault="001C22BD" w:rsidP="007C5C30">
            <w:pPr>
              <w:spacing w:line="240" w:lineRule="auto"/>
              <w:cnfStyle w:val="000000100000" w:firstRow="0" w:lastRow="0" w:firstColumn="0" w:lastColumn="0" w:oddVBand="0" w:evenVBand="0" w:oddHBand="1" w:evenHBand="0" w:firstRowFirstColumn="0" w:firstRowLastColumn="0" w:lastRowFirstColumn="0" w:lastRowLastColumn="0"/>
            </w:pPr>
            <w:r w:rsidRPr="001C22BD">
              <w:t>Shows temporal patterns and responses to behaviours</w:t>
            </w:r>
          </w:p>
        </w:tc>
        <w:tc>
          <w:tcPr>
            <w:tcW w:w="2341" w:type="dxa"/>
          </w:tcPr>
          <w:p w14:paraId="66F79498" w14:textId="77777777" w:rsidR="001C22BD" w:rsidRPr="001C22BD" w:rsidRDefault="001C22BD" w:rsidP="007C5C30">
            <w:pPr>
              <w:spacing w:line="240" w:lineRule="auto"/>
              <w:cnfStyle w:val="000000100000" w:firstRow="0" w:lastRow="0" w:firstColumn="0" w:lastColumn="0" w:oddVBand="0" w:evenVBand="0" w:oddHBand="1" w:evenHBand="0" w:firstRowFirstColumn="0" w:firstRowLastColumn="0" w:lastRowFirstColumn="0" w:lastRowLastColumn="0"/>
            </w:pPr>
            <w:r w:rsidRPr="001C22BD">
              <w:t>Requires appropriate technology, interpretation and engagement</w:t>
            </w:r>
          </w:p>
        </w:tc>
      </w:tr>
      <w:tr w:rsidR="001C22BD" w:rsidRPr="001C22BD" w14:paraId="0F023832" w14:textId="77777777" w:rsidTr="00C961BE">
        <w:trPr>
          <w:trHeight w:val="977"/>
        </w:trPr>
        <w:tc>
          <w:tcPr>
            <w:cnfStyle w:val="001000000000" w:firstRow="0" w:lastRow="0" w:firstColumn="1" w:lastColumn="0" w:oddVBand="0" w:evenVBand="0" w:oddHBand="0" w:evenHBand="0" w:firstRowFirstColumn="0" w:firstRowLastColumn="0" w:lastRowFirstColumn="0" w:lastRowLastColumn="0"/>
            <w:tcW w:w="2340" w:type="dxa"/>
          </w:tcPr>
          <w:p w14:paraId="527029DD" w14:textId="77777777" w:rsidR="001C22BD" w:rsidRPr="001C22BD" w:rsidRDefault="001C22BD" w:rsidP="007C5C30">
            <w:pPr>
              <w:spacing w:line="240" w:lineRule="auto"/>
            </w:pPr>
            <w:r w:rsidRPr="001C22BD">
              <w:t>Contextual records</w:t>
            </w:r>
          </w:p>
        </w:tc>
        <w:tc>
          <w:tcPr>
            <w:tcW w:w="2341" w:type="dxa"/>
          </w:tcPr>
          <w:p w14:paraId="3402E717" w14:textId="77777777" w:rsidR="001C22BD" w:rsidRPr="001C22BD" w:rsidRDefault="001C22BD" w:rsidP="007C5C30">
            <w:pPr>
              <w:spacing w:line="240" w:lineRule="auto"/>
              <w:cnfStyle w:val="000000000000" w:firstRow="0" w:lastRow="0" w:firstColumn="0" w:lastColumn="0" w:oddVBand="0" w:evenVBand="0" w:oddHBand="0" w:evenHBand="0" w:firstRowFirstColumn="0" w:firstRowLastColumn="0" w:lastRowFirstColumn="0" w:lastRowLastColumn="0"/>
            </w:pPr>
            <w:r w:rsidRPr="001C22BD">
              <w:t>Meals, physical activity, medication and symptoms</w:t>
            </w:r>
          </w:p>
        </w:tc>
        <w:tc>
          <w:tcPr>
            <w:tcW w:w="2340" w:type="dxa"/>
          </w:tcPr>
          <w:p w14:paraId="6E683518" w14:textId="77777777" w:rsidR="001C22BD" w:rsidRPr="001C22BD" w:rsidRDefault="001C22BD" w:rsidP="007C5C30">
            <w:pPr>
              <w:spacing w:line="240" w:lineRule="auto"/>
              <w:cnfStyle w:val="000000000000" w:firstRow="0" w:lastRow="0" w:firstColumn="0" w:lastColumn="0" w:oddVBand="0" w:evenVBand="0" w:oddHBand="0" w:evenHBand="0" w:firstRowFirstColumn="0" w:firstRowLastColumn="0" w:lastRowFirstColumn="0" w:lastRowLastColumn="0"/>
            </w:pPr>
            <w:r w:rsidRPr="001C22BD">
              <w:t>Helps connect behaviour with glucose patterns</w:t>
            </w:r>
          </w:p>
        </w:tc>
        <w:tc>
          <w:tcPr>
            <w:tcW w:w="2341" w:type="dxa"/>
          </w:tcPr>
          <w:p w14:paraId="2EC9CE75" w14:textId="77777777" w:rsidR="001C22BD" w:rsidRPr="001C22BD" w:rsidRDefault="001C22BD" w:rsidP="007C5C30">
            <w:pPr>
              <w:spacing w:line="240" w:lineRule="auto"/>
              <w:cnfStyle w:val="000000000000" w:firstRow="0" w:lastRow="0" w:firstColumn="0" w:lastColumn="0" w:oddVBand="0" w:evenVBand="0" w:oddHBand="0" w:evenHBand="0" w:firstRowFirstColumn="0" w:firstRowLastColumn="0" w:lastRowFirstColumn="0" w:lastRowLastColumn="0"/>
            </w:pPr>
            <w:r w:rsidRPr="001C22BD">
              <w:t>Accuracy depends on patient recording</w:t>
            </w:r>
          </w:p>
        </w:tc>
      </w:tr>
    </w:tbl>
    <w:p w14:paraId="633299E6" w14:textId="77777777" w:rsidR="001C22BD" w:rsidRDefault="001C22BD" w:rsidP="001C22BD">
      <w:r>
        <w:t>There is thus a need for a clear demarcation between data collection and its use. Self-monitoring is not necessarily useful for all people with T2DM. Its usefulness becomes more evident when data collected are used within the context of a management plan and decisions regarding behavio</w:t>
      </w:r>
      <w:r w:rsidR="000770D6">
        <w:t>u</w:t>
      </w:r>
      <w:r>
        <w:t xml:space="preserve">r modification, medication, or consultation. Regarding self-monitoring, there are indications that it would be beneficial if it were structured and used within the care program and not in isolation as an isolated technical process </w:t>
      </w:r>
      <w:r w:rsidR="009C7C4B" w:rsidRPr="009C7C4B">
        <w:t>(</w:t>
      </w:r>
      <w:proofErr w:type="spellStart"/>
      <w:r w:rsidR="009C7C4B" w:rsidRPr="009C7C4B">
        <w:t>Pleus</w:t>
      </w:r>
      <w:proofErr w:type="spellEnd"/>
      <w:r w:rsidR="009C7C4B" w:rsidRPr="009C7C4B">
        <w:t xml:space="preserve"> et al., 2022)</w:t>
      </w:r>
      <w:r>
        <w:t>.</w:t>
      </w:r>
    </w:p>
    <w:p w14:paraId="2746EE30" w14:textId="77777777" w:rsidR="001C22BD" w:rsidRDefault="001C22BD" w:rsidP="001C22BD">
      <w:r>
        <w:tab/>
        <w:t xml:space="preserve">Beyond teaching patients to take their readings, the practice nurse has another responsibility which is the education aspect. This should cover how to measure blood glucose, understand trends in the measurements, know what is worrying in the readings and what affects glucose including meals, exercise and medications. Studies conducted on the population level show wide disparities in self-care monitoring depending on socioeconomic status and education level </w:t>
      </w:r>
      <w:r w:rsidR="001006D3" w:rsidRPr="001006D3">
        <w:t>(Lee and Chu, 2025)</w:t>
      </w:r>
      <w:r>
        <w:t>.</w:t>
      </w:r>
    </w:p>
    <w:p w14:paraId="672C74E9" w14:textId="77777777" w:rsidR="00FB4BC2" w:rsidRDefault="00FB4BC2" w:rsidP="00FB4BC2">
      <w:pPr>
        <w:pStyle w:val="Heading1"/>
      </w:pPr>
      <w:bookmarkStart w:id="6" w:name="_Toc241145888"/>
      <w:r>
        <w:t>Evidence-Based Lifestyle Management</w:t>
      </w:r>
      <w:bookmarkEnd w:id="6"/>
    </w:p>
    <w:p w14:paraId="2F8E07CE" w14:textId="77777777" w:rsidR="00FB4BC2" w:rsidRDefault="00FB4BC2" w:rsidP="00FB4BC2">
      <w:pPr>
        <w:pStyle w:val="Heading2"/>
      </w:pPr>
      <w:bookmarkStart w:id="7" w:name="_Toc241145889"/>
      <w:r>
        <w:t>Physical activity</w:t>
      </w:r>
      <w:bookmarkEnd w:id="7"/>
    </w:p>
    <w:p w14:paraId="76CE38A8" w14:textId="77777777" w:rsidR="00FB4BC2" w:rsidRDefault="00FB4BC2" w:rsidP="00FB4BC2">
      <w:r>
        <w:t>Physical activity is physiologically relevant since skeletal muscle tissue is a significant sink of glucose uptake. Physical activity enhances glucose uptake and can have positive impacts on insulin sensitivity; thus, it does not depend on weight loss only. It was established in a systematic review of randomi</w:t>
      </w:r>
      <w:r w:rsidR="000770D6">
        <w:t>s</w:t>
      </w:r>
      <w:r>
        <w:t xml:space="preserve">ed controlled trials for exercise intervention in adults with T2DM that there were positive outcomes from using both aerobic, interval, resistance, and combination exercise modalities, but the outcomes depended on the kind of exercise, its duration, and the design of the programme </w:t>
      </w:r>
      <w:r w:rsidR="00D77AFB" w:rsidRPr="00D77AFB">
        <w:t>(Parada Flores et al., 2023)</w:t>
      </w:r>
      <w:r>
        <w:t>.</w:t>
      </w:r>
    </w:p>
    <w:p w14:paraId="60608887" w14:textId="77777777" w:rsidR="00FB4BC2" w:rsidRDefault="00FB4BC2" w:rsidP="00FB4BC2">
      <w:r>
        <w:tab/>
      </w:r>
      <w:r w:rsidR="00AB471C" w:rsidRPr="00AB471C">
        <w:t>Exercise following food intake is physiologically important since physical activities after meals decrease the postprandial glycaemic response.</w:t>
      </w:r>
      <w:r w:rsidR="00B53367">
        <w:t xml:space="preserve"> </w:t>
      </w:r>
      <w:r>
        <w:t>A systematic review and meta-analysis showed postprandial glucose responses reduction through postprandial physical exercise; however, heterogeneity in the time, intensity and participants' characteristics limits the ability to use a universal protocol (Kang et al., 2023).</w:t>
      </w:r>
    </w:p>
    <w:p w14:paraId="72629ADA" w14:textId="77777777" w:rsidR="00FB4BC2" w:rsidRDefault="00FB4BC2" w:rsidP="00FB4BC2">
      <w:r>
        <w:tab/>
        <w:t>It shows that the exercise should be individualised instead of following one protocol for all patients. The use of aerobic exercise, resistance exercise and reduced sedentary behaviour is possible depending on physical ability, complications, medications and preferences of the patient.</w:t>
      </w:r>
    </w:p>
    <w:p w14:paraId="4BDB880B" w14:textId="77777777" w:rsidR="00FB4BC2" w:rsidRDefault="00FB4BC2" w:rsidP="00FB4BC2">
      <w:pPr>
        <w:pStyle w:val="Heading2"/>
      </w:pPr>
      <w:bookmarkStart w:id="8" w:name="_Toc241145890"/>
      <w:r>
        <w:t>Dietary modification</w:t>
      </w:r>
      <w:bookmarkEnd w:id="8"/>
    </w:p>
    <w:p w14:paraId="3FFEE896" w14:textId="77777777" w:rsidR="00FB4BC2" w:rsidRDefault="00FB4BC2" w:rsidP="00FB4BC2">
      <w:r>
        <w:t xml:space="preserve">Dietary management should likewise avoid the simplistic notion of an 'all-encompassing diabetic diet'. The physiological principle is that there needs to be improvement in energy balance, nutrition and glycaemic control along with compliance in the long run. It has been found that carbohydrate quality and intake play an important role in the pathogenesis of T2DM, though the association varies based on the source of the dietary intake and the overall diet. A dose-response meta-analysis of prospective cohort studies has shown that the association of carbohydrate intake and the risk of T2DM cannot be restricted only to carbohydrate intake </w:t>
      </w:r>
      <w:r w:rsidR="00D33380" w:rsidRPr="00D33380">
        <w:t>(Hosseini et al., 2022)</w:t>
      </w:r>
      <w:r>
        <w:t>.</w:t>
      </w:r>
    </w:p>
    <w:p w14:paraId="312D8D1F" w14:textId="77777777" w:rsidR="00FB4BC2" w:rsidRDefault="00FB4BC2" w:rsidP="00FB4BC2">
      <w:r>
        <w:tab/>
        <w:t xml:space="preserve">Therefore, there should be a focus on nutrient-dense foods, appropriate calorie intake, dietary </w:t>
      </w:r>
      <w:proofErr w:type="spellStart"/>
      <w:r>
        <w:t>fiber</w:t>
      </w:r>
      <w:proofErr w:type="spellEnd"/>
      <w:r>
        <w:t xml:space="preserve"> and reduced consumption of energy-dense foods, but not necessarily a restricted diet. This is so because a strict regimen may not only lead to low adherence but also not consider the individual circumstances.</w:t>
      </w:r>
    </w:p>
    <w:p w14:paraId="3B8BB4CE" w14:textId="77777777" w:rsidR="00FB4BC2" w:rsidRDefault="00FB4BC2" w:rsidP="00FB4BC2">
      <w:pPr>
        <w:pStyle w:val="Heading2"/>
      </w:pPr>
      <w:bookmarkStart w:id="9" w:name="_Toc241145891"/>
      <w:r>
        <w:t>Smoking cessation</w:t>
      </w:r>
      <w:bookmarkEnd w:id="9"/>
    </w:p>
    <w:p w14:paraId="79A414CE" w14:textId="77777777" w:rsidR="00FB4BC2" w:rsidRDefault="00FB4BC2" w:rsidP="00FB4BC2">
      <w:r w:rsidRPr="00FB4BC2">
        <w:t xml:space="preserve">Stopping smoking must be included in the management of diabetes because smoking increases </w:t>
      </w:r>
      <w:proofErr w:type="spellStart"/>
      <w:r w:rsidRPr="00FB4BC2">
        <w:t>cardiometabolic</w:t>
      </w:r>
      <w:proofErr w:type="spellEnd"/>
      <w:r w:rsidRPr="00FB4BC2">
        <w:t xml:space="preserve"> risk. Cessation should be viewed in a positive light and not as morali</w:t>
      </w:r>
      <w:r w:rsidR="000770D6">
        <w:t>s</w:t>
      </w:r>
      <w:r w:rsidRPr="00FB4BC2">
        <w:t>ing. The intention is to remove one more modifiable risk from the patient’s burden.</w:t>
      </w:r>
    </w:p>
    <w:p w14:paraId="26BF181A" w14:textId="77777777" w:rsidR="00FB4BC2" w:rsidRDefault="00FB4BC2" w:rsidP="00FB4BC2">
      <w:pPr>
        <w:pStyle w:val="Heading2"/>
      </w:pPr>
      <w:bookmarkStart w:id="10" w:name="_Toc241145892"/>
      <w:r>
        <w:t>Individualisation and professional support</w:t>
      </w:r>
      <w:bookmarkEnd w:id="10"/>
    </w:p>
    <w:p w14:paraId="0C0C5B44" w14:textId="77777777" w:rsidR="00CB44EE" w:rsidRDefault="00CB44EE" w:rsidP="00CB44EE">
      <w:r>
        <w:t xml:space="preserve">The appropriateness of both physiological and </w:t>
      </w:r>
      <w:proofErr w:type="spellStart"/>
      <w:r>
        <w:t>behavioral</w:t>
      </w:r>
      <w:proofErr w:type="spellEnd"/>
      <w:r>
        <w:t xml:space="preserve"> aspects optimi</w:t>
      </w:r>
      <w:r w:rsidR="00BF09EC">
        <w:t>s</w:t>
      </w:r>
      <w:r>
        <w:t>es the effectiveness of any lifestyle modification program. It is possible that an intervention which seems theoretically beneficial yet impossible to perform due to being too costly or inappropriate will produce poor practical results. Various aspects including health literacy, socioeconomic standing, working circumstances, physical capability, dietary preferences and psychological readiness might influence the ease of implementing this intervention into practice.</w:t>
      </w:r>
    </w:p>
    <w:p w14:paraId="5115ED8F" w14:textId="77777777" w:rsidR="00FB4BC2" w:rsidRDefault="00CB44EE" w:rsidP="00CB44EE">
      <w:r>
        <w:tab/>
      </w:r>
      <w:r w:rsidR="00FB4BC2">
        <w:t xml:space="preserve">A study of adults diagnosed with T2DM showed that health literacy and self-care practices were significantly related to health-related quality of life, and explained a considerable part of variance observed </w:t>
      </w:r>
      <w:r w:rsidR="00340ABD" w:rsidRPr="00340ABD">
        <w:t>(</w:t>
      </w:r>
      <w:proofErr w:type="spellStart"/>
      <w:r w:rsidR="00340ABD" w:rsidRPr="00340ABD">
        <w:t>Gaffari-fam</w:t>
      </w:r>
      <w:proofErr w:type="spellEnd"/>
      <w:r w:rsidR="00340ABD" w:rsidRPr="00340ABD">
        <w:t xml:space="preserve"> et al., 2020)</w:t>
      </w:r>
      <w:r w:rsidR="00FB4BC2">
        <w:t xml:space="preserve">. Moreover, a meta-analysis of community-level interventions done in 2025 demonstrated an overall decline in HbA1c levels; however, large heterogeneity and uncertainty in the evidence suggest that intervention outcomes are not automatically generalisable </w:t>
      </w:r>
      <w:r w:rsidR="009C7C4B" w:rsidRPr="009C7C4B">
        <w:t>(</w:t>
      </w:r>
      <w:proofErr w:type="spellStart"/>
      <w:r w:rsidR="009C7C4B" w:rsidRPr="009C7C4B">
        <w:t>Luo</w:t>
      </w:r>
      <w:proofErr w:type="spellEnd"/>
      <w:r w:rsidR="009C7C4B" w:rsidRPr="009C7C4B">
        <w:t>, Zheng and Wu, 2025)</w:t>
      </w:r>
      <w:r w:rsidR="00FB4BC2">
        <w:t>.</w:t>
      </w:r>
    </w:p>
    <w:p w14:paraId="51476715" w14:textId="77777777" w:rsidR="003849A8" w:rsidRDefault="003849A8" w:rsidP="003849A8">
      <w:pPr>
        <w:pStyle w:val="Caption"/>
        <w:keepNext/>
        <w:jc w:val="center"/>
      </w:pPr>
      <w:bookmarkStart w:id="11" w:name="_Toc241145955"/>
      <w:r>
        <w:t xml:space="preserve">Table </w:t>
      </w:r>
      <w:r w:rsidR="004658CD">
        <w:fldChar w:fldCharType="begin"/>
      </w:r>
      <w:r w:rsidR="004658CD">
        <w:instrText xml:space="preserve"> SEQ Table \* ARABIC </w:instrText>
      </w:r>
      <w:r w:rsidR="004658CD">
        <w:fldChar w:fldCharType="separate"/>
      </w:r>
      <w:r>
        <w:rPr>
          <w:noProof/>
        </w:rPr>
        <w:t>3</w:t>
      </w:r>
      <w:r w:rsidR="004658CD">
        <w:rPr>
          <w:noProof/>
        </w:rPr>
        <w:fldChar w:fldCharType="end"/>
      </w:r>
      <w:r>
        <w:t xml:space="preserve">: </w:t>
      </w:r>
      <w:r w:rsidRPr="002D0AA6">
        <w:t>Critical evaluation of lifestyle interventions</w:t>
      </w:r>
      <w:bookmarkEnd w:id="11"/>
    </w:p>
    <w:tbl>
      <w:tblPr>
        <w:tblStyle w:val="GridTable6ColourfulAccent4"/>
        <w:tblW w:w="94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1"/>
        <w:gridCol w:w="2353"/>
        <w:gridCol w:w="2351"/>
        <w:gridCol w:w="2351"/>
      </w:tblGrid>
      <w:tr w:rsidR="00FB4BC2" w:rsidRPr="00FB4BC2" w14:paraId="5C5EDC27" w14:textId="77777777" w:rsidTr="00FB4BC2">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2351" w:type="dxa"/>
            <w:tcBorders>
              <w:bottom w:val="none" w:sz="0" w:space="0" w:color="auto"/>
            </w:tcBorders>
          </w:tcPr>
          <w:p w14:paraId="3B4A6C31" w14:textId="77777777" w:rsidR="00FB4BC2" w:rsidRPr="00FB4BC2" w:rsidRDefault="00FB4BC2" w:rsidP="007C5C30">
            <w:pPr>
              <w:spacing w:line="240" w:lineRule="auto"/>
            </w:pPr>
            <w:r w:rsidRPr="00FB4BC2">
              <w:t>Intervention</w:t>
            </w:r>
          </w:p>
        </w:tc>
        <w:tc>
          <w:tcPr>
            <w:tcW w:w="2353" w:type="dxa"/>
            <w:tcBorders>
              <w:bottom w:val="none" w:sz="0" w:space="0" w:color="auto"/>
            </w:tcBorders>
          </w:tcPr>
          <w:p w14:paraId="31256C4B" w14:textId="77777777" w:rsidR="00FB4BC2" w:rsidRPr="00FB4BC2" w:rsidRDefault="00FB4BC2" w:rsidP="007C5C30">
            <w:pPr>
              <w:spacing w:line="240" w:lineRule="auto"/>
              <w:cnfStyle w:val="100000000000" w:firstRow="1" w:lastRow="0" w:firstColumn="0" w:lastColumn="0" w:oddVBand="0" w:evenVBand="0" w:oddHBand="0" w:evenHBand="0" w:firstRowFirstColumn="0" w:firstRowLastColumn="0" w:lastRowFirstColumn="0" w:lastRowLastColumn="0"/>
            </w:pPr>
            <w:r w:rsidRPr="00FB4BC2">
              <w:t>Physiological mechanism</w:t>
            </w:r>
          </w:p>
        </w:tc>
        <w:tc>
          <w:tcPr>
            <w:tcW w:w="2351" w:type="dxa"/>
            <w:tcBorders>
              <w:bottom w:val="none" w:sz="0" w:space="0" w:color="auto"/>
            </w:tcBorders>
          </w:tcPr>
          <w:p w14:paraId="03B84095" w14:textId="77777777" w:rsidR="00FB4BC2" w:rsidRPr="00FB4BC2" w:rsidRDefault="00FB4BC2" w:rsidP="007C5C30">
            <w:pPr>
              <w:spacing w:line="240" w:lineRule="auto"/>
              <w:cnfStyle w:val="100000000000" w:firstRow="1" w:lastRow="0" w:firstColumn="0" w:lastColumn="0" w:oddVBand="0" w:evenVBand="0" w:oddHBand="0" w:evenHBand="0" w:firstRowFirstColumn="0" w:firstRowLastColumn="0" w:lastRowFirstColumn="0" w:lastRowLastColumn="0"/>
            </w:pPr>
            <w:r w:rsidRPr="00FB4BC2">
              <w:t>Potential benefit</w:t>
            </w:r>
          </w:p>
        </w:tc>
        <w:tc>
          <w:tcPr>
            <w:tcW w:w="2351" w:type="dxa"/>
            <w:tcBorders>
              <w:bottom w:val="none" w:sz="0" w:space="0" w:color="auto"/>
            </w:tcBorders>
          </w:tcPr>
          <w:p w14:paraId="4E92449B" w14:textId="77777777" w:rsidR="00FB4BC2" w:rsidRPr="00FB4BC2" w:rsidRDefault="00FB4BC2" w:rsidP="007C5C30">
            <w:pPr>
              <w:spacing w:line="240" w:lineRule="auto"/>
              <w:cnfStyle w:val="100000000000" w:firstRow="1" w:lastRow="0" w:firstColumn="0" w:lastColumn="0" w:oddVBand="0" w:evenVBand="0" w:oddHBand="0" w:evenHBand="0" w:firstRowFirstColumn="0" w:firstRowLastColumn="0" w:lastRowFirstColumn="0" w:lastRowLastColumn="0"/>
            </w:pPr>
            <w:r w:rsidRPr="00FB4BC2">
              <w:t>Critical consideration</w:t>
            </w:r>
          </w:p>
        </w:tc>
      </w:tr>
      <w:tr w:rsidR="00FB4BC2" w:rsidRPr="00FB4BC2" w14:paraId="2E95D013" w14:textId="77777777" w:rsidTr="00FB4BC2">
        <w:trPr>
          <w:cnfStyle w:val="000000100000" w:firstRow="0" w:lastRow="0" w:firstColumn="0" w:lastColumn="0" w:oddVBand="0" w:evenVBand="0" w:oddHBand="1" w:evenHBand="0" w:firstRowFirstColumn="0" w:firstRowLastColumn="0" w:lastRowFirstColumn="0" w:lastRowLastColumn="0"/>
          <w:trHeight w:val="1303"/>
        </w:trPr>
        <w:tc>
          <w:tcPr>
            <w:cnfStyle w:val="001000000000" w:firstRow="0" w:lastRow="0" w:firstColumn="1" w:lastColumn="0" w:oddVBand="0" w:evenVBand="0" w:oddHBand="0" w:evenHBand="0" w:firstRowFirstColumn="0" w:firstRowLastColumn="0" w:lastRowFirstColumn="0" w:lastRowLastColumn="0"/>
            <w:tcW w:w="2351" w:type="dxa"/>
          </w:tcPr>
          <w:p w14:paraId="3E30A8F2" w14:textId="77777777" w:rsidR="00FB4BC2" w:rsidRPr="00FB4BC2" w:rsidRDefault="00FB4BC2" w:rsidP="007C5C30">
            <w:pPr>
              <w:spacing w:line="240" w:lineRule="auto"/>
            </w:pPr>
            <w:r w:rsidRPr="00FB4BC2">
              <w:t>Aerobic exercise</w:t>
            </w:r>
          </w:p>
        </w:tc>
        <w:tc>
          <w:tcPr>
            <w:tcW w:w="2353" w:type="dxa"/>
          </w:tcPr>
          <w:p w14:paraId="6BCE3184" w14:textId="77777777" w:rsidR="00FB4BC2" w:rsidRPr="00FB4BC2" w:rsidRDefault="00FB4BC2" w:rsidP="007C5C30">
            <w:pPr>
              <w:spacing w:line="240" w:lineRule="auto"/>
              <w:cnfStyle w:val="000000100000" w:firstRow="0" w:lastRow="0" w:firstColumn="0" w:lastColumn="0" w:oddVBand="0" w:evenVBand="0" w:oddHBand="1" w:evenHBand="0" w:firstRowFirstColumn="0" w:firstRowLastColumn="0" w:lastRowFirstColumn="0" w:lastRowLastColumn="0"/>
            </w:pPr>
            <w:r w:rsidRPr="00FB4BC2">
              <w:t>Increases muscle glucose utilisation and insulin sensitivity</w:t>
            </w:r>
          </w:p>
        </w:tc>
        <w:tc>
          <w:tcPr>
            <w:tcW w:w="2351" w:type="dxa"/>
          </w:tcPr>
          <w:p w14:paraId="604E7A7B" w14:textId="77777777" w:rsidR="00FB4BC2" w:rsidRPr="00FB4BC2" w:rsidRDefault="00FB4BC2" w:rsidP="007C5C30">
            <w:pPr>
              <w:spacing w:line="240" w:lineRule="auto"/>
              <w:cnfStyle w:val="000000100000" w:firstRow="0" w:lastRow="0" w:firstColumn="0" w:lastColumn="0" w:oddVBand="0" w:evenVBand="0" w:oddHBand="1" w:evenHBand="0" w:firstRowFirstColumn="0" w:firstRowLastColumn="0" w:lastRowFirstColumn="0" w:lastRowLastColumn="0"/>
            </w:pPr>
            <w:r w:rsidRPr="00FB4BC2">
              <w:t>Improved glycaemic regulation</w:t>
            </w:r>
          </w:p>
        </w:tc>
        <w:tc>
          <w:tcPr>
            <w:tcW w:w="2351" w:type="dxa"/>
          </w:tcPr>
          <w:p w14:paraId="3DBD9F52" w14:textId="77777777" w:rsidR="00FB4BC2" w:rsidRPr="00FB4BC2" w:rsidRDefault="00FB4BC2" w:rsidP="007C5C30">
            <w:pPr>
              <w:spacing w:line="240" w:lineRule="auto"/>
              <w:cnfStyle w:val="000000100000" w:firstRow="0" w:lastRow="0" w:firstColumn="0" w:lastColumn="0" w:oddVBand="0" w:evenVBand="0" w:oddHBand="1" w:evenHBand="0" w:firstRowFirstColumn="0" w:firstRowLastColumn="0" w:lastRowFirstColumn="0" w:lastRowLastColumn="0"/>
            </w:pPr>
            <w:r w:rsidRPr="00FB4BC2">
              <w:t>Must reflect fitness and clinical status</w:t>
            </w:r>
          </w:p>
        </w:tc>
      </w:tr>
      <w:tr w:rsidR="00FB4BC2" w:rsidRPr="00FB4BC2" w14:paraId="15B20938" w14:textId="77777777" w:rsidTr="00FB4BC2">
        <w:trPr>
          <w:trHeight w:val="1275"/>
        </w:trPr>
        <w:tc>
          <w:tcPr>
            <w:cnfStyle w:val="001000000000" w:firstRow="0" w:lastRow="0" w:firstColumn="1" w:lastColumn="0" w:oddVBand="0" w:evenVBand="0" w:oddHBand="0" w:evenHBand="0" w:firstRowFirstColumn="0" w:firstRowLastColumn="0" w:lastRowFirstColumn="0" w:lastRowLastColumn="0"/>
            <w:tcW w:w="2351" w:type="dxa"/>
          </w:tcPr>
          <w:p w14:paraId="445C4716" w14:textId="77777777" w:rsidR="00FB4BC2" w:rsidRPr="00FB4BC2" w:rsidRDefault="00FB4BC2" w:rsidP="007C5C30">
            <w:pPr>
              <w:spacing w:line="240" w:lineRule="auto"/>
            </w:pPr>
            <w:r w:rsidRPr="00FB4BC2">
              <w:t>Resistance exercise</w:t>
            </w:r>
          </w:p>
        </w:tc>
        <w:tc>
          <w:tcPr>
            <w:tcW w:w="2353" w:type="dxa"/>
          </w:tcPr>
          <w:p w14:paraId="231FFD32" w14:textId="77777777" w:rsidR="00FB4BC2" w:rsidRPr="00FB4BC2" w:rsidRDefault="00FB4BC2" w:rsidP="007C5C30">
            <w:pPr>
              <w:spacing w:line="240" w:lineRule="auto"/>
              <w:cnfStyle w:val="000000000000" w:firstRow="0" w:lastRow="0" w:firstColumn="0" w:lastColumn="0" w:oddVBand="0" w:evenVBand="0" w:oddHBand="0" w:evenHBand="0" w:firstRowFirstColumn="0" w:firstRowLastColumn="0" w:lastRowFirstColumn="0" w:lastRowLastColumn="0"/>
            </w:pPr>
            <w:r w:rsidRPr="00FB4BC2">
              <w:t>Increases/maintains metabolically active muscle tissue</w:t>
            </w:r>
          </w:p>
        </w:tc>
        <w:tc>
          <w:tcPr>
            <w:tcW w:w="2351" w:type="dxa"/>
          </w:tcPr>
          <w:p w14:paraId="1D4137B7" w14:textId="77777777" w:rsidR="00FB4BC2" w:rsidRPr="00FB4BC2" w:rsidRDefault="00FB4BC2" w:rsidP="007C5C30">
            <w:pPr>
              <w:spacing w:line="240" w:lineRule="auto"/>
              <w:cnfStyle w:val="000000000000" w:firstRow="0" w:lastRow="0" w:firstColumn="0" w:lastColumn="0" w:oddVBand="0" w:evenVBand="0" w:oddHBand="0" w:evenHBand="0" w:firstRowFirstColumn="0" w:firstRowLastColumn="0" w:lastRowFirstColumn="0" w:lastRowLastColumn="0"/>
            </w:pPr>
            <w:r w:rsidRPr="00FB4BC2">
              <w:t>Supports glucose disposal and physical function</w:t>
            </w:r>
          </w:p>
        </w:tc>
        <w:tc>
          <w:tcPr>
            <w:tcW w:w="2351" w:type="dxa"/>
          </w:tcPr>
          <w:p w14:paraId="6A032512" w14:textId="77777777" w:rsidR="00FB4BC2" w:rsidRPr="00FB4BC2" w:rsidRDefault="00FB4BC2" w:rsidP="007C5C30">
            <w:pPr>
              <w:spacing w:line="240" w:lineRule="auto"/>
              <w:cnfStyle w:val="000000000000" w:firstRow="0" w:lastRow="0" w:firstColumn="0" w:lastColumn="0" w:oddVBand="0" w:evenVBand="0" w:oddHBand="0" w:evenHBand="0" w:firstRowFirstColumn="0" w:firstRowLastColumn="0" w:lastRowFirstColumn="0" w:lastRowLastColumn="0"/>
            </w:pPr>
            <w:r w:rsidRPr="00FB4BC2">
              <w:t>Requires safe progression</w:t>
            </w:r>
          </w:p>
        </w:tc>
      </w:tr>
      <w:tr w:rsidR="00FB4BC2" w:rsidRPr="00FB4BC2" w14:paraId="31420F06" w14:textId="77777777" w:rsidTr="00FB4BC2">
        <w:trPr>
          <w:cnfStyle w:val="000000100000" w:firstRow="0" w:lastRow="0" w:firstColumn="0" w:lastColumn="0" w:oddVBand="0" w:evenVBand="0" w:oddHBand="1" w:evenHBand="0" w:firstRowFirstColumn="0" w:firstRowLastColumn="0" w:lastRowFirstColumn="0" w:lastRowLastColumn="0"/>
          <w:trHeight w:val="1303"/>
        </w:trPr>
        <w:tc>
          <w:tcPr>
            <w:cnfStyle w:val="001000000000" w:firstRow="0" w:lastRow="0" w:firstColumn="1" w:lastColumn="0" w:oddVBand="0" w:evenVBand="0" w:oddHBand="0" w:evenHBand="0" w:firstRowFirstColumn="0" w:firstRowLastColumn="0" w:lastRowFirstColumn="0" w:lastRowLastColumn="0"/>
            <w:tcW w:w="2351" w:type="dxa"/>
          </w:tcPr>
          <w:p w14:paraId="6A186F79" w14:textId="77777777" w:rsidR="00FB4BC2" w:rsidRPr="00FB4BC2" w:rsidRDefault="00FB4BC2" w:rsidP="007C5C30">
            <w:pPr>
              <w:spacing w:line="240" w:lineRule="auto"/>
            </w:pPr>
            <w:r w:rsidRPr="00FB4BC2">
              <w:t>Post-meal activity</w:t>
            </w:r>
          </w:p>
        </w:tc>
        <w:tc>
          <w:tcPr>
            <w:tcW w:w="2353" w:type="dxa"/>
          </w:tcPr>
          <w:p w14:paraId="467975C2" w14:textId="77777777" w:rsidR="00FB4BC2" w:rsidRPr="00FB4BC2" w:rsidRDefault="00FB4BC2" w:rsidP="007C5C30">
            <w:pPr>
              <w:spacing w:line="240" w:lineRule="auto"/>
              <w:cnfStyle w:val="000000100000" w:firstRow="0" w:lastRow="0" w:firstColumn="0" w:lastColumn="0" w:oddVBand="0" w:evenVBand="0" w:oddHBand="1" w:evenHBand="0" w:firstRowFirstColumn="0" w:firstRowLastColumn="0" w:lastRowFirstColumn="0" w:lastRowLastColumn="0"/>
            </w:pPr>
            <w:r w:rsidRPr="00FB4BC2">
              <w:t>Increases glucose utilisation when postprandial glucose rises</w:t>
            </w:r>
          </w:p>
        </w:tc>
        <w:tc>
          <w:tcPr>
            <w:tcW w:w="2351" w:type="dxa"/>
          </w:tcPr>
          <w:p w14:paraId="3CA77688" w14:textId="77777777" w:rsidR="00FB4BC2" w:rsidRPr="00FB4BC2" w:rsidRDefault="00FB4BC2" w:rsidP="007C5C30">
            <w:pPr>
              <w:spacing w:line="240" w:lineRule="auto"/>
              <w:cnfStyle w:val="000000100000" w:firstRow="0" w:lastRow="0" w:firstColumn="0" w:lastColumn="0" w:oddVBand="0" w:evenVBand="0" w:oddHBand="1" w:evenHBand="0" w:firstRowFirstColumn="0" w:firstRowLastColumn="0" w:lastRowFirstColumn="0" w:lastRowLastColumn="0"/>
            </w:pPr>
            <w:r w:rsidRPr="00FB4BC2">
              <w:t>Can attenuate postprandial excursions</w:t>
            </w:r>
          </w:p>
        </w:tc>
        <w:tc>
          <w:tcPr>
            <w:tcW w:w="2351" w:type="dxa"/>
          </w:tcPr>
          <w:p w14:paraId="7F7B1E30" w14:textId="77777777" w:rsidR="00FB4BC2" w:rsidRPr="00FB4BC2" w:rsidRDefault="00FB4BC2" w:rsidP="007C5C30">
            <w:pPr>
              <w:spacing w:line="240" w:lineRule="auto"/>
              <w:cnfStyle w:val="000000100000" w:firstRow="0" w:lastRow="0" w:firstColumn="0" w:lastColumn="0" w:oddVBand="0" w:evenVBand="0" w:oddHBand="1" w:evenHBand="0" w:firstRowFirstColumn="0" w:firstRowLastColumn="0" w:lastRowFirstColumn="0" w:lastRowLastColumn="0"/>
            </w:pPr>
            <w:r w:rsidRPr="00FB4BC2">
              <w:t>Timing and intensity vary between individuals</w:t>
            </w:r>
          </w:p>
        </w:tc>
      </w:tr>
      <w:tr w:rsidR="00FB4BC2" w:rsidRPr="00FB4BC2" w14:paraId="30703998" w14:textId="77777777" w:rsidTr="00FB4BC2">
        <w:trPr>
          <w:trHeight w:val="850"/>
        </w:trPr>
        <w:tc>
          <w:tcPr>
            <w:cnfStyle w:val="001000000000" w:firstRow="0" w:lastRow="0" w:firstColumn="1" w:lastColumn="0" w:oddVBand="0" w:evenVBand="0" w:oddHBand="0" w:evenHBand="0" w:firstRowFirstColumn="0" w:firstRowLastColumn="0" w:lastRowFirstColumn="0" w:lastRowLastColumn="0"/>
            <w:tcW w:w="2351" w:type="dxa"/>
          </w:tcPr>
          <w:p w14:paraId="4E472F1F" w14:textId="77777777" w:rsidR="00FB4BC2" w:rsidRPr="00FB4BC2" w:rsidRDefault="00FB4BC2" w:rsidP="007C5C30">
            <w:pPr>
              <w:spacing w:line="240" w:lineRule="auto"/>
            </w:pPr>
            <w:r w:rsidRPr="00FB4BC2">
              <w:t>Dietary optimisation</w:t>
            </w:r>
          </w:p>
        </w:tc>
        <w:tc>
          <w:tcPr>
            <w:tcW w:w="2353" w:type="dxa"/>
          </w:tcPr>
          <w:p w14:paraId="1BE79F37" w14:textId="77777777" w:rsidR="00FB4BC2" w:rsidRPr="00FB4BC2" w:rsidRDefault="00FB4BC2" w:rsidP="007C5C30">
            <w:pPr>
              <w:spacing w:line="240" w:lineRule="auto"/>
              <w:cnfStyle w:val="000000000000" w:firstRow="0" w:lastRow="0" w:firstColumn="0" w:lastColumn="0" w:oddVBand="0" w:evenVBand="0" w:oddHBand="0" w:evenHBand="0" w:firstRowFirstColumn="0" w:firstRowLastColumn="0" w:lastRowFirstColumn="0" w:lastRowLastColumn="0"/>
            </w:pPr>
            <w:r w:rsidRPr="00FB4BC2">
              <w:t>Improves energy balance and dietary quality</w:t>
            </w:r>
          </w:p>
        </w:tc>
        <w:tc>
          <w:tcPr>
            <w:tcW w:w="2351" w:type="dxa"/>
          </w:tcPr>
          <w:p w14:paraId="1FD3CA7D" w14:textId="77777777" w:rsidR="00FB4BC2" w:rsidRPr="00FB4BC2" w:rsidRDefault="00FB4BC2" w:rsidP="007C5C30">
            <w:pPr>
              <w:spacing w:line="240" w:lineRule="auto"/>
              <w:cnfStyle w:val="000000000000" w:firstRow="0" w:lastRow="0" w:firstColumn="0" w:lastColumn="0" w:oddVBand="0" w:evenVBand="0" w:oddHBand="0" w:evenHBand="0" w:firstRowFirstColumn="0" w:firstRowLastColumn="0" w:lastRowFirstColumn="0" w:lastRowLastColumn="0"/>
            </w:pPr>
            <w:r w:rsidRPr="00FB4BC2">
              <w:t>Supports glycaemic and metabolic control</w:t>
            </w:r>
          </w:p>
        </w:tc>
        <w:tc>
          <w:tcPr>
            <w:tcW w:w="2351" w:type="dxa"/>
          </w:tcPr>
          <w:p w14:paraId="1B0BD828" w14:textId="77777777" w:rsidR="00FB4BC2" w:rsidRPr="00FB4BC2" w:rsidRDefault="00FB4BC2" w:rsidP="007C5C30">
            <w:pPr>
              <w:spacing w:line="240" w:lineRule="auto"/>
              <w:cnfStyle w:val="000000000000" w:firstRow="0" w:lastRow="0" w:firstColumn="0" w:lastColumn="0" w:oddVBand="0" w:evenVBand="0" w:oddHBand="0" w:evenHBand="0" w:firstRowFirstColumn="0" w:firstRowLastColumn="0" w:lastRowFirstColumn="0" w:lastRowLastColumn="0"/>
            </w:pPr>
            <w:r w:rsidRPr="00FB4BC2">
              <w:t>Sustainability and affordability are essential</w:t>
            </w:r>
          </w:p>
        </w:tc>
      </w:tr>
      <w:tr w:rsidR="00FB4BC2" w:rsidRPr="00FB4BC2" w14:paraId="767EAD65" w14:textId="77777777" w:rsidTr="00FB4BC2">
        <w:trPr>
          <w:cnfStyle w:val="000000100000" w:firstRow="0" w:lastRow="0" w:firstColumn="0" w:lastColumn="0" w:oddVBand="0" w:evenVBand="0" w:oddHBand="1" w:evenHBand="0" w:firstRowFirstColumn="0" w:firstRowLastColumn="0" w:lastRowFirstColumn="0" w:lastRowLastColumn="0"/>
          <w:trHeight w:val="1303"/>
        </w:trPr>
        <w:tc>
          <w:tcPr>
            <w:cnfStyle w:val="001000000000" w:firstRow="0" w:lastRow="0" w:firstColumn="1" w:lastColumn="0" w:oddVBand="0" w:evenVBand="0" w:oddHBand="0" w:evenHBand="0" w:firstRowFirstColumn="0" w:firstRowLastColumn="0" w:lastRowFirstColumn="0" w:lastRowLastColumn="0"/>
            <w:tcW w:w="2351" w:type="dxa"/>
          </w:tcPr>
          <w:p w14:paraId="5C5E457F" w14:textId="77777777" w:rsidR="00FB4BC2" w:rsidRPr="00FB4BC2" w:rsidRDefault="00FB4BC2" w:rsidP="007C5C30">
            <w:pPr>
              <w:spacing w:line="240" w:lineRule="auto"/>
            </w:pPr>
            <w:r w:rsidRPr="00FB4BC2">
              <w:t>Smoking cessation</w:t>
            </w:r>
          </w:p>
        </w:tc>
        <w:tc>
          <w:tcPr>
            <w:tcW w:w="2353" w:type="dxa"/>
          </w:tcPr>
          <w:p w14:paraId="279D0BB4" w14:textId="77777777" w:rsidR="00FB4BC2" w:rsidRPr="00FB4BC2" w:rsidRDefault="00FB4BC2" w:rsidP="007C5C30">
            <w:pPr>
              <w:spacing w:line="240" w:lineRule="auto"/>
              <w:cnfStyle w:val="000000100000" w:firstRow="0" w:lastRow="0" w:firstColumn="0" w:lastColumn="0" w:oddVBand="0" w:evenVBand="0" w:oddHBand="1" w:evenHBand="0" w:firstRowFirstColumn="0" w:firstRowLastColumn="0" w:lastRowFirstColumn="0" w:lastRowLastColumn="0"/>
            </w:pPr>
            <w:r w:rsidRPr="00FB4BC2">
              <w:t xml:space="preserve">Removes an additional </w:t>
            </w:r>
            <w:proofErr w:type="spellStart"/>
            <w:r w:rsidRPr="00FB4BC2">
              <w:t>cardiometabolic</w:t>
            </w:r>
            <w:proofErr w:type="spellEnd"/>
            <w:r w:rsidRPr="00FB4BC2">
              <w:t xml:space="preserve"> risk exposure</w:t>
            </w:r>
          </w:p>
        </w:tc>
        <w:tc>
          <w:tcPr>
            <w:tcW w:w="2351" w:type="dxa"/>
          </w:tcPr>
          <w:p w14:paraId="4ED6C7D0" w14:textId="77777777" w:rsidR="00FB4BC2" w:rsidRPr="00FB4BC2" w:rsidRDefault="00FB4BC2" w:rsidP="007C5C30">
            <w:pPr>
              <w:spacing w:line="240" w:lineRule="auto"/>
              <w:cnfStyle w:val="000000100000" w:firstRow="0" w:lastRow="0" w:firstColumn="0" w:lastColumn="0" w:oddVBand="0" w:evenVBand="0" w:oddHBand="1" w:evenHBand="0" w:firstRowFirstColumn="0" w:firstRowLastColumn="0" w:lastRowFirstColumn="0" w:lastRowLastColumn="0"/>
            </w:pPr>
            <w:r w:rsidRPr="00FB4BC2">
              <w:t>Reduces cumulative risk burden</w:t>
            </w:r>
          </w:p>
        </w:tc>
        <w:tc>
          <w:tcPr>
            <w:tcW w:w="2351" w:type="dxa"/>
          </w:tcPr>
          <w:p w14:paraId="20BC6515" w14:textId="77777777" w:rsidR="00FB4BC2" w:rsidRPr="00FB4BC2" w:rsidRDefault="00FB4BC2" w:rsidP="007C5C30">
            <w:pPr>
              <w:spacing w:line="240" w:lineRule="auto"/>
              <w:cnfStyle w:val="000000100000" w:firstRow="0" w:lastRow="0" w:firstColumn="0" w:lastColumn="0" w:oddVBand="0" w:evenVBand="0" w:oddHBand="1" w:evenHBand="0" w:firstRowFirstColumn="0" w:firstRowLastColumn="0" w:lastRowFirstColumn="0" w:lastRowLastColumn="0"/>
            </w:pPr>
            <w:r w:rsidRPr="00FB4BC2">
              <w:t>Requires behavioural and professional support</w:t>
            </w:r>
          </w:p>
        </w:tc>
      </w:tr>
      <w:tr w:rsidR="00FB4BC2" w:rsidRPr="00FB4BC2" w14:paraId="5CFF7707" w14:textId="77777777" w:rsidTr="00FB4BC2">
        <w:trPr>
          <w:trHeight w:val="1275"/>
        </w:trPr>
        <w:tc>
          <w:tcPr>
            <w:cnfStyle w:val="001000000000" w:firstRow="0" w:lastRow="0" w:firstColumn="1" w:lastColumn="0" w:oddVBand="0" w:evenVBand="0" w:oddHBand="0" w:evenHBand="0" w:firstRowFirstColumn="0" w:firstRowLastColumn="0" w:lastRowFirstColumn="0" w:lastRowLastColumn="0"/>
            <w:tcW w:w="2351" w:type="dxa"/>
          </w:tcPr>
          <w:p w14:paraId="74CEE291" w14:textId="77777777" w:rsidR="00FB4BC2" w:rsidRPr="00FB4BC2" w:rsidRDefault="00FB4BC2" w:rsidP="007C5C30">
            <w:pPr>
              <w:spacing w:line="240" w:lineRule="auto"/>
            </w:pPr>
            <w:r w:rsidRPr="00FB4BC2">
              <w:t>Self-management education</w:t>
            </w:r>
          </w:p>
        </w:tc>
        <w:tc>
          <w:tcPr>
            <w:tcW w:w="2353" w:type="dxa"/>
          </w:tcPr>
          <w:p w14:paraId="3FD6BDA7" w14:textId="77777777" w:rsidR="00FB4BC2" w:rsidRPr="00FB4BC2" w:rsidRDefault="00FB4BC2" w:rsidP="007C5C30">
            <w:pPr>
              <w:spacing w:line="240" w:lineRule="auto"/>
              <w:cnfStyle w:val="000000000000" w:firstRow="0" w:lastRow="0" w:firstColumn="0" w:lastColumn="0" w:oddVBand="0" w:evenVBand="0" w:oddHBand="0" w:evenHBand="0" w:firstRowFirstColumn="0" w:firstRowLastColumn="0" w:lastRowFirstColumn="0" w:lastRowLastColumn="0"/>
            </w:pPr>
            <w:r w:rsidRPr="00FB4BC2">
              <w:t>Improves knowledge and interpretation of health information</w:t>
            </w:r>
          </w:p>
        </w:tc>
        <w:tc>
          <w:tcPr>
            <w:tcW w:w="2351" w:type="dxa"/>
          </w:tcPr>
          <w:p w14:paraId="2C367594" w14:textId="77777777" w:rsidR="00FB4BC2" w:rsidRPr="00FB4BC2" w:rsidRDefault="00FB4BC2" w:rsidP="007C5C30">
            <w:pPr>
              <w:spacing w:line="240" w:lineRule="auto"/>
              <w:cnfStyle w:val="000000000000" w:firstRow="0" w:lastRow="0" w:firstColumn="0" w:lastColumn="0" w:oddVBand="0" w:evenVBand="0" w:oddHBand="0" w:evenHBand="0" w:firstRowFirstColumn="0" w:firstRowLastColumn="0" w:lastRowFirstColumn="0" w:lastRowLastColumn="0"/>
            </w:pPr>
            <w:r w:rsidRPr="00FB4BC2">
              <w:t>Can improve informed decision-making</w:t>
            </w:r>
          </w:p>
        </w:tc>
        <w:tc>
          <w:tcPr>
            <w:tcW w:w="2351" w:type="dxa"/>
          </w:tcPr>
          <w:p w14:paraId="4049744D" w14:textId="77777777" w:rsidR="00FB4BC2" w:rsidRPr="00FB4BC2" w:rsidRDefault="00FB4BC2" w:rsidP="007C5C30">
            <w:pPr>
              <w:spacing w:line="240" w:lineRule="auto"/>
              <w:cnfStyle w:val="000000000000" w:firstRow="0" w:lastRow="0" w:firstColumn="0" w:lastColumn="0" w:oddVBand="0" w:evenVBand="0" w:oddHBand="0" w:evenHBand="0" w:firstRowFirstColumn="0" w:firstRowLastColumn="0" w:lastRowFirstColumn="0" w:lastRowLastColumn="0"/>
            </w:pPr>
            <w:r w:rsidRPr="00FB4BC2">
              <w:t>Effect depends on health literacy and engagement</w:t>
            </w:r>
          </w:p>
        </w:tc>
      </w:tr>
    </w:tbl>
    <w:p w14:paraId="4F862534" w14:textId="77777777" w:rsidR="001C22BD" w:rsidRDefault="00FB4BC2" w:rsidP="001C22BD">
      <w:r w:rsidRPr="00FB4BC2">
        <w:t>Thus, it would be inappropriate for a practice nurse to consider lifestyle management a mere checklist. The more effective model is iterative and patient-focused – assessment of initial behaviours and barriers, agreement on achievable goals, monitoring results, analysing data and changing intervention if necessary. In such a way, health education ceases to be a simple process of information transfer.</w:t>
      </w:r>
    </w:p>
    <w:p w14:paraId="684E17AD" w14:textId="77777777" w:rsidR="00885A59" w:rsidRDefault="00885A59" w:rsidP="00885A59">
      <w:pPr>
        <w:pStyle w:val="Heading1"/>
      </w:pPr>
      <w:bookmarkStart w:id="12" w:name="_Toc241145893"/>
      <w:r>
        <w:t>Conclusion</w:t>
      </w:r>
      <w:bookmarkEnd w:id="12"/>
    </w:p>
    <w:p w14:paraId="16EF353F" w14:textId="77777777" w:rsidR="00B43452" w:rsidRDefault="00B43452" w:rsidP="00B43452">
      <w:r>
        <w:t>T2DM is a progressive disturbance of the process of glucose homeostasis characteri</w:t>
      </w:r>
      <w:r w:rsidR="000770D6">
        <w:t>s</w:t>
      </w:r>
      <w:r>
        <w:t xml:space="preserve">ed by disturbed insulin sensitivity, pancreatic beta cell malfunctioning and dysregulation of glucose metabolism. Therefore, to understand this pathology, one needs to use the knowledge from both anatomy and physiology and not view it as a case of </w:t>
      </w:r>
      <w:proofErr w:type="spellStart"/>
      <w:r>
        <w:t>hyperglycemia</w:t>
      </w:r>
      <w:proofErr w:type="spellEnd"/>
      <w:r>
        <w:t xml:space="preserve"> alone. Normally, pancreatic insulin and glucagon regulate the processes of glucose metabolism in the liver and peripheral tissues, while glucose and oxygen are required for ATP production. In T2DM, the system of regulation is disrupted due to insulin resistance and decreased pancreatic beta cell function.</w:t>
      </w:r>
    </w:p>
    <w:p w14:paraId="71DA6CDA" w14:textId="77777777" w:rsidR="00885A59" w:rsidRDefault="00B43452" w:rsidP="00B43452">
      <w:r>
        <w:tab/>
        <w:t>Regular testing can give us clinically valuable information, although the usefulness of testing greatly depends on the accuracy of the information obtained and the correct interpretation of the data. The results of blood glucose testing, HbA1c and CGM cannot be viewed as mutually exclusive.</w:t>
      </w:r>
    </w:p>
    <w:p w14:paraId="638EE586" w14:textId="77777777" w:rsidR="00FB4BC2" w:rsidRDefault="00885A59" w:rsidP="00885A59">
      <w:r>
        <w:tab/>
      </w:r>
      <w:r w:rsidR="00B43452" w:rsidRPr="00B43452">
        <w:t>Management of lifestyle changes can alter some of the major factors that make up the metabolic environment. Exercise can improve glucose uptake and insulin sensitivity; diet modification can help to maintain metabolic regulation in the long term; quitting smoking can lower further risks to cardiovascular and metabolic systems. Physiological measures need to take into consideration such aspects as health literacy, socio-economic environment, physical capabilities, preference and sustainability. Therefore, the practice nurse plays a very important part in bridging the gap between physiological facts and education, interpretation of information over time, self-regulation and personali</w:t>
      </w:r>
      <w:r w:rsidR="003467C5">
        <w:t>s</w:t>
      </w:r>
      <w:r w:rsidR="00B43452" w:rsidRPr="00B43452">
        <w:t>ed medicine.</w:t>
      </w:r>
    </w:p>
    <w:p w14:paraId="7C0828F5" w14:textId="77777777" w:rsidR="003467C5" w:rsidRDefault="003467C5" w:rsidP="00885A59"/>
    <w:p w14:paraId="601832B1" w14:textId="77777777" w:rsidR="003467C5" w:rsidRDefault="003467C5">
      <w:pPr>
        <w:suppressAutoHyphens w:val="0"/>
        <w:spacing w:line="240" w:lineRule="auto"/>
        <w:jc w:val="left"/>
      </w:pPr>
      <w:r>
        <w:br w:type="page"/>
      </w:r>
    </w:p>
    <w:p w14:paraId="1B5D9B87" w14:textId="77777777" w:rsidR="003467C5" w:rsidRDefault="003467C5" w:rsidP="003467C5">
      <w:pPr>
        <w:pStyle w:val="Heading1"/>
      </w:pPr>
      <w:bookmarkStart w:id="13" w:name="_Toc241145894"/>
      <w:r>
        <w:t>References</w:t>
      </w:r>
      <w:bookmarkEnd w:id="13"/>
    </w:p>
    <w:p w14:paraId="71243ABE" w14:textId="77777777" w:rsidR="007469AA" w:rsidRPr="007469AA" w:rsidRDefault="007469AA" w:rsidP="007469AA">
      <w:pPr>
        <w:suppressAutoHyphens w:val="0"/>
        <w:spacing w:line="240" w:lineRule="auto"/>
        <w:ind w:left="567" w:hanging="567"/>
        <w:rPr>
          <w:rFonts w:eastAsia="Times New Roman"/>
          <w:color w:val="auto"/>
          <w:szCs w:val="24"/>
          <w:lang w:eastAsia="en-GB"/>
        </w:rPr>
      </w:pPr>
      <w:proofErr w:type="spellStart"/>
      <w:r w:rsidRPr="007469AA">
        <w:rPr>
          <w:rFonts w:eastAsia="Times New Roman"/>
          <w:color w:val="auto"/>
          <w:szCs w:val="24"/>
          <w:lang w:eastAsia="en-GB"/>
        </w:rPr>
        <w:t>Gaffari-fam</w:t>
      </w:r>
      <w:proofErr w:type="spellEnd"/>
      <w:r w:rsidRPr="007469AA">
        <w:rPr>
          <w:rFonts w:eastAsia="Times New Roman"/>
          <w:color w:val="auto"/>
          <w:szCs w:val="24"/>
          <w:lang w:eastAsia="en-GB"/>
        </w:rPr>
        <w:t xml:space="preserve">, S., </w:t>
      </w:r>
      <w:proofErr w:type="spellStart"/>
      <w:r w:rsidRPr="007469AA">
        <w:rPr>
          <w:rFonts w:eastAsia="Times New Roman"/>
          <w:color w:val="auto"/>
          <w:szCs w:val="24"/>
          <w:lang w:eastAsia="en-GB"/>
        </w:rPr>
        <w:t>Lotfi</w:t>
      </w:r>
      <w:proofErr w:type="spellEnd"/>
      <w:r w:rsidRPr="007469AA">
        <w:rPr>
          <w:rFonts w:eastAsia="Times New Roman"/>
          <w:color w:val="auto"/>
          <w:szCs w:val="24"/>
          <w:lang w:eastAsia="en-GB"/>
        </w:rPr>
        <w:t xml:space="preserve">, Y., </w:t>
      </w:r>
      <w:proofErr w:type="spellStart"/>
      <w:r w:rsidRPr="007469AA">
        <w:rPr>
          <w:rFonts w:eastAsia="Times New Roman"/>
          <w:color w:val="auto"/>
          <w:szCs w:val="24"/>
          <w:lang w:eastAsia="en-GB"/>
        </w:rPr>
        <w:t>Daemi</w:t>
      </w:r>
      <w:proofErr w:type="spellEnd"/>
      <w:r w:rsidRPr="007469AA">
        <w:rPr>
          <w:rFonts w:eastAsia="Times New Roman"/>
          <w:color w:val="auto"/>
          <w:szCs w:val="24"/>
          <w:lang w:eastAsia="en-GB"/>
        </w:rPr>
        <w:t xml:space="preserve">, A., </w:t>
      </w:r>
      <w:proofErr w:type="spellStart"/>
      <w:r w:rsidRPr="007469AA">
        <w:rPr>
          <w:rFonts w:eastAsia="Times New Roman"/>
          <w:color w:val="auto"/>
          <w:szCs w:val="24"/>
          <w:lang w:eastAsia="en-GB"/>
        </w:rPr>
        <w:t>Babazadeh</w:t>
      </w:r>
      <w:proofErr w:type="spellEnd"/>
      <w:r w:rsidRPr="007469AA">
        <w:rPr>
          <w:rFonts w:eastAsia="Times New Roman"/>
          <w:color w:val="auto"/>
          <w:szCs w:val="24"/>
          <w:lang w:eastAsia="en-GB"/>
        </w:rPr>
        <w:t xml:space="preserve">, T., </w:t>
      </w:r>
      <w:proofErr w:type="spellStart"/>
      <w:r w:rsidRPr="007469AA">
        <w:rPr>
          <w:rFonts w:eastAsia="Times New Roman"/>
          <w:color w:val="auto"/>
          <w:szCs w:val="24"/>
          <w:lang w:eastAsia="en-GB"/>
        </w:rPr>
        <w:t>Sarbazi</w:t>
      </w:r>
      <w:proofErr w:type="spellEnd"/>
      <w:r w:rsidRPr="007469AA">
        <w:rPr>
          <w:rFonts w:eastAsia="Times New Roman"/>
          <w:color w:val="auto"/>
          <w:szCs w:val="24"/>
          <w:lang w:eastAsia="en-GB"/>
        </w:rPr>
        <w:t xml:space="preserve">, E., </w:t>
      </w:r>
      <w:proofErr w:type="spellStart"/>
      <w:r w:rsidRPr="007469AA">
        <w:rPr>
          <w:rFonts w:eastAsia="Times New Roman"/>
          <w:color w:val="auto"/>
          <w:szCs w:val="24"/>
          <w:lang w:eastAsia="en-GB"/>
        </w:rPr>
        <w:t>Dargahi-Abbasabad</w:t>
      </w:r>
      <w:proofErr w:type="spellEnd"/>
      <w:r w:rsidRPr="007469AA">
        <w:rPr>
          <w:rFonts w:eastAsia="Times New Roman"/>
          <w:color w:val="auto"/>
          <w:szCs w:val="24"/>
          <w:lang w:eastAsia="en-GB"/>
        </w:rPr>
        <w:t xml:space="preserve">, G. and </w:t>
      </w:r>
      <w:proofErr w:type="spellStart"/>
      <w:r w:rsidRPr="007469AA">
        <w:rPr>
          <w:rFonts w:eastAsia="Times New Roman"/>
          <w:color w:val="auto"/>
          <w:szCs w:val="24"/>
          <w:lang w:eastAsia="en-GB"/>
        </w:rPr>
        <w:t>Abri</w:t>
      </w:r>
      <w:proofErr w:type="spellEnd"/>
      <w:r w:rsidRPr="007469AA">
        <w:rPr>
          <w:rFonts w:eastAsia="Times New Roman"/>
          <w:color w:val="auto"/>
          <w:szCs w:val="24"/>
          <w:lang w:eastAsia="en-GB"/>
        </w:rPr>
        <w:t xml:space="preserve">, H. (2020). Impact of health literacy and self-care </w:t>
      </w:r>
      <w:proofErr w:type="spellStart"/>
      <w:r w:rsidRPr="007469AA">
        <w:rPr>
          <w:rFonts w:eastAsia="Times New Roman"/>
          <w:color w:val="auto"/>
          <w:szCs w:val="24"/>
          <w:lang w:eastAsia="en-GB"/>
        </w:rPr>
        <w:t>behaviors</w:t>
      </w:r>
      <w:proofErr w:type="spellEnd"/>
      <w:r w:rsidRPr="007469AA">
        <w:rPr>
          <w:rFonts w:eastAsia="Times New Roman"/>
          <w:color w:val="auto"/>
          <w:szCs w:val="24"/>
          <w:lang w:eastAsia="en-GB"/>
        </w:rPr>
        <w:t xml:space="preserve"> on health-related quality of life in </w:t>
      </w:r>
      <w:proofErr w:type="spellStart"/>
      <w:r w:rsidRPr="007469AA">
        <w:rPr>
          <w:rFonts w:eastAsia="Times New Roman"/>
          <w:color w:val="auto"/>
          <w:szCs w:val="24"/>
          <w:lang w:eastAsia="en-GB"/>
        </w:rPr>
        <w:t>iranians</w:t>
      </w:r>
      <w:proofErr w:type="spellEnd"/>
      <w:r w:rsidRPr="007469AA">
        <w:rPr>
          <w:rFonts w:eastAsia="Times New Roman"/>
          <w:color w:val="auto"/>
          <w:szCs w:val="24"/>
          <w:lang w:eastAsia="en-GB"/>
        </w:rPr>
        <w:t xml:space="preserve"> with type 2 diabetes: A cross-sectional study. </w:t>
      </w:r>
      <w:r w:rsidRPr="007469AA">
        <w:rPr>
          <w:rFonts w:eastAsia="Times New Roman"/>
          <w:i/>
          <w:iCs/>
          <w:color w:val="auto"/>
          <w:szCs w:val="24"/>
          <w:lang w:eastAsia="en-GB"/>
        </w:rPr>
        <w:t>Health and Quality of Life Outcomes</w:t>
      </w:r>
      <w:r w:rsidRPr="007469AA">
        <w:rPr>
          <w:rFonts w:eastAsia="Times New Roman"/>
          <w:color w:val="auto"/>
          <w:szCs w:val="24"/>
          <w:lang w:eastAsia="en-GB"/>
        </w:rPr>
        <w:t xml:space="preserve">, 18(1). </w:t>
      </w:r>
      <w:proofErr w:type="spellStart"/>
      <w:r>
        <w:rPr>
          <w:rFonts w:eastAsia="Times New Roman"/>
          <w:color w:val="auto"/>
          <w:szCs w:val="24"/>
          <w:lang w:eastAsia="en-GB"/>
        </w:rPr>
        <w:t>doi</w:t>
      </w:r>
      <w:proofErr w:type="spellEnd"/>
      <w:r>
        <w:rPr>
          <w:rFonts w:eastAsia="Times New Roman"/>
          <w:color w:val="auto"/>
          <w:szCs w:val="24"/>
          <w:lang w:eastAsia="en-GB"/>
        </w:rPr>
        <w:t xml:space="preserve">: </w:t>
      </w:r>
      <w:hyperlink r:id="rId8" w:history="1">
        <w:r w:rsidRPr="00883654">
          <w:rPr>
            <w:rStyle w:val="Hyperlink"/>
            <w:rFonts w:eastAsia="Times New Roman"/>
            <w:szCs w:val="24"/>
            <w:lang w:eastAsia="en-GB"/>
          </w:rPr>
          <w:t>https://doi.org/10.1186/s12955-020-01613-8</w:t>
        </w:r>
      </w:hyperlink>
      <w:r w:rsidRPr="007469AA">
        <w:rPr>
          <w:rFonts w:eastAsia="Times New Roman"/>
          <w:color w:val="auto"/>
          <w:szCs w:val="24"/>
          <w:lang w:eastAsia="en-GB"/>
        </w:rPr>
        <w:t>.</w:t>
      </w:r>
      <w:r>
        <w:rPr>
          <w:rFonts w:eastAsia="Times New Roman"/>
          <w:color w:val="auto"/>
          <w:szCs w:val="24"/>
          <w:lang w:eastAsia="en-GB"/>
        </w:rPr>
        <w:t xml:space="preserve"> </w:t>
      </w:r>
    </w:p>
    <w:p w14:paraId="15EE8DC7" w14:textId="77777777" w:rsidR="007469AA" w:rsidRPr="007469AA" w:rsidRDefault="007469AA" w:rsidP="007469AA">
      <w:pPr>
        <w:suppressAutoHyphens w:val="0"/>
        <w:spacing w:line="240" w:lineRule="auto"/>
        <w:ind w:left="567" w:hanging="567"/>
        <w:rPr>
          <w:rFonts w:eastAsia="Times New Roman"/>
          <w:color w:val="auto"/>
          <w:szCs w:val="24"/>
          <w:lang w:eastAsia="en-GB"/>
        </w:rPr>
      </w:pPr>
      <w:r w:rsidRPr="007469AA">
        <w:rPr>
          <w:rFonts w:eastAsia="Times New Roman"/>
          <w:color w:val="auto"/>
          <w:szCs w:val="24"/>
          <w:lang w:eastAsia="en-GB"/>
        </w:rPr>
        <w:t xml:space="preserve">Hosseini, F., </w:t>
      </w:r>
      <w:proofErr w:type="spellStart"/>
      <w:r w:rsidRPr="007469AA">
        <w:rPr>
          <w:rFonts w:eastAsia="Times New Roman"/>
          <w:color w:val="auto"/>
          <w:szCs w:val="24"/>
          <w:lang w:eastAsia="en-GB"/>
        </w:rPr>
        <w:t>Jayedi</w:t>
      </w:r>
      <w:proofErr w:type="spellEnd"/>
      <w:r w:rsidRPr="007469AA">
        <w:rPr>
          <w:rFonts w:eastAsia="Times New Roman"/>
          <w:color w:val="auto"/>
          <w:szCs w:val="24"/>
          <w:lang w:eastAsia="en-GB"/>
        </w:rPr>
        <w:t xml:space="preserve">, A., Khan, T.A. and </w:t>
      </w:r>
      <w:proofErr w:type="spellStart"/>
      <w:r w:rsidRPr="007469AA">
        <w:rPr>
          <w:rFonts w:eastAsia="Times New Roman"/>
          <w:color w:val="auto"/>
          <w:szCs w:val="24"/>
          <w:lang w:eastAsia="en-GB"/>
        </w:rPr>
        <w:t>Shab-Bidar</w:t>
      </w:r>
      <w:proofErr w:type="spellEnd"/>
      <w:r w:rsidRPr="007469AA">
        <w:rPr>
          <w:rFonts w:eastAsia="Times New Roman"/>
          <w:color w:val="auto"/>
          <w:szCs w:val="24"/>
          <w:lang w:eastAsia="en-GB"/>
        </w:rPr>
        <w:t xml:space="preserve">, S. (2022). Dietary carbohydrate and the risk of type 2 diabetes: An updated systematic review and dose–response meta-analysis of prospective cohort studies. </w:t>
      </w:r>
      <w:r w:rsidRPr="007469AA">
        <w:rPr>
          <w:rFonts w:eastAsia="Times New Roman"/>
          <w:i/>
          <w:iCs/>
          <w:color w:val="auto"/>
          <w:szCs w:val="24"/>
          <w:lang w:eastAsia="en-GB"/>
        </w:rPr>
        <w:t>Scientific Reports</w:t>
      </w:r>
      <w:r w:rsidRPr="007469AA">
        <w:rPr>
          <w:rFonts w:eastAsia="Times New Roman"/>
          <w:color w:val="auto"/>
          <w:szCs w:val="24"/>
          <w:lang w:eastAsia="en-GB"/>
        </w:rPr>
        <w:t xml:space="preserve">, 12(1). </w:t>
      </w:r>
      <w:proofErr w:type="spellStart"/>
      <w:r>
        <w:rPr>
          <w:rFonts w:eastAsia="Times New Roman"/>
          <w:color w:val="auto"/>
          <w:szCs w:val="24"/>
          <w:lang w:eastAsia="en-GB"/>
        </w:rPr>
        <w:t>doi</w:t>
      </w:r>
      <w:proofErr w:type="spellEnd"/>
      <w:r>
        <w:rPr>
          <w:rFonts w:eastAsia="Times New Roman"/>
          <w:color w:val="auto"/>
          <w:szCs w:val="24"/>
          <w:lang w:eastAsia="en-GB"/>
        </w:rPr>
        <w:t xml:space="preserve">: </w:t>
      </w:r>
      <w:hyperlink r:id="rId9" w:history="1">
        <w:r w:rsidRPr="00883654">
          <w:rPr>
            <w:rStyle w:val="Hyperlink"/>
            <w:rFonts w:eastAsia="Times New Roman"/>
            <w:szCs w:val="24"/>
            <w:lang w:eastAsia="en-GB"/>
          </w:rPr>
          <w:t>https://doi.org/10.1038/s41598-022-06212-9</w:t>
        </w:r>
      </w:hyperlink>
      <w:r w:rsidRPr="007469AA">
        <w:rPr>
          <w:rFonts w:eastAsia="Times New Roman"/>
          <w:color w:val="auto"/>
          <w:szCs w:val="24"/>
          <w:lang w:eastAsia="en-GB"/>
        </w:rPr>
        <w:t>.</w:t>
      </w:r>
      <w:r>
        <w:rPr>
          <w:rFonts w:eastAsia="Times New Roman"/>
          <w:color w:val="auto"/>
          <w:szCs w:val="24"/>
          <w:lang w:eastAsia="en-GB"/>
        </w:rPr>
        <w:t xml:space="preserve"> </w:t>
      </w:r>
    </w:p>
    <w:p w14:paraId="7BC1BD6B" w14:textId="77777777" w:rsidR="007469AA" w:rsidRPr="007469AA" w:rsidRDefault="007469AA" w:rsidP="007469AA">
      <w:pPr>
        <w:suppressAutoHyphens w:val="0"/>
        <w:spacing w:line="240" w:lineRule="auto"/>
        <w:ind w:left="567" w:hanging="567"/>
        <w:rPr>
          <w:rFonts w:eastAsia="Times New Roman"/>
          <w:color w:val="auto"/>
          <w:szCs w:val="24"/>
          <w:lang w:eastAsia="en-GB"/>
        </w:rPr>
      </w:pPr>
      <w:r w:rsidRPr="007469AA">
        <w:rPr>
          <w:rFonts w:eastAsia="Times New Roman"/>
          <w:color w:val="auto"/>
          <w:szCs w:val="24"/>
          <w:lang w:eastAsia="en-GB"/>
        </w:rPr>
        <w:t xml:space="preserve">Kang, J., </w:t>
      </w:r>
      <w:proofErr w:type="spellStart"/>
      <w:r w:rsidRPr="007469AA">
        <w:rPr>
          <w:rFonts w:eastAsia="Times New Roman"/>
          <w:color w:val="auto"/>
          <w:szCs w:val="24"/>
          <w:lang w:eastAsia="en-GB"/>
        </w:rPr>
        <w:t>Fardman</w:t>
      </w:r>
      <w:proofErr w:type="spellEnd"/>
      <w:r w:rsidRPr="007469AA">
        <w:rPr>
          <w:rFonts w:eastAsia="Times New Roman"/>
          <w:color w:val="auto"/>
          <w:szCs w:val="24"/>
          <w:lang w:eastAsia="en-GB"/>
        </w:rPr>
        <w:t xml:space="preserve">, B.M., </w:t>
      </w:r>
      <w:proofErr w:type="spellStart"/>
      <w:r w:rsidRPr="007469AA">
        <w:rPr>
          <w:rFonts w:eastAsia="Times New Roman"/>
          <w:color w:val="auto"/>
          <w:szCs w:val="24"/>
          <w:lang w:eastAsia="en-GB"/>
        </w:rPr>
        <w:t>Ratamess</w:t>
      </w:r>
      <w:proofErr w:type="spellEnd"/>
      <w:r w:rsidRPr="007469AA">
        <w:rPr>
          <w:rFonts w:eastAsia="Times New Roman"/>
          <w:color w:val="auto"/>
          <w:szCs w:val="24"/>
          <w:lang w:eastAsia="en-GB"/>
        </w:rPr>
        <w:t xml:space="preserve">, N.A., </w:t>
      </w:r>
      <w:proofErr w:type="spellStart"/>
      <w:r w:rsidRPr="007469AA">
        <w:rPr>
          <w:rFonts w:eastAsia="Times New Roman"/>
          <w:color w:val="auto"/>
          <w:szCs w:val="24"/>
          <w:lang w:eastAsia="en-GB"/>
        </w:rPr>
        <w:t>Faigenbaum</w:t>
      </w:r>
      <w:proofErr w:type="spellEnd"/>
      <w:r w:rsidRPr="007469AA">
        <w:rPr>
          <w:rFonts w:eastAsia="Times New Roman"/>
          <w:color w:val="auto"/>
          <w:szCs w:val="24"/>
          <w:lang w:eastAsia="en-GB"/>
        </w:rPr>
        <w:t xml:space="preserve">, A.D. and Bush, J.A. (2023). Efficacy of postprandial exercise in mitigating glycemic responses in overweight individuals and individuals with obesity and type 2 diabetes—A systematic review and meta-analysis. </w:t>
      </w:r>
      <w:r w:rsidRPr="007469AA">
        <w:rPr>
          <w:rFonts w:eastAsia="Times New Roman"/>
          <w:i/>
          <w:iCs/>
          <w:color w:val="auto"/>
          <w:szCs w:val="24"/>
          <w:lang w:eastAsia="en-GB"/>
        </w:rPr>
        <w:t>Nutrients</w:t>
      </w:r>
      <w:r w:rsidRPr="007469AA">
        <w:rPr>
          <w:rFonts w:eastAsia="Times New Roman"/>
          <w:color w:val="auto"/>
          <w:szCs w:val="24"/>
          <w:lang w:eastAsia="en-GB"/>
        </w:rPr>
        <w:t xml:space="preserve">, 15(20), p.4489. </w:t>
      </w:r>
      <w:proofErr w:type="spellStart"/>
      <w:r>
        <w:rPr>
          <w:rFonts w:eastAsia="Times New Roman"/>
          <w:color w:val="auto"/>
          <w:szCs w:val="24"/>
          <w:lang w:eastAsia="en-GB"/>
        </w:rPr>
        <w:t>doi</w:t>
      </w:r>
      <w:proofErr w:type="spellEnd"/>
      <w:r>
        <w:rPr>
          <w:rFonts w:eastAsia="Times New Roman"/>
          <w:color w:val="auto"/>
          <w:szCs w:val="24"/>
          <w:lang w:eastAsia="en-GB"/>
        </w:rPr>
        <w:t xml:space="preserve">: </w:t>
      </w:r>
      <w:hyperlink r:id="rId10" w:history="1">
        <w:r w:rsidRPr="00883654">
          <w:rPr>
            <w:rStyle w:val="Hyperlink"/>
            <w:rFonts w:eastAsia="Times New Roman"/>
            <w:szCs w:val="24"/>
            <w:lang w:eastAsia="en-GB"/>
          </w:rPr>
          <w:t>https://doi.org/10.3390/nu15204489</w:t>
        </w:r>
      </w:hyperlink>
      <w:r w:rsidRPr="007469AA">
        <w:rPr>
          <w:rFonts w:eastAsia="Times New Roman"/>
          <w:color w:val="auto"/>
          <w:szCs w:val="24"/>
          <w:lang w:eastAsia="en-GB"/>
        </w:rPr>
        <w:t>.</w:t>
      </w:r>
      <w:r>
        <w:rPr>
          <w:rFonts w:eastAsia="Times New Roman"/>
          <w:color w:val="auto"/>
          <w:szCs w:val="24"/>
          <w:lang w:eastAsia="en-GB"/>
        </w:rPr>
        <w:t xml:space="preserve"> </w:t>
      </w:r>
    </w:p>
    <w:p w14:paraId="528C9F91" w14:textId="77777777" w:rsidR="007469AA" w:rsidRPr="007469AA" w:rsidRDefault="007469AA" w:rsidP="007469AA">
      <w:pPr>
        <w:suppressAutoHyphens w:val="0"/>
        <w:spacing w:line="240" w:lineRule="auto"/>
        <w:ind w:left="567" w:hanging="567"/>
        <w:rPr>
          <w:rFonts w:eastAsia="Times New Roman"/>
          <w:color w:val="auto"/>
          <w:szCs w:val="24"/>
          <w:lang w:eastAsia="en-GB"/>
        </w:rPr>
      </w:pPr>
      <w:r w:rsidRPr="007469AA">
        <w:rPr>
          <w:rFonts w:eastAsia="Times New Roman"/>
          <w:color w:val="auto"/>
          <w:szCs w:val="24"/>
          <w:lang w:eastAsia="en-GB"/>
        </w:rPr>
        <w:t xml:space="preserve">Krakauer, M., </w:t>
      </w:r>
      <w:proofErr w:type="spellStart"/>
      <w:r w:rsidRPr="007469AA">
        <w:rPr>
          <w:rFonts w:eastAsia="Times New Roman"/>
          <w:color w:val="auto"/>
          <w:szCs w:val="24"/>
          <w:lang w:eastAsia="en-GB"/>
        </w:rPr>
        <w:t>Botero</w:t>
      </w:r>
      <w:proofErr w:type="spellEnd"/>
      <w:r w:rsidRPr="007469AA">
        <w:rPr>
          <w:rFonts w:eastAsia="Times New Roman"/>
          <w:color w:val="auto"/>
          <w:szCs w:val="24"/>
          <w:lang w:eastAsia="en-GB"/>
        </w:rPr>
        <w:t xml:space="preserve">, J.F., </w:t>
      </w:r>
      <w:proofErr w:type="spellStart"/>
      <w:r w:rsidRPr="007469AA">
        <w:rPr>
          <w:rFonts w:eastAsia="Times New Roman"/>
          <w:color w:val="auto"/>
          <w:szCs w:val="24"/>
          <w:lang w:eastAsia="en-GB"/>
        </w:rPr>
        <w:t>Lavalle-González</w:t>
      </w:r>
      <w:proofErr w:type="spellEnd"/>
      <w:r w:rsidRPr="007469AA">
        <w:rPr>
          <w:rFonts w:eastAsia="Times New Roman"/>
          <w:color w:val="auto"/>
          <w:szCs w:val="24"/>
          <w:lang w:eastAsia="en-GB"/>
        </w:rPr>
        <w:t xml:space="preserve">, F.J., </w:t>
      </w:r>
      <w:proofErr w:type="spellStart"/>
      <w:r w:rsidRPr="007469AA">
        <w:rPr>
          <w:rFonts w:eastAsia="Times New Roman"/>
          <w:color w:val="auto"/>
          <w:szCs w:val="24"/>
          <w:lang w:eastAsia="en-GB"/>
        </w:rPr>
        <w:t>Proietti</w:t>
      </w:r>
      <w:proofErr w:type="spellEnd"/>
      <w:r w:rsidRPr="007469AA">
        <w:rPr>
          <w:rFonts w:eastAsia="Times New Roman"/>
          <w:color w:val="auto"/>
          <w:szCs w:val="24"/>
          <w:lang w:eastAsia="en-GB"/>
        </w:rPr>
        <w:t xml:space="preserve">, A. and Barbieri, D.E. (2021). A review of flash glucose monitoring in type 2 diabetes. </w:t>
      </w:r>
      <w:proofErr w:type="spellStart"/>
      <w:r w:rsidRPr="007469AA">
        <w:rPr>
          <w:rFonts w:eastAsia="Times New Roman"/>
          <w:i/>
          <w:iCs/>
          <w:color w:val="auto"/>
          <w:szCs w:val="24"/>
          <w:lang w:eastAsia="en-GB"/>
        </w:rPr>
        <w:t>Diabetology</w:t>
      </w:r>
      <w:proofErr w:type="spellEnd"/>
      <w:r w:rsidRPr="007469AA">
        <w:rPr>
          <w:rFonts w:eastAsia="Times New Roman"/>
          <w:i/>
          <w:iCs/>
          <w:color w:val="auto"/>
          <w:szCs w:val="24"/>
          <w:lang w:eastAsia="en-GB"/>
        </w:rPr>
        <w:t xml:space="preserve"> &amp; Metabolic Syndrome</w:t>
      </w:r>
      <w:r w:rsidRPr="007469AA">
        <w:rPr>
          <w:rFonts w:eastAsia="Times New Roman"/>
          <w:color w:val="auto"/>
          <w:szCs w:val="24"/>
          <w:lang w:eastAsia="en-GB"/>
        </w:rPr>
        <w:t xml:space="preserve">, 13(1). </w:t>
      </w:r>
      <w:proofErr w:type="spellStart"/>
      <w:r>
        <w:rPr>
          <w:rFonts w:eastAsia="Times New Roman"/>
          <w:color w:val="auto"/>
          <w:szCs w:val="24"/>
          <w:lang w:eastAsia="en-GB"/>
        </w:rPr>
        <w:t>doi</w:t>
      </w:r>
      <w:proofErr w:type="spellEnd"/>
      <w:r>
        <w:rPr>
          <w:rFonts w:eastAsia="Times New Roman"/>
          <w:color w:val="auto"/>
          <w:szCs w:val="24"/>
          <w:lang w:eastAsia="en-GB"/>
        </w:rPr>
        <w:t xml:space="preserve">: </w:t>
      </w:r>
      <w:hyperlink r:id="rId11" w:history="1">
        <w:r w:rsidRPr="00883654">
          <w:rPr>
            <w:rStyle w:val="Hyperlink"/>
            <w:rFonts w:eastAsia="Times New Roman"/>
            <w:szCs w:val="24"/>
            <w:lang w:eastAsia="en-GB"/>
          </w:rPr>
          <w:t>https://doi.org/10.1186/s13098-021-00654-3</w:t>
        </w:r>
      </w:hyperlink>
      <w:r w:rsidRPr="007469AA">
        <w:rPr>
          <w:rFonts w:eastAsia="Times New Roman"/>
          <w:color w:val="auto"/>
          <w:szCs w:val="24"/>
          <w:lang w:eastAsia="en-GB"/>
        </w:rPr>
        <w:t>.</w:t>
      </w:r>
      <w:r>
        <w:rPr>
          <w:rFonts w:eastAsia="Times New Roman"/>
          <w:color w:val="auto"/>
          <w:szCs w:val="24"/>
          <w:lang w:eastAsia="en-GB"/>
        </w:rPr>
        <w:t xml:space="preserve"> </w:t>
      </w:r>
    </w:p>
    <w:p w14:paraId="77D25484" w14:textId="77777777" w:rsidR="007469AA" w:rsidRPr="007469AA" w:rsidRDefault="007469AA" w:rsidP="007469AA">
      <w:pPr>
        <w:suppressAutoHyphens w:val="0"/>
        <w:spacing w:line="240" w:lineRule="auto"/>
        <w:ind w:left="567" w:hanging="567"/>
        <w:rPr>
          <w:rFonts w:eastAsia="Times New Roman"/>
          <w:color w:val="auto"/>
          <w:szCs w:val="24"/>
          <w:lang w:eastAsia="en-GB"/>
        </w:rPr>
      </w:pPr>
      <w:r w:rsidRPr="007469AA">
        <w:rPr>
          <w:rFonts w:eastAsia="Times New Roman"/>
          <w:color w:val="auto"/>
          <w:szCs w:val="24"/>
          <w:lang w:eastAsia="en-GB"/>
        </w:rPr>
        <w:t xml:space="preserve">Las, G., Oliveira, M.F. and </w:t>
      </w:r>
      <w:proofErr w:type="spellStart"/>
      <w:r w:rsidRPr="007469AA">
        <w:rPr>
          <w:rFonts w:eastAsia="Times New Roman"/>
          <w:color w:val="auto"/>
          <w:szCs w:val="24"/>
          <w:lang w:eastAsia="en-GB"/>
        </w:rPr>
        <w:t>Shirihai</w:t>
      </w:r>
      <w:proofErr w:type="spellEnd"/>
      <w:r w:rsidRPr="007469AA">
        <w:rPr>
          <w:rFonts w:eastAsia="Times New Roman"/>
          <w:color w:val="auto"/>
          <w:szCs w:val="24"/>
          <w:lang w:eastAsia="en-GB"/>
        </w:rPr>
        <w:t xml:space="preserve">, O.S. (2020). Emerging roles of β-cell mitochondria in type-2-diabetes. </w:t>
      </w:r>
      <w:r w:rsidRPr="007469AA">
        <w:rPr>
          <w:rFonts w:eastAsia="Times New Roman"/>
          <w:i/>
          <w:iCs/>
          <w:color w:val="auto"/>
          <w:szCs w:val="24"/>
          <w:lang w:eastAsia="en-GB"/>
        </w:rPr>
        <w:t>Molecular Aspects of Medicine</w:t>
      </w:r>
      <w:r w:rsidRPr="007469AA">
        <w:rPr>
          <w:rFonts w:eastAsia="Times New Roman"/>
          <w:color w:val="auto"/>
          <w:szCs w:val="24"/>
          <w:lang w:eastAsia="en-GB"/>
        </w:rPr>
        <w:t xml:space="preserve">, 71, p.100843. </w:t>
      </w:r>
      <w:proofErr w:type="spellStart"/>
      <w:r>
        <w:rPr>
          <w:rFonts w:eastAsia="Times New Roman"/>
          <w:color w:val="auto"/>
          <w:szCs w:val="24"/>
          <w:lang w:eastAsia="en-GB"/>
        </w:rPr>
        <w:t>doi</w:t>
      </w:r>
      <w:proofErr w:type="spellEnd"/>
      <w:r>
        <w:rPr>
          <w:rFonts w:eastAsia="Times New Roman"/>
          <w:color w:val="auto"/>
          <w:szCs w:val="24"/>
          <w:lang w:eastAsia="en-GB"/>
        </w:rPr>
        <w:t xml:space="preserve">: </w:t>
      </w:r>
      <w:hyperlink r:id="rId12" w:history="1">
        <w:r w:rsidRPr="00883654">
          <w:rPr>
            <w:rStyle w:val="Hyperlink"/>
            <w:rFonts w:eastAsia="Times New Roman"/>
            <w:szCs w:val="24"/>
            <w:lang w:eastAsia="en-GB"/>
          </w:rPr>
          <w:t>https://doi.org/10.1016/j.mam.2019.100843</w:t>
        </w:r>
      </w:hyperlink>
      <w:r w:rsidRPr="007469AA">
        <w:rPr>
          <w:rFonts w:eastAsia="Times New Roman"/>
          <w:color w:val="auto"/>
          <w:szCs w:val="24"/>
          <w:lang w:eastAsia="en-GB"/>
        </w:rPr>
        <w:t>.</w:t>
      </w:r>
      <w:r>
        <w:rPr>
          <w:rFonts w:eastAsia="Times New Roman"/>
          <w:color w:val="auto"/>
          <w:szCs w:val="24"/>
          <w:lang w:eastAsia="en-GB"/>
        </w:rPr>
        <w:t xml:space="preserve"> </w:t>
      </w:r>
    </w:p>
    <w:p w14:paraId="5B0139CC" w14:textId="77777777" w:rsidR="007469AA" w:rsidRPr="007469AA" w:rsidRDefault="007469AA" w:rsidP="007469AA">
      <w:pPr>
        <w:suppressAutoHyphens w:val="0"/>
        <w:spacing w:line="240" w:lineRule="auto"/>
        <w:ind w:left="567" w:hanging="567"/>
        <w:rPr>
          <w:rFonts w:eastAsia="Times New Roman"/>
          <w:color w:val="auto"/>
          <w:szCs w:val="24"/>
          <w:lang w:eastAsia="en-GB"/>
        </w:rPr>
      </w:pPr>
      <w:r w:rsidRPr="007469AA">
        <w:rPr>
          <w:rFonts w:eastAsia="Times New Roman"/>
          <w:color w:val="auto"/>
          <w:szCs w:val="24"/>
          <w:lang w:eastAsia="en-GB"/>
        </w:rPr>
        <w:t xml:space="preserve">Lee, H. and Chu, H.S. (2025). Moderating effect of health literacy on the relationship between diabetes self-management education and self-care monitoring activities among individuals with type 2 diabetes mellitus. </w:t>
      </w:r>
      <w:r w:rsidRPr="007469AA">
        <w:rPr>
          <w:rFonts w:eastAsia="Times New Roman"/>
          <w:i/>
          <w:iCs/>
          <w:color w:val="auto"/>
          <w:szCs w:val="24"/>
          <w:lang w:eastAsia="en-GB"/>
        </w:rPr>
        <w:t>BMC Public Health</w:t>
      </w:r>
      <w:r w:rsidRPr="007469AA">
        <w:rPr>
          <w:rFonts w:eastAsia="Times New Roman"/>
          <w:color w:val="auto"/>
          <w:szCs w:val="24"/>
          <w:lang w:eastAsia="en-GB"/>
        </w:rPr>
        <w:t xml:space="preserve">, 25(1). </w:t>
      </w:r>
      <w:proofErr w:type="spellStart"/>
      <w:r>
        <w:rPr>
          <w:rFonts w:eastAsia="Times New Roman"/>
          <w:color w:val="auto"/>
          <w:szCs w:val="24"/>
          <w:lang w:eastAsia="en-GB"/>
        </w:rPr>
        <w:t>doi</w:t>
      </w:r>
      <w:proofErr w:type="spellEnd"/>
      <w:r>
        <w:rPr>
          <w:rFonts w:eastAsia="Times New Roman"/>
          <w:color w:val="auto"/>
          <w:szCs w:val="24"/>
          <w:lang w:eastAsia="en-GB"/>
        </w:rPr>
        <w:t xml:space="preserve">: </w:t>
      </w:r>
      <w:hyperlink r:id="rId13" w:history="1">
        <w:r w:rsidRPr="00883654">
          <w:rPr>
            <w:rStyle w:val="Hyperlink"/>
            <w:rFonts w:eastAsia="Times New Roman"/>
            <w:szCs w:val="24"/>
            <w:lang w:eastAsia="en-GB"/>
          </w:rPr>
          <w:t>https://doi.org/10.1186/s12889-025-23765-2</w:t>
        </w:r>
      </w:hyperlink>
      <w:r w:rsidRPr="007469AA">
        <w:rPr>
          <w:rFonts w:eastAsia="Times New Roman"/>
          <w:color w:val="auto"/>
          <w:szCs w:val="24"/>
          <w:lang w:eastAsia="en-GB"/>
        </w:rPr>
        <w:t>.</w:t>
      </w:r>
      <w:r>
        <w:rPr>
          <w:rFonts w:eastAsia="Times New Roman"/>
          <w:color w:val="auto"/>
          <w:szCs w:val="24"/>
          <w:lang w:eastAsia="en-GB"/>
        </w:rPr>
        <w:t xml:space="preserve"> </w:t>
      </w:r>
    </w:p>
    <w:p w14:paraId="59132BE3" w14:textId="77777777" w:rsidR="007469AA" w:rsidRPr="007469AA" w:rsidRDefault="007469AA" w:rsidP="007469AA">
      <w:pPr>
        <w:suppressAutoHyphens w:val="0"/>
        <w:spacing w:line="240" w:lineRule="auto"/>
        <w:ind w:left="567" w:hanging="567"/>
        <w:rPr>
          <w:rFonts w:eastAsia="Times New Roman"/>
          <w:color w:val="auto"/>
          <w:szCs w:val="24"/>
          <w:lang w:eastAsia="en-GB"/>
        </w:rPr>
      </w:pPr>
      <w:r w:rsidRPr="007469AA">
        <w:rPr>
          <w:rFonts w:eastAsia="Times New Roman"/>
          <w:color w:val="auto"/>
          <w:szCs w:val="24"/>
          <w:lang w:eastAsia="en-GB"/>
        </w:rPr>
        <w:t xml:space="preserve">Luo, X., Zheng, C. and Wu, Q. (2025). Systematic review of healthcare-led and lay-led interventions for type 2 diabetes in community settings. </w:t>
      </w:r>
      <w:r w:rsidRPr="007469AA">
        <w:rPr>
          <w:rFonts w:eastAsia="Times New Roman"/>
          <w:i/>
          <w:iCs/>
          <w:color w:val="auto"/>
          <w:szCs w:val="24"/>
          <w:lang w:eastAsia="en-GB"/>
        </w:rPr>
        <w:t>Scientific Reports</w:t>
      </w:r>
      <w:r w:rsidRPr="007469AA">
        <w:rPr>
          <w:rFonts w:eastAsia="Times New Roman"/>
          <w:color w:val="auto"/>
          <w:szCs w:val="24"/>
          <w:lang w:eastAsia="en-GB"/>
        </w:rPr>
        <w:t xml:space="preserve">, 15(1), pp.44433–44433. </w:t>
      </w:r>
      <w:proofErr w:type="spellStart"/>
      <w:r>
        <w:rPr>
          <w:rFonts w:eastAsia="Times New Roman"/>
          <w:color w:val="auto"/>
          <w:szCs w:val="24"/>
          <w:lang w:eastAsia="en-GB"/>
        </w:rPr>
        <w:t>doi</w:t>
      </w:r>
      <w:proofErr w:type="spellEnd"/>
      <w:r>
        <w:rPr>
          <w:rFonts w:eastAsia="Times New Roman"/>
          <w:color w:val="auto"/>
          <w:szCs w:val="24"/>
          <w:lang w:eastAsia="en-GB"/>
        </w:rPr>
        <w:t xml:space="preserve">: </w:t>
      </w:r>
      <w:hyperlink r:id="rId14" w:history="1">
        <w:r w:rsidRPr="00883654">
          <w:rPr>
            <w:rStyle w:val="Hyperlink"/>
            <w:rFonts w:eastAsia="Times New Roman"/>
            <w:szCs w:val="24"/>
            <w:lang w:eastAsia="en-GB"/>
          </w:rPr>
          <w:t>https://doi.org/10.1038/s41598-025-28010-9</w:t>
        </w:r>
      </w:hyperlink>
      <w:r w:rsidRPr="007469AA">
        <w:rPr>
          <w:rFonts w:eastAsia="Times New Roman"/>
          <w:color w:val="auto"/>
          <w:szCs w:val="24"/>
          <w:lang w:eastAsia="en-GB"/>
        </w:rPr>
        <w:t>.</w:t>
      </w:r>
      <w:r>
        <w:rPr>
          <w:rFonts w:eastAsia="Times New Roman"/>
          <w:color w:val="auto"/>
          <w:szCs w:val="24"/>
          <w:lang w:eastAsia="en-GB"/>
        </w:rPr>
        <w:t xml:space="preserve"> </w:t>
      </w:r>
    </w:p>
    <w:p w14:paraId="4F878911" w14:textId="77777777" w:rsidR="007469AA" w:rsidRPr="007469AA" w:rsidRDefault="007469AA" w:rsidP="007469AA">
      <w:pPr>
        <w:suppressAutoHyphens w:val="0"/>
        <w:spacing w:line="240" w:lineRule="auto"/>
        <w:ind w:left="567" w:hanging="567"/>
        <w:rPr>
          <w:rFonts w:eastAsia="Times New Roman"/>
          <w:color w:val="auto"/>
          <w:szCs w:val="24"/>
          <w:lang w:eastAsia="en-GB"/>
        </w:rPr>
      </w:pPr>
      <w:r w:rsidRPr="007469AA">
        <w:rPr>
          <w:rFonts w:eastAsia="Times New Roman"/>
          <w:color w:val="auto"/>
          <w:szCs w:val="24"/>
          <w:lang w:eastAsia="en-GB"/>
        </w:rPr>
        <w:t xml:space="preserve">Marchetti, P., Suleiman, M., De Luca, C., </w:t>
      </w:r>
      <w:proofErr w:type="spellStart"/>
      <w:r w:rsidRPr="007469AA">
        <w:rPr>
          <w:rFonts w:eastAsia="Times New Roman"/>
          <w:color w:val="auto"/>
          <w:szCs w:val="24"/>
          <w:lang w:eastAsia="en-GB"/>
        </w:rPr>
        <w:t>Baronti</w:t>
      </w:r>
      <w:proofErr w:type="spellEnd"/>
      <w:r w:rsidRPr="007469AA">
        <w:rPr>
          <w:rFonts w:eastAsia="Times New Roman"/>
          <w:color w:val="auto"/>
          <w:szCs w:val="24"/>
          <w:lang w:eastAsia="en-GB"/>
        </w:rPr>
        <w:t xml:space="preserve">, W., </w:t>
      </w:r>
      <w:proofErr w:type="spellStart"/>
      <w:r w:rsidRPr="007469AA">
        <w:rPr>
          <w:rFonts w:eastAsia="Times New Roman"/>
          <w:color w:val="auto"/>
          <w:szCs w:val="24"/>
          <w:lang w:eastAsia="en-GB"/>
        </w:rPr>
        <w:t>Bosi</w:t>
      </w:r>
      <w:proofErr w:type="spellEnd"/>
      <w:r w:rsidRPr="007469AA">
        <w:rPr>
          <w:rFonts w:eastAsia="Times New Roman"/>
          <w:color w:val="auto"/>
          <w:szCs w:val="24"/>
          <w:lang w:eastAsia="en-GB"/>
        </w:rPr>
        <w:t xml:space="preserve">, E., </w:t>
      </w:r>
      <w:proofErr w:type="spellStart"/>
      <w:r w:rsidRPr="007469AA">
        <w:rPr>
          <w:rFonts w:eastAsia="Times New Roman"/>
          <w:color w:val="auto"/>
          <w:szCs w:val="24"/>
          <w:lang w:eastAsia="en-GB"/>
        </w:rPr>
        <w:t>Tesi</w:t>
      </w:r>
      <w:proofErr w:type="spellEnd"/>
      <w:r w:rsidRPr="007469AA">
        <w:rPr>
          <w:rFonts w:eastAsia="Times New Roman"/>
          <w:color w:val="auto"/>
          <w:szCs w:val="24"/>
          <w:lang w:eastAsia="en-GB"/>
        </w:rPr>
        <w:t xml:space="preserve">, M. and </w:t>
      </w:r>
      <w:proofErr w:type="spellStart"/>
      <w:r w:rsidRPr="007469AA">
        <w:rPr>
          <w:rFonts w:eastAsia="Times New Roman"/>
          <w:color w:val="auto"/>
          <w:szCs w:val="24"/>
          <w:lang w:eastAsia="en-GB"/>
        </w:rPr>
        <w:t>Marselli</w:t>
      </w:r>
      <w:proofErr w:type="spellEnd"/>
      <w:r w:rsidRPr="007469AA">
        <w:rPr>
          <w:rFonts w:eastAsia="Times New Roman"/>
          <w:color w:val="auto"/>
          <w:szCs w:val="24"/>
          <w:lang w:eastAsia="en-GB"/>
        </w:rPr>
        <w:t xml:space="preserve">, L. (2020). A direct look at the dysfunction and pathology of the β cells in human type 2 diabetes. </w:t>
      </w:r>
      <w:r w:rsidRPr="007469AA">
        <w:rPr>
          <w:rFonts w:eastAsia="Times New Roman"/>
          <w:i/>
          <w:iCs/>
          <w:color w:val="auto"/>
          <w:szCs w:val="24"/>
          <w:lang w:eastAsia="en-GB"/>
        </w:rPr>
        <w:t>Seminars in Cell &amp; Developmental Biology</w:t>
      </w:r>
      <w:r w:rsidRPr="007469AA">
        <w:rPr>
          <w:rFonts w:eastAsia="Times New Roman"/>
          <w:color w:val="auto"/>
          <w:szCs w:val="24"/>
          <w:lang w:eastAsia="en-GB"/>
        </w:rPr>
        <w:t xml:space="preserve">, 103, pp.83–93. </w:t>
      </w:r>
      <w:proofErr w:type="spellStart"/>
      <w:r>
        <w:rPr>
          <w:rFonts w:eastAsia="Times New Roman"/>
          <w:color w:val="auto"/>
          <w:szCs w:val="24"/>
          <w:lang w:eastAsia="en-GB"/>
        </w:rPr>
        <w:t>doi</w:t>
      </w:r>
      <w:proofErr w:type="spellEnd"/>
      <w:r>
        <w:rPr>
          <w:rFonts w:eastAsia="Times New Roman"/>
          <w:color w:val="auto"/>
          <w:szCs w:val="24"/>
          <w:lang w:eastAsia="en-GB"/>
        </w:rPr>
        <w:t xml:space="preserve">: </w:t>
      </w:r>
      <w:hyperlink r:id="rId15" w:history="1">
        <w:r w:rsidRPr="00883654">
          <w:rPr>
            <w:rStyle w:val="Hyperlink"/>
            <w:rFonts w:eastAsia="Times New Roman"/>
            <w:szCs w:val="24"/>
            <w:lang w:eastAsia="en-GB"/>
          </w:rPr>
          <w:t>https://doi.org/10.1016/j.semcdb.2020.04.005</w:t>
        </w:r>
      </w:hyperlink>
      <w:r w:rsidRPr="007469AA">
        <w:rPr>
          <w:rFonts w:eastAsia="Times New Roman"/>
          <w:color w:val="auto"/>
          <w:szCs w:val="24"/>
          <w:lang w:eastAsia="en-GB"/>
        </w:rPr>
        <w:t>.</w:t>
      </w:r>
      <w:r>
        <w:rPr>
          <w:rFonts w:eastAsia="Times New Roman"/>
          <w:color w:val="auto"/>
          <w:szCs w:val="24"/>
          <w:lang w:eastAsia="en-GB"/>
        </w:rPr>
        <w:t xml:space="preserve"> </w:t>
      </w:r>
    </w:p>
    <w:p w14:paraId="1DA236B5" w14:textId="77777777" w:rsidR="007469AA" w:rsidRPr="007469AA" w:rsidRDefault="007469AA" w:rsidP="007469AA">
      <w:pPr>
        <w:suppressAutoHyphens w:val="0"/>
        <w:spacing w:line="240" w:lineRule="auto"/>
        <w:ind w:left="567" w:hanging="567"/>
        <w:rPr>
          <w:rFonts w:eastAsia="Times New Roman"/>
          <w:color w:val="auto"/>
          <w:szCs w:val="24"/>
          <w:lang w:eastAsia="en-GB"/>
        </w:rPr>
      </w:pPr>
      <w:r w:rsidRPr="007469AA">
        <w:rPr>
          <w:rFonts w:eastAsia="Times New Roman"/>
          <w:color w:val="auto"/>
          <w:szCs w:val="24"/>
          <w:lang w:eastAsia="en-GB"/>
        </w:rPr>
        <w:t xml:space="preserve">Marrano, N., </w:t>
      </w:r>
      <w:proofErr w:type="spellStart"/>
      <w:r w:rsidRPr="007469AA">
        <w:rPr>
          <w:rFonts w:eastAsia="Times New Roman"/>
          <w:color w:val="auto"/>
          <w:szCs w:val="24"/>
          <w:lang w:eastAsia="en-GB"/>
        </w:rPr>
        <w:t>Biondi</w:t>
      </w:r>
      <w:proofErr w:type="spellEnd"/>
      <w:r w:rsidRPr="007469AA">
        <w:rPr>
          <w:rFonts w:eastAsia="Times New Roman"/>
          <w:color w:val="auto"/>
          <w:szCs w:val="24"/>
          <w:lang w:eastAsia="en-GB"/>
        </w:rPr>
        <w:t xml:space="preserve">, G., </w:t>
      </w:r>
      <w:proofErr w:type="spellStart"/>
      <w:r w:rsidRPr="007469AA">
        <w:rPr>
          <w:rFonts w:eastAsia="Times New Roman"/>
          <w:color w:val="auto"/>
          <w:szCs w:val="24"/>
          <w:lang w:eastAsia="en-GB"/>
        </w:rPr>
        <w:t>Cignarelli</w:t>
      </w:r>
      <w:proofErr w:type="spellEnd"/>
      <w:r w:rsidRPr="007469AA">
        <w:rPr>
          <w:rFonts w:eastAsia="Times New Roman"/>
          <w:color w:val="auto"/>
          <w:szCs w:val="24"/>
          <w:lang w:eastAsia="en-GB"/>
        </w:rPr>
        <w:t xml:space="preserve">, A., </w:t>
      </w:r>
      <w:proofErr w:type="spellStart"/>
      <w:r w:rsidRPr="007469AA">
        <w:rPr>
          <w:rFonts w:eastAsia="Times New Roman"/>
          <w:color w:val="auto"/>
          <w:szCs w:val="24"/>
          <w:lang w:eastAsia="en-GB"/>
        </w:rPr>
        <w:t>Perrini</w:t>
      </w:r>
      <w:proofErr w:type="spellEnd"/>
      <w:r w:rsidRPr="007469AA">
        <w:rPr>
          <w:rFonts w:eastAsia="Times New Roman"/>
          <w:color w:val="auto"/>
          <w:szCs w:val="24"/>
          <w:lang w:eastAsia="en-GB"/>
        </w:rPr>
        <w:t xml:space="preserve">, S., </w:t>
      </w:r>
      <w:proofErr w:type="spellStart"/>
      <w:r w:rsidRPr="007469AA">
        <w:rPr>
          <w:rFonts w:eastAsia="Times New Roman"/>
          <w:color w:val="auto"/>
          <w:szCs w:val="24"/>
          <w:lang w:eastAsia="en-GB"/>
        </w:rPr>
        <w:t>Laviola</w:t>
      </w:r>
      <w:proofErr w:type="spellEnd"/>
      <w:r w:rsidRPr="007469AA">
        <w:rPr>
          <w:rFonts w:eastAsia="Times New Roman"/>
          <w:color w:val="auto"/>
          <w:szCs w:val="24"/>
          <w:lang w:eastAsia="en-GB"/>
        </w:rPr>
        <w:t xml:space="preserve">, L., </w:t>
      </w:r>
      <w:proofErr w:type="spellStart"/>
      <w:r w:rsidRPr="007469AA">
        <w:rPr>
          <w:rFonts w:eastAsia="Times New Roman"/>
          <w:color w:val="auto"/>
          <w:szCs w:val="24"/>
          <w:lang w:eastAsia="en-GB"/>
        </w:rPr>
        <w:t>Giorgino</w:t>
      </w:r>
      <w:proofErr w:type="spellEnd"/>
      <w:r w:rsidRPr="007469AA">
        <w:rPr>
          <w:rFonts w:eastAsia="Times New Roman"/>
          <w:color w:val="auto"/>
          <w:szCs w:val="24"/>
          <w:lang w:eastAsia="en-GB"/>
        </w:rPr>
        <w:t xml:space="preserve">, F. and </w:t>
      </w:r>
      <w:proofErr w:type="spellStart"/>
      <w:r w:rsidRPr="007469AA">
        <w:rPr>
          <w:rFonts w:eastAsia="Times New Roman"/>
          <w:color w:val="auto"/>
          <w:szCs w:val="24"/>
          <w:lang w:eastAsia="en-GB"/>
        </w:rPr>
        <w:t>Natalicchio</w:t>
      </w:r>
      <w:proofErr w:type="spellEnd"/>
      <w:r w:rsidRPr="007469AA">
        <w:rPr>
          <w:rFonts w:eastAsia="Times New Roman"/>
          <w:color w:val="auto"/>
          <w:szCs w:val="24"/>
          <w:lang w:eastAsia="en-GB"/>
        </w:rPr>
        <w:t xml:space="preserve">, A. (2020). Functional loss of pancreatic islets in type 2 diabetes: How can we halt it? </w:t>
      </w:r>
      <w:r w:rsidRPr="007469AA">
        <w:rPr>
          <w:rFonts w:eastAsia="Times New Roman"/>
          <w:i/>
          <w:iCs/>
          <w:color w:val="auto"/>
          <w:szCs w:val="24"/>
          <w:lang w:eastAsia="en-GB"/>
        </w:rPr>
        <w:t>Metabolism</w:t>
      </w:r>
      <w:r w:rsidRPr="007469AA">
        <w:rPr>
          <w:rFonts w:eastAsia="Times New Roman"/>
          <w:color w:val="auto"/>
          <w:szCs w:val="24"/>
          <w:lang w:eastAsia="en-GB"/>
        </w:rPr>
        <w:t xml:space="preserve">, 110, p.154304. </w:t>
      </w:r>
      <w:proofErr w:type="spellStart"/>
      <w:r>
        <w:rPr>
          <w:rFonts w:eastAsia="Times New Roman"/>
          <w:color w:val="auto"/>
          <w:szCs w:val="24"/>
          <w:lang w:eastAsia="en-GB"/>
        </w:rPr>
        <w:t>doi</w:t>
      </w:r>
      <w:proofErr w:type="spellEnd"/>
      <w:r>
        <w:rPr>
          <w:rFonts w:eastAsia="Times New Roman"/>
          <w:color w:val="auto"/>
          <w:szCs w:val="24"/>
          <w:lang w:eastAsia="en-GB"/>
        </w:rPr>
        <w:t xml:space="preserve">: </w:t>
      </w:r>
      <w:hyperlink r:id="rId16" w:history="1">
        <w:r w:rsidRPr="00883654">
          <w:rPr>
            <w:rStyle w:val="Hyperlink"/>
            <w:rFonts w:eastAsia="Times New Roman"/>
            <w:szCs w:val="24"/>
            <w:lang w:eastAsia="en-GB"/>
          </w:rPr>
          <w:t>https://doi.org/10.1016/j.metabol.2020.154304</w:t>
        </w:r>
      </w:hyperlink>
      <w:r w:rsidRPr="007469AA">
        <w:rPr>
          <w:rFonts w:eastAsia="Times New Roman"/>
          <w:color w:val="auto"/>
          <w:szCs w:val="24"/>
          <w:lang w:eastAsia="en-GB"/>
        </w:rPr>
        <w:t>.</w:t>
      </w:r>
      <w:r>
        <w:rPr>
          <w:rFonts w:eastAsia="Times New Roman"/>
          <w:color w:val="auto"/>
          <w:szCs w:val="24"/>
          <w:lang w:eastAsia="en-GB"/>
        </w:rPr>
        <w:t xml:space="preserve"> </w:t>
      </w:r>
    </w:p>
    <w:p w14:paraId="731975F3" w14:textId="77777777" w:rsidR="007469AA" w:rsidRPr="007469AA" w:rsidRDefault="007469AA" w:rsidP="007469AA">
      <w:pPr>
        <w:suppressAutoHyphens w:val="0"/>
        <w:spacing w:line="240" w:lineRule="auto"/>
        <w:ind w:left="567" w:hanging="567"/>
        <w:rPr>
          <w:rFonts w:eastAsia="Times New Roman"/>
          <w:color w:val="auto"/>
          <w:szCs w:val="24"/>
          <w:lang w:eastAsia="en-GB"/>
        </w:rPr>
      </w:pPr>
      <w:r w:rsidRPr="007469AA">
        <w:rPr>
          <w:rFonts w:eastAsia="Times New Roman"/>
          <w:color w:val="auto"/>
          <w:szCs w:val="24"/>
          <w:lang w:eastAsia="en-GB"/>
        </w:rPr>
        <w:t xml:space="preserve">Parada Flores, B., </w:t>
      </w:r>
      <w:proofErr w:type="spellStart"/>
      <w:r w:rsidRPr="007469AA">
        <w:rPr>
          <w:rFonts w:eastAsia="Times New Roman"/>
          <w:color w:val="auto"/>
          <w:szCs w:val="24"/>
          <w:lang w:eastAsia="en-GB"/>
        </w:rPr>
        <w:t>Luna-Villouta</w:t>
      </w:r>
      <w:proofErr w:type="spellEnd"/>
      <w:r w:rsidRPr="007469AA">
        <w:rPr>
          <w:rFonts w:eastAsia="Times New Roman"/>
          <w:color w:val="auto"/>
          <w:szCs w:val="24"/>
          <w:lang w:eastAsia="en-GB"/>
        </w:rPr>
        <w:t xml:space="preserve">, P., Martínez Salazar, C., </w:t>
      </w:r>
      <w:proofErr w:type="spellStart"/>
      <w:r w:rsidRPr="007469AA">
        <w:rPr>
          <w:rFonts w:eastAsia="Times New Roman"/>
          <w:color w:val="auto"/>
          <w:szCs w:val="24"/>
          <w:lang w:eastAsia="en-GB"/>
        </w:rPr>
        <w:t>Flández</w:t>
      </w:r>
      <w:proofErr w:type="spellEnd"/>
      <w:r w:rsidRPr="007469AA">
        <w:rPr>
          <w:rFonts w:eastAsia="Times New Roman"/>
          <w:color w:val="auto"/>
          <w:szCs w:val="24"/>
          <w:lang w:eastAsia="en-GB"/>
        </w:rPr>
        <w:t xml:space="preserve"> Valderrama, J., Valenzuela Contreras, L., Flores-Rivera, C. and Vargas-Vitoria, R. (2023). Physical exercise methods and their effects on glycemic control and body composition in adults with type 2 diabetes mellitus (T2DM): A systematic review. </w:t>
      </w:r>
      <w:r w:rsidRPr="007469AA">
        <w:rPr>
          <w:rFonts w:eastAsia="Times New Roman"/>
          <w:i/>
          <w:iCs/>
          <w:color w:val="auto"/>
          <w:szCs w:val="24"/>
          <w:lang w:eastAsia="en-GB"/>
        </w:rPr>
        <w:t>European Journal of Investigation in Health, Psychology and Education</w:t>
      </w:r>
      <w:r w:rsidRPr="007469AA">
        <w:rPr>
          <w:rFonts w:eastAsia="Times New Roman"/>
          <w:color w:val="auto"/>
          <w:szCs w:val="24"/>
          <w:lang w:eastAsia="en-GB"/>
        </w:rPr>
        <w:t xml:space="preserve">, 13(11), pp.2529–2545. </w:t>
      </w:r>
      <w:proofErr w:type="spellStart"/>
      <w:r>
        <w:rPr>
          <w:rFonts w:eastAsia="Times New Roman"/>
          <w:color w:val="auto"/>
          <w:szCs w:val="24"/>
          <w:lang w:eastAsia="en-GB"/>
        </w:rPr>
        <w:t>doi</w:t>
      </w:r>
      <w:proofErr w:type="spellEnd"/>
      <w:r>
        <w:rPr>
          <w:rFonts w:eastAsia="Times New Roman"/>
          <w:color w:val="auto"/>
          <w:szCs w:val="24"/>
          <w:lang w:eastAsia="en-GB"/>
        </w:rPr>
        <w:t xml:space="preserve">: </w:t>
      </w:r>
      <w:hyperlink r:id="rId17" w:history="1">
        <w:r w:rsidRPr="00883654">
          <w:rPr>
            <w:rStyle w:val="Hyperlink"/>
            <w:rFonts w:eastAsia="Times New Roman"/>
            <w:szCs w:val="24"/>
            <w:lang w:eastAsia="en-GB"/>
          </w:rPr>
          <w:t>https://doi.org/10.3390/ejihpe13110176</w:t>
        </w:r>
      </w:hyperlink>
      <w:r w:rsidRPr="007469AA">
        <w:rPr>
          <w:rFonts w:eastAsia="Times New Roman"/>
          <w:color w:val="auto"/>
          <w:szCs w:val="24"/>
          <w:lang w:eastAsia="en-GB"/>
        </w:rPr>
        <w:t>.</w:t>
      </w:r>
      <w:r>
        <w:rPr>
          <w:rFonts w:eastAsia="Times New Roman"/>
          <w:color w:val="auto"/>
          <w:szCs w:val="24"/>
          <w:lang w:eastAsia="en-GB"/>
        </w:rPr>
        <w:t xml:space="preserve"> </w:t>
      </w:r>
    </w:p>
    <w:p w14:paraId="32CECDF6" w14:textId="77777777" w:rsidR="007469AA" w:rsidRPr="007469AA" w:rsidRDefault="007469AA" w:rsidP="007469AA">
      <w:pPr>
        <w:suppressAutoHyphens w:val="0"/>
        <w:spacing w:line="240" w:lineRule="auto"/>
        <w:ind w:left="567" w:hanging="567"/>
        <w:rPr>
          <w:rFonts w:eastAsia="Times New Roman"/>
          <w:color w:val="auto"/>
          <w:szCs w:val="24"/>
          <w:lang w:eastAsia="en-GB"/>
        </w:rPr>
      </w:pPr>
      <w:proofErr w:type="spellStart"/>
      <w:r w:rsidRPr="007469AA">
        <w:rPr>
          <w:rFonts w:eastAsia="Times New Roman"/>
          <w:color w:val="auto"/>
          <w:szCs w:val="24"/>
          <w:lang w:eastAsia="en-GB"/>
        </w:rPr>
        <w:t>Pleus</w:t>
      </w:r>
      <w:proofErr w:type="spellEnd"/>
      <w:r w:rsidRPr="007469AA">
        <w:rPr>
          <w:rFonts w:eastAsia="Times New Roman"/>
          <w:color w:val="auto"/>
          <w:szCs w:val="24"/>
          <w:lang w:eastAsia="en-GB"/>
        </w:rPr>
        <w:t xml:space="preserve">, S., </w:t>
      </w:r>
      <w:proofErr w:type="spellStart"/>
      <w:r w:rsidRPr="007469AA">
        <w:rPr>
          <w:rFonts w:eastAsia="Times New Roman"/>
          <w:color w:val="auto"/>
          <w:szCs w:val="24"/>
          <w:lang w:eastAsia="en-GB"/>
        </w:rPr>
        <w:t>Freckmann</w:t>
      </w:r>
      <w:proofErr w:type="spellEnd"/>
      <w:r w:rsidRPr="007469AA">
        <w:rPr>
          <w:rFonts w:eastAsia="Times New Roman"/>
          <w:color w:val="auto"/>
          <w:szCs w:val="24"/>
          <w:lang w:eastAsia="en-GB"/>
        </w:rPr>
        <w:t xml:space="preserve">, G., </w:t>
      </w:r>
      <w:proofErr w:type="spellStart"/>
      <w:r w:rsidRPr="007469AA">
        <w:rPr>
          <w:rFonts w:eastAsia="Times New Roman"/>
          <w:color w:val="auto"/>
          <w:szCs w:val="24"/>
          <w:lang w:eastAsia="en-GB"/>
        </w:rPr>
        <w:t>Schauer</w:t>
      </w:r>
      <w:proofErr w:type="spellEnd"/>
      <w:r w:rsidRPr="007469AA">
        <w:rPr>
          <w:rFonts w:eastAsia="Times New Roman"/>
          <w:color w:val="auto"/>
          <w:szCs w:val="24"/>
          <w:lang w:eastAsia="en-GB"/>
        </w:rPr>
        <w:t xml:space="preserve">, S., Heinemann, L., Ziegler, R., Ji, L., Mohan, V., </w:t>
      </w:r>
      <w:proofErr w:type="spellStart"/>
      <w:r w:rsidRPr="007469AA">
        <w:rPr>
          <w:rFonts w:eastAsia="Times New Roman"/>
          <w:color w:val="auto"/>
          <w:szCs w:val="24"/>
          <w:lang w:eastAsia="en-GB"/>
        </w:rPr>
        <w:t>Calliari</w:t>
      </w:r>
      <w:proofErr w:type="spellEnd"/>
      <w:r w:rsidRPr="007469AA">
        <w:rPr>
          <w:rFonts w:eastAsia="Times New Roman"/>
          <w:color w:val="auto"/>
          <w:szCs w:val="24"/>
          <w:lang w:eastAsia="en-GB"/>
        </w:rPr>
        <w:t xml:space="preserve">, L.E. and </w:t>
      </w:r>
      <w:proofErr w:type="spellStart"/>
      <w:r w:rsidRPr="007469AA">
        <w:rPr>
          <w:rFonts w:eastAsia="Times New Roman"/>
          <w:color w:val="auto"/>
          <w:szCs w:val="24"/>
          <w:lang w:eastAsia="en-GB"/>
        </w:rPr>
        <w:t>Hinzmann</w:t>
      </w:r>
      <w:proofErr w:type="spellEnd"/>
      <w:r w:rsidRPr="007469AA">
        <w:rPr>
          <w:rFonts w:eastAsia="Times New Roman"/>
          <w:color w:val="auto"/>
          <w:szCs w:val="24"/>
          <w:lang w:eastAsia="en-GB"/>
        </w:rPr>
        <w:t xml:space="preserve">, R. (2022). Self-monitoring of blood glucose as an integral part in the management of people with type 2 diabetes mellitus. </w:t>
      </w:r>
      <w:r w:rsidRPr="007469AA">
        <w:rPr>
          <w:rFonts w:eastAsia="Times New Roman"/>
          <w:i/>
          <w:iCs/>
          <w:color w:val="auto"/>
          <w:szCs w:val="24"/>
          <w:lang w:eastAsia="en-GB"/>
        </w:rPr>
        <w:t>Diabetes Therapy</w:t>
      </w:r>
      <w:r w:rsidRPr="007469AA">
        <w:rPr>
          <w:rFonts w:eastAsia="Times New Roman"/>
          <w:color w:val="auto"/>
          <w:szCs w:val="24"/>
          <w:lang w:eastAsia="en-GB"/>
        </w:rPr>
        <w:t xml:space="preserve">, 13(5), pp.829–846. </w:t>
      </w:r>
      <w:proofErr w:type="spellStart"/>
      <w:r>
        <w:rPr>
          <w:rFonts w:eastAsia="Times New Roman"/>
          <w:color w:val="auto"/>
          <w:szCs w:val="24"/>
          <w:lang w:eastAsia="en-GB"/>
        </w:rPr>
        <w:t>doi</w:t>
      </w:r>
      <w:proofErr w:type="spellEnd"/>
      <w:r>
        <w:rPr>
          <w:rFonts w:eastAsia="Times New Roman"/>
          <w:color w:val="auto"/>
          <w:szCs w:val="24"/>
          <w:lang w:eastAsia="en-GB"/>
        </w:rPr>
        <w:t xml:space="preserve">: </w:t>
      </w:r>
      <w:hyperlink r:id="rId18" w:history="1">
        <w:r w:rsidRPr="00883654">
          <w:rPr>
            <w:rStyle w:val="Hyperlink"/>
            <w:rFonts w:eastAsia="Times New Roman"/>
            <w:szCs w:val="24"/>
            <w:lang w:eastAsia="en-GB"/>
          </w:rPr>
          <w:t>https://doi.org/10.1007/s13300-022-01254-8</w:t>
        </w:r>
      </w:hyperlink>
      <w:r w:rsidRPr="007469AA">
        <w:rPr>
          <w:rFonts w:eastAsia="Times New Roman"/>
          <w:color w:val="auto"/>
          <w:szCs w:val="24"/>
          <w:lang w:eastAsia="en-GB"/>
        </w:rPr>
        <w:t>.</w:t>
      </w:r>
      <w:r>
        <w:rPr>
          <w:rFonts w:eastAsia="Times New Roman"/>
          <w:color w:val="auto"/>
          <w:szCs w:val="24"/>
          <w:lang w:eastAsia="en-GB"/>
        </w:rPr>
        <w:t xml:space="preserve"> </w:t>
      </w:r>
    </w:p>
    <w:p w14:paraId="42C01263" w14:textId="77777777" w:rsidR="007469AA" w:rsidRPr="007469AA" w:rsidRDefault="007469AA" w:rsidP="007469AA">
      <w:pPr>
        <w:suppressAutoHyphens w:val="0"/>
        <w:spacing w:line="240" w:lineRule="auto"/>
        <w:ind w:left="567" w:hanging="567"/>
        <w:rPr>
          <w:rFonts w:eastAsia="Times New Roman"/>
          <w:color w:val="auto"/>
          <w:szCs w:val="24"/>
          <w:lang w:eastAsia="en-GB"/>
        </w:rPr>
      </w:pPr>
      <w:proofErr w:type="spellStart"/>
      <w:r w:rsidRPr="007469AA">
        <w:rPr>
          <w:rFonts w:eastAsia="Times New Roman"/>
          <w:color w:val="auto"/>
          <w:szCs w:val="24"/>
          <w:lang w:eastAsia="en-GB"/>
        </w:rPr>
        <w:t>Roden</w:t>
      </w:r>
      <w:proofErr w:type="spellEnd"/>
      <w:r w:rsidRPr="007469AA">
        <w:rPr>
          <w:rFonts w:eastAsia="Times New Roman"/>
          <w:color w:val="auto"/>
          <w:szCs w:val="24"/>
          <w:lang w:eastAsia="en-GB"/>
        </w:rPr>
        <w:t xml:space="preserve">, M. and Shulman, G.I. (2019). The integrative biology of type 2 diabetes. </w:t>
      </w:r>
      <w:r w:rsidRPr="007469AA">
        <w:rPr>
          <w:rFonts w:eastAsia="Times New Roman"/>
          <w:i/>
          <w:iCs/>
          <w:color w:val="auto"/>
          <w:szCs w:val="24"/>
          <w:lang w:eastAsia="en-GB"/>
        </w:rPr>
        <w:t>Nature</w:t>
      </w:r>
      <w:r w:rsidRPr="007469AA">
        <w:rPr>
          <w:rFonts w:eastAsia="Times New Roman"/>
          <w:color w:val="auto"/>
          <w:szCs w:val="24"/>
          <w:lang w:eastAsia="en-GB"/>
        </w:rPr>
        <w:t xml:space="preserve">, 576(7785), pp.51–60. </w:t>
      </w:r>
      <w:proofErr w:type="spellStart"/>
      <w:r>
        <w:rPr>
          <w:rFonts w:eastAsia="Times New Roman"/>
          <w:color w:val="auto"/>
          <w:szCs w:val="24"/>
          <w:lang w:eastAsia="en-GB"/>
        </w:rPr>
        <w:t>doi</w:t>
      </w:r>
      <w:proofErr w:type="spellEnd"/>
      <w:r>
        <w:rPr>
          <w:rFonts w:eastAsia="Times New Roman"/>
          <w:color w:val="auto"/>
          <w:szCs w:val="24"/>
          <w:lang w:eastAsia="en-GB"/>
        </w:rPr>
        <w:t xml:space="preserve">: </w:t>
      </w:r>
      <w:hyperlink r:id="rId19" w:history="1">
        <w:r w:rsidRPr="00883654">
          <w:rPr>
            <w:rStyle w:val="Hyperlink"/>
            <w:rFonts w:eastAsia="Times New Roman"/>
            <w:szCs w:val="24"/>
            <w:lang w:eastAsia="en-GB"/>
          </w:rPr>
          <w:t>https://doi.org/10.1038/s41586-019-1797-8</w:t>
        </w:r>
      </w:hyperlink>
      <w:r w:rsidRPr="007469AA">
        <w:rPr>
          <w:rFonts w:eastAsia="Times New Roman"/>
          <w:color w:val="auto"/>
          <w:szCs w:val="24"/>
          <w:lang w:eastAsia="en-GB"/>
        </w:rPr>
        <w:t>.</w:t>
      </w:r>
      <w:r>
        <w:rPr>
          <w:rFonts w:eastAsia="Times New Roman"/>
          <w:color w:val="auto"/>
          <w:szCs w:val="24"/>
          <w:lang w:eastAsia="en-GB"/>
        </w:rPr>
        <w:t xml:space="preserve"> </w:t>
      </w:r>
    </w:p>
    <w:p w14:paraId="5D8E2665" w14:textId="77777777" w:rsidR="007469AA" w:rsidRPr="007469AA" w:rsidRDefault="007469AA" w:rsidP="007469AA">
      <w:pPr>
        <w:suppressAutoHyphens w:val="0"/>
        <w:spacing w:line="240" w:lineRule="auto"/>
        <w:ind w:left="567" w:hanging="567"/>
        <w:rPr>
          <w:rFonts w:eastAsia="Times New Roman"/>
          <w:color w:val="auto"/>
          <w:szCs w:val="24"/>
          <w:lang w:eastAsia="en-GB"/>
        </w:rPr>
      </w:pPr>
      <w:proofErr w:type="spellStart"/>
      <w:r w:rsidRPr="007469AA">
        <w:rPr>
          <w:rFonts w:eastAsia="Times New Roman"/>
          <w:color w:val="auto"/>
          <w:szCs w:val="24"/>
          <w:lang w:eastAsia="en-GB"/>
        </w:rPr>
        <w:t>Veelen</w:t>
      </w:r>
      <w:proofErr w:type="spellEnd"/>
      <w:r w:rsidRPr="007469AA">
        <w:rPr>
          <w:rFonts w:eastAsia="Times New Roman"/>
          <w:color w:val="auto"/>
          <w:szCs w:val="24"/>
          <w:lang w:eastAsia="en-GB"/>
        </w:rPr>
        <w:t xml:space="preserve">, A., </w:t>
      </w:r>
      <w:proofErr w:type="spellStart"/>
      <w:r w:rsidRPr="007469AA">
        <w:rPr>
          <w:rFonts w:eastAsia="Times New Roman"/>
          <w:color w:val="auto"/>
          <w:szCs w:val="24"/>
          <w:lang w:eastAsia="en-GB"/>
        </w:rPr>
        <w:t>Erazo-Tapia</w:t>
      </w:r>
      <w:proofErr w:type="spellEnd"/>
      <w:r w:rsidRPr="007469AA">
        <w:rPr>
          <w:rFonts w:eastAsia="Times New Roman"/>
          <w:color w:val="auto"/>
          <w:szCs w:val="24"/>
          <w:lang w:eastAsia="en-GB"/>
        </w:rPr>
        <w:t xml:space="preserve">, E., </w:t>
      </w:r>
      <w:proofErr w:type="spellStart"/>
      <w:r w:rsidRPr="007469AA">
        <w:rPr>
          <w:rFonts w:eastAsia="Times New Roman"/>
          <w:color w:val="auto"/>
          <w:szCs w:val="24"/>
          <w:lang w:eastAsia="en-GB"/>
        </w:rPr>
        <w:t>Oscarsson</w:t>
      </w:r>
      <w:proofErr w:type="spellEnd"/>
      <w:r w:rsidRPr="007469AA">
        <w:rPr>
          <w:rFonts w:eastAsia="Times New Roman"/>
          <w:color w:val="auto"/>
          <w:szCs w:val="24"/>
          <w:lang w:eastAsia="en-GB"/>
        </w:rPr>
        <w:t xml:space="preserve">, J. and </w:t>
      </w:r>
      <w:proofErr w:type="spellStart"/>
      <w:r w:rsidRPr="007469AA">
        <w:rPr>
          <w:rFonts w:eastAsia="Times New Roman"/>
          <w:color w:val="auto"/>
          <w:szCs w:val="24"/>
          <w:lang w:eastAsia="en-GB"/>
        </w:rPr>
        <w:t>Schrauwen</w:t>
      </w:r>
      <w:proofErr w:type="spellEnd"/>
      <w:r w:rsidRPr="007469AA">
        <w:rPr>
          <w:rFonts w:eastAsia="Times New Roman"/>
          <w:color w:val="auto"/>
          <w:szCs w:val="24"/>
          <w:lang w:eastAsia="en-GB"/>
        </w:rPr>
        <w:t xml:space="preserve">, P. (2021). Type 2 diabetes subgroups and potential medication strategies in relation to effects on insulin resistance and beta-cell function: A step toward personalised diabetes treatment? </w:t>
      </w:r>
      <w:r w:rsidRPr="007469AA">
        <w:rPr>
          <w:rFonts w:eastAsia="Times New Roman"/>
          <w:i/>
          <w:iCs/>
          <w:color w:val="auto"/>
          <w:szCs w:val="24"/>
          <w:lang w:eastAsia="en-GB"/>
        </w:rPr>
        <w:t>Molecular Metabolism</w:t>
      </w:r>
      <w:r w:rsidRPr="007469AA">
        <w:rPr>
          <w:rFonts w:eastAsia="Times New Roman"/>
          <w:color w:val="auto"/>
          <w:szCs w:val="24"/>
          <w:lang w:eastAsia="en-GB"/>
        </w:rPr>
        <w:t xml:space="preserve">, 46, p.101158. </w:t>
      </w:r>
      <w:proofErr w:type="spellStart"/>
      <w:r>
        <w:rPr>
          <w:rFonts w:eastAsia="Times New Roman"/>
          <w:color w:val="auto"/>
          <w:szCs w:val="24"/>
          <w:lang w:eastAsia="en-GB"/>
        </w:rPr>
        <w:t>doi</w:t>
      </w:r>
      <w:proofErr w:type="spellEnd"/>
      <w:r>
        <w:rPr>
          <w:rFonts w:eastAsia="Times New Roman"/>
          <w:color w:val="auto"/>
          <w:szCs w:val="24"/>
          <w:lang w:eastAsia="en-GB"/>
        </w:rPr>
        <w:t xml:space="preserve">: </w:t>
      </w:r>
      <w:hyperlink r:id="rId20" w:history="1">
        <w:r w:rsidRPr="00883654">
          <w:rPr>
            <w:rStyle w:val="Hyperlink"/>
            <w:rFonts w:eastAsia="Times New Roman"/>
            <w:szCs w:val="24"/>
            <w:lang w:eastAsia="en-GB"/>
          </w:rPr>
          <w:t>https://doi.org/10.1016/j.molmet.2020.101158</w:t>
        </w:r>
      </w:hyperlink>
      <w:r w:rsidRPr="007469AA">
        <w:rPr>
          <w:rFonts w:eastAsia="Times New Roman"/>
          <w:color w:val="auto"/>
          <w:szCs w:val="24"/>
          <w:lang w:eastAsia="en-GB"/>
        </w:rPr>
        <w:t>.</w:t>
      </w:r>
      <w:r>
        <w:rPr>
          <w:rFonts w:eastAsia="Times New Roman"/>
          <w:color w:val="auto"/>
          <w:szCs w:val="24"/>
          <w:lang w:eastAsia="en-GB"/>
        </w:rPr>
        <w:t xml:space="preserve"> </w:t>
      </w:r>
    </w:p>
    <w:p w14:paraId="3163E701" w14:textId="77777777" w:rsidR="003467C5" w:rsidRPr="003467C5" w:rsidRDefault="003467C5" w:rsidP="003467C5"/>
    <w:sectPr w:rsidR="003467C5" w:rsidRPr="003467C5">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042A2AE" w14:textId="77777777" w:rsidR="00290945" w:rsidRDefault="00290945" w:rsidP="00A87747">
      <w:pPr>
        <w:spacing w:line="240" w:lineRule="auto"/>
      </w:pPr>
      <w:r>
        <w:separator/>
      </w:r>
    </w:p>
  </w:endnote>
  <w:endnote w:type="continuationSeparator" w:id="0">
    <w:p w14:paraId="30CB0C3C" w14:textId="77777777" w:rsidR="00290945" w:rsidRDefault="00290945" w:rsidP="00A87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Droid Sans">
    <w:panose1 w:val="020B0604020202020204"/>
    <w:charset w:val="80"/>
    <w:family w:val="auto"/>
    <w:pitch w:val="variable"/>
  </w:font>
  <w:font w:name="OpenSymbol">
    <w:altName w:val="Arial Unicode MS"/>
    <w:panose1 w:val="020B0604020202020204"/>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DejaVu Sans">
    <w:altName w:val="MS Gothic"/>
    <w:panose1 w:val="020B0604020202020204"/>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panose1 w:val="020B0604020202020204"/>
    <w:charset w:val="80"/>
    <w:family w:val="roman"/>
    <w:pitch w:val="variable"/>
  </w:font>
  <w:font w:name="DejaVu Sans Mono">
    <w:panose1 w:val="020B0604020202020204"/>
    <w:charset w:val="80"/>
    <w:family w:val="moder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BC0E21" w14:textId="77777777" w:rsidR="00984DCF" w:rsidRDefault="00984D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7DADCF" w14:textId="77777777" w:rsidR="00A87747" w:rsidRDefault="00A87747">
    <w:pPr>
      <w:pStyle w:val="Footer"/>
      <w:jc w:val="center"/>
    </w:pPr>
    <w:r>
      <w:fldChar w:fldCharType="begin"/>
    </w:r>
    <w:r>
      <w:instrText xml:space="preserve"> PAGE   \* MERGEFORMAT </w:instrText>
    </w:r>
    <w:r>
      <w:fldChar w:fldCharType="separate"/>
    </w:r>
    <w:r w:rsidR="00BF09EC">
      <w:rPr>
        <w:noProof/>
      </w:rPr>
      <w:t>9</w:t>
    </w:r>
    <w:r>
      <w:rPr>
        <w:noProof/>
      </w:rPr>
      <w:fldChar w:fldCharType="end"/>
    </w:r>
  </w:p>
  <w:p w14:paraId="3881D26A" w14:textId="77777777" w:rsidR="00A87747" w:rsidRDefault="00A877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AFB6C1" w14:textId="77777777" w:rsidR="00984DCF" w:rsidRDefault="00984D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BC90AC" w14:textId="77777777" w:rsidR="00290945" w:rsidRDefault="00290945" w:rsidP="00A87747">
      <w:pPr>
        <w:spacing w:line="240" w:lineRule="auto"/>
      </w:pPr>
      <w:r>
        <w:separator/>
      </w:r>
    </w:p>
  </w:footnote>
  <w:footnote w:type="continuationSeparator" w:id="0">
    <w:p w14:paraId="7572B206" w14:textId="77777777" w:rsidR="00290945" w:rsidRDefault="00290945" w:rsidP="00A87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2ED5DC" w14:textId="77777777" w:rsidR="00984DCF" w:rsidRDefault="00984D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E70B04" w14:textId="77777777" w:rsidR="00984DCF" w:rsidRDefault="00984D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D5083E" w14:textId="77777777" w:rsidR="00984DCF" w:rsidRDefault="00984D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34712"/>
    <w:multiLevelType w:val="hybridMultilevel"/>
    <w:tmpl w:val="83C8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68222D"/>
    <w:multiLevelType w:val="hybridMultilevel"/>
    <w:tmpl w:val="B2B2C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95F2BA5"/>
    <w:multiLevelType w:val="hybridMultilevel"/>
    <w:tmpl w:val="07DCF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9726845">
    <w:abstractNumId w:val="0"/>
  </w:num>
  <w:num w:numId="2" w16cid:durableId="1571619554">
    <w:abstractNumId w:val="1"/>
  </w:num>
  <w:num w:numId="3" w16cid:durableId="718825613">
    <w:abstractNumId w:val="10"/>
  </w:num>
  <w:num w:numId="4" w16cid:durableId="1892183891">
    <w:abstractNumId w:val="25"/>
  </w:num>
  <w:num w:numId="5" w16cid:durableId="945691709">
    <w:abstractNumId w:val="9"/>
  </w:num>
  <w:num w:numId="6" w16cid:durableId="471866361">
    <w:abstractNumId w:val="24"/>
  </w:num>
  <w:num w:numId="7" w16cid:durableId="598414034">
    <w:abstractNumId w:val="29"/>
  </w:num>
  <w:num w:numId="8" w16cid:durableId="1382747234">
    <w:abstractNumId w:val="20"/>
  </w:num>
  <w:num w:numId="9" w16cid:durableId="925579232">
    <w:abstractNumId w:val="6"/>
  </w:num>
  <w:num w:numId="10" w16cid:durableId="423185125">
    <w:abstractNumId w:val="17"/>
  </w:num>
  <w:num w:numId="11" w16cid:durableId="744838686">
    <w:abstractNumId w:val="21"/>
  </w:num>
  <w:num w:numId="12" w16cid:durableId="1123041675">
    <w:abstractNumId w:val="12"/>
  </w:num>
  <w:num w:numId="13" w16cid:durableId="389619469">
    <w:abstractNumId w:val="4"/>
  </w:num>
  <w:num w:numId="14" w16cid:durableId="1297567797">
    <w:abstractNumId w:val="18"/>
  </w:num>
  <w:num w:numId="15" w16cid:durableId="1848131851">
    <w:abstractNumId w:val="5"/>
  </w:num>
  <w:num w:numId="16" w16cid:durableId="1212884007">
    <w:abstractNumId w:val="23"/>
  </w:num>
  <w:num w:numId="17" w16cid:durableId="1588733760">
    <w:abstractNumId w:val="3"/>
  </w:num>
  <w:num w:numId="18" w16cid:durableId="1318193825">
    <w:abstractNumId w:val="19"/>
  </w:num>
  <w:num w:numId="19" w16cid:durableId="1351639914">
    <w:abstractNumId w:val="2"/>
  </w:num>
  <w:num w:numId="20" w16cid:durableId="196285668">
    <w:abstractNumId w:val="27"/>
  </w:num>
  <w:num w:numId="21" w16cid:durableId="621694523">
    <w:abstractNumId w:val="14"/>
  </w:num>
  <w:num w:numId="22" w16cid:durableId="1728801678">
    <w:abstractNumId w:val="13"/>
  </w:num>
  <w:num w:numId="23" w16cid:durableId="593705513">
    <w:abstractNumId w:val="26"/>
  </w:num>
  <w:num w:numId="24" w16cid:durableId="1706712197">
    <w:abstractNumId w:val="30"/>
  </w:num>
  <w:num w:numId="25" w16cid:durableId="161627388">
    <w:abstractNumId w:val="7"/>
  </w:num>
  <w:num w:numId="26" w16cid:durableId="1120029939">
    <w:abstractNumId w:val="16"/>
  </w:num>
  <w:num w:numId="27" w16cid:durableId="479544710">
    <w:abstractNumId w:val="15"/>
  </w:num>
  <w:num w:numId="28" w16cid:durableId="1249656767">
    <w:abstractNumId w:val="22"/>
  </w:num>
  <w:num w:numId="29" w16cid:durableId="1186751908">
    <w:abstractNumId w:val="8"/>
  </w:num>
  <w:num w:numId="30" w16cid:durableId="1451315817">
    <w:abstractNumId w:val="28"/>
  </w:num>
  <w:num w:numId="31" w16cid:durableId="849876802">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EyNbcwNTM0BXKMLJV0lIJTi4sz8/NACgyNawEgBxCyLQAAAA=="/>
  </w:docVars>
  <w:rsids>
    <w:rsidRoot w:val="008D09FF"/>
    <w:rsid w:val="0001410E"/>
    <w:rsid w:val="000143B4"/>
    <w:rsid w:val="000157F7"/>
    <w:rsid w:val="000169FC"/>
    <w:rsid w:val="00026F62"/>
    <w:rsid w:val="0003210E"/>
    <w:rsid w:val="00033E1E"/>
    <w:rsid w:val="00043DD1"/>
    <w:rsid w:val="00044E03"/>
    <w:rsid w:val="00051B13"/>
    <w:rsid w:val="0005499F"/>
    <w:rsid w:val="00073CCE"/>
    <w:rsid w:val="000770D6"/>
    <w:rsid w:val="00077B6D"/>
    <w:rsid w:val="000824D7"/>
    <w:rsid w:val="0009752E"/>
    <w:rsid w:val="000A0300"/>
    <w:rsid w:val="000A2736"/>
    <w:rsid w:val="000A693F"/>
    <w:rsid w:val="000B0C83"/>
    <w:rsid w:val="000B55F1"/>
    <w:rsid w:val="000B7C25"/>
    <w:rsid w:val="000C54FA"/>
    <w:rsid w:val="000D13F2"/>
    <w:rsid w:val="000D1E89"/>
    <w:rsid w:val="000D5F91"/>
    <w:rsid w:val="000E3657"/>
    <w:rsid w:val="000E5B1D"/>
    <w:rsid w:val="000E7C63"/>
    <w:rsid w:val="000F7A29"/>
    <w:rsid w:val="001006D3"/>
    <w:rsid w:val="0010080F"/>
    <w:rsid w:val="001127EC"/>
    <w:rsid w:val="00115FA2"/>
    <w:rsid w:val="0011725C"/>
    <w:rsid w:val="0012311E"/>
    <w:rsid w:val="00124129"/>
    <w:rsid w:val="00131CE2"/>
    <w:rsid w:val="00135FA8"/>
    <w:rsid w:val="0014081F"/>
    <w:rsid w:val="0014236D"/>
    <w:rsid w:val="001543C4"/>
    <w:rsid w:val="001559FA"/>
    <w:rsid w:val="00155DFF"/>
    <w:rsid w:val="00171AB7"/>
    <w:rsid w:val="001959E7"/>
    <w:rsid w:val="001A2386"/>
    <w:rsid w:val="001A6CE4"/>
    <w:rsid w:val="001B148D"/>
    <w:rsid w:val="001B293F"/>
    <w:rsid w:val="001B2B71"/>
    <w:rsid w:val="001B3DA5"/>
    <w:rsid w:val="001C22BD"/>
    <w:rsid w:val="001C4B30"/>
    <w:rsid w:val="001C6C19"/>
    <w:rsid w:val="001C7C69"/>
    <w:rsid w:val="001D1CAC"/>
    <w:rsid w:val="001D46FF"/>
    <w:rsid w:val="001F2F9D"/>
    <w:rsid w:val="002037AB"/>
    <w:rsid w:val="00203ADA"/>
    <w:rsid w:val="00207BF7"/>
    <w:rsid w:val="0021152B"/>
    <w:rsid w:val="00214B85"/>
    <w:rsid w:val="002157B6"/>
    <w:rsid w:val="00245957"/>
    <w:rsid w:val="00245FD9"/>
    <w:rsid w:val="0024714F"/>
    <w:rsid w:val="00251842"/>
    <w:rsid w:val="00255300"/>
    <w:rsid w:val="00260AE4"/>
    <w:rsid w:val="00267D0D"/>
    <w:rsid w:val="00273F83"/>
    <w:rsid w:val="00290945"/>
    <w:rsid w:val="002923C2"/>
    <w:rsid w:val="0029461D"/>
    <w:rsid w:val="002A218E"/>
    <w:rsid w:val="002B1C88"/>
    <w:rsid w:val="002B6D16"/>
    <w:rsid w:val="002C58C6"/>
    <w:rsid w:val="002C5976"/>
    <w:rsid w:val="002C5AFE"/>
    <w:rsid w:val="002C5DF6"/>
    <w:rsid w:val="002D5608"/>
    <w:rsid w:val="002E2445"/>
    <w:rsid w:val="002F3715"/>
    <w:rsid w:val="002F4531"/>
    <w:rsid w:val="002F4C8F"/>
    <w:rsid w:val="00306373"/>
    <w:rsid w:val="0033095C"/>
    <w:rsid w:val="003347F4"/>
    <w:rsid w:val="003407C3"/>
    <w:rsid w:val="00340ABD"/>
    <w:rsid w:val="00341F1F"/>
    <w:rsid w:val="003467C5"/>
    <w:rsid w:val="00352949"/>
    <w:rsid w:val="00354A83"/>
    <w:rsid w:val="003559FD"/>
    <w:rsid w:val="00355AA6"/>
    <w:rsid w:val="0035740A"/>
    <w:rsid w:val="00363625"/>
    <w:rsid w:val="003644F3"/>
    <w:rsid w:val="00366A29"/>
    <w:rsid w:val="00371215"/>
    <w:rsid w:val="0037352A"/>
    <w:rsid w:val="00377720"/>
    <w:rsid w:val="00380505"/>
    <w:rsid w:val="003849A8"/>
    <w:rsid w:val="00390787"/>
    <w:rsid w:val="003915E6"/>
    <w:rsid w:val="003A21CE"/>
    <w:rsid w:val="003B2223"/>
    <w:rsid w:val="003D2B08"/>
    <w:rsid w:val="003D6472"/>
    <w:rsid w:val="003D7717"/>
    <w:rsid w:val="003E3CE3"/>
    <w:rsid w:val="003F2920"/>
    <w:rsid w:val="003F321A"/>
    <w:rsid w:val="003F546F"/>
    <w:rsid w:val="003F58CF"/>
    <w:rsid w:val="003F652C"/>
    <w:rsid w:val="003F6A34"/>
    <w:rsid w:val="004001C6"/>
    <w:rsid w:val="0040516B"/>
    <w:rsid w:val="00406A2F"/>
    <w:rsid w:val="00406F8A"/>
    <w:rsid w:val="00410CBD"/>
    <w:rsid w:val="004118BC"/>
    <w:rsid w:val="00412D04"/>
    <w:rsid w:val="00426EFB"/>
    <w:rsid w:val="004275E6"/>
    <w:rsid w:val="00430271"/>
    <w:rsid w:val="0043392D"/>
    <w:rsid w:val="00435F23"/>
    <w:rsid w:val="004514FB"/>
    <w:rsid w:val="00454D5E"/>
    <w:rsid w:val="00455304"/>
    <w:rsid w:val="00460545"/>
    <w:rsid w:val="0046208D"/>
    <w:rsid w:val="004658CD"/>
    <w:rsid w:val="0047293C"/>
    <w:rsid w:val="0048003F"/>
    <w:rsid w:val="00480840"/>
    <w:rsid w:val="004836C4"/>
    <w:rsid w:val="0049537E"/>
    <w:rsid w:val="00496C57"/>
    <w:rsid w:val="004A17F2"/>
    <w:rsid w:val="004A42D9"/>
    <w:rsid w:val="004A6F78"/>
    <w:rsid w:val="004A78C8"/>
    <w:rsid w:val="004B2DC1"/>
    <w:rsid w:val="004B6253"/>
    <w:rsid w:val="004B637E"/>
    <w:rsid w:val="004D5B16"/>
    <w:rsid w:val="004D5BFC"/>
    <w:rsid w:val="004E44CC"/>
    <w:rsid w:val="004F372C"/>
    <w:rsid w:val="00500202"/>
    <w:rsid w:val="005007FB"/>
    <w:rsid w:val="005025FB"/>
    <w:rsid w:val="0050612C"/>
    <w:rsid w:val="00514B64"/>
    <w:rsid w:val="00514C27"/>
    <w:rsid w:val="005244D0"/>
    <w:rsid w:val="00526156"/>
    <w:rsid w:val="00526B25"/>
    <w:rsid w:val="00531793"/>
    <w:rsid w:val="005363C9"/>
    <w:rsid w:val="00545BE1"/>
    <w:rsid w:val="005466F4"/>
    <w:rsid w:val="00556141"/>
    <w:rsid w:val="005575BB"/>
    <w:rsid w:val="00563005"/>
    <w:rsid w:val="00565E1A"/>
    <w:rsid w:val="00572E0C"/>
    <w:rsid w:val="00573783"/>
    <w:rsid w:val="005770C2"/>
    <w:rsid w:val="00583DDF"/>
    <w:rsid w:val="005901D0"/>
    <w:rsid w:val="00591D3F"/>
    <w:rsid w:val="00592304"/>
    <w:rsid w:val="005955CD"/>
    <w:rsid w:val="005978A5"/>
    <w:rsid w:val="00597C27"/>
    <w:rsid w:val="005A4881"/>
    <w:rsid w:val="005B1D0F"/>
    <w:rsid w:val="005B3892"/>
    <w:rsid w:val="005C2B38"/>
    <w:rsid w:val="005C6F1F"/>
    <w:rsid w:val="005C729D"/>
    <w:rsid w:val="005C740A"/>
    <w:rsid w:val="005D49B9"/>
    <w:rsid w:val="005F292C"/>
    <w:rsid w:val="0060463A"/>
    <w:rsid w:val="00607926"/>
    <w:rsid w:val="0061173B"/>
    <w:rsid w:val="00615B24"/>
    <w:rsid w:val="00621B9C"/>
    <w:rsid w:val="006237FB"/>
    <w:rsid w:val="006302B6"/>
    <w:rsid w:val="006407FE"/>
    <w:rsid w:val="006438EC"/>
    <w:rsid w:val="006475FF"/>
    <w:rsid w:val="00654A6E"/>
    <w:rsid w:val="00656B94"/>
    <w:rsid w:val="00661773"/>
    <w:rsid w:val="0066496D"/>
    <w:rsid w:val="00671F66"/>
    <w:rsid w:val="00674A76"/>
    <w:rsid w:val="00682A76"/>
    <w:rsid w:val="00682D74"/>
    <w:rsid w:val="00684916"/>
    <w:rsid w:val="006948E8"/>
    <w:rsid w:val="00697727"/>
    <w:rsid w:val="006A724A"/>
    <w:rsid w:val="006B65D2"/>
    <w:rsid w:val="006C51DB"/>
    <w:rsid w:val="006C5469"/>
    <w:rsid w:val="006C5728"/>
    <w:rsid w:val="006D07E0"/>
    <w:rsid w:val="006D6837"/>
    <w:rsid w:val="006D7C5E"/>
    <w:rsid w:val="006E177F"/>
    <w:rsid w:val="00705F33"/>
    <w:rsid w:val="007130F3"/>
    <w:rsid w:val="00720A6F"/>
    <w:rsid w:val="0072548E"/>
    <w:rsid w:val="00732B9B"/>
    <w:rsid w:val="00746466"/>
    <w:rsid w:val="007469AA"/>
    <w:rsid w:val="0074789A"/>
    <w:rsid w:val="007515C4"/>
    <w:rsid w:val="00752C57"/>
    <w:rsid w:val="0075424F"/>
    <w:rsid w:val="00755616"/>
    <w:rsid w:val="00755E7B"/>
    <w:rsid w:val="007626C2"/>
    <w:rsid w:val="00764092"/>
    <w:rsid w:val="00772400"/>
    <w:rsid w:val="007739F9"/>
    <w:rsid w:val="00777727"/>
    <w:rsid w:val="00781B1F"/>
    <w:rsid w:val="007847BC"/>
    <w:rsid w:val="00784EBE"/>
    <w:rsid w:val="00793373"/>
    <w:rsid w:val="00796A0C"/>
    <w:rsid w:val="007B6BA5"/>
    <w:rsid w:val="007C0686"/>
    <w:rsid w:val="007C1004"/>
    <w:rsid w:val="007C3193"/>
    <w:rsid w:val="007D0A05"/>
    <w:rsid w:val="007D1B17"/>
    <w:rsid w:val="007D4E7D"/>
    <w:rsid w:val="007D6079"/>
    <w:rsid w:val="007E5D62"/>
    <w:rsid w:val="007E61B3"/>
    <w:rsid w:val="007E79B8"/>
    <w:rsid w:val="007F543B"/>
    <w:rsid w:val="007F5B80"/>
    <w:rsid w:val="007F654B"/>
    <w:rsid w:val="00813D9D"/>
    <w:rsid w:val="00814EE5"/>
    <w:rsid w:val="0082293E"/>
    <w:rsid w:val="0083045C"/>
    <w:rsid w:val="0083094A"/>
    <w:rsid w:val="008309B1"/>
    <w:rsid w:val="00831ABD"/>
    <w:rsid w:val="008369B0"/>
    <w:rsid w:val="00841350"/>
    <w:rsid w:val="00853117"/>
    <w:rsid w:val="008645D9"/>
    <w:rsid w:val="0087207B"/>
    <w:rsid w:val="00872FDC"/>
    <w:rsid w:val="00884801"/>
    <w:rsid w:val="00885A59"/>
    <w:rsid w:val="008934D6"/>
    <w:rsid w:val="008A4FEE"/>
    <w:rsid w:val="008A5AAC"/>
    <w:rsid w:val="008B1D5E"/>
    <w:rsid w:val="008B6785"/>
    <w:rsid w:val="008C4464"/>
    <w:rsid w:val="008C5894"/>
    <w:rsid w:val="008D09FF"/>
    <w:rsid w:val="008E6B1D"/>
    <w:rsid w:val="008F29E6"/>
    <w:rsid w:val="00900DD5"/>
    <w:rsid w:val="009022FD"/>
    <w:rsid w:val="0090744C"/>
    <w:rsid w:val="009125AD"/>
    <w:rsid w:val="00913FA1"/>
    <w:rsid w:val="00914249"/>
    <w:rsid w:val="009172DB"/>
    <w:rsid w:val="00924407"/>
    <w:rsid w:val="00932737"/>
    <w:rsid w:val="0093725C"/>
    <w:rsid w:val="00941F56"/>
    <w:rsid w:val="0094548E"/>
    <w:rsid w:val="00956173"/>
    <w:rsid w:val="009561AE"/>
    <w:rsid w:val="00957CD0"/>
    <w:rsid w:val="00963740"/>
    <w:rsid w:val="00964B2F"/>
    <w:rsid w:val="00970C40"/>
    <w:rsid w:val="00975F56"/>
    <w:rsid w:val="009812B8"/>
    <w:rsid w:val="00982038"/>
    <w:rsid w:val="00984DCF"/>
    <w:rsid w:val="00991B22"/>
    <w:rsid w:val="00993BA5"/>
    <w:rsid w:val="009A1034"/>
    <w:rsid w:val="009A205A"/>
    <w:rsid w:val="009A2AD5"/>
    <w:rsid w:val="009B08FC"/>
    <w:rsid w:val="009B0B1B"/>
    <w:rsid w:val="009B2391"/>
    <w:rsid w:val="009B53D8"/>
    <w:rsid w:val="009C2D59"/>
    <w:rsid w:val="009C7C4B"/>
    <w:rsid w:val="009D18F1"/>
    <w:rsid w:val="009D1961"/>
    <w:rsid w:val="009D507B"/>
    <w:rsid w:val="009D7AE7"/>
    <w:rsid w:val="009E0198"/>
    <w:rsid w:val="009E22EF"/>
    <w:rsid w:val="009E31A5"/>
    <w:rsid w:val="009F0254"/>
    <w:rsid w:val="00A008EC"/>
    <w:rsid w:val="00A023F9"/>
    <w:rsid w:val="00A0522A"/>
    <w:rsid w:val="00A06682"/>
    <w:rsid w:val="00A2542B"/>
    <w:rsid w:val="00A31089"/>
    <w:rsid w:val="00A60F2E"/>
    <w:rsid w:val="00A62491"/>
    <w:rsid w:val="00A630B9"/>
    <w:rsid w:val="00A64F25"/>
    <w:rsid w:val="00A654E6"/>
    <w:rsid w:val="00A7011E"/>
    <w:rsid w:val="00A70CE1"/>
    <w:rsid w:val="00A73945"/>
    <w:rsid w:val="00A75675"/>
    <w:rsid w:val="00A801A0"/>
    <w:rsid w:val="00A82125"/>
    <w:rsid w:val="00A87747"/>
    <w:rsid w:val="00A90D99"/>
    <w:rsid w:val="00A9411B"/>
    <w:rsid w:val="00A954C7"/>
    <w:rsid w:val="00A97BE1"/>
    <w:rsid w:val="00AA38E2"/>
    <w:rsid w:val="00AA470E"/>
    <w:rsid w:val="00AB326F"/>
    <w:rsid w:val="00AB471C"/>
    <w:rsid w:val="00AB5583"/>
    <w:rsid w:val="00AB5B5E"/>
    <w:rsid w:val="00AB73A8"/>
    <w:rsid w:val="00AC3A95"/>
    <w:rsid w:val="00AC52A2"/>
    <w:rsid w:val="00AD0E28"/>
    <w:rsid w:val="00AD2CBF"/>
    <w:rsid w:val="00AD2D58"/>
    <w:rsid w:val="00AD58AA"/>
    <w:rsid w:val="00AD7F58"/>
    <w:rsid w:val="00AE6BC8"/>
    <w:rsid w:val="00AF1F9B"/>
    <w:rsid w:val="00AF526C"/>
    <w:rsid w:val="00AF6143"/>
    <w:rsid w:val="00B01FD5"/>
    <w:rsid w:val="00B024B4"/>
    <w:rsid w:val="00B026C3"/>
    <w:rsid w:val="00B06232"/>
    <w:rsid w:val="00B07228"/>
    <w:rsid w:val="00B07373"/>
    <w:rsid w:val="00B10DA3"/>
    <w:rsid w:val="00B14771"/>
    <w:rsid w:val="00B179C2"/>
    <w:rsid w:val="00B17B92"/>
    <w:rsid w:val="00B20612"/>
    <w:rsid w:val="00B24C3C"/>
    <w:rsid w:val="00B2519F"/>
    <w:rsid w:val="00B313E9"/>
    <w:rsid w:val="00B31E9D"/>
    <w:rsid w:val="00B3225F"/>
    <w:rsid w:val="00B322E0"/>
    <w:rsid w:val="00B34CA4"/>
    <w:rsid w:val="00B43452"/>
    <w:rsid w:val="00B462F2"/>
    <w:rsid w:val="00B465CF"/>
    <w:rsid w:val="00B46E41"/>
    <w:rsid w:val="00B51613"/>
    <w:rsid w:val="00B53367"/>
    <w:rsid w:val="00B53B3D"/>
    <w:rsid w:val="00B56352"/>
    <w:rsid w:val="00B57A65"/>
    <w:rsid w:val="00B61DB0"/>
    <w:rsid w:val="00B61FED"/>
    <w:rsid w:val="00B66FA3"/>
    <w:rsid w:val="00B671A3"/>
    <w:rsid w:val="00B702BF"/>
    <w:rsid w:val="00B7065F"/>
    <w:rsid w:val="00B71230"/>
    <w:rsid w:val="00B74848"/>
    <w:rsid w:val="00B87943"/>
    <w:rsid w:val="00B91486"/>
    <w:rsid w:val="00B97BB3"/>
    <w:rsid w:val="00BA2FDA"/>
    <w:rsid w:val="00BA45F5"/>
    <w:rsid w:val="00BA5E56"/>
    <w:rsid w:val="00BA67AD"/>
    <w:rsid w:val="00BC0402"/>
    <w:rsid w:val="00BC3B3A"/>
    <w:rsid w:val="00BD180E"/>
    <w:rsid w:val="00BD411F"/>
    <w:rsid w:val="00BE6EAE"/>
    <w:rsid w:val="00BF09EC"/>
    <w:rsid w:val="00BF4E4E"/>
    <w:rsid w:val="00BF5CCF"/>
    <w:rsid w:val="00BF6034"/>
    <w:rsid w:val="00C00C12"/>
    <w:rsid w:val="00C106CE"/>
    <w:rsid w:val="00C14BE6"/>
    <w:rsid w:val="00C24BF1"/>
    <w:rsid w:val="00C41329"/>
    <w:rsid w:val="00C42CEC"/>
    <w:rsid w:val="00C433FF"/>
    <w:rsid w:val="00C47BCC"/>
    <w:rsid w:val="00C52007"/>
    <w:rsid w:val="00C53CCD"/>
    <w:rsid w:val="00C57D30"/>
    <w:rsid w:val="00C66F95"/>
    <w:rsid w:val="00C679FE"/>
    <w:rsid w:val="00C73ADD"/>
    <w:rsid w:val="00C74D7D"/>
    <w:rsid w:val="00C8669D"/>
    <w:rsid w:val="00C8743A"/>
    <w:rsid w:val="00C90937"/>
    <w:rsid w:val="00C919FB"/>
    <w:rsid w:val="00C961BE"/>
    <w:rsid w:val="00CA59F2"/>
    <w:rsid w:val="00CB18BE"/>
    <w:rsid w:val="00CB44EE"/>
    <w:rsid w:val="00CC3413"/>
    <w:rsid w:val="00CC671B"/>
    <w:rsid w:val="00CD2539"/>
    <w:rsid w:val="00CD4DBD"/>
    <w:rsid w:val="00CE4E4E"/>
    <w:rsid w:val="00CE5BDB"/>
    <w:rsid w:val="00CF15D8"/>
    <w:rsid w:val="00CF5F42"/>
    <w:rsid w:val="00D20ECD"/>
    <w:rsid w:val="00D2166C"/>
    <w:rsid w:val="00D23569"/>
    <w:rsid w:val="00D30910"/>
    <w:rsid w:val="00D33380"/>
    <w:rsid w:val="00D35421"/>
    <w:rsid w:val="00D4151E"/>
    <w:rsid w:val="00D444CD"/>
    <w:rsid w:val="00D50037"/>
    <w:rsid w:val="00D73C7F"/>
    <w:rsid w:val="00D77AFB"/>
    <w:rsid w:val="00D81130"/>
    <w:rsid w:val="00D942AF"/>
    <w:rsid w:val="00D9463B"/>
    <w:rsid w:val="00DA3189"/>
    <w:rsid w:val="00DA3A21"/>
    <w:rsid w:val="00DA5D0B"/>
    <w:rsid w:val="00DB19D0"/>
    <w:rsid w:val="00DB5216"/>
    <w:rsid w:val="00DC13DA"/>
    <w:rsid w:val="00DC49BD"/>
    <w:rsid w:val="00DC5F06"/>
    <w:rsid w:val="00DD45E3"/>
    <w:rsid w:val="00DD6A76"/>
    <w:rsid w:val="00DE0958"/>
    <w:rsid w:val="00DE64C4"/>
    <w:rsid w:val="00DF037E"/>
    <w:rsid w:val="00DF2060"/>
    <w:rsid w:val="00DF6304"/>
    <w:rsid w:val="00E000B9"/>
    <w:rsid w:val="00E039C5"/>
    <w:rsid w:val="00E03A4B"/>
    <w:rsid w:val="00E27145"/>
    <w:rsid w:val="00E315EE"/>
    <w:rsid w:val="00E33AC0"/>
    <w:rsid w:val="00E37264"/>
    <w:rsid w:val="00E41AB6"/>
    <w:rsid w:val="00E5396E"/>
    <w:rsid w:val="00E61475"/>
    <w:rsid w:val="00E62EF6"/>
    <w:rsid w:val="00E71F36"/>
    <w:rsid w:val="00E76640"/>
    <w:rsid w:val="00E811C1"/>
    <w:rsid w:val="00E859FA"/>
    <w:rsid w:val="00E85B3F"/>
    <w:rsid w:val="00E90A5A"/>
    <w:rsid w:val="00E928CA"/>
    <w:rsid w:val="00E94410"/>
    <w:rsid w:val="00E95EF8"/>
    <w:rsid w:val="00E9780D"/>
    <w:rsid w:val="00EA0745"/>
    <w:rsid w:val="00EA2106"/>
    <w:rsid w:val="00EA7C96"/>
    <w:rsid w:val="00EB02D9"/>
    <w:rsid w:val="00EB0C0B"/>
    <w:rsid w:val="00EB1549"/>
    <w:rsid w:val="00EB32F9"/>
    <w:rsid w:val="00EB6093"/>
    <w:rsid w:val="00EC3B38"/>
    <w:rsid w:val="00EC3CED"/>
    <w:rsid w:val="00EC74AE"/>
    <w:rsid w:val="00ED6A6B"/>
    <w:rsid w:val="00EE04C1"/>
    <w:rsid w:val="00EE2BBA"/>
    <w:rsid w:val="00EE58F1"/>
    <w:rsid w:val="00EF0350"/>
    <w:rsid w:val="00F05440"/>
    <w:rsid w:val="00F10C64"/>
    <w:rsid w:val="00F16569"/>
    <w:rsid w:val="00F17CBC"/>
    <w:rsid w:val="00F31831"/>
    <w:rsid w:val="00F320B3"/>
    <w:rsid w:val="00F35020"/>
    <w:rsid w:val="00F42555"/>
    <w:rsid w:val="00F42792"/>
    <w:rsid w:val="00F52B0E"/>
    <w:rsid w:val="00F71CCB"/>
    <w:rsid w:val="00F80D70"/>
    <w:rsid w:val="00FA1905"/>
    <w:rsid w:val="00FA3835"/>
    <w:rsid w:val="00FB012C"/>
    <w:rsid w:val="00FB44DD"/>
    <w:rsid w:val="00FB4BC2"/>
    <w:rsid w:val="00FB5913"/>
    <w:rsid w:val="00FB636C"/>
    <w:rsid w:val="00FD08F7"/>
    <w:rsid w:val="00FE007F"/>
    <w:rsid w:val="00FE1106"/>
    <w:rsid w:val="00FE22D5"/>
    <w:rsid w:val="00FE2AD0"/>
    <w:rsid w:val="00FE3A7A"/>
    <w:rsid w:val="00FE5D8F"/>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02462A6"/>
  <w15:chartTrackingRefBased/>
  <w15:docId w15:val="{244C03BB-C201-42E7-B33D-E7F425737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rsid w:val="00813D9D"/>
    <w:pPr>
      <w:keepNext/>
      <w:keepLines/>
      <w:numPr>
        <w:ilvl w:val="1"/>
        <w:numId w:val="1"/>
      </w:numPr>
      <w:spacing w:before="113"/>
      <w:outlineLvl w:val="1"/>
    </w:pPr>
    <w:rPr>
      <w:rFonts w:eastAsia="Times New Roman"/>
      <w:b/>
      <w:bCs/>
      <w:szCs w:val="26"/>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5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54D5E"/>
    <w:rPr>
      <w:i/>
      <w:iCs/>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customStyle="1" w:styleId="UnresolvedMention1">
    <w:name w:val="Unresolved Mention1"/>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 w:type="table" w:styleId="GridTable6ColourfulAccent2">
    <w:name w:val="Grid Table 6 Colorful Accent 2"/>
    <w:basedOn w:val="TableNormal"/>
    <w:uiPriority w:val="51"/>
    <w:rsid w:val="001C22BD"/>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urfulAccent5">
    <w:name w:val="Grid Table 6 Colorful Accent 5"/>
    <w:basedOn w:val="TableNormal"/>
    <w:uiPriority w:val="51"/>
    <w:rsid w:val="00C961BE"/>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urfulAccent4">
    <w:name w:val="Grid Table 6 Colorful Accent 4"/>
    <w:basedOn w:val="TableNormal"/>
    <w:uiPriority w:val="51"/>
    <w:rsid w:val="00FB4BC2"/>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782067639">
      <w:bodyDiv w:val="1"/>
      <w:marLeft w:val="0"/>
      <w:marRight w:val="0"/>
      <w:marTop w:val="0"/>
      <w:marBottom w:val="0"/>
      <w:divBdr>
        <w:top w:val="none" w:sz="0" w:space="0" w:color="auto"/>
        <w:left w:val="none" w:sz="0" w:space="0" w:color="auto"/>
        <w:bottom w:val="none" w:sz="0" w:space="0" w:color="auto"/>
        <w:right w:val="none" w:sz="0" w:space="0" w:color="auto"/>
      </w:divBdr>
      <w:divsChild>
        <w:div w:id="1145008385">
          <w:marLeft w:val="0"/>
          <w:marRight w:val="0"/>
          <w:marTop w:val="0"/>
          <w:marBottom w:val="0"/>
          <w:divBdr>
            <w:top w:val="none" w:sz="0" w:space="0" w:color="auto"/>
            <w:left w:val="none" w:sz="0" w:space="0" w:color="auto"/>
            <w:bottom w:val="none" w:sz="0" w:space="0" w:color="auto"/>
            <w:right w:val="none" w:sz="0" w:space="0" w:color="auto"/>
          </w:divBdr>
        </w:div>
      </w:divsChild>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55-020-01613-8" TargetMode="External"/><Relationship Id="rId13" Type="http://schemas.openxmlformats.org/officeDocument/2006/relationships/hyperlink" Target="https://doi.org/10.1186/s12889-025-23765-2" TargetMode="External"/><Relationship Id="rId18" Type="http://schemas.openxmlformats.org/officeDocument/2006/relationships/hyperlink" Target="https://doi.org/10.1007/s13300-022-01254-8"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1016/j.mam.2019.100843" TargetMode="External"/><Relationship Id="rId17" Type="http://schemas.openxmlformats.org/officeDocument/2006/relationships/hyperlink" Target="https://doi.org/10.3390/ejihpe13110176"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doi.org/10.1016/j.metabol.2020.154304" TargetMode="External"/><Relationship Id="rId20" Type="http://schemas.openxmlformats.org/officeDocument/2006/relationships/hyperlink" Target="https://doi.org/10.1016/j.molmet.2020.1011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3098-021-00654-3"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016/j.semcdb.2020.04.005"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doi.org/10.3390/nu15204489" TargetMode="External"/><Relationship Id="rId19" Type="http://schemas.openxmlformats.org/officeDocument/2006/relationships/hyperlink" Target="https://doi.org/10.1038/s41586-019-1797-8" TargetMode="External"/><Relationship Id="rId4" Type="http://schemas.openxmlformats.org/officeDocument/2006/relationships/settings" Target="settings.xml"/><Relationship Id="rId9" Type="http://schemas.openxmlformats.org/officeDocument/2006/relationships/hyperlink" Target="https://doi.org/10.1038/s41598-022-06212-9" TargetMode="External"/><Relationship Id="rId14" Type="http://schemas.openxmlformats.org/officeDocument/2006/relationships/hyperlink" Target="https://doi.org/10.1038/s41598-025-28010-9"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B33CF-DC54-4951-872A-1FFED27F49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3488</Words>
  <Characters>19885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samaria bibi</cp:lastModifiedBy>
  <cp:revision>2</cp:revision>
  <cp:lastPrinted>1900-01-01T00:00:00Z</cp:lastPrinted>
  <dcterms:created xsi:type="dcterms:W3CDTF">2026-10-21T10:09:00Z</dcterms:created>
  <dcterms:modified xsi:type="dcterms:W3CDTF">2026-10-21T10:09:00Z</dcterms:modified>
</cp:coreProperties>
</file>