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913B92"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97A8D">
              <w:rPr>
                <w:rFonts w:ascii="Arial" w:hAnsi="Arial" w:cs="Arial"/>
                <w:b/>
                <w:sz w:val="22"/>
                <w:szCs w:val="22"/>
              </w:rPr>
              <w:t>Lucy Allison Paradice</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797A8D" w:rsidP="001E57C1">
            <w:pPr>
              <w:spacing w:before="120" w:after="120"/>
              <w:jc w:val="both"/>
              <w:rPr>
                <w:rFonts w:ascii="Arial" w:hAnsi="Arial" w:cs="Arial"/>
                <w:b/>
                <w:sz w:val="22"/>
                <w:szCs w:val="22"/>
              </w:rPr>
            </w:pPr>
            <w:r>
              <w:rPr>
                <w:rFonts w:ascii="Arial" w:hAnsi="Arial" w:cs="Arial"/>
                <w:b/>
                <w:sz w:val="22"/>
                <w:szCs w:val="22"/>
              </w:rPr>
              <w:t>1805103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w:t>
            </w:r>
            <w:r w:rsidR="00003938">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Shân Samuel-Thomas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rsidR="00B84B5B" w:rsidRPr="00A406E5" w:rsidRDefault="00B84B5B" w:rsidP="005F0579">
            <w:pPr>
              <w:spacing w:before="120" w:after="120"/>
              <w:jc w:val="both"/>
              <w:rPr>
                <w:rFonts w:ascii="Arial" w:hAnsi="Arial" w:cs="Arial"/>
                <w:b/>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961725" w:rsidRDefault="00A406E5" w:rsidP="00961725">
      <w:pPr>
        <w:rPr>
          <w:sz w:val="24"/>
          <w:szCs w:val="24"/>
        </w:rPr>
      </w:pPr>
      <w:r>
        <w:rPr>
          <w:rFonts w:ascii="Arial" w:hAnsi="Arial" w:cs="Arial"/>
          <w:sz w:val="32"/>
        </w:rPr>
        <w:br w:type="page"/>
      </w:r>
      <w:r w:rsidR="00961725">
        <w:rPr>
          <w:sz w:val="24"/>
          <w:szCs w:val="24"/>
        </w:rPr>
        <w:lastRenderedPageBreak/>
        <w:t xml:space="preserve">This report will investigate contemporary issues within secondary education with sole reference to School A. </w:t>
      </w:r>
      <w:r w:rsidR="00961725" w:rsidRPr="00D317A3">
        <w:rPr>
          <w:sz w:val="24"/>
          <w:szCs w:val="24"/>
        </w:rPr>
        <w:t>The purpose of this paper is to</w:t>
      </w:r>
      <w:r w:rsidR="00961725">
        <w:rPr>
          <w:sz w:val="24"/>
          <w:szCs w:val="24"/>
        </w:rPr>
        <w:t xml:space="preserve"> critically evaluate sever</w:t>
      </w:r>
      <w:r w:rsidR="008B617D">
        <w:rPr>
          <w:sz w:val="24"/>
          <w:szCs w:val="24"/>
        </w:rPr>
        <w:t xml:space="preserve">al priorities that </w:t>
      </w:r>
      <w:r w:rsidR="00961725">
        <w:rPr>
          <w:sz w:val="24"/>
          <w:szCs w:val="24"/>
        </w:rPr>
        <w:t xml:space="preserve">the recent Estyn report (2015 – see Appendix 1) have identified as areas of educational processes that are recommended for improvement. With reference to the School Development Plan (SDP – Appendix 2), and the School Improvement Plan (SIP – see Appendix 3), an evaluation of processes, interventions, and school outcomes and progressions will be reviewed. </w:t>
      </w:r>
    </w:p>
    <w:p w:rsidR="00961725" w:rsidRDefault="00961725" w:rsidP="00961725">
      <w:pPr>
        <w:rPr>
          <w:sz w:val="24"/>
          <w:szCs w:val="24"/>
        </w:rPr>
      </w:pPr>
    </w:p>
    <w:p w:rsidR="00961725" w:rsidRDefault="00961725" w:rsidP="00961725">
      <w:pPr>
        <w:rPr>
          <w:sz w:val="24"/>
          <w:szCs w:val="24"/>
        </w:rPr>
      </w:pPr>
      <w:r>
        <w:rPr>
          <w:sz w:val="24"/>
          <w:szCs w:val="24"/>
        </w:rPr>
        <w:t>Methods have already been implemented towards addressing the priorities recommended from Estyn’s recent report spanning over a 3 year plan from 2017 – 2020. This paper will analyse and reflect upon the school’s transition through this period. It will review the effectiveness of modified teaching methods across the curriculum and examine possible additional strategies to enhance the developments already made and to reap the rewards from successful strategic planning.</w:t>
      </w:r>
    </w:p>
    <w:p w:rsidR="00961725" w:rsidRDefault="00961725" w:rsidP="00961725">
      <w:pPr>
        <w:rPr>
          <w:sz w:val="24"/>
          <w:szCs w:val="24"/>
        </w:rPr>
      </w:pPr>
    </w:p>
    <w:p w:rsidR="00961725" w:rsidRDefault="00961725" w:rsidP="00961725">
      <w:pPr>
        <w:rPr>
          <w:sz w:val="24"/>
          <w:szCs w:val="24"/>
        </w:rPr>
      </w:pPr>
      <w:r>
        <w:rPr>
          <w:sz w:val="24"/>
          <w:szCs w:val="24"/>
        </w:rPr>
        <w:t xml:space="preserve">Before reviewing Estyn’s recommendations and commendations for School A, it would be reasonable to acknowledge and understand how the school ethos has developed during recent years through its attending pupils and the local community. Having this background knowledge will provide a clearer picture of how School A has positively progressed through a challenging transition and continues to develop through all aspects of teaching methods and effective learning. </w:t>
      </w:r>
    </w:p>
    <w:p w:rsidR="00961725" w:rsidRDefault="00961725" w:rsidP="00961725">
      <w:pPr>
        <w:rPr>
          <w:sz w:val="24"/>
          <w:szCs w:val="24"/>
        </w:rPr>
      </w:pPr>
    </w:p>
    <w:p w:rsidR="00961725" w:rsidRDefault="00961725" w:rsidP="00961725">
      <w:pPr>
        <w:rPr>
          <w:sz w:val="24"/>
          <w:szCs w:val="24"/>
        </w:rPr>
      </w:pPr>
      <w:r>
        <w:rPr>
          <w:sz w:val="24"/>
          <w:szCs w:val="24"/>
        </w:rPr>
        <w:t>School A has approximately 700 attending pupils and is situated in the 11</w:t>
      </w:r>
      <w:r w:rsidRPr="00A22F08">
        <w:rPr>
          <w:sz w:val="24"/>
          <w:szCs w:val="24"/>
          <w:vertAlign w:val="superscript"/>
        </w:rPr>
        <w:t>th</w:t>
      </w:r>
      <w:r>
        <w:rPr>
          <w:sz w:val="24"/>
          <w:szCs w:val="24"/>
        </w:rPr>
        <w:t xml:space="preserve"> most deprived ward of Country B, whereby 73% of its pupils live in 30% of the most deprived areas in the same country. 35.1% of pupils receive free school meals. This is particularly high when compared to an average of 16.6% for other schools in the same Country B (see Appendix 1a).</w:t>
      </w:r>
    </w:p>
    <w:p w:rsidR="00961725" w:rsidRPr="001A51A1" w:rsidRDefault="00961725" w:rsidP="00961725">
      <w:pPr>
        <w:rPr>
          <w:sz w:val="24"/>
          <w:szCs w:val="24"/>
          <w:u w:val="single"/>
        </w:rPr>
      </w:pPr>
    </w:p>
    <w:p w:rsidR="00961725" w:rsidRDefault="00961725" w:rsidP="00961725">
      <w:pPr>
        <w:rPr>
          <w:sz w:val="24"/>
          <w:szCs w:val="24"/>
        </w:rPr>
      </w:pPr>
      <w:r>
        <w:rPr>
          <w:sz w:val="24"/>
          <w:szCs w:val="24"/>
        </w:rPr>
        <w:t>A high percentage for free school meals is regarded as the main indicator of social deprivation in schools, poverty at home and a consequential low educational attainment level (Estyn, 2014). In addition, 38% of the pupils who attend School A have special educational needs. SEN statuses include 25% school action, 9.2% school action plus and 6.1% of pupils have a statement of needs.</w:t>
      </w:r>
    </w:p>
    <w:p w:rsidR="00025810" w:rsidRDefault="00025810" w:rsidP="00961725">
      <w:pPr>
        <w:rPr>
          <w:sz w:val="24"/>
          <w:szCs w:val="24"/>
        </w:rPr>
      </w:pPr>
    </w:p>
    <w:p w:rsidR="00961725" w:rsidRDefault="00961725" w:rsidP="00961725">
      <w:pPr>
        <w:rPr>
          <w:sz w:val="24"/>
          <w:szCs w:val="24"/>
        </w:rPr>
      </w:pPr>
      <w:r>
        <w:rPr>
          <w:sz w:val="24"/>
          <w:szCs w:val="24"/>
        </w:rPr>
        <w:t xml:space="preserve">A further note to add, and an important factor to also acknowledge, is that School A has recently recovered from a decade of a budget deficit. The WJEC National Education Conference (2012), made references to the progressive transition of the school. In particular, attendance levels in 2005 for year 11 boys were as low as 59%. However, due to a change in strategy and focus which promoted pupil wellbeing and pastoral care, the attendance level by 2010/2011 had risen to 91%.   </w:t>
      </w:r>
    </w:p>
    <w:p w:rsidR="00025810" w:rsidRDefault="00025810" w:rsidP="00961725">
      <w:pPr>
        <w:rPr>
          <w:sz w:val="24"/>
          <w:szCs w:val="24"/>
        </w:rPr>
      </w:pPr>
    </w:p>
    <w:p w:rsidR="00961725" w:rsidRDefault="00961725" w:rsidP="00961725">
      <w:pPr>
        <w:pBdr>
          <w:bottom w:val="single" w:sz="12" w:space="1" w:color="auto"/>
        </w:pBdr>
        <w:rPr>
          <w:sz w:val="24"/>
          <w:szCs w:val="24"/>
        </w:rPr>
      </w:pPr>
      <w:r>
        <w:rPr>
          <w:sz w:val="24"/>
          <w:szCs w:val="24"/>
        </w:rPr>
        <w:t>With reference to prior data from School A, and reflecting on the struggles and challenges met by the school, it is important to clearly note that this is by no means an attempt to suggest a sympathetic view towards acceptance of lower standards in subject achievements and other areas of education. In fact, in all adversity, the overall improvements made are clearly reflected by Estyn (2015). The school was awarded a standard of ‘excellent’ for current performance and prospects for improvement. Standards of well being, care, support and guidance provisions were also graded as ‘excellent’. The focus has always been to ensure the well being of all pupils and to encourage positive relationships with the school and the community. It is important to introduce this information regarding School A, so that a genuine and critical evaluation of progress reports and predictions may be made in comparison to similar family schools.</w:t>
      </w:r>
    </w:p>
    <w:p w:rsidR="00025810" w:rsidRDefault="00025810" w:rsidP="00961725">
      <w:pPr>
        <w:pBdr>
          <w:bottom w:val="single" w:sz="12" w:space="1" w:color="auto"/>
        </w:pBdr>
        <w:rPr>
          <w:sz w:val="24"/>
          <w:szCs w:val="24"/>
        </w:rPr>
      </w:pPr>
    </w:p>
    <w:p w:rsidR="00025810" w:rsidRDefault="00025810" w:rsidP="00961725">
      <w:pPr>
        <w:pBdr>
          <w:bottom w:val="single" w:sz="12" w:space="1" w:color="auto"/>
        </w:pBdr>
        <w:rPr>
          <w:sz w:val="24"/>
          <w:szCs w:val="24"/>
        </w:rPr>
      </w:pPr>
    </w:p>
    <w:p w:rsidR="00025810" w:rsidRDefault="00025810" w:rsidP="00961725">
      <w:pPr>
        <w:rPr>
          <w:sz w:val="24"/>
          <w:szCs w:val="24"/>
        </w:rPr>
      </w:pPr>
    </w:p>
    <w:p w:rsidR="00025810" w:rsidRDefault="00025810" w:rsidP="00961725">
      <w:pPr>
        <w:rPr>
          <w:sz w:val="24"/>
          <w:szCs w:val="24"/>
        </w:rPr>
      </w:pPr>
    </w:p>
    <w:p w:rsidR="00961725" w:rsidRDefault="00961725" w:rsidP="00961725">
      <w:pPr>
        <w:rPr>
          <w:sz w:val="24"/>
          <w:szCs w:val="24"/>
        </w:rPr>
      </w:pPr>
      <w:r>
        <w:rPr>
          <w:sz w:val="24"/>
          <w:szCs w:val="24"/>
        </w:rPr>
        <w:t>School A’s current DP spans over 3 years – from 2017-2020. It is categorised into 5 ‘inspection areas’. These are ‘standards’, ‘well being and attitudes to learning’, ‘teaching and learning experiences’, ‘care, support and guidance’ and ‘leadership and management’.</w:t>
      </w:r>
    </w:p>
    <w:p w:rsidR="00025810" w:rsidRDefault="00025810" w:rsidP="00961725">
      <w:pPr>
        <w:rPr>
          <w:sz w:val="24"/>
          <w:szCs w:val="24"/>
        </w:rPr>
      </w:pPr>
    </w:p>
    <w:p w:rsidR="00961725" w:rsidRDefault="00961725" w:rsidP="00961725">
      <w:pPr>
        <w:rPr>
          <w:sz w:val="24"/>
          <w:szCs w:val="24"/>
        </w:rPr>
      </w:pPr>
      <w:r>
        <w:rPr>
          <w:sz w:val="24"/>
          <w:szCs w:val="24"/>
        </w:rPr>
        <w:t xml:space="preserve">Many of the standards documented in the school’s development plan aim to secure and maintain ks3 and ks4 quartile positions. Previous achievements have established good grounding results for Level6+ and Level7+ pupils. Equally, to continue securing above Welsh Government averages for L2+ and FSM learners, this </w:t>
      </w:r>
      <w:r>
        <w:rPr>
          <w:sz w:val="24"/>
          <w:szCs w:val="24"/>
        </w:rPr>
        <w:lastRenderedPageBreak/>
        <w:t xml:space="preserve">must be monitored. Furthermore, this, boy and girl outcomes need to continue to compare favourably with similar schools, and the variation of outcomes for all learners including FSM, SEN, and boys/girls needs to be minimised. The standards are to close the gender gap for all indicators that are &gt;10% for both key stage 3 and key stage 4. Outcomes in different subjects similarly need to maintain a minimal variation. This is a common target for School A i.e. to aim for a reduction in range of outcomes for all learners and all subjects, especially in key stage 3 and 4.  In fact, this is the overall aim for all schools in Country B. The challenging target prioritises the improvement upon literacy, numeracy and reducing the impact of deprivation and poverty on educational outcomes. Data has been measured by the proportion of FSM pupils leaving secondary education at 15 years old attaining Level2 in English and Mathematics (Improving Schools, (2012), WG p.13). In accordance with this paper, the school is currently adhering to measures to meet these targets to reduce the gap within schools for positive educational outcomes. </w:t>
      </w:r>
    </w:p>
    <w:p w:rsidR="00025810" w:rsidRDefault="00025810" w:rsidP="00961725">
      <w:pPr>
        <w:rPr>
          <w:sz w:val="24"/>
          <w:szCs w:val="24"/>
        </w:rPr>
      </w:pPr>
    </w:p>
    <w:p w:rsidR="00961725" w:rsidRDefault="00961725" w:rsidP="00961725">
      <w:pPr>
        <w:rPr>
          <w:sz w:val="24"/>
          <w:szCs w:val="24"/>
        </w:rPr>
      </w:pPr>
      <w:r>
        <w:rPr>
          <w:sz w:val="24"/>
          <w:szCs w:val="24"/>
        </w:rPr>
        <w:t>School A’s DP acknowledges Estyn’s recommendation of securing measurable improvements in pupils achieving 5+A*-A grades to improve literacy and numeracy in all ability levels. Improvement in GCSE results for English and Mathematics is needed in the performance of boys in relation to performance in similar schools. Standards are to continue improving outcomes of MAT ks4 learners so that the percentage of pupils achieving 5+ A*-A grades are to be 12+% and to position within the top 5 of similar performing schools.</w:t>
      </w:r>
    </w:p>
    <w:p w:rsidR="00025810" w:rsidRDefault="00025810" w:rsidP="00961725">
      <w:pPr>
        <w:rPr>
          <w:sz w:val="24"/>
          <w:szCs w:val="24"/>
        </w:rPr>
      </w:pPr>
    </w:p>
    <w:p w:rsidR="00961725" w:rsidRDefault="00961725" w:rsidP="00961725">
      <w:pPr>
        <w:rPr>
          <w:sz w:val="24"/>
          <w:szCs w:val="24"/>
        </w:rPr>
      </w:pPr>
      <w:r>
        <w:rPr>
          <w:sz w:val="24"/>
          <w:szCs w:val="24"/>
        </w:rPr>
        <w:t xml:space="preserve">Support from senior teachers and heads of departments are working together using academic reviews and mock exam results to ensure that these targets are met. With respect to literacy in particular, Estyn have recommended that writing skills need to be matched to reflect the high standards of reading abilities. This applies across all subject areas. Within all departments, teaching methods use extended writing tasks (EWT) as well as reading, oracy, writing, numeracy and digital competency tasks (ROWND).  </w:t>
      </w:r>
    </w:p>
    <w:p w:rsidR="00025810" w:rsidRDefault="00025810" w:rsidP="00961725">
      <w:pPr>
        <w:rPr>
          <w:sz w:val="24"/>
          <w:szCs w:val="24"/>
        </w:rPr>
      </w:pPr>
    </w:p>
    <w:p w:rsidR="00961725" w:rsidRDefault="00961725" w:rsidP="00961725">
      <w:pPr>
        <w:pStyle w:val="Title"/>
        <w:rPr>
          <w:rFonts w:ascii="Times New Roman" w:hAnsi="Times New Roman"/>
          <w:color w:val="auto"/>
          <w:sz w:val="24"/>
        </w:rPr>
      </w:pPr>
      <w:r w:rsidRPr="00EB4628">
        <w:rPr>
          <w:rFonts w:ascii="Times New Roman" w:hAnsi="Times New Roman"/>
          <w:color w:val="auto"/>
          <w:sz w:val="24"/>
        </w:rPr>
        <w:t>The EWT tasks are given once a term to pupils, and perhaps, in some instances, it could be considered that a more frequent EWT task on the taught topic would be more effective to produce positive outcomes. Other ideas</w:t>
      </w:r>
      <w:r>
        <w:rPr>
          <w:rFonts w:ascii="Times New Roman" w:hAnsi="Times New Roman"/>
          <w:color w:val="auto"/>
          <w:sz w:val="24"/>
        </w:rPr>
        <w:t>,</w:t>
      </w:r>
      <w:r w:rsidRPr="00EB4628">
        <w:rPr>
          <w:rFonts w:ascii="Times New Roman" w:hAnsi="Times New Roman"/>
          <w:color w:val="auto"/>
          <w:sz w:val="24"/>
        </w:rPr>
        <w:t xml:space="preserve"> </w:t>
      </w:r>
      <w:r w:rsidRPr="000009D1">
        <w:rPr>
          <w:rFonts w:ascii="Times New Roman" w:hAnsi="Times New Roman"/>
          <w:color w:val="auto"/>
          <w:sz w:val="24"/>
        </w:rPr>
        <w:t>(</w:t>
      </w:r>
      <w:r w:rsidRPr="000009D1">
        <w:rPr>
          <w:rFonts w:ascii="Times New Roman" w:hAnsi="Times New Roman"/>
          <w:color w:val="auto"/>
          <w:sz w:val="24"/>
          <w:lang w:eastAsia="en-GB"/>
        </w:rPr>
        <w:t>Reynolds, D., Sammons, P., Stoll, L., Barber, M. and Hillman, J., 1996),</w:t>
      </w:r>
      <w:r>
        <w:rPr>
          <w:rFonts w:ascii="Times New Roman" w:hAnsi="Times New Roman"/>
          <w:sz w:val="24"/>
          <w:lang w:eastAsia="en-GB"/>
        </w:rPr>
        <w:t xml:space="preserve"> </w:t>
      </w:r>
      <w:r w:rsidRPr="00EB4628">
        <w:rPr>
          <w:rFonts w:ascii="Times New Roman" w:hAnsi="Times New Roman"/>
          <w:color w:val="auto"/>
          <w:sz w:val="24"/>
        </w:rPr>
        <w:t>have suggested that when literacy is introduced as a separate subject from the mainstream studies, the results are less encouraging. It would therefore be better practice</w:t>
      </w:r>
      <w:r>
        <w:rPr>
          <w:rFonts w:ascii="Times New Roman" w:hAnsi="Times New Roman"/>
          <w:color w:val="auto"/>
          <w:sz w:val="24"/>
        </w:rPr>
        <w:t xml:space="preserve"> to refer to ‘literacy’ as a ‘language for learning’ with the aim of demonstrating the importance of all aspects of writing in </w:t>
      </w:r>
      <w:r w:rsidRPr="00906BB7">
        <w:rPr>
          <w:rFonts w:ascii="Times New Roman" w:hAnsi="Times New Roman"/>
          <w:i/>
          <w:color w:val="auto"/>
          <w:sz w:val="24"/>
        </w:rPr>
        <w:t>all</w:t>
      </w:r>
      <w:r>
        <w:rPr>
          <w:rFonts w:ascii="Times New Roman" w:hAnsi="Times New Roman"/>
          <w:color w:val="auto"/>
          <w:sz w:val="24"/>
        </w:rPr>
        <w:t xml:space="preserve"> subjects.</w:t>
      </w:r>
    </w:p>
    <w:p w:rsidR="00961725" w:rsidRDefault="00961725" w:rsidP="00961725">
      <w:pPr>
        <w:pStyle w:val="Title"/>
        <w:rPr>
          <w:rFonts w:ascii="Times New Roman" w:hAnsi="Times New Roman"/>
          <w:color w:val="auto"/>
          <w:sz w:val="24"/>
        </w:rPr>
      </w:pPr>
    </w:p>
    <w:p w:rsidR="00961725" w:rsidRDefault="00961725" w:rsidP="00961725">
      <w:pPr>
        <w:pStyle w:val="Title"/>
        <w:rPr>
          <w:rFonts w:ascii="Times New Roman" w:hAnsi="Times New Roman"/>
          <w:color w:val="auto"/>
          <w:sz w:val="24"/>
        </w:rPr>
      </w:pPr>
      <w:r>
        <w:rPr>
          <w:rFonts w:ascii="Times New Roman" w:hAnsi="Times New Roman"/>
          <w:color w:val="auto"/>
          <w:sz w:val="24"/>
        </w:rPr>
        <w:t>This paper will explore in more detail all aspects of the literacy framework within School A, and its importance within science further into a later section.</w:t>
      </w:r>
    </w:p>
    <w:p w:rsidR="00961725" w:rsidRDefault="00961725" w:rsidP="00961725">
      <w:pPr>
        <w:pStyle w:val="Title"/>
        <w:rPr>
          <w:rFonts w:ascii="Times New Roman" w:hAnsi="Times New Roman"/>
          <w:color w:val="auto"/>
          <w:sz w:val="24"/>
        </w:rPr>
      </w:pPr>
    </w:p>
    <w:p w:rsidR="00961725" w:rsidRDefault="00961725" w:rsidP="00961725">
      <w:pPr>
        <w:rPr>
          <w:sz w:val="24"/>
          <w:szCs w:val="24"/>
        </w:rPr>
      </w:pPr>
      <w:r>
        <w:rPr>
          <w:sz w:val="24"/>
        </w:rPr>
        <w:t>ICT is also referenced within the standards of School A’s plan. In particular, ICT is to be used within all subject lessons where relevant. Involving digital competency in lessons with observation and book scrutiny ensure that ICT skills are demonstrated in the classroom, and prove their validity and usefulness in all areas of education. This will offer pupils a further range of skills for all subjects which will prove useful in later life situations. This falls in accordance with the planning of the curriculum change in support of ‘Donaldson’s Successful Futures’. (</w:t>
      </w:r>
      <w:r w:rsidRPr="009D613D">
        <w:rPr>
          <w:sz w:val="24"/>
          <w:szCs w:val="24"/>
        </w:rPr>
        <w:t>Donaldson, G., 2015</w:t>
      </w:r>
      <w:r>
        <w:rPr>
          <w:sz w:val="24"/>
          <w:szCs w:val="24"/>
        </w:rPr>
        <w:t>)</w:t>
      </w:r>
      <w:r w:rsidRPr="009D613D">
        <w:rPr>
          <w:sz w:val="24"/>
          <w:szCs w:val="24"/>
        </w:rPr>
        <w:t xml:space="preserve">. </w:t>
      </w:r>
    </w:p>
    <w:p w:rsidR="00961725" w:rsidRDefault="00961725" w:rsidP="00961725">
      <w:pPr>
        <w:rPr>
          <w:sz w:val="24"/>
          <w:szCs w:val="24"/>
        </w:rPr>
      </w:pPr>
      <w:r>
        <w:rPr>
          <w:sz w:val="24"/>
          <w:szCs w:val="24"/>
        </w:rPr>
        <w:t>The development of Welsh standards of pupils and Welsh skills used in the classroom has been acknowledged and a creation of a cluster PLC to focus on Welsh provision in the curriculum will target improvements in this area. Incidental Welsh used by teachers and commonly used phrases during dialogue, literacy and written daily practices are promoted. Further to the use of ‘Y Cwricwlwm Cymreig’ (Estyn, June 2017) welsh links to culture and community spirit is encouraged in all lessons. This particular report, amongst significant others, clearly defines the importance of embracing Welsh culture and its historical links to the community. Introducing this relevance in schools in Wales gives pupils a grounding and connection to their heritage and provides a healthy ethos for the school.</w:t>
      </w:r>
    </w:p>
    <w:p w:rsidR="00961725" w:rsidRDefault="00961725" w:rsidP="00961725">
      <w:pPr>
        <w:rPr>
          <w:sz w:val="24"/>
          <w:szCs w:val="24"/>
        </w:rPr>
      </w:pPr>
      <w:r>
        <w:rPr>
          <w:sz w:val="24"/>
          <w:szCs w:val="24"/>
        </w:rPr>
        <w:t xml:space="preserve">The second inspection area is ‘well being and attitudes to learning’. School A caters and fully supports its pupils with ranging abilities in all aspects. This includes varied behavioural and pastoral positive reinforcement processes and avenues for external support such as CHACE. The SDP accounts for Estyn’s recommendations to aim for a reduction of exclusions to 5 days and below. Continued promotion of positive relations between pupils and staff, and parents and staff, including ‘positive phone calls home’ and recognising positive efforts for improvement, are steps towards becoming a pivotal school. The use of </w:t>
      </w:r>
      <w:r>
        <w:rPr>
          <w:sz w:val="24"/>
          <w:szCs w:val="24"/>
        </w:rPr>
        <w:lastRenderedPageBreak/>
        <w:t>feedback from pupil questionnaires and ‘Pupil Voice’ allows the positive relationships to be maintained and targets the reduction of exclusions. School A are also working towards achieving the National Quality Award for Healthy Schools (National Quality Award, (2015), WG).</w:t>
      </w:r>
    </w:p>
    <w:p w:rsidR="00961725" w:rsidRDefault="00961725" w:rsidP="00961725">
      <w:pPr>
        <w:rPr>
          <w:sz w:val="24"/>
          <w:szCs w:val="24"/>
        </w:rPr>
      </w:pPr>
      <w:r>
        <w:rPr>
          <w:sz w:val="24"/>
          <w:szCs w:val="24"/>
        </w:rPr>
        <w:t xml:space="preserve"> Food provisions are reviewed and all pupils’ dietary habits (including some FSM groups) that are using the cashless system will be collated as data and linked to performance outcomes to introduce a new statistic for future planning and intervention.</w:t>
      </w:r>
    </w:p>
    <w:p w:rsidR="00025810" w:rsidRDefault="00025810" w:rsidP="00961725">
      <w:pPr>
        <w:rPr>
          <w:sz w:val="24"/>
          <w:szCs w:val="24"/>
        </w:rPr>
      </w:pPr>
    </w:p>
    <w:p w:rsidR="00961725" w:rsidRDefault="00961725" w:rsidP="00961725">
      <w:pPr>
        <w:rPr>
          <w:sz w:val="24"/>
          <w:szCs w:val="24"/>
        </w:rPr>
      </w:pPr>
      <w:r>
        <w:rPr>
          <w:sz w:val="24"/>
          <w:szCs w:val="24"/>
        </w:rPr>
        <w:t>‘Teaching and learning experiences’ is the 3</w:t>
      </w:r>
      <w:r w:rsidRPr="00BA225B">
        <w:rPr>
          <w:sz w:val="24"/>
          <w:szCs w:val="24"/>
          <w:vertAlign w:val="superscript"/>
        </w:rPr>
        <w:t>rd</w:t>
      </w:r>
      <w:r>
        <w:rPr>
          <w:sz w:val="24"/>
          <w:szCs w:val="24"/>
        </w:rPr>
        <w:t xml:space="preserve"> inspection area in the SDP. The main focus in this area is preparation and adaption of the </w:t>
      </w:r>
      <w:r w:rsidR="00025810">
        <w:rPr>
          <w:sz w:val="24"/>
          <w:szCs w:val="24"/>
        </w:rPr>
        <w:t xml:space="preserve">SoL (Scheme of Learning) </w:t>
      </w:r>
      <w:r>
        <w:rPr>
          <w:sz w:val="24"/>
          <w:szCs w:val="24"/>
        </w:rPr>
        <w:t xml:space="preserve">to embrace Donaldson’s ‘Successful Futures’ (2015). This is being addressed by a themed approach within teaching and learning. Teachers will be working together as a collaboration of ‘Triads of Groups’ – referred to as ‘Champions of Change’ as well as visits to curriculum pioneer schools to review current curriculum developments with successful outcomes. The development of a Cluster Leadership team including STEM provisions will provide a consistent approach to teaching and also encompass digital competency skills in all aspects of learning. This is seen in the inclusion of the SoL for all subjects with a internet reference link to appropriate online supporting material via Hwb </w:t>
      </w:r>
      <w:r w:rsidR="00025810">
        <w:rPr>
          <w:sz w:val="24"/>
          <w:szCs w:val="24"/>
        </w:rPr>
        <w:t>resources. There</w:t>
      </w:r>
      <w:r>
        <w:rPr>
          <w:sz w:val="24"/>
          <w:szCs w:val="24"/>
        </w:rPr>
        <w:t xml:space="preserve"> is also focus on Year 9 options, offering a refined ‘Option’ programme of support targeting individual pupils interests and abilities so that favourable GCSE outcomes put pupils in the places they want to be post secondary education. The programme inclusively supports SEN and STF pupils and is in alignment with differentiation developments in AFL. </w:t>
      </w:r>
    </w:p>
    <w:p w:rsidR="00025810" w:rsidRDefault="00025810" w:rsidP="00961725">
      <w:pPr>
        <w:rPr>
          <w:sz w:val="24"/>
          <w:szCs w:val="24"/>
        </w:rPr>
      </w:pPr>
    </w:p>
    <w:p w:rsidR="00961725" w:rsidRDefault="00961725" w:rsidP="00961725">
      <w:pPr>
        <w:rPr>
          <w:sz w:val="24"/>
          <w:szCs w:val="24"/>
        </w:rPr>
      </w:pPr>
      <w:r>
        <w:rPr>
          <w:sz w:val="24"/>
          <w:szCs w:val="24"/>
        </w:rPr>
        <w:t>The SDP has provisioned a Leadership Team for lesson observations to ensure that staff and especially new teachers maintain a high quality of teaching and have a supportive and comprehensive training programme. This is monitored through lesson observations and book scrutiny with senior support teachers offering feedback and sharing good practice.</w:t>
      </w:r>
    </w:p>
    <w:p w:rsidR="00025810" w:rsidRDefault="00025810" w:rsidP="00961725">
      <w:pPr>
        <w:rPr>
          <w:sz w:val="24"/>
          <w:szCs w:val="24"/>
        </w:rPr>
      </w:pPr>
    </w:p>
    <w:p w:rsidR="00025810" w:rsidRDefault="00961725" w:rsidP="00961725">
      <w:pPr>
        <w:rPr>
          <w:sz w:val="24"/>
          <w:szCs w:val="24"/>
        </w:rPr>
      </w:pPr>
      <w:r>
        <w:rPr>
          <w:sz w:val="24"/>
          <w:szCs w:val="24"/>
        </w:rPr>
        <w:t>The inspection area for care, support and guidance addresses many areas including reducing the attainment gap for FSM learners. This is achieved through data tracking and monitoring with measurement against global target grades. Reports have shown (Education Endowment Foundation, 2014, p.3) that the attainment gap between FSM pupils is substantially larger than the gender gap and also for that of EAL learners. Data for SEN pupils show a greater attainment gap and this is also linked to social deprivation and poverty. 27% of SEN pupils are eligible for FSM compared to 12% of pupils without SEN statuses. School A reduces this gap by monitoring pupils’ progress and ensuring parents are aware of pupil progress by maintaining good relationships with pupils, staff and parents. New strategies are used to offer emotional and social guidance to pupils and feedback used from ‘Pupil Voice’ has been demonstrated with positive outcomes. This has promoted progressive changes to the provision and delivery of topics within the curriculum. Happier pupils have a higher level of interest and engagement in lessons which in turn account for increased attendance and a reduction in e</w:t>
      </w:r>
      <w:r w:rsidR="00025810">
        <w:rPr>
          <w:sz w:val="24"/>
          <w:szCs w:val="24"/>
        </w:rPr>
        <w:t xml:space="preserve">xclusions. </w:t>
      </w:r>
    </w:p>
    <w:p w:rsidR="00025810" w:rsidRDefault="00025810" w:rsidP="00961725">
      <w:pPr>
        <w:rPr>
          <w:sz w:val="24"/>
          <w:szCs w:val="24"/>
        </w:rPr>
      </w:pPr>
    </w:p>
    <w:p w:rsidR="00961725" w:rsidRDefault="00961725" w:rsidP="00961725">
      <w:pPr>
        <w:rPr>
          <w:sz w:val="24"/>
          <w:szCs w:val="24"/>
        </w:rPr>
      </w:pPr>
      <w:r>
        <w:rPr>
          <w:sz w:val="24"/>
          <w:szCs w:val="24"/>
        </w:rPr>
        <w:t xml:space="preserve">Considerable focus has been made to embrace the Welsh culture and enhance community links by using Welsh Baccalaureate results, promoting the Welsh Project and increasing the depth of ESDGC use in lessons. </w:t>
      </w:r>
    </w:p>
    <w:p w:rsidR="00025810" w:rsidRDefault="00025810" w:rsidP="00961725">
      <w:pPr>
        <w:rPr>
          <w:sz w:val="24"/>
          <w:szCs w:val="24"/>
        </w:rPr>
      </w:pPr>
    </w:p>
    <w:p w:rsidR="00961725" w:rsidRDefault="00961725" w:rsidP="00961725">
      <w:pPr>
        <w:rPr>
          <w:sz w:val="24"/>
          <w:szCs w:val="24"/>
        </w:rPr>
      </w:pPr>
      <w:r>
        <w:rPr>
          <w:sz w:val="24"/>
          <w:szCs w:val="24"/>
        </w:rPr>
        <w:t>School A continues to maintain annual safeguarding staff training, with a view to refine safe guarding policies to take into account current health and medical requirements according to GB processes.</w:t>
      </w:r>
    </w:p>
    <w:p w:rsidR="00961725" w:rsidRDefault="00961725" w:rsidP="00961725">
      <w:pPr>
        <w:rPr>
          <w:sz w:val="24"/>
          <w:szCs w:val="24"/>
        </w:rPr>
      </w:pPr>
      <w:r>
        <w:rPr>
          <w:sz w:val="24"/>
          <w:szCs w:val="24"/>
        </w:rPr>
        <w:t>Within leadership and management areas, the SDP include expanding the Senior Leadership team by collaborative working and refining skills through CPD opportunities. Continued regular use of ‘Pupil Voice’, self-evaluation, senior pastoral meetings and monitoring of pupils well being is key to positive outcomes in standards, behaviour, and attendance.</w:t>
      </w:r>
    </w:p>
    <w:p w:rsidR="00961725" w:rsidRDefault="00961725" w:rsidP="00961725">
      <w:pPr>
        <w:rPr>
          <w:sz w:val="24"/>
          <w:szCs w:val="24"/>
        </w:rPr>
      </w:pPr>
      <w:r>
        <w:rPr>
          <w:sz w:val="24"/>
          <w:szCs w:val="24"/>
        </w:rPr>
        <w:t>Further investment in literacy and numeracy development in the Pupil Development Grant (PDG) will support fundamental posts in these areas including well being and behavioural support. Going forward, the extended leadership team will be responsive to WG priorities. These include preparing and responding to curriculum reform (Donaldson), ALN, DCF and the ALN bill.</w:t>
      </w:r>
    </w:p>
    <w:p w:rsidR="00025810" w:rsidRDefault="00025810" w:rsidP="00961725">
      <w:pPr>
        <w:rPr>
          <w:sz w:val="24"/>
          <w:szCs w:val="24"/>
        </w:rPr>
      </w:pPr>
    </w:p>
    <w:p w:rsidR="00025810" w:rsidRDefault="00025810" w:rsidP="00961725">
      <w:pPr>
        <w:rPr>
          <w:sz w:val="24"/>
          <w:szCs w:val="24"/>
        </w:rPr>
      </w:pPr>
    </w:p>
    <w:p w:rsidR="00961725" w:rsidRDefault="00961725" w:rsidP="00961725">
      <w:pPr>
        <w:rPr>
          <w:sz w:val="24"/>
          <w:szCs w:val="24"/>
        </w:rPr>
      </w:pPr>
      <w:r>
        <w:rPr>
          <w:sz w:val="24"/>
          <w:szCs w:val="24"/>
        </w:rPr>
        <w:t>__________________________________</w:t>
      </w:r>
      <w:r w:rsidR="00025810">
        <w:rPr>
          <w:sz w:val="24"/>
          <w:szCs w:val="24"/>
        </w:rPr>
        <w:t>____________</w:t>
      </w:r>
      <w:r>
        <w:rPr>
          <w:sz w:val="24"/>
          <w:szCs w:val="24"/>
        </w:rPr>
        <w:t>_________________________________________</w:t>
      </w:r>
    </w:p>
    <w:p w:rsidR="00961725" w:rsidRDefault="00961725" w:rsidP="00961725">
      <w:pPr>
        <w:rPr>
          <w:sz w:val="24"/>
          <w:szCs w:val="24"/>
        </w:rPr>
      </w:pPr>
      <w:r>
        <w:rPr>
          <w:sz w:val="24"/>
          <w:szCs w:val="24"/>
        </w:rPr>
        <w:lastRenderedPageBreak/>
        <w:t>The topic chosen for critical discussion from the Department Improvement Plan (DIP – see Appendix 4), is literacy and in particular – scientific literacy. Literacy, writing skills, spelling, grammar and punctuation are not subject specific and are a key basic skill requirement for successful outcomes in all areas. It is for this reason that a review and critical evaluation of the teaching methods for literacy are appraised and challenged. The outcomes from effective teaching and positive learning in literacy have a direct impact on the overall outcomes of the School A.</w:t>
      </w:r>
    </w:p>
    <w:p w:rsidR="00961725" w:rsidRDefault="00961725" w:rsidP="00961725">
      <w:pPr>
        <w:rPr>
          <w:sz w:val="24"/>
          <w:szCs w:val="24"/>
        </w:rPr>
      </w:pPr>
      <w:r>
        <w:rPr>
          <w:sz w:val="24"/>
          <w:szCs w:val="24"/>
        </w:rPr>
        <w:t>Estyn (2015) recommended the improvement of writing skills to reflect the high reading ability of pupils. This has been attributed to a cluster approach to using the ‘8 reading behaviours’. Other cluster approaches to teaching reading, oracy and writing skills including rich tasks and extended writing tasks have accounted for favourable outcomes at the end of ks3. Skills data for L5+ at ks3 reported oracy at 88.5%, reading 90.2% and writing 85.2%. Reading and writing outcomes have ranked the school in 2</w:t>
      </w:r>
      <w:r w:rsidRPr="00B54CD7">
        <w:rPr>
          <w:sz w:val="24"/>
          <w:szCs w:val="24"/>
          <w:vertAlign w:val="superscript"/>
        </w:rPr>
        <w:t>nd</w:t>
      </w:r>
      <w:r>
        <w:rPr>
          <w:sz w:val="24"/>
          <w:szCs w:val="24"/>
        </w:rPr>
        <w:t xml:space="preserve"> position in terms of family of schools. Oracy attainment however needs improvement as it currently ranks in position 6. Despite this, oracy is measured at a very high standard across both key stages and this is evidenced by good outcomes from GCSE speaking and listening assessments.</w:t>
      </w:r>
    </w:p>
    <w:p w:rsidR="00961725" w:rsidRDefault="00961725" w:rsidP="00961725">
      <w:pPr>
        <w:rPr>
          <w:sz w:val="24"/>
          <w:szCs w:val="24"/>
        </w:rPr>
      </w:pPr>
      <w:r>
        <w:rPr>
          <w:sz w:val="24"/>
          <w:szCs w:val="24"/>
        </w:rPr>
        <w:t>This topic has clearly impacted on the school overall, as they have taken on this approach to literacy teaching and used it across the whole curriculum to demonstrate a significant improvement in pupil’s writing skills. Outcomes in ks3 in core subjects have improved as a result. The SDP reports that L5+ attainment is in the 1</w:t>
      </w:r>
      <w:r w:rsidRPr="009C69CB">
        <w:rPr>
          <w:sz w:val="24"/>
          <w:szCs w:val="24"/>
          <w:vertAlign w:val="superscript"/>
        </w:rPr>
        <w:t>st</w:t>
      </w:r>
      <w:r>
        <w:rPr>
          <w:sz w:val="24"/>
          <w:szCs w:val="24"/>
        </w:rPr>
        <w:t xml:space="preserve"> quartile for all KPI’s and L6+ and L7+ attainments are above the median. In summary, the school’s performance for 2016-2017 has been above the family average for all KPI’s.</w:t>
      </w:r>
    </w:p>
    <w:p w:rsidR="00025810" w:rsidRDefault="00025810" w:rsidP="00961725">
      <w:pPr>
        <w:pBdr>
          <w:bottom w:val="single" w:sz="12" w:space="1" w:color="auto"/>
        </w:pBdr>
        <w:rPr>
          <w:sz w:val="24"/>
          <w:szCs w:val="24"/>
        </w:rPr>
      </w:pPr>
    </w:p>
    <w:p w:rsidR="00025810" w:rsidRDefault="00025810" w:rsidP="00961725">
      <w:pPr>
        <w:pBdr>
          <w:bottom w:val="single" w:sz="12" w:space="1" w:color="auto"/>
        </w:pBdr>
        <w:rPr>
          <w:sz w:val="24"/>
          <w:szCs w:val="24"/>
        </w:rPr>
      </w:pPr>
    </w:p>
    <w:p w:rsidR="00025810" w:rsidRDefault="00025810" w:rsidP="00961725">
      <w:pPr>
        <w:rPr>
          <w:sz w:val="24"/>
          <w:szCs w:val="24"/>
        </w:rPr>
      </w:pPr>
    </w:p>
    <w:p w:rsidR="00025810" w:rsidRDefault="00025810" w:rsidP="00961725">
      <w:pPr>
        <w:rPr>
          <w:sz w:val="24"/>
          <w:szCs w:val="24"/>
        </w:rPr>
      </w:pPr>
    </w:p>
    <w:p w:rsidR="00961725" w:rsidRDefault="00961725" w:rsidP="00961725">
      <w:pPr>
        <w:rPr>
          <w:sz w:val="24"/>
          <w:szCs w:val="24"/>
        </w:rPr>
      </w:pPr>
      <w:r>
        <w:rPr>
          <w:sz w:val="24"/>
          <w:szCs w:val="24"/>
        </w:rPr>
        <w:t>Strategic planning is of great importance to all schools that want to progress and improve. It is a process that at its simplest form requires an honest self-evaluation of recognising the current situation, considering the targets that need to be attained, working through the route to get there and developing the plan to do it. School A has used strategic planning to noticeable effect, acknowledged by Estyn (2015). Through the effective direction and leadership of the Headmaster and all leaders at the school, a clear and precise plan that was easily understood has been put into place. As all leaders and staff have clear targets and goals for raising standards, their effective strategy has provided the best opportunities for all pupils to perform well.</w:t>
      </w:r>
    </w:p>
    <w:p w:rsidR="00961725" w:rsidRDefault="00961725" w:rsidP="00961725">
      <w:pPr>
        <w:rPr>
          <w:sz w:val="24"/>
          <w:szCs w:val="24"/>
        </w:rPr>
      </w:pPr>
      <w:r>
        <w:rPr>
          <w:sz w:val="24"/>
          <w:szCs w:val="24"/>
        </w:rPr>
        <w:t xml:space="preserve">Various literature reports suggest different approaches to strategic planning and how they can work on different levels, with key features that determine their effectiveness. In particular, secondary schools that use planned strategies are generally more productive than schools that respond to random changes </w:t>
      </w:r>
      <w:r w:rsidRPr="00DF633E">
        <w:rPr>
          <w:sz w:val="24"/>
          <w:szCs w:val="24"/>
        </w:rPr>
        <w:t>(</w:t>
      </w:r>
      <w:r>
        <w:rPr>
          <w:sz w:val="24"/>
          <w:szCs w:val="24"/>
        </w:rPr>
        <w:t>O’Brien, 1991). He went on to explain that by defining the goal clearly, creating a strategy and a plan, assessing the available resources and possible downfalls, and then auctioning the plan – produces the best results. However, having considered all variables, a resourceful strategy is not necessary a guarantee of success. The implementation of any plan needs to consider the culture and the environment where the proposed change is to take place (Bryson, 1995). Many strategies that have promised success have failed on this basis. Criticism has been made (O’Brien, 1991) of the planning and the implementation of a strategy that overlooks the effects on those within the situation that are subject to the change, giving a consequent negative outcome.</w:t>
      </w:r>
    </w:p>
    <w:p w:rsidR="00961725" w:rsidRDefault="00961725" w:rsidP="00961725">
      <w:pPr>
        <w:rPr>
          <w:sz w:val="24"/>
          <w:szCs w:val="24"/>
        </w:rPr>
      </w:pPr>
      <w:r>
        <w:rPr>
          <w:sz w:val="24"/>
          <w:szCs w:val="24"/>
        </w:rPr>
        <w:t>Studies have determined that the role of strategic planning is also dependent on the qualities and actions of the leadership groups applying the changes and the degree of support they hold within the school and community. This train of thought is followed by many (Berman and McLaughlin et al., 1976) who recognised successful plans from schools that have strong leadership support and commitment from elected officials and community encouragement. This is particularly noted in School A who have invested in positive relations linking the school with the local community and attributes this to the wellbeing and favourable outcomes of its pupils.</w:t>
      </w:r>
    </w:p>
    <w:p w:rsidR="00025810" w:rsidRDefault="00025810" w:rsidP="00961725">
      <w:pPr>
        <w:rPr>
          <w:sz w:val="24"/>
          <w:szCs w:val="24"/>
        </w:rPr>
      </w:pPr>
    </w:p>
    <w:p w:rsidR="00961725" w:rsidRDefault="00961725" w:rsidP="00961725">
      <w:pPr>
        <w:rPr>
          <w:sz w:val="24"/>
          <w:szCs w:val="24"/>
        </w:rPr>
      </w:pPr>
      <w:r>
        <w:rPr>
          <w:sz w:val="24"/>
          <w:szCs w:val="24"/>
        </w:rPr>
        <w:t>School A are improving their literacy outcomes somewhat by applying their planned strategies and are benefiting from their strong and consistent leadership. Success appears to be attributed to clear guidance and directions with a unified target. Cross curricula intervention in all lessons with focus upon using reading, writing and oracy behaviours has been paramount to literacy improvements across all subjects (see - Appendix 5).</w:t>
      </w:r>
      <w:r w:rsidR="00025810">
        <w:rPr>
          <w:sz w:val="24"/>
          <w:szCs w:val="24"/>
        </w:rPr>
        <w:t xml:space="preserve"> </w:t>
      </w:r>
      <w:r>
        <w:rPr>
          <w:sz w:val="24"/>
          <w:szCs w:val="24"/>
        </w:rPr>
        <w:t xml:space="preserve">For example, a rick task was presented to a year 8 physics class, consisting of a series of literacy, comprehension and writing exercises on the topic of Felix Baumgartner’s jump from the edge of space to Earth. The exercises took place over the duration of 3 - 4 lessons. Pupils were shown video footage </w:t>
      </w:r>
      <w:r>
        <w:rPr>
          <w:sz w:val="24"/>
          <w:szCs w:val="24"/>
        </w:rPr>
        <w:lastRenderedPageBreak/>
        <w:t>of the jump with commentary (approximately 10 minutes) and were also asked if they wanted to review it again before attempting the comprehension questions. These tasks demonstrate how literacy can be incorporated into teaching any subject with smooth transition and making it appear a separate area of study. The comprehension requires pupils to use the 8 reading behaviours (see Appendix 6):</w:t>
      </w:r>
    </w:p>
    <w:p w:rsidR="00025810" w:rsidRDefault="00025810" w:rsidP="00961725">
      <w:pPr>
        <w:rPr>
          <w:sz w:val="24"/>
          <w:szCs w:val="24"/>
        </w:rPr>
      </w:pPr>
    </w:p>
    <w:p w:rsidR="00961725" w:rsidRPr="00632DDF" w:rsidRDefault="00961725" w:rsidP="00961725">
      <w:pPr>
        <w:rPr>
          <w:sz w:val="24"/>
          <w:szCs w:val="24"/>
        </w:rPr>
      </w:pPr>
      <w:r>
        <w:rPr>
          <w:sz w:val="24"/>
          <w:szCs w:val="24"/>
        </w:rPr>
        <w:t xml:space="preserve">1. </w:t>
      </w:r>
      <w:r w:rsidR="00025810">
        <w:rPr>
          <w:sz w:val="24"/>
          <w:szCs w:val="24"/>
        </w:rPr>
        <w:t>To</w:t>
      </w:r>
      <w:r>
        <w:rPr>
          <w:sz w:val="24"/>
          <w:szCs w:val="24"/>
        </w:rPr>
        <w:t xml:space="preserve"> </w:t>
      </w:r>
      <w:r w:rsidRPr="00632DDF">
        <w:rPr>
          <w:sz w:val="24"/>
          <w:szCs w:val="24"/>
        </w:rPr>
        <w:t>access prior knowledge – ‘what do I already know?’</w:t>
      </w:r>
    </w:p>
    <w:p w:rsidR="00961725" w:rsidRDefault="00961725" w:rsidP="00961725">
      <w:pPr>
        <w:rPr>
          <w:sz w:val="24"/>
          <w:szCs w:val="24"/>
        </w:rPr>
      </w:pPr>
      <w:r w:rsidRPr="00632DDF">
        <w:rPr>
          <w:sz w:val="24"/>
          <w:szCs w:val="24"/>
        </w:rPr>
        <w:t>2. To sel</w:t>
      </w:r>
      <w:r>
        <w:rPr>
          <w:sz w:val="24"/>
          <w:szCs w:val="24"/>
        </w:rPr>
        <w:t>f-</w:t>
      </w:r>
      <w:r w:rsidRPr="00632DDF">
        <w:rPr>
          <w:sz w:val="24"/>
          <w:szCs w:val="24"/>
        </w:rPr>
        <w:t>monitor</w:t>
      </w:r>
      <w:r>
        <w:rPr>
          <w:sz w:val="24"/>
          <w:szCs w:val="24"/>
        </w:rPr>
        <w:t xml:space="preserve"> – ‘turn a clunk into a click’ (pupils will look up unfamiliar words in a dictionary to make that connection clear).</w:t>
      </w:r>
    </w:p>
    <w:p w:rsidR="00961725" w:rsidRDefault="00961725" w:rsidP="00961725">
      <w:pPr>
        <w:rPr>
          <w:sz w:val="24"/>
          <w:szCs w:val="24"/>
        </w:rPr>
      </w:pPr>
      <w:r>
        <w:rPr>
          <w:sz w:val="24"/>
          <w:szCs w:val="24"/>
        </w:rPr>
        <w:t>3. Question – ‘listen to your inner voice’, ‘does it make sense?’</w:t>
      </w:r>
    </w:p>
    <w:p w:rsidR="00961725" w:rsidRDefault="00961725" w:rsidP="00961725">
      <w:pPr>
        <w:rPr>
          <w:sz w:val="24"/>
          <w:szCs w:val="24"/>
        </w:rPr>
      </w:pPr>
      <w:r>
        <w:rPr>
          <w:sz w:val="24"/>
          <w:szCs w:val="24"/>
        </w:rPr>
        <w:t>4. Analyse and connect – ‘make links with other texts.’</w:t>
      </w:r>
    </w:p>
    <w:p w:rsidR="00961725" w:rsidRDefault="00961725" w:rsidP="00961725">
      <w:pPr>
        <w:rPr>
          <w:sz w:val="24"/>
          <w:szCs w:val="24"/>
        </w:rPr>
      </w:pPr>
      <w:r>
        <w:rPr>
          <w:sz w:val="24"/>
          <w:szCs w:val="24"/>
        </w:rPr>
        <w:t>5. Visualise – ‘relate pictures/videos to the writing.’</w:t>
      </w:r>
    </w:p>
    <w:p w:rsidR="00961725" w:rsidRDefault="00961725" w:rsidP="00961725">
      <w:pPr>
        <w:rPr>
          <w:sz w:val="24"/>
          <w:szCs w:val="24"/>
        </w:rPr>
      </w:pPr>
      <w:r>
        <w:rPr>
          <w:sz w:val="24"/>
          <w:szCs w:val="24"/>
        </w:rPr>
        <w:t>6. Analyse and infer – ‘look for any deeper meanings, hidden clues.’</w:t>
      </w:r>
    </w:p>
    <w:p w:rsidR="00961725" w:rsidRDefault="00961725" w:rsidP="00961725">
      <w:pPr>
        <w:rPr>
          <w:sz w:val="24"/>
          <w:szCs w:val="24"/>
        </w:rPr>
      </w:pPr>
      <w:r>
        <w:rPr>
          <w:sz w:val="24"/>
          <w:szCs w:val="24"/>
        </w:rPr>
        <w:t>7. Analyse and evaluate – ‘consider your own opinion from the information that has been presented.’</w:t>
      </w:r>
    </w:p>
    <w:p w:rsidR="00961725" w:rsidRDefault="00961725" w:rsidP="00961725">
      <w:pPr>
        <w:rPr>
          <w:sz w:val="24"/>
          <w:szCs w:val="24"/>
        </w:rPr>
      </w:pPr>
      <w:r>
        <w:rPr>
          <w:sz w:val="24"/>
          <w:szCs w:val="24"/>
        </w:rPr>
        <w:t>8. Analyse and summarise – ‘what are the main points?’</w:t>
      </w:r>
    </w:p>
    <w:p w:rsidR="00025810" w:rsidRDefault="00025810" w:rsidP="00961725">
      <w:pPr>
        <w:rPr>
          <w:sz w:val="24"/>
          <w:szCs w:val="24"/>
        </w:rPr>
      </w:pPr>
    </w:p>
    <w:p w:rsidR="00961725" w:rsidRDefault="00961725" w:rsidP="00961725">
      <w:pPr>
        <w:rPr>
          <w:sz w:val="24"/>
          <w:szCs w:val="24"/>
        </w:rPr>
      </w:pPr>
      <w:r>
        <w:rPr>
          <w:sz w:val="24"/>
          <w:szCs w:val="24"/>
        </w:rPr>
        <w:t>The literacy questions were directly related to the video footage, and introduced several unfamiliar words that required checking and cross referencing i.e. ‘clunk to clink’.</w:t>
      </w:r>
    </w:p>
    <w:p w:rsidR="00025810" w:rsidRDefault="00025810" w:rsidP="00961725">
      <w:pPr>
        <w:rPr>
          <w:sz w:val="24"/>
          <w:szCs w:val="24"/>
        </w:rPr>
      </w:pPr>
    </w:p>
    <w:p w:rsidR="00961725" w:rsidRDefault="00961725" w:rsidP="00961725">
      <w:pPr>
        <w:rPr>
          <w:sz w:val="24"/>
          <w:szCs w:val="24"/>
        </w:rPr>
      </w:pPr>
      <w:r>
        <w:rPr>
          <w:sz w:val="24"/>
          <w:szCs w:val="24"/>
        </w:rPr>
        <w:t>A further section of the task, required pupils to compose a diary extract as if they were Felix Baumgartner himself, and to imagine the feelings of emotion, excitement etc. that would have been experienced prior to the event. This is a progressive idea that allows pupils to embrace the freedom of writing their own composition by reflecting on an imaginary experience and exploring their own creativity. However, pupils needed clear and precise instruction throughout this task – more structure and scaffolding was required. Considering the structure of a ‘diary extract’ as opposed to a standard piece of writing took considerable time for pupils to evaluate. They needed to consider how to address the writing and who would read it. For example, what language should be used, informal/formal? Should it be written before or after the event? How should it begin? How should it end? Despite providing bullet point headings and guidance, pupils appeared hesitant to initiate their own work and experiment with writing ideas.</w:t>
      </w:r>
    </w:p>
    <w:p w:rsidR="00025810" w:rsidRDefault="00025810" w:rsidP="00961725">
      <w:pPr>
        <w:rPr>
          <w:sz w:val="24"/>
          <w:szCs w:val="24"/>
        </w:rPr>
      </w:pPr>
    </w:p>
    <w:p w:rsidR="00961725" w:rsidRDefault="00961725" w:rsidP="00961725">
      <w:pPr>
        <w:rPr>
          <w:sz w:val="24"/>
          <w:szCs w:val="24"/>
        </w:rPr>
      </w:pPr>
      <w:r>
        <w:rPr>
          <w:sz w:val="24"/>
          <w:szCs w:val="24"/>
        </w:rPr>
        <w:t>Pupils currently use an acronym ‘SPaG’ – ‘spelling’, ‘punctuation’ and ‘grammar’ as an aid to writing checks. This works quite effectively, however, rich task results and book scrutiny indicate that sentence and paragraph structuring in scientific compositions show some uncertainties. For example, pupils are unsure of when to introduce a new paragraph and what it should include etc. Perhaps a more structured literacy approach to teaching different writing expressions and how they are applied in a variety of situations may be a further recommendation, such as writing a formal letter or even a birthday invitation.</w:t>
      </w:r>
    </w:p>
    <w:p w:rsidR="00961725" w:rsidRDefault="00961725" w:rsidP="00961725">
      <w:pPr>
        <w:rPr>
          <w:sz w:val="24"/>
          <w:szCs w:val="24"/>
        </w:rPr>
      </w:pPr>
      <w:r>
        <w:rPr>
          <w:sz w:val="24"/>
          <w:szCs w:val="24"/>
        </w:rPr>
        <w:t>Whilst reviewing pupils work, evidence suggested that spelling errors often occurred in commonly used words. Further to this, it must be noted that subject specific terminology used must be spelt correctly – failure to comply with spelling adherence in GCSE examinations will contribute to unnecessary lost marks. I would recommend spelling tests at the end of every lesson to include the new words introduced in the lesson. This could serve as a plenary and also as a starter for the following lesson, as well as providing a further AFL technique. APK and repetition has proven to be a successful method to aid learning in all areas and will certainly help spelling.</w:t>
      </w:r>
    </w:p>
    <w:p w:rsidR="00025810" w:rsidRDefault="00025810" w:rsidP="00961725">
      <w:pPr>
        <w:rPr>
          <w:sz w:val="24"/>
          <w:szCs w:val="24"/>
        </w:rPr>
      </w:pPr>
    </w:p>
    <w:p w:rsidR="00961725" w:rsidRDefault="00961725" w:rsidP="00961725">
      <w:pPr>
        <w:rPr>
          <w:sz w:val="24"/>
          <w:szCs w:val="24"/>
        </w:rPr>
      </w:pPr>
      <w:r>
        <w:rPr>
          <w:sz w:val="24"/>
          <w:szCs w:val="24"/>
        </w:rPr>
        <w:t>For example, below is a sample of work from a year 8 pupil having made notes from the same rich task described earlier. The highlighted texts indicate the incorrect spelling and grammatical errors of commonly used words i.e. ‘never’, probably’. ‘Relieved’ was also a frequent spelling error that appeared in most all pupils work.</w:t>
      </w:r>
    </w:p>
    <w:p w:rsidR="00961725" w:rsidRDefault="00961725" w:rsidP="00961725">
      <w:pPr>
        <w:rPr>
          <w:sz w:val="24"/>
          <w:szCs w:val="24"/>
        </w:rPr>
      </w:pPr>
      <w:r>
        <w:rPr>
          <w:noProof/>
          <w:sz w:val="24"/>
          <w:szCs w:val="24"/>
        </w:rPr>
        <w:lastRenderedPageBreak/>
        <w:drawing>
          <wp:inline distT="0" distB="0" distL="0" distR="0">
            <wp:extent cx="4350793" cy="4502150"/>
            <wp:effectExtent l="19050" t="0" r="0" b="0"/>
            <wp:docPr id="2" name="Picture 1" descr="Spellin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3.jpg"/>
                    <pic:cNvPicPr/>
                  </pic:nvPicPr>
                  <pic:blipFill>
                    <a:blip r:embed="rId9"/>
                    <a:stretch>
                      <a:fillRect/>
                    </a:stretch>
                  </pic:blipFill>
                  <pic:spPr>
                    <a:xfrm>
                      <a:off x="0" y="0"/>
                      <a:ext cx="4350793" cy="4502150"/>
                    </a:xfrm>
                    <a:prstGeom prst="rect">
                      <a:avLst/>
                    </a:prstGeom>
                  </pic:spPr>
                </pic:pic>
              </a:graphicData>
            </a:graphic>
          </wp:inline>
        </w:drawing>
      </w:r>
    </w:p>
    <w:p w:rsidR="00025810" w:rsidRDefault="00025810" w:rsidP="00961725">
      <w:pPr>
        <w:rPr>
          <w:sz w:val="24"/>
          <w:szCs w:val="24"/>
        </w:rPr>
      </w:pPr>
    </w:p>
    <w:p w:rsidR="00961725" w:rsidRDefault="00961725" w:rsidP="00961725">
      <w:pPr>
        <w:rPr>
          <w:sz w:val="24"/>
          <w:szCs w:val="24"/>
        </w:rPr>
      </w:pPr>
    </w:p>
    <w:p w:rsidR="00961725" w:rsidRDefault="00961725" w:rsidP="00961725">
      <w:pPr>
        <w:rPr>
          <w:sz w:val="24"/>
          <w:szCs w:val="24"/>
        </w:rPr>
      </w:pPr>
      <w:r>
        <w:rPr>
          <w:sz w:val="24"/>
          <w:szCs w:val="24"/>
        </w:rPr>
        <w:t>Here is another example of work from the same year group and same lesson demonstrating this.</w:t>
      </w:r>
    </w:p>
    <w:p w:rsidR="00025810" w:rsidRDefault="00025810" w:rsidP="00961725">
      <w:pPr>
        <w:rPr>
          <w:sz w:val="24"/>
          <w:szCs w:val="24"/>
        </w:rPr>
      </w:pPr>
    </w:p>
    <w:p w:rsidR="00961725" w:rsidRDefault="00961725" w:rsidP="00961725">
      <w:pPr>
        <w:rPr>
          <w:sz w:val="24"/>
          <w:szCs w:val="24"/>
        </w:rPr>
      </w:pPr>
      <w:r>
        <w:rPr>
          <w:noProof/>
          <w:sz w:val="24"/>
          <w:szCs w:val="24"/>
        </w:rPr>
        <w:drawing>
          <wp:inline distT="0" distB="0" distL="0" distR="0">
            <wp:extent cx="4352925" cy="3470380"/>
            <wp:effectExtent l="19050" t="0" r="0" b="0"/>
            <wp:docPr id="4" name="Picture 3" descr="Spelling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4.jpg"/>
                    <pic:cNvPicPr/>
                  </pic:nvPicPr>
                  <pic:blipFill>
                    <a:blip r:embed="rId10"/>
                    <a:stretch>
                      <a:fillRect/>
                    </a:stretch>
                  </pic:blipFill>
                  <pic:spPr>
                    <a:xfrm>
                      <a:off x="0" y="0"/>
                      <a:ext cx="4352296" cy="3469879"/>
                    </a:xfrm>
                    <a:prstGeom prst="rect">
                      <a:avLst/>
                    </a:prstGeom>
                  </pic:spPr>
                </pic:pic>
              </a:graphicData>
            </a:graphic>
          </wp:inline>
        </w:drawing>
      </w:r>
    </w:p>
    <w:p w:rsidR="00961725" w:rsidRDefault="00961725" w:rsidP="00961725">
      <w:pPr>
        <w:rPr>
          <w:sz w:val="24"/>
          <w:szCs w:val="24"/>
        </w:rPr>
      </w:pPr>
      <w:r>
        <w:rPr>
          <w:sz w:val="24"/>
          <w:szCs w:val="24"/>
        </w:rPr>
        <w:t>With effective AFL checks, post lesson and following lesson spelling tests will be able to highlight the problem words and improve literacy outcomes.</w:t>
      </w:r>
    </w:p>
    <w:p w:rsidR="00961725" w:rsidRDefault="00961725" w:rsidP="00961725">
      <w:pPr>
        <w:rPr>
          <w:sz w:val="24"/>
          <w:szCs w:val="24"/>
        </w:rPr>
      </w:pPr>
      <w:r>
        <w:rPr>
          <w:sz w:val="24"/>
          <w:szCs w:val="24"/>
        </w:rPr>
        <w:t xml:space="preserve">This was a thorough literacy session and one that appeared to be welcomed through engaged pupil behaviour. The alternative lesson structure for rich tasks such as this appeared to offer a more relaxed learning environment as pupils were engaged in various activities dependent on their rate of progress through the tasks. In addition, these tasks are the ideal opportunity to offer extended work suitable for MAT </w:t>
      </w:r>
      <w:r>
        <w:rPr>
          <w:sz w:val="24"/>
          <w:szCs w:val="24"/>
        </w:rPr>
        <w:lastRenderedPageBreak/>
        <w:t xml:space="preserve">learners. Equally, the tasks are easily modified to consider differentiation and support mixed abilities. Rich tasks and ‘ROWND’ tasks involve several learning activities in one session over several lessons. Initially, this would suggest frustration to the learners due to the variance of tasks; however, studies have indicated that learning is better achieved in this environment (Kerr and Booth, 1978). </w:t>
      </w:r>
    </w:p>
    <w:p w:rsidR="00025810" w:rsidRDefault="00025810" w:rsidP="00961725">
      <w:pPr>
        <w:rPr>
          <w:sz w:val="24"/>
          <w:szCs w:val="24"/>
        </w:rPr>
      </w:pPr>
    </w:p>
    <w:p w:rsidR="00961725" w:rsidRDefault="00961725" w:rsidP="00961725">
      <w:pPr>
        <w:rPr>
          <w:sz w:val="24"/>
          <w:szCs w:val="24"/>
        </w:rPr>
      </w:pPr>
      <w:r>
        <w:rPr>
          <w:sz w:val="24"/>
          <w:szCs w:val="24"/>
        </w:rPr>
        <w:t>EWTs require writing a piece of work relating to a topic with little or no teacher intervention. Basic instructions are given to review the documentation provided and compose the written work to demonstrate understanding. School A completes this exercise once every term in each subject. One may question whether this should be repeated more often, as much like the diary extract composition, as pupils appeared uncertain as to how to proceed</w:t>
      </w:r>
      <w:r w:rsidRPr="00114135">
        <w:rPr>
          <w:sz w:val="24"/>
          <w:szCs w:val="24"/>
        </w:rPr>
        <w:t xml:space="preserve"> </w:t>
      </w:r>
      <w:r>
        <w:rPr>
          <w:sz w:val="24"/>
          <w:szCs w:val="24"/>
        </w:rPr>
        <w:t>and unfamiliar with the task. Structure and more scaffolding seemed appropriate to guide the pupils through the task. Pupils were required to work alone and in silence, which gave pupils an idea of independent work study similar to exam conditions. The EWT spanned several lessons and included peer to peer assessment with pupils checking each other’s work for spelling, punctuation and any grammatical errors. Some may infer that the length of the task may have been too long to retain interest and enthusiasm from the pupils, and the purpose of the lesson may have lost its momentum. Also, although peer assessment is a useful method of checking work, most pupils appeared to lack the foundational knowledge of the literacy tools needed to make appropriate amendments to their work. This again, suggested that literacy teaching may need to include a more structural approach to writing compositions.</w:t>
      </w:r>
    </w:p>
    <w:p w:rsidR="00025810" w:rsidRDefault="00025810" w:rsidP="00961725">
      <w:pPr>
        <w:rPr>
          <w:sz w:val="24"/>
          <w:szCs w:val="24"/>
        </w:rPr>
      </w:pPr>
    </w:p>
    <w:p w:rsidR="00961725" w:rsidRDefault="00961725" w:rsidP="00961725">
      <w:pPr>
        <w:rPr>
          <w:sz w:val="24"/>
          <w:szCs w:val="24"/>
        </w:rPr>
      </w:pPr>
      <w:r>
        <w:rPr>
          <w:sz w:val="24"/>
          <w:szCs w:val="24"/>
        </w:rPr>
        <w:t xml:space="preserve"> ‘Scientific literacy’ has been defined as requiring core knowledge of the concepts and theories of science. (WG, 2014). Generally, pupils appear to demonstrate some difficulty in using language to translate scientific processes. To compound this, there are scientific words that are already familiar to pupils but have another name i.e.’ trachea’ and ‘windpipe’. So to aid recall, scientific literacy often requires giving familiar objects new names (Prain, 2006). When pupils are required to learn and spell new scientific terms that they are unfamiliar with, (due to not having witnessed or seen the visual link), they understand them more easily when demonstrated by a teacher. For example, terms such as ‘distillation’ and ‘filtration’ are new names that are not linked to other words with a different meaning (Wellington, 2002</w:t>
      </w:r>
      <w:r w:rsidR="00025810">
        <w:rPr>
          <w:sz w:val="24"/>
          <w:szCs w:val="24"/>
        </w:rPr>
        <w:t xml:space="preserve">), so are easier to learn and understand. </w:t>
      </w:r>
    </w:p>
    <w:p w:rsidR="00025810" w:rsidRDefault="00025810" w:rsidP="00961725">
      <w:pPr>
        <w:rPr>
          <w:sz w:val="24"/>
          <w:szCs w:val="24"/>
        </w:rPr>
      </w:pPr>
    </w:p>
    <w:p w:rsidR="00961725" w:rsidRDefault="00961725" w:rsidP="00961725">
      <w:pPr>
        <w:rPr>
          <w:sz w:val="24"/>
          <w:szCs w:val="24"/>
        </w:rPr>
      </w:pPr>
      <w:r>
        <w:rPr>
          <w:sz w:val="24"/>
          <w:szCs w:val="24"/>
        </w:rPr>
        <w:t>A further example of pupil’s work is shown below and highlights scientific terms that were misspelt. This is a year 7 pupil’s work and evidences the importance of needing to correct spellings of standard scientific words such as ‘apparatus’ at this early stage in science. Improved literacy is most certainly a step forward to improving exam results in all subjects.</w:t>
      </w:r>
    </w:p>
    <w:p w:rsidR="00961725" w:rsidRDefault="00961725" w:rsidP="00961725">
      <w:pPr>
        <w:rPr>
          <w:sz w:val="24"/>
          <w:szCs w:val="24"/>
        </w:rPr>
      </w:pPr>
      <w:r>
        <w:rPr>
          <w:sz w:val="24"/>
          <w:szCs w:val="24"/>
        </w:rPr>
        <w:t xml:space="preserve"> </w:t>
      </w:r>
    </w:p>
    <w:p w:rsidR="00961725" w:rsidRDefault="00961725" w:rsidP="00961725">
      <w:pPr>
        <w:rPr>
          <w:sz w:val="24"/>
          <w:szCs w:val="24"/>
        </w:rPr>
      </w:pPr>
      <w:r>
        <w:rPr>
          <w:noProof/>
          <w:sz w:val="24"/>
          <w:szCs w:val="24"/>
        </w:rPr>
        <w:lastRenderedPageBreak/>
        <w:drawing>
          <wp:inline distT="0" distB="0" distL="0" distR="0">
            <wp:extent cx="4046638" cy="4724400"/>
            <wp:effectExtent l="19050" t="0" r="0" b="0"/>
            <wp:docPr id="8" name="Picture 7" descr="Spelling Scienc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 Science2.jpg"/>
                    <pic:cNvPicPr/>
                  </pic:nvPicPr>
                  <pic:blipFill>
                    <a:blip r:embed="rId11"/>
                    <a:stretch>
                      <a:fillRect/>
                    </a:stretch>
                  </pic:blipFill>
                  <pic:spPr>
                    <a:xfrm>
                      <a:off x="0" y="0"/>
                      <a:ext cx="4046638" cy="4724400"/>
                    </a:xfrm>
                    <a:prstGeom prst="rect">
                      <a:avLst/>
                    </a:prstGeom>
                  </pic:spPr>
                </pic:pic>
              </a:graphicData>
            </a:graphic>
          </wp:inline>
        </w:drawing>
      </w:r>
    </w:p>
    <w:p w:rsidR="00025810" w:rsidRDefault="00025810" w:rsidP="00961725">
      <w:pPr>
        <w:rPr>
          <w:sz w:val="24"/>
          <w:szCs w:val="24"/>
        </w:rPr>
      </w:pPr>
    </w:p>
    <w:p w:rsidR="00961725" w:rsidRDefault="00961725" w:rsidP="00961725">
      <w:pPr>
        <w:rPr>
          <w:sz w:val="24"/>
          <w:szCs w:val="24"/>
        </w:rPr>
      </w:pPr>
      <w:r>
        <w:rPr>
          <w:sz w:val="24"/>
          <w:szCs w:val="24"/>
        </w:rPr>
        <w:t>Estyn (2015) submitted 3 recommendations for School A as all other standards including prospects for improvement were graded as excellent. The highly strategic 3 year SDP has indicated measurable and favourable outcomes already in these areas.</w:t>
      </w:r>
    </w:p>
    <w:p w:rsidR="00025810" w:rsidRDefault="00025810" w:rsidP="00961725">
      <w:pPr>
        <w:rPr>
          <w:sz w:val="24"/>
          <w:szCs w:val="24"/>
        </w:rPr>
      </w:pPr>
    </w:p>
    <w:p w:rsidR="00961725" w:rsidRDefault="00961725" w:rsidP="00961725">
      <w:pPr>
        <w:rPr>
          <w:sz w:val="24"/>
          <w:szCs w:val="24"/>
        </w:rPr>
      </w:pPr>
      <w:r>
        <w:rPr>
          <w:sz w:val="24"/>
          <w:szCs w:val="24"/>
        </w:rPr>
        <w:t xml:space="preserve">The need to improve upon literacy outcomes and to match up with the high reading ability of all pupils is one of these recommendations (as discussed earlier in the report). School A are using a successful cluster approach to develop reading skills by using the 8 reading behaviours. EWT and rich tasks are embedding literacy throughout the curriculum and in all subjects. </w:t>
      </w:r>
    </w:p>
    <w:p w:rsidR="00025810" w:rsidRDefault="00025810" w:rsidP="00961725">
      <w:pPr>
        <w:rPr>
          <w:sz w:val="24"/>
          <w:szCs w:val="24"/>
        </w:rPr>
      </w:pPr>
    </w:p>
    <w:p w:rsidR="00961725" w:rsidRDefault="00961725" w:rsidP="00961725">
      <w:pPr>
        <w:rPr>
          <w:sz w:val="24"/>
          <w:szCs w:val="24"/>
        </w:rPr>
      </w:pPr>
      <w:r>
        <w:rPr>
          <w:sz w:val="24"/>
          <w:szCs w:val="24"/>
        </w:rPr>
        <w:t>The table below shows the progress made within oracy, reading and writing attainment at Level 5+ for 2016/2017 :-</w:t>
      </w:r>
    </w:p>
    <w:p w:rsidR="00961725" w:rsidRDefault="00961725" w:rsidP="00961725">
      <w:pPr>
        <w:rPr>
          <w:sz w:val="24"/>
          <w:szCs w:val="24"/>
        </w:rPr>
      </w:pPr>
      <w:r>
        <w:rPr>
          <w:noProof/>
          <w:sz w:val="24"/>
          <w:szCs w:val="24"/>
        </w:rPr>
        <w:drawing>
          <wp:inline distT="0" distB="0" distL="0" distR="0">
            <wp:extent cx="5731510" cy="1132205"/>
            <wp:effectExtent l="19050" t="0" r="2540" b="0"/>
            <wp:docPr id="3" name="Picture 0" descr="Reading Spe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ding Spec.jpg"/>
                    <pic:cNvPicPr/>
                  </pic:nvPicPr>
                  <pic:blipFill>
                    <a:blip r:embed="rId12"/>
                    <a:stretch>
                      <a:fillRect/>
                    </a:stretch>
                  </pic:blipFill>
                  <pic:spPr>
                    <a:xfrm>
                      <a:off x="0" y="0"/>
                      <a:ext cx="5731510" cy="1132205"/>
                    </a:xfrm>
                    <a:prstGeom prst="rect">
                      <a:avLst/>
                    </a:prstGeom>
                  </pic:spPr>
                </pic:pic>
              </a:graphicData>
            </a:graphic>
          </wp:inline>
        </w:drawing>
      </w:r>
    </w:p>
    <w:p w:rsidR="00961725" w:rsidRDefault="00961725" w:rsidP="00961725">
      <w:pPr>
        <w:rPr>
          <w:sz w:val="24"/>
          <w:szCs w:val="24"/>
        </w:rPr>
      </w:pPr>
      <w:r>
        <w:rPr>
          <w:sz w:val="24"/>
          <w:szCs w:val="24"/>
        </w:rPr>
        <w:t>Through using the 8 reading behaviours model and EWT’s, the outcomes for key stage 3 have progressively improved. There is a +6.2/+6.5 increase in reading and writing attainments when compared to similar family schools. This highlights an area in oracy for further development in order to align within school family ranking in addition to reducing the gender gap.</w:t>
      </w:r>
    </w:p>
    <w:p w:rsidR="00025810" w:rsidRDefault="00025810" w:rsidP="00961725">
      <w:pPr>
        <w:rPr>
          <w:sz w:val="24"/>
          <w:szCs w:val="24"/>
        </w:rPr>
      </w:pPr>
    </w:p>
    <w:p w:rsidR="00961725" w:rsidRDefault="00961725" w:rsidP="00961725">
      <w:pPr>
        <w:rPr>
          <w:sz w:val="24"/>
          <w:szCs w:val="24"/>
        </w:rPr>
      </w:pPr>
      <w:r>
        <w:rPr>
          <w:sz w:val="24"/>
          <w:szCs w:val="24"/>
        </w:rPr>
        <w:t>The last 3 years have shown a trend in improvement of outcomes in key stage 3 and key stage 4. Exam results have positioned School A in the top quartile in relation to eligibility to free school meals and related family schools. Provisional date and predicted results show this trend to be continuing. In fact, statistics have shown that in 2016, School A showed an increase of A* grades overall in all subjects from 0.1% to 6.1% when compared to the previous year. In addition, 66% of pupils received an overall pass rate of A*-C.</w:t>
      </w:r>
    </w:p>
    <w:p w:rsidR="00961725" w:rsidRDefault="00961725" w:rsidP="00961725">
      <w:pPr>
        <w:rPr>
          <w:sz w:val="24"/>
          <w:szCs w:val="24"/>
        </w:rPr>
      </w:pPr>
      <w:r>
        <w:rPr>
          <w:sz w:val="24"/>
          <w:szCs w:val="24"/>
        </w:rPr>
        <w:lastRenderedPageBreak/>
        <w:t>Estyn (2015) also recommended securing measurable improvements in MAT pupils. Through thorough lesson observations and book scrutiny, MAT pupils are consistently showing progress. Pupils at Level5+ are attaining A*-</w:t>
      </w:r>
      <w:r w:rsidR="00025810">
        <w:rPr>
          <w:sz w:val="24"/>
          <w:szCs w:val="24"/>
        </w:rPr>
        <w:t xml:space="preserve"> </w:t>
      </w:r>
      <w:r>
        <w:rPr>
          <w:sz w:val="24"/>
          <w:szCs w:val="24"/>
        </w:rPr>
        <w:t>A</w:t>
      </w:r>
      <w:r w:rsidR="00025810">
        <w:rPr>
          <w:sz w:val="24"/>
          <w:szCs w:val="24"/>
        </w:rPr>
        <w:t xml:space="preserve">, </w:t>
      </w:r>
      <w:r>
        <w:rPr>
          <w:sz w:val="24"/>
          <w:szCs w:val="24"/>
        </w:rPr>
        <w:t>this has increased for the second consecutive year to 10.7% (this was 9.4% in 2015-2016).</w:t>
      </w:r>
    </w:p>
    <w:p w:rsidR="00025810" w:rsidRDefault="00025810" w:rsidP="00961725">
      <w:pPr>
        <w:rPr>
          <w:sz w:val="24"/>
          <w:szCs w:val="24"/>
        </w:rPr>
      </w:pPr>
    </w:p>
    <w:p w:rsidR="00961725" w:rsidRDefault="00961725" w:rsidP="00961725">
      <w:pPr>
        <w:rPr>
          <w:sz w:val="24"/>
          <w:szCs w:val="24"/>
        </w:rPr>
      </w:pPr>
      <w:r>
        <w:rPr>
          <w:sz w:val="24"/>
          <w:szCs w:val="24"/>
        </w:rPr>
        <w:t>Finally, there is a recommendation from Estyn (2015) to reduce the number of exclusions to fewer than 5 days. During the past 3 years, there has been a reduction in the rate of fixed term exclusions. In 2015 these figures were half of that in 2013, however this is still higher than the local authority and the national averages. In response to this, School A continues to maintain their excellent working relationships with several external agencies and services to ensure all pupils’ needs are met. On-site and external partnerships are highly effective in working with the pastoral, welfare, health and community staff to ensure that pupils who are vulnerable or at risk of not remaining in education are given the best opportunities to improve their outcomes.</w:t>
      </w:r>
    </w:p>
    <w:p w:rsidR="00025810" w:rsidRDefault="00025810" w:rsidP="00961725">
      <w:pPr>
        <w:pBdr>
          <w:bottom w:val="single" w:sz="12" w:space="1" w:color="auto"/>
        </w:pBdr>
        <w:rPr>
          <w:sz w:val="24"/>
          <w:szCs w:val="24"/>
        </w:rPr>
      </w:pPr>
    </w:p>
    <w:p w:rsidR="00025810" w:rsidRDefault="00025810" w:rsidP="00961725">
      <w:pPr>
        <w:rPr>
          <w:sz w:val="24"/>
          <w:szCs w:val="24"/>
        </w:rPr>
      </w:pPr>
    </w:p>
    <w:p w:rsidR="00025810" w:rsidRDefault="00025810" w:rsidP="00961725">
      <w:pPr>
        <w:rPr>
          <w:sz w:val="24"/>
          <w:szCs w:val="24"/>
        </w:rPr>
      </w:pPr>
    </w:p>
    <w:p w:rsidR="00961725" w:rsidRDefault="00961725" w:rsidP="00961725">
      <w:pPr>
        <w:rPr>
          <w:sz w:val="24"/>
          <w:szCs w:val="24"/>
        </w:rPr>
      </w:pPr>
      <w:r>
        <w:rPr>
          <w:sz w:val="24"/>
          <w:szCs w:val="24"/>
        </w:rPr>
        <w:t>In conclusion to my report, I propose initiating additional teaching practices to advance general literacy outcomes which will also impact on successful scientific literacy results. For example, I would recommend introducing a foundational support framework for structured writing in lesson teachings. An explanation and review of sentence composition, paragraph structuring and different styles of writing including how to use them appropriately would be advantageous to literacy development.</w:t>
      </w:r>
    </w:p>
    <w:p w:rsidR="00961725" w:rsidRDefault="00961725" w:rsidP="00961725">
      <w:pPr>
        <w:rPr>
          <w:sz w:val="24"/>
          <w:szCs w:val="24"/>
        </w:rPr>
      </w:pPr>
      <w:r>
        <w:rPr>
          <w:sz w:val="24"/>
          <w:szCs w:val="24"/>
        </w:rPr>
        <w:t xml:space="preserve"> Estyn (2015, p.24) noted </w:t>
      </w:r>
      <w:r w:rsidRPr="00CA6AF5">
        <w:rPr>
          <w:sz w:val="24"/>
          <w:szCs w:val="24"/>
        </w:rPr>
        <w:t xml:space="preserve">that </w:t>
      </w:r>
      <w:r>
        <w:rPr>
          <w:sz w:val="24"/>
          <w:szCs w:val="24"/>
        </w:rPr>
        <w:t>‘</w:t>
      </w:r>
      <w:r w:rsidRPr="00540631">
        <w:rPr>
          <w:sz w:val="24"/>
          <w:szCs w:val="24"/>
        </w:rPr>
        <w:t>few pupils do not devel</w:t>
      </w:r>
      <w:r>
        <w:rPr>
          <w:sz w:val="24"/>
          <w:szCs w:val="24"/>
        </w:rPr>
        <w:t xml:space="preserve">op the content </w:t>
      </w:r>
      <w:r w:rsidRPr="00540631">
        <w:rPr>
          <w:sz w:val="24"/>
          <w:szCs w:val="24"/>
        </w:rPr>
        <w:t>of their sentences and extended writing well enough</w:t>
      </w:r>
      <w:r w:rsidRPr="00540631">
        <w:rPr>
          <w:rFonts w:ascii="Arial" w:hAnsi="Arial" w:cs="Arial"/>
          <w:sz w:val="30"/>
          <w:szCs w:val="30"/>
        </w:rPr>
        <w:t>.</w:t>
      </w:r>
      <w:r>
        <w:rPr>
          <w:rFonts w:ascii="Arial" w:hAnsi="Arial" w:cs="Arial"/>
          <w:sz w:val="30"/>
          <w:szCs w:val="30"/>
        </w:rPr>
        <w:t xml:space="preserve">’ </w:t>
      </w:r>
      <w:r w:rsidRPr="00CA6AF5">
        <w:rPr>
          <w:sz w:val="24"/>
          <w:szCs w:val="24"/>
        </w:rPr>
        <w:t xml:space="preserve">This </w:t>
      </w:r>
      <w:r>
        <w:rPr>
          <w:sz w:val="24"/>
          <w:szCs w:val="24"/>
        </w:rPr>
        <w:t xml:space="preserve">is an area that can certainly be addressed and improved upon by embedding this literacy structure idea into future teaching methods. </w:t>
      </w:r>
    </w:p>
    <w:p w:rsidR="00961725" w:rsidRDefault="00961725" w:rsidP="00961725">
      <w:pPr>
        <w:rPr>
          <w:sz w:val="24"/>
          <w:szCs w:val="24"/>
        </w:rPr>
      </w:pPr>
      <w:r>
        <w:rPr>
          <w:sz w:val="24"/>
          <w:szCs w:val="24"/>
        </w:rPr>
        <w:t>In addition, the use of regular spelling assessments and consistent use of AFL will allow monitoring of progress in this field.</w:t>
      </w:r>
    </w:p>
    <w:p w:rsidR="00961725" w:rsidRDefault="00961725" w:rsidP="00961725">
      <w:pPr>
        <w:rPr>
          <w:sz w:val="24"/>
          <w:szCs w:val="24"/>
        </w:rPr>
      </w:pPr>
      <w:r>
        <w:rPr>
          <w:sz w:val="24"/>
          <w:szCs w:val="24"/>
        </w:rPr>
        <w:t>I am confident that the inclusion of these literacy enhancements to all lessons where applicable, will produce encouraging results. I personally will endeavour to use as many opportunities as I can to secure measurable improvements and raise standards in scientific literacy giving all pupils the best chance of success.</w:t>
      </w:r>
    </w:p>
    <w:p w:rsidR="00961725" w:rsidRDefault="00961725" w:rsidP="00961725">
      <w:pPr>
        <w:rPr>
          <w:sz w:val="24"/>
          <w:szCs w:val="24"/>
        </w:rPr>
      </w:pPr>
    </w:p>
    <w:p w:rsidR="00025810" w:rsidRDefault="00025810" w:rsidP="00961725">
      <w:pPr>
        <w:rPr>
          <w:sz w:val="24"/>
          <w:szCs w:val="24"/>
        </w:rPr>
      </w:pPr>
    </w:p>
    <w:p w:rsidR="00961725" w:rsidRDefault="00961725" w:rsidP="00961725">
      <w:pPr>
        <w:rPr>
          <w:sz w:val="24"/>
          <w:szCs w:val="24"/>
        </w:rPr>
      </w:pPr>
      <w:r>
        <w:rPr>
          <w:sz w:val="24"/>
          <w:szCs w:val="24"/>
        </w:rPr>
        <w:t>__________________________________________________________________</w:t>
      </w:r>
      <w:r w:rsidR="00025810">
        <w:rPr>
          <w:sz w:val="24"/>
          <w:szCs w:val="24"/>
        </w:rPr>
        <w:t>____________</w:t>
      </w:r>
      <w:r>
        <w:rPr>
          <w:sz w:val="24"/>
          <w:szCs w:val="24"/>
        </w:rPr>
        <w:t>_________</w:t>
      </w:r>
    </w:p>
    <w:p w:rsidR="00961725" w:rsidRDefault="00961725" w:rsidP="00961725">
      <w:pPr>
        <w:rPr>
          <w:sz w:val="24"/>
          <w:szCs w:val="24"/>
        </w:rPr>
      </w:pPr>
      <w:r>
        <w:rPr>
          <w:sz w:val="24"/>
          <w:szCs w:val="24"/>
        </w:rPr>
        <w:t xml:space="preserve"> </w:t>
      </w:r>
    </w:p>
    <w:p w:rsidR="00961725" w:rsidRPr="00632DDF"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025810" w:rsidRDefault="00025810" w:rsidP="00961725">
      <w:pPr>
        <w:jc w:val="right"/>
        <w:rPr>
          <w:b/>
          <w:sz w:val="24"/>
          <w:szCs w:val="24"/>
        </w:rPr>
      </w:pPr>
    </w:p>
    <w:p w:rsidR="00961725" w:rsidRPr="000305D9" w:rsidRDefault="00961725" w:rsidP="00961725">
      <w:pPr>
        <w:jc w:val="right"/>
        <w:rPr>
          <w:b/>
          <w:sz w:val="24"/>
          <w:szCs w:val="24"/>
        </w:rPr>
      </w:pPr>
      <w:r w:rsidRPr="000305D9">
        <w:rPr>
          <w:b/>
          <w:sz w:val="24"/>
          <w:szCs w:val="24"/>
        </w:rPr>
        <w:t>Lucy Paradice</w:t>
      </w:r>
    </w:p>
    <w:p w:rsidR="00961725" w:rsidRPr="000305D9" w:rsidRDefault="00961725" w:rsidP="00961725">
      <w:pPr>
        <w:jc w:val="right"/>
        <w:rPr>
          <w:b/>
          <w:sz w:val="24"/>
          <w:szCs w:val="24"/>
        </w:rPr>
      </w:pPr>
      <w:r w:rsidRPr="000305D9">
        <w:rPr>
          <w:b/>
          <w:sz w:val="24"/>
          <w:szCs w:val="24"/>
        </w:rPr>
        <w:t>January 21</w:t>
      </w:r>
      <w:r w:rsidRPr="000305D9">
        <w:rPr>
          <w:b/>
          <w:sz w:val="24"/>
          <w:szCs w:val="24"/>
          <w:vertAlign w:val="superscript"/>
        </w:rPr>
        <w:t>st</w:t>
      </w:r>
      <w:r w:rsidRPr="000305D9">
        <w:rPr>
          <w:b/>
          <w:sz w:val="24"/>
          <w:szCs w:val="24"/>
        </w:rPr>
        <w:t xml:space="preserve"> 2019</w:t>
      </w:r>
    </w:p>
    <w:p w:rsidR="00961725" w:rsidRDefault="00961725" w:rsidP="00961725">
      <w:pPr>
        <w:rPr>
          <w:b/>
          <w:sz w:val="24"/>
          <w:szCs w:val="24"/>
          <w:u w:val="single"/>
        </w:rPr>
      </w:pPr>
      <w:r w:rsidRPr="00AC6A37">
        <w:rPr>
          <w:b/>
          <w:sz w:val="24"/>
          <w:szCs w:val="24"/>
          <w:u w:val="single"/>
        </w:rPr>
        <w:lastRenderedPageBreak/>
        <w:t xml:space="preserve">References. </w:t>
      </w:r>
    </w:p>
    <w:p w:rsidR="00025810" w:rsidRDefault="00025810" w:rsidP="00961725">
      <w:pPr>
        <w:rPr>
          <w:b/>
          <w:sz w:val="24"/>
          <w:szCs w:val="24"/>
          <w:u w:val="single"/>
        </w:rPr>
      </w:pPr>
    </w:p>
    <w:p w:rsidR="00961725" w:rsidRDefault="00961725" w:rsidP="00961725">
      <w:pPr>
        <w:rPr>
          <w:sz w:val="24"/>
          <w:szCs w:val="24"/>
        </w:rPr>
      </w:pPr>
      <w:r w:rsidRPr="001B4A24">
        <w:rPr>
          <w:sz w:val="24"/>
          <w:szCs w:val="24"/>
        </w:rPr>
        <w:t xml:space="preserve">Enhancing vocational education for 14-16 year olds, Institute of Welsh Affairs, WJEC, (2012), Available at: </w:t>
      </w:r>
      <w:hyperlink r:id="rId13" w:history="1">
        <w:r w:rsidRPr="006829AA">
          <w:rPr>
            <w:rStyle w:val="Hyperlink"/>
            <w:sz w:val="24"/>
            <w:szCs w:val="24"/>
          </w:rPr>
          <w:t>http://www.iwa.wales/click/wp-content/uploads/Education-Conference-Report_IWA.pdf</w:t>
        </w:r>
      </w:hyperlink>
      <w:r w:rsidRPr="006829AA">
        <w:rPr>
          <w:sz w:val="24"/>
          <w:szCs w:val="24"/>
        </w:rPr>
        <w:t xml:space="preserve"> (Accessed January 2019).</w:t>
      </w:r>
    </w:p>
    <w:p w:rsidR="00025810" w:rsidRDefault="00025810" w:rsidP="00961725">
      <w:pPr>
        <w:rPr>
          <w:sz w:val="24"/>
          <w:szCs w:val="24"/>
        </w:rPr>
      </w:pPr>
    </w:p>
    <w:p w:rsidR="00961725" w:rsidRDefault="00961725" w:rsidP="00961725">
      <w:pPr>
        <w:rPr>
          <w:sz w:val="24"/>
        </w:rPr>
      </w:pPr>
      <w:r w:rsidRPr="007E5750">
        <w:rPr>
          <w:sz w:val="24"/>
        </w:rPr>
        <w:t xml:space="preserve">Estyn, A review of the work for the National Centre for Learning Welsh (2017), Available at: </w:t>
      </w:r>
      <w:r w:rsidRPr="007E5750">
        <w:rPr>
          <w:sz w:val="24"/>
          <w:szCs w:val="24"/>
        </w:rPr>
        <w:t>https://www.estyn.gov.wales/sites/default/files/documents/A%20review%20of%20the%20work%20of%20the%20National%20Centre%20for%20Learning%20Welsh.pdf</w:t>
      </w:r>
      <w:r w:rsidRPr="007E5750">
        <w:rPr>
          <w:sz w:val="24"/>
        </w:rPr>
        <w:t xml:space="preserve"> (Accessed December 2018).</w:t>
      </w:r>
    </w:p>
    <w:p w:rsidR="00025810" w:rsidRDefault="00025810" w:rsidP="00961725">
      <w:pPr>
        <w:rPr>
          <w:sz w:val="24"/>
          <w:szCs w:val="24"/>
        </w:rPr>
      </w:pPr>
    </w:p>
    <w:p w:rsidR="00961725" w:rsidRDefault="00961725" w:rsidP="00961725">
      <w:pPr>
        <w:rPr>
          <w:sz w:val="24"/>
          <w:szCs w:val="24"/>
        </w:rPr>
      </w:pPr>
      <w:r w:rsidRPr="004D46A9">
        <w:rPr>
          <w:sz w:val="24"/>
          <w:szCs w:val="24"/>
        </w:rPr>
        <w:t>Estyn, Welsh Government, (2015), Available at</w:t>
      </w:r>
      <w:r>
        <w:rPr>
          <w:sz w:val="24"/>
          <w:szCs w:val="24"/>
        </w:rPr>
        <w:t>:</w:t>
      </w:r>
      <w:r w:rsidRPr="004D46A9">
        <w:rPr>
          <w:sz w:val="24"/>
          <w:szCs w:val="24"/>
        </w:rPr>
        <w:t xml:space="preserve"> </w:t>
      </w:r>
      <w:hyperlink r:id="rId14" w:tgtFrame="_blank" w:history="1">
        <w:r w:rsidRPr="00502E08">
          <w:rPr>
            <w:rStyle w:val="Hyperlink"/>
            <w:sz w:val="24"/>
            <w:szCs w:val="24"/>
          </w:rPr>
          <w:t>https://www.estyn.gov.wales/effective-practice/search?sector=1446</w:t>
        </w:r>
      </w:hyperlink>
      <w:r>
        <w:rPr>
          <w:sz w:val="24"/>
          <w:szCs w:val="24"/>
        </w:rPr>
        <w:t xml:space="preserve"> (Accessed: 13</w:t>
      </w:r>
      <w:r w:rsidRPr="00F52115">
        <w:rPr>
          <w:sz w:val="24"/>
          <w:szCs w:val="24"/>
          <w:vertAlign w:val="superscript"/>
        </w:rPr>
        <w:t>th</w:t>
      </w:r>
      <w:r>
        <w:rPr>
          <w:sz w:val="24"/>
          <w:szCs w:val="24"/>
        </w:rPr>
        <w:t xml:space="preserve"> January 2019).</w:t>
      </w:r>
    </w:p>
    <w:p w:rsidR="00025810" w:rsidRDefault="00025810" w:rsidP="00961725">
      <w:pPr>
        <w:rPr>
          <w:sz w:val="24"/>
          <w:szCs w:val="24"/>
        </w:rPr>
      </w:pPr>
    </w:p>
    <w:p w:rsidR="00961725" w:rsidRDefault="00961725" w:rsidP="00961725">
      <w:pPr>
        <w:rPr>
          <w:sz w:val="24"/>
          <w:szCs w:val="24"/>
        </w:rPr>
      </w:pPr>
      <w:r w:rsidRPr="006829AA">
        <w:rPr>
          <w:sz w:val="24"/>
          <w:szCs w:val="24"/>
        </w:rPr>
        <w:t xml:space="preserve">Improving Schools, Welsh Government, (2012), Available at: </w:t>
      </w:r>
      <w:hyperlink r:id="rId15" w:history="1">
        <w:r w:rsidRPr="006829AA">
          <w:rPr>
            <w:rStyle w:val="Hyperlink"/>
            <w:sz w:val="24"/>
            <w:szCs w:val="24"/>
          </w:rPr>
          <w:t>http://learning.gov.wales/docs/learningwales/news/121025improvingschoolsen.pdf</w:t>
        </w:r>
      </w:hyperlink>
      <w:r w:rsidRPr="006829AA">
        <w:rPr>
          <w:sz w:val="24"/>
          <w:szCs w:val="24"/>
        </w:rPr>
        <w:t xml:space="preserve"> (Accessed December 2018).</w:t>
      </w:r>
    </w:p>
    <w:p w:rsidR="00025810" w:rsidRDefault="00025810" w:rsidP="00961725">
      <w:pPr>
        <w:rPr>
          <w:sz w:val="24"/>
          <w:szCs w:val="24"/>
        </w:rPr>
      </w:pPr>
    </w:p>
    <w:p w:rsidR="00961725" w:rsidRPr="00C31F84" w:rsidRDefault="00961725" w:rsidP="00961725">
      <w:pPr>
        <w:rPr>
          <w:sz w:val="24"/>
          <w:szCs w:val="24"/>
        </w:rPr>
      </w:pPr>
      <w:r w:rsidRPr="00C31F84">
        <w:rPr>
          <w:sz w:val="24"/>
          <w:szCs w:val="24"/>
        </w:rPr>
        <w:t xml:space="preserve">National Quality Award, Welsh Government, (September 2015), Available at: </w:t>
      </w:r>
    </w:p>
    <w:p w:rsidR="00961725" w:rsidRDefault="00913B92" w:rsidP="00961725">
      <w:pPr>
        <w:rPr>
          <w:sz w:val="24"/>
          <w:szCs w:val="24"/>
        </w:rPr>
      </w:pPr>
      <w:hyperlink r:id="rId16" w:history="1">
        <w:r w:rsidR="00961725" w:rsidRPr="00C31F84">
          <w:rPr>
            <w:rStyle w:val="Hyperlink"/>
            <w:sz w:val="24"/>
            <w:szCs w:val="24"/>
          </w:rPr>
          <w:t>https://gov.wales/topics/health/improvement/schools/award/?lang=en</w:t>
        </w:r>
      </w:hyperlink>
      <w:r w:rsidR="00961725" w:rsidRPr="00C31F84">
        <w:rPr>
          <w:sz w:val="24"/>
          <w:szCs w:val="24"/>
        </w:rPr>
        <w:t xml:space="preserve"> (Accessed January 2019).</w:t>
      </w:r>
    </w:p>
    <w:p w:rsidR="00025810" w:rsidRDefault="00025810" w:rsidP="00961725">
      <w:pPr>
        <w:rPr>
          <w:sz w:val="24"/>
          <w:szCs w:val="24"/>
        </w:rPr>
      </w:pPr>
    </w:p>
    <w:p w:rsidR="00961725" w:rsidRDefault="00961725" w:rsidP="00961725">
      <w:pPr>
        <w:rPr>
          <w:sz w:val="24"/>
          <w:szCs w:val="24"/>
        </w:rPr>
      </w:pPr>
      <w:r>
        <w:rPr>
          <w:sz w:val="24"/>
          <w:szCs w:val="24"/>
        </w:rPr>
        <w:t xml:space="preserve">Qualifications, curriculum and assessment authority for Wales, Developing the Curriculum Cymreig (2003), Available at: </w:t>
      </w:r>
      <w:r w:rsidRPr="007E5750">
        <w:rPr>
          <w:sz w:val="24"/>
          <w:szCs w:val="24"/>
        </w:rPr>
        <w:t>http://learning.gov.wales/docs/learningwales/publications/130424-developing-the-curriculum-cymreig-en.pdf</w:t>
      </w:r>
      <w:r>
        <w:rPr>
          <w:sz w:val="24"/>
          <w:szCs w:val="24"/>
        </w:rPr>
        <w:t xml:space="preserve"> (Accessed January 2019).</w:t>
      </w:r>
    </w:p>
    <w:p w:rsidR="00025810" w:rsidRDefault="00025810" w:rsidP="00961725">
      <w:pPr>
        <w:rPr>
          <w:sz w:val="24"/>
          <w:szCs w:val="24"/>
        </w:rPr>
      </w:pPr>
    </w:p>
    <w:p w:rsidR="00961725" w:rsidRDefault="00961725" w:rsidP="00961725">
      <w:pPr>
        <w:rPr>
          <w:sz w:val="24"/>
          <w:szCs w:val="24"/>
        </w:rPr>
      </w:pPr>
      <w:r>
        <w:rPr>
          <w:sz w:val="24"/>
          <w:szCs w:val="24"/>
        </w:rPr>
        <w:t>The Attainment Gap, Education Endowment Foundation, (2014), Available at: https://educationendowmentfoundation.org.uk/public/files/Annual_Reports/EEF_Attainment_Gap_Report_2018_-_print.pdf</w:t>
      </w:r>
      <w:r w:rsidRPr="00B80662">
        <w:rPr>
          <w:sz w:val="24"/>
          <w:szCs w:val="24"/>
        </w:rPr>
        <w:t xml:space="preserve"> (Accessed January 2019).</w:t>
      </w:r>
    </w:p>
    <w:p w:rsidR="00961725" w:rsidRDefault="00961725" w:rsidP="00961725">
      <w:pPr>
        <w:rPr>
          <w:sz w:val="24"/>
          <w:szCs w:val="24"/>
        </w:rPr>
      </w:pPr>
    </w:p>
    <w:p w:rsidR="00025810" w:rsidRDefault="00025810" w:rsidP="00961725">
      <w:pPr>
        <w:rPr>
          <w:sz w:val="24"/>
          <w:szCs w:val="24"/>
        </w:rPr>
      </w:pPr>
    </w:p>
    <w:p w:rsidR="00961725" w:rsidRPr="00E06A36" w:rsidRDefault="00961725" w:rsidP="00961725">
      <w:pPr>
        <w:rPr>
          <w:sz w:val="24"/>
          <w:szCs w:val="24"/>
        </w:rPr>
      </w:pPr>
      <w:r w:rsidRPr="00E06A36">
        <w:rPr>
          <w:sz w:val="24"/>
          <w:szCs w:val="24"/>
        </w:rPr>
        <w:t xml:space="preserve">Berman, P., &amp; McLaughlin, M. (1976). </w:t>
      </w:r>
      <w:r w:rsidRPr="00E06A36">
        <w:rPr>
          <w:i/>
          <w:sz w:val="24"/>
          <w:szCs w:val="24"/>
        </w:rPr>
        <w:t>Implementation of educational innovation</w:t>
      </w:r>
      <w:r w:rsidRPr="00E06A36">
        <w:rPr>
          <w:sz w:val="24"/>
          <w:szCs w:val="24"/>
        </w:rPr>
        <w:t>. The Educational Forum, 40</w:t>
      </w:r>
      <w:r w:rsidRPr="00640F5D">
        <w:rPr>
          <w:sz w:val="24"/>
          <w:szCs w:val="24"/>
        </w:rPr>
        <w:t>.</w:t>
      </w:r>
    </w:p>
    <w:p w:rsidR="00961725" w:rsidRDefault="00961725" w:rsidP="00961725">
      <w:pPr>
        <w:rPr>
          <w:sz w:val="24"/>
          <w:szCs w:val="24"/>
        </w:rPr>
      </w:pPr>
    </w:p>
    <w:p w:rsidR="00961725" w:rsidRPr="00E06A36" w:rsidRDefault="00961725" w:rsidP="00961725">
      <w:pPr>
        <w:rPr>
          <w:sz w:val="24"/>
          <w:szCs w:val="24"/>
        </w:rPr>
      </w:pPr>
      <w:r w:rsidRPr="00640F5D">
        <w:rPr>
          <w:sz w:val="24"/>
          <w:szCs w:val="24"/>
        </w:rPr>
        <w:t xml:space="preserve">Bryson, J. (1995), </w:t>
      </w:r>
      <w:r w:rsidRPr="00E06A36">
        <w:rPr>
          <w:i/>
          <w:sz w:val="24"/>
          <w:szCs w:val="24"/>
        </w:rPr>
        <w:t>Strategic Planning for Public and Non-profit Organizations</w:t>
      </w:r>
      <w:r w:rsidRPr="00640F5D">
        <w:rPr>
          <w:sz w:val="24"/>
          <w:szCs w:val="24"/>
        </w:rPr>
        <w:t xml:space="preserve">, </w:t>
      </w:r>
      <w:r w:rsidRPr="00E06A36">
        <w:rPr>
          <w:sz w:val="24"/>
          <w:szCs w:val="24"/>
        </w:rPr>
        <w:t>San Francisco: Jossey-Bas</w:t>
      </w:r>
      <w:r w:rsidRPr="00640F5D">
        <w:rPr>
          <w:sz w:val="24"/>
          <w:szCs w:val="24"/>
        </w:rPr>
        <w:t>s.</w:t>
      </w:r>
    </w:p>
    <w:p w:rsidR="00961725" w:rsidRDefault="00961725" w:rsidP="00961725">
      <w:pPr>
        <w:rPr>
          <w:sz w:val="24"/>
          <w:szCs w:val="24"/>
        </w:rPr>
      </w:pPr>
    </w:p>
    <w:p w:rsidR="00961725" w:rsidRDefault="00961725" w:rsidP="00961725">
      <w:pPr>
        <w:rPr>
          <w:sz w:val="24"/>
          <w:szCs w:val="24"/>
        </w:rPr>
      </w:pPr>
      <w:r>
        <w:rPr>
          <w:sz w:val="24"/>
          <w:szCs w:val="24"/>
        </w:rPr>
        <w:t xml:space="preserve">Cook R., Rutt S. And Sims D (2014), </w:t>
      </w:r>
      <w:r w:rsidRPr="00AC6A37">
        <w:rPr>
          <w:i/>
          <w:sz w:val="24"/>
          <w:szCs w:val="24"/>
        </w:rPr>
        <w:t>Evidence For Excellence in Education, National Foundation for Excellence in Education</w:t>
      </w:r>
      <w:r>
        <w:rPr>
          <w:sz w:val="24"/>
          <w:szCs w:val="24"/>
        </w:rPr>
        <w:t xml:space="preserve">, Available at: </w:t>
      </w:r>
      <w:hyperlink r:id="rId17" w:history="1">
        <w:r w:rsidRPr="00AC6A37">
          <w:rPr>
            <w:rStyle w:val="Hyperlink"/>
            <w:sz w:val="24"/>
            <w:szCs w:val="24"/>
          </w:rPr>
          <w:t>http://learning.gov.wales/docs/learningwales/publications/141013-final-report-en.pdf</w:t>
        </w:r>
      </w:hyperlink>
      <w:r w:rsidRPr="00AC6A37">
        <w:t xml:space="preserve"> </w:t>
      </w:r>
      <w:r w:rsidRPr="00AC6A37">
        <w:rPr>
          <w:sz w:val="24"/>
          <w:szCs w:val="24"/>
        </w:rPr>
        <w:t>(Accessed January 2019).</w:t>
      </w:r>
    </w:p>
    <w:p w:rsidR="00961725" w:rsidRDefault="00961725" w:rsidP="00961725">
      <w:pPr>
        <w:rPr>
          <w:sz w:val="24"/>
          <w:szCs w:val="24"/>
        </w:rPr>
      </w:pPr>
      <w:r w:rsidRPr="001F7543">
        <w:rPr>
          <w:sz w:val="24"/>
          <w:szCs w:val="24"/>
        </w:rPr>
        <w:t xml:space="preserve">Donaldson, G., </w:t>
      </w:r>
      <w:r>
        <w:rPr>
          <w:sz w:val="24"/>
          <w:szCs w:val="24"/>
        </w:rPr>
        <w:t>(</w:t>
      </w:r>
      <w:r w:rsidRPr="001F7543">
        <w:rPr>
          <w:sz w:val="24"/>
          <w:szCs w:val="24"/>
        </w:rPr>
        <w:t>2015</w:t>
      </w:r>
      <w:r>
        <w:rPr>
          <w:sz w:val="24"/>
          <w:szCs w:val="24"/>
        </w:rPr>
        <w:t xml:space="preserve">), </w:t>
      </w:r>
      <w:r w:rsidRPr="001F7543">
        <w:rPr>
          <w:i/>
          <w:sz w:val="24"/>
          <w:szCs w:val="24"/>
        </w:rPr>
        <w:t>Successful futures: independent review of curriculum and assessment arrangements in Wales</w:t>
      </w:r>
      <w:r w:rsidRPr="001F7543">
        <w:rPr>
          <w:sz w:val="24"/>
          <w:szCs w:val="24"/>
        </w:rPr>
        <w:t xml:space="preserve">: </w:t>
      </w:r>
      <w:r>
        <w:rPr>
          <w:sz w:val="24"/>
          <w:szCs w:val="24"/>
        </w:rPr>
        <w:t>Welsh Government, (</w:t>
      </w:r>
      <w:r w:rsidRPr="001F7543">
        <w:rPr>
          <w:sz w:val="24"/>
          <w:szCs w:val="24"/>
        </w:rPr>
        <w:t>February 2015</w:t>
      </w:r>
      <w:r>
        <w:rPr>
          <w:sz w:val="24"/>
          <w:szCs w:val="24"/>
        </w:rPr>
        <w:t>)</w:t>
      </w:r>
      <w:r w:rsidRPr="001F7543">
        <w:rPr>
          <w:sz w:val="24"/>
          <w:szCs w:val="24"/>
        </w:rPr>
        <w:t>.</w:t>
      </w:r>
    </w:p>
    <w:p w:rsidR="00961725" w:rsidRDefault="00961725" w:rsidP="00961725">
      <w:pPr>
        <w:rPr>
          <w:sz w:val="24"/>
          <w:szCs w:val="24"/>
        </w:rPr>
      </w:pPr>
    </w:p>
    <w:p w:rsidR="00961725" w:rsidRDefault="00961725" w:rsidP="00961725">
      <w:pPr>
        <w:rPr>
          <w:sz w:val="24"/>
          <w:szCs w:val="24"/>
        </w:rPr>
      </w:pPr>
      <w:r w:rsidRPr="00793224">
        <w:rPr>
          <w:sz w:val="24"/>
          <w:szCs w:val="24"/>
        </w:rPr>
        <w:t xml:space="preserve">Kerr, R. and Booth, B., </w:t>
      </w:r>
      <w:r>
        <w:rPr>
          <w:sz w:val="24"/>
          <w:szCs w:val="24"/>
        </w:rPr>
        <w:t>(</w:t>
      </w:r>
      <w:r w:rsidRPr="00793224">
        <w:rPr>
          <w:sz w:val="24"/>
          <w:szCs w:val="24"/>
        </w:rPr>
        <w:t>1978</w:t>
      </w:r>
      <w:r>
        <w:rPr>
          <w:sz w:val="24"/>
          <w:szCs w:val="24"/>
        </w:rPr>
        <w:t>),</w:t>
      </w:r>
      <w:r w:rsidRPr="00793224">
        <w:rPr>
          <w:sz w:val="24"/>
          <w:szCs w:val="24"/>
        </w:rPr>
        <w:t xml:space="preserve"> Specific and varied practice of motor skill. </w:t>
      </w:r>
      <w:r w:rsidRPr="00793224">
        <w:rPr>
          <w:i/>
          <w:iCs/>
          <w:sz w:val="24"/>
          <w:szCs w:val="24"/>
        </w:rPr>
        <w:t>Perceptual and motor skills</w:t>
      </w:r>
      <w:r w:rsidRPr="00793224">
        <w:rPr>
          <w:sz w:val="24"/>
          <w:szCs w:val="24"/>
        </w:rPr>
        <w:t xml:space="preserve">, </w:t>
      </w:r>
      <w:r w:rsidRPr="00793224">
        <w:rPr>
          <w:i/>
          <w:iCs/>
          <w:sz w:val="24"/>
          <w:szCs w:val="24"/>
        </w:rPr>
        <w:t>46</w:t>
      </w:r>
      <w:r w:rsidRPr="00793224">
        <w:rPr>
          <w:sz w:val="24"/>
          <w:szCs w:val="24"/>
        </w:rPr>
        <w:t>(2), pp.395-401.</w:t>
      </w:r>
    </w:p>
    <w:p w:rsidR="00961725" w:rsidRDefault="00961725" w:rsidP="00961725">
      <w:pPr>
        <w:rPr>
          <w:sz w:val="24"/>
          <w:szCs w:val="24"/>
        </w:rPr>
      </w:pPr>
    </w:p>
    <w:p w:rsidR="00961725" w:rsidRPr="00E06A36" w:rsidRDefault="00961725" w:rsidP="00961725">
      <w:pPr>
        <w:rPr>
          <w:sz w:val="24"/>
          <w:szCs w:val="24"/>
        </w:rPr>
      </w:pPr>
      <w:r w:rsidRPr="00E06A36">
        <w:rPr>
          <w:sz w:val="24"/>
          <w:szCs w:val="24"/>
        </w:rPr>
        <w:t xml:space="preserve">OBrien, P. (1991). </w:t>
      </w:r>
      <w:r w:rsidRPr="00E06A36">
        <w:rPr>
          <w:i/>
          <w:sz w:val="24"/>
          <w:szCs w:val="24"/>
        </w:rPr>
        <w:t>Strategic planning and management for organization</w:t>
      </w:r>
      <w:r w:rsidRPr="00E06A36">
        <w:rPr>
          <w:sz w:val="24"/>
          <w:szCs w:val="24"/>
        </w:rPr>
        <w:t>. In R. Carlson and G. Awkerman (Ed.), Educational Planning: Concepts, Strategies, Practices.</w:t>
      </w:r>
    </w:p>
    <w:p w:rsidR="00961725" w:rsidRPr="00640F5D" w:rsidRDefault="00961725" w:rsidP="00961725">
      <w:pPr>
        <w:rPr>
          <w:sz w:val="24"/>
          <w:szCs w:val="24"/>
        </w:rPr>
      </w:pPr>
      <w:r w:rsidRPr="00E06A36">
        <w:rPr>
          <w:sz w:val="24"/>
          <w:szCs w:val="24"/>
        </w:rPr>
        <w:t>New York: Longman.</w:t>
      </w:r>
    </w:p>
    <w:p w:rsidR="00961725" w:rsidRDefault="00961725" w:rsidP="00961725">
      <w:pPr>
        <w:rPr>
          <w:sz w:val="24"/>
          <w:szCs w:val="24"/>
        </w:rPr>
      </w:pPr>
    </w:p>
    <w:p w:rsidR="00961725" w:rsidRPr="000009D1" w:rsidRDefault="00961725" w:rsidP="00961725">
      <w:pPr>
        <w:rPr>
          <w:sz w:val="24"/>
          <w:szCs w:val="24"/>
        </w:rPr>
      </w:pPr>
      <w:r w:rsidRPr="000009D1">
        <w:rPr>
          <w:sz w:val="24"/>
          <w:szCs w:val="24"/>
        </w:rPr>
        <w:t xml:space="preserve">Reynolds, D., Sammons, P., Stoll, L., Barber, M. and Hillman, J., 1996. School effectiveness and school improvement in the United Kingdom. </w:t>
      </w:r>
      <w:r w:rsidRPr="000009D1">
        <w:rPr>
          <w:i/>
          <w:iCs/>
          <w:sz w:val="24"/>
          <w:szCs w:val="24"/>
        </w:rPr>
        <w:t>School Effectiveness and School Improvement</w:t>
      </w:r>
      <w:r w:rsidRPr="000009D1">
        <w:rPr>
          <w:sz w:val="24"/>
          <w:szCs w:val="24"/>
        </w:rPr>
        <w:t xml:space="preserve">, </w:t>
      </w:r>
      <w:r w:rsidRPr="000009D1">
        <w:rPr>
          <w:i/>
          <w:iCs/>
          <w:sz w:val="24"/>
          <w:szCs w:val="24"/>
        </w:rPr>
        <w:t>7</w:t>
      </w:r>
      <w:r w:rsidRPr="000009D1">
        <w:rPr>
          <w:sz w:val="24"/>
          <w:szCs w:val="24"/>
        </w:rPr>
        <w:t>(2), pp.133-158.</w:t>
      </w:r>
    </w:p>
    <w:p w:rsidR="00961725" w:rsidRDefault="00961725" w:rsidP="00961725">
      <w:pPr>
        <w:rPr>
          <w:sz w:val="24"/>
          <w:szCs w:val="24"/>
        </w:rPr>
      </w:pPr>
    </w:p>
    <w:p w:rsidR="00961725" w:rsidRDefault="00961725" w:rsidP="00961725">
      <w:pPr>
        <w:rPr>
          <w:sz w:val="24"/>
          <w:szCs w:val="24"/>
        </w:rPr>
      </w:pPr>
      <w:r w:rsidRPr="001A7CE7">
        <w:rPr>
          <w:sz w:val="24"/>
          <w:szCs w:val="24"/>
        </w:rPr>
        <w:t>Rutherford, C., (2009), planning to change: Strategic planning and comprehensive school reform. </w:t>
      </w:r>
      <w:r w:rsidRPr="001A7CE7">
        <w:rPr>
          <w:i/>
          <w:iCs/>
          <w:sz w:val="24"/>
          <w:szCs w:val="24"/>
        </w:rPr>
        <w:t>Educational Planning</w:t>
      </w:r>
      <w:r w:rsidRPr="001A7CE7">
        <w:rPr>
          <w:sz w:val="24"/>
          <w:szCs w:val="24"/>
        </w:rPr>
        <w:t>, Available at: </w:t>
      </w:r>
      <w:hyperlink r:id="rId18" w:anchor="page=7" w:tgtFrame="_blank" w:history="1">
        <w:r w:rsidRPr="001A7CE7">
          <w:rPr>
            <w:rStyle w:val="Hyperlink"/>
            <w:sz w:val="24"/>
            <w:szCs w:val="24"/>
          </w:rPr>
          <w:t>http://isep.info/wp-content/uploads/2015/03/18-1reduced.pdf#page=7</w:t>
        </w:r>
      </w:hyperlink>
      <w:r>
        <w:rPr>
          <w:sz w:val="24"/>
          <w:szCs w:val="24"/>
        </w:rPr>
        <w:t xml:space="preserve"> (Accessed December 2018).</w:t>
      </w:r>
    </w:p>
    <w:p w:rsidR="00961725" w:rsidRDefault="00961725" w:rsidP="00961725">
      <w:pPr>
        <w:rPr>
          <w:sz w:val="24"/>
          <w:szCs w:val="24"/>
        </w:rPr>
      </w:pPr>
      <w:r w:rsidRPr="00793224">
        <w:rPr>
          <w:sz w:val="24"/>
          <w:szCs w:val="24"/>
        </w:rPr>
        <w:lastRenderedPageBreak/>
        <w:t xml:space="preserve">Tytler, R., Peterson, S. and Prain, V., </w:t>
      </w:r>
      <w:r>
        <w:rPr>
          <w:sz w:val="24"/>
          <w:szCs w:val="24"/>
        </w:rPr>
        <w:t>(</w:t>
      </w:r>
      <w:r w:rsidRPr="00793224">
        <w:rPr>
          <w:sz w:val="24"/>
          <w:szCs w:val="24"/>
        </w:rPr>
        <w:t>2006</w:t>
      </w:r>
      <w:r>
        <w:rPr>
          <w:sz w:val="24"/>
          <w:szCs w:val="24"/>
        </w:rPr>
        <w:t xml:space="preserve">), </w:t>
      </w:r>
      <w:r w:rsidRPr="00793224">
        <w:rPr>
          <w:sz w:val="24"/>
          <w:szCs w:val="24"/>
        </w:rPr>
        <w:t xml:space="preserve">Picturing evaporation: Learning science literacy through a particle representation. </w:t>
      </w:r>
      <w:r w:rsidRPr="00793224">
        <w:rPr>
          <w:i/>
          <w:iCs/>
          <w:sz w:val="24"/>
          <w:szCs w:val="24"/>
        </w:rPr>
        <w:t>Teaching Science: The Journal of the Australian Science Teachers Association</w:t>
      </w:r>
      <w:r w:rsidRPr="00793224">
        <w:rPr>
          <w:sz w:val="24"/>
          <w:szCs w:val="24"/>
        </w:rPr>
        <w:t xml:space="preserve">, </w:t>
      </w:r>
      <w:r w:rsidRPr="00793224">
        <w:rPr>
          <w:i/>
          <w:iCs/>
          <w:sz w:val="24"/>
          <w:szCs w:val="24"/>
        </w:rPr>
        <w:t>52</w:t>
      </w:r>
      <w:r w:rsidRPr="00793224">
        <w:rPr>
          <w:sz w:val="24"/>
          <w:szCs w:val="24"/>
        </w:rPr>
        <w:t>(1).</w:t>
      </w:r>
    </w:p>
    <w:p w:rsidR="00961725" w:rsidRDefault="00961725" w:rsidP="00961725">
      <w:pPr>
        <w:rPr>
          <w:sz w:val="24"/>
          <w:szCs w:val="24"/>
        </w:rPr>
      </w:pPr>
    </w:p>
    <w:p w:rsidR="00961725" w:rsidRPr="00793224" w:rsidRDefault="00961725" w:rsidP="00961725">
      <w:pPr>
        <w:rPr>
          <w:sz w:val="24"/>
          <w:szCs w:val="24"/>
        </w:rPr>
      </w:pPr>
      <w:r w:rsidRPr="00793224">
        <w:rPr>
          <w:sz w:val="24"/>
          <w:szCs w:val="24"/>
        </w:rPr>
        <w:t xml:space="preserve">Wellington, J. and Ireson, G., </w:t>
      </w:r>
      <w:r>
        <w:rPr>
          <w:sz w:val="24"/>
          <w:szCs w:val="24"/>
        </w:rPr>
        <w:t>(</w:t>
      </w:r>
      <w:r w:rsidRPr="00793224">
        <w:rPr>
          <w:sz w:val="24"/>
          <w:szCs w:val="24"/>
        </w:rPr>
        <w:t>2002</w:t>
      </w:r>
      <w:r>
        <w:rPr>
          <w:sz w:val="24"/>
          <w:szCs w:val="24"/>
        </w:rPr>
        <w:t>)</w:t>
      </w:r>
      <w:r w:rsidRPr="00793224">
        <w:rPr>
          <w:sz w:val="24"/>
          <w:szCs w:val="24"/>
        </w:rPr>
        <w:t xml:space="preserve">. </w:t>
      </w:r>
      <w:r w:rsidRPr="00793224">
        <w:rPr>
          <w:i/>
          <w:iCs/>
          <w:sz w:val="24"/>
          <w:szCs w:val="24"/>
        </w:rPr>
        <w:t>Teaching and learning secondary science</w:t>
      </w:r>
      <w:r w:rsidRPr="00793224">
        <w:rPr>
          <w:sz w:val="24"/>
          <w:szCs w:val="24"/>
        </w:rPr>
        <w:t>. Routledge.</w:t>
      </w: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961725" w:rsidRDefault="00961725" w:rsidP="00961725">
      <w:pPr>
        <w:rPr>
          <w:sz w:val="24"/>
          <w:szCs w:val="24"/>
        </w:rPr>
      </w:pPr>
    </w:p>
    <w:p w:rsidR="00A406E5" w:rsidRDefault="00A406E5">
      <w:pPr>
        <w:rPr>
          <w:rFonts w:ascii="Arial" w:hAnsi="Arial" w:cs="Arial"/>
          <w:sz w:val="32"/>
        </w:rPr>
      </w:pPr>
    </w:p>
    <w:sectPr w:rsidR="00A406E5" w:rsidSect="005C7F47">
      <w:pgSz w:w="11894" w:h="16834"/>
      <w:pgMar w:top="720" w:right="720" w:bottom="720" w:left="720" w:header="706" w:footer="454"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2B5C" w:rsidRDefault="007E2B5C">
      <w:r>
        <w:separator/>
      </w:r>
    </w:p>
  </w:endnote>
  <w:endnote w:type="continuationSeparator" w:id="1">
    <w:p w:rsidR="007E2B5C" w:rsidRDefault="007E2B5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2B5C" w:rsidRDefault="007E2B5C">
      <w:r>
        <w:separator/>
      </w:r>
    </w:p>
  </w:footnote>
  <w:footnote w:type="continuationSeparator" w:id="1">
    <w:p w:rsidR="007E2B5C" w:rsidRDefault="007E2B5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16"/>
  </w:num>
  <w:num w:numId="19">
    <w:abstractNumId w:val="1"/>
  </w:num>
  <w:num w:numId="20">
    <w:abstractNumId w:val="15"/>
  </w:num>
  <w:num w:numId="21">
    <w:abstractNumId w:val="9"/>
  </w:num>
  <w:num w:numId="2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0"/>
    <w:footnote w:id="1"/>
  </w:footnotePr>
  <w:endnotePr>
    <w:endnote w:id="0"/>
    <w:endnote w:id="1"/>
  </w:endnotePr>
  <w:compat/>
  <w:rsids>
    <w:rsidRoot w:val="00FB4521"/>
    <w:rsid w:val="00003938"/>
    <w:rsid w:val="00011666"/>
    <w:rsid w:val="00011C22"/>
    <w:rsid w:val="00025810"/>
    <w:rsid w:val="00026B02"/>
    <w:rsid w:val="000400FE"/>
    <w:rsid w:val="00050AF9"/>
    <w:rsid w:val="000822E5"/>
    <w:rsid w:val="000971FC"/>
    <w:rsid w:val="000A2A3A"/>
    <w:rsid w:val="000A492A"/>
    <w:rsid w:val="000B6520"/>
    <w:rsid w:val="000C328F"/>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63E5"/>
    <w:rsid w:val="002D5B3F"/>
    <w:rsid w:val="002E0F9F"/>
    <w:rsid w:val="002E272E"/>
    <w:rsid w:val="002F5778"/>
    <w:rsid w:val="00321FC6"/>
    <w:rsid w:val="003223E0"/>
    <w:rsid w:val="00342AED"/>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6CB"/>
    <w:rsid w:val="00423934"/>
    <w:rsid w:val="00426244"/>
    <w:rsid w:val="00437AA0"/>
    <w:rsid w:val="00470A38"/>
    <w:rsid w:val="004874DE"/>
    <w:rsid w:val="004B5334"/>
    <w:rsid w:val="004B6C14"/>
    <w:rsid w:val="004C4F19"/>
    <w:rsid w:val="004D5E9B"/>
    <w:rsid w:val="004D63D9"/>
    <w:rsid w:val="004E19B4"/>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7F47"/>
    <w:rsid w:val="005D1D58"/>
    <w:rsid w:val="005D432C"/>
    <w:rsid w:val="005E285E"/>
    <w:rsid w:val="005E72F8"/>
    <w:rsid w:val="005F0579"/>
    <w:rsid w:val="005F3A53"/>
    <w:rsid w:val="005F675C"/>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97A8D"/>
    <w:rsid w:val="007A2657"/>
    <w:rsid w:val="007A31E4"/>
    <w:rsid w:val="007C682C"/>
    <w:rsid w:val="007D2385"/>
    <w:rsid w:val="007E2B5C"/>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B617D"/>
    <w:rsid w:val="008D763F"/>
    <w:rsid w:val="008F036F"/>
    <w:rsid w:val="008F1308"/>
    <w:rsid w:val="008F78C2"/>
    <w:rsid w:val="00904568"/>
    <w:rsid w:val="00911394"/>
    <w:rsid w:val="00913B92"/>
    <w:rsid w:val="00923EF2"/>
    <w:rsid w:val="00926D25"/>
    <w:rsid w:val="00926E9D"/>
    <w:rsid w:val="00932C6E"/>
    <w:rsid w:val="00933F10"/>
    <w:rsid w:val="009433C5"/>
    <w:rsid w:val="0096172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7E6C"/>
    <w:rsid w:val="00C61FC2"/>
    <w:rsid w:val="00C705F9"/>
    <w:rsid w:val="00C80F0F"/>
    <w:rsid w:val="00C8667A"/>
    <w:rsid w:val="00C93BCB"/>
    <w:rsid w:val="00CC241A"/>
    <w:rsid w:val="00CE4035"/>
    <w:rsid w:val="00CE65AB"/>
    <w:rsid w:val="00CF4266"/>
    <w:rsid w:val="00D071E3"/>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1720"/>
    <w:rsid w:val="00EB4F96"/>
    <w:rsid w:val="00ED7072"/>
    <w:rsid w:val="00EE3132"/>
    <w:rsid w:val="00EE3D9D"/>
    <w:rsid w:val="00EE6F25"/>
    <w:rsid w:val="00F02126"/>
    <w:rsid w:val="00F03D85"/>
    <w:rsid w:val="00F0444D"/>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444D"/>
    <w:rPr>
      <w:lang w:eastAsia="en-GB"/>
    </w:rPr>
  </w:style>
  <w:style w:type="paragraph" w:styleId="Heading1">
    <w:name w:val="heading 1"/>
    <w:basedOn w:val="Normal"/>
    <w:next w:val="Normal"/>
    <w:qFormat/>
    <w:rsid w:val="00F0444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F0444D"/>
    <w:pPr>
      <w:keepNext/>
      <w:jc w:val="both"/>
      <w:outlineLvl w:val="1"/>
    </w:pPr>
    <w:rPr>
      <w:b/>
      <w:sz w:val="24"/>
    </w:rPr>
  </w:style>
  <w:style w:type="paragraph" w:styleId="Heading3">
    <w:name w:val="heading 3"/>
    <w:basedOn w:val="Normal"/>
    <w:next w:val="Normal"/>
    <w:qFormat/>
    <w:rsid w:val="00F0444D"/>
    <w:pPr>
      <w:keepNext/>
      <w:jc w:val="center"/>
      <w:outlineLvl w:val="2"/>
    </w:pPr>
    <w:rPr>
      <w:b/>
      <w:sz w:val="24"/>
    </w:rPr>
  </w:style>
  <w:style w:type="paragraph" w:styleId="Heading4">
    <w:name w:val="heading 4"/>
    <w:basedOn w:val="Normal"/>
    <w:next w:val="Normal"/>
    <w:qFormat/>
    <w:rsid w:val="00F0444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F0444D"/>
    <w:pPr>
      <w:tabs>
        <w:tab w:val="center" w:pos="4153"/>
        <w:tab w:val="right" w:pos="8306"/>
      </w:tabs>
    </w:pPr>
  </w:style>
  <w:style w:type="paragraph" w:styleId="Footer">
    <w:name w:val="footer"/>
    <w:basedOn w:val="Normal"/>
    <w:link w:val="FooterChar"/>
    <w:uiPriority w:val="99"/>
    <w:rsid w:val="00F0444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03938"/>
    <w:pPr>
      <w:autoSpaceDE w:val="0"/>
      <w:autoSpaceDN w:val="0"/>
      <w:adjustRightInd w:val="0"/>
    </w:pPr>
    <w:rPr>
      <w:rFonts w:ascii="Arial" w:eastAsiaTheme="minorHAnsi" w:hAnsi="Arial" w:cs="Arial"/>
      <w:color w:val="000000"/>
      <w:sz w:val="24"/>
      <w:szCs w:val="24"/>
    </w:rPr>
  </w:style>
  <w:style w:type="paragraph" w:styleId="Title">
    <w:name w:val="Title"/>
    <w:basedOn w:val="Normal"/>
    <w:link w:val="TitleChar"/>
    <w:qFormat/>
    <w:rsid w:val="00961725"/>
    <w:rPr>
      <w:rFonts w:ascii="Tahoma" w:hAnsi="Tahoma"/>
      <w:color w:val="1F92B6"/>
      <w:kern w:val="28"/>
      <w:sz w:val="52"/>
      <w:szCs w:val="24"/>
      <w:lang w:eastAsia="en-US"/>
    </w:rPr>
  </w:style>
  <w:style w:type="character" w:customStyle="1" w:styleId="TitleChar">
    <w:name w:val="Title Char"/>
    <w:basedOn w:val="DefaultParagraphFont"/>
    <w:link w:val="Title"/>
    <w:rsid w:val="00961725"/>
    <w:rPr>
      <w:rFonts w:ascii="Tahoma" w:hAnsi="Tahoma"/>
      <w:color w:val="1F92B6"/>
      <w:kern w:val="28"/>
      <w:sz w:val="52"/>
      <w:szCs w:val="24"/>
    </w:rPr>
  </w:style>
</w:styles>
</file>

<file path=word/webSettings.xml><?xml version="1.0" encoding="utf-8"?>
<w:webSettings xmlns:r="http://schemas.openxmlformats.org/officeDocument/2006/relationships" xmlns:w="http://schemas.openxmlformats.org/wordprocessingml/2006/main">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54013">
      <w:bodyDiv w:val="1"/>
      <w:marLeft w:val="0"/>
      <w:marRight w:val="0"/>
      <w:marTop w:val="0"/>
      <w:marBottom w:val="0"/>
      <w:divBdr>
        <w:top w:val="none" w:sz="0" w:space="0" w:color="auto"/>
        <w:left w:val="none" w:sz="0" w:space="0" w:color="auto"/>
        <w:bottom w:val="none" w:sz="0" w:space="0" w:color="auto"/>
        <w:right w:val="none" w:sz="0" w:space="0" w:color="auto"/>
      </w:divBdr>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9472">
      <w:bodyDiv w:val="1"/>
      <w:marLeft w:val="0"/>
      <w:marRight w:val="0"/>
      <w:marTop w:val="0"/>
      <w:marBottom w:val="0"/>
      <w:divBdr>
        <w:top w:val="none" w:sz="0" w:space="0" w:color="auto"/>
        <w:left w:val="none" w:sz="0" w:space="0" w:color="auto"/>
        <w:bottom w:val="none" w:sz="0" w:space="0" w:color="auto"/>
        <w:right w:val="none" w:sz="0" w:space="0" w:color="auto"/>
      </w:divBdr>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419659">
      <w:bodyDiv w:val="1"/>
      <w:marLeft w:val="0"/>
      <w:marRight w:val="0"/>
      <w:marTop w:val="0"/>
      <w:marBottom w:val="0"/>
      <w:divBdr>
        <w:top w:val="none" w:sz="0" w:space="0" w:color="auto"/>
        <w:left w:val="none" w:sz="0" w:space="0" w:color="auto"/>
        <w:bottom w:val="none" w:sz="0" w:space="0" w:color="auto"/>
        <w:right w:val="none" w:sz="0" w:space="0" w:color="auto"/>
      </w:divBdr>
    </w:div>
    <w:div w:id="14343952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4155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671267">
      <w:bodyDiv w:val="1"/>
      <w:marLeft w:val="0"/>
      <w:marRight w:val="0"/>
      <w:marTop w:val="0"/>
      <w:marBottom w:val="0"/>
      <w:divBdr>
        <w:top w:val="none" w:sz="0" w:space="0" w:color="auto"/>
        <w:left w:val="none" w:sz="0" w:space="0" w:color="auto"/>
        <w:bottom w:val="none" w:sz="0" w:space="0" w:color="auto"/>
        <w:right w:val="none" w:sz="0" w:space="0" w:color="auto"/>
      </w:divBdr>
    </w:div>
    <w:div w:id="1903983056">
      <w:bodyDiv w:val="1"/>
      <w:marLeft w:val="0"/>
      <w:marRight w:val="0"/>
      <w:marTop w:val="0"/>
      <w:marBottom w:val="0"/>
      <w:divBdr>
        <w:top w:val="none" w:sz="0" w:space="0" w:color="auto"/>
        <w:left w:val="none" w:sz="0" w:space="0" w:color="auto"/>
        <w:bottom w:val="none" w:sz="0" w:space="0" w:color="auto"/>
        <w:right w:val="none" w:sz="0" w:space="0" w:color="auto"/>
      </w:divBdr>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iwa.wales/click/wp-content/uploads/Education-Conference-Report_IWA.pdf" TargetMode="External"/><Relationship Id="rId18" Type="http://schemas.openxmlformats.org/officeDocument/2006/relationships/hyperlink" Target="http://isep.info/wp-content/uploads/2015/03/18-1reduced.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learning.gov.wales/docs/learningwales/publications/141013-final-report-en.pdf" TargetMode="External"/><Relationship Id="rId2" Type="http://schemas.openxmlformats.org/officeDocument/2006/relationships/styles" Target="styles.xml"/><Relationship Id="rId16" Type="http://schemas.openxmlformats.org/officeDocument/2006/relationships/hyperlink" Target="https://gov.wales/topics/health/improvement/schools/award/?lang=en"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learning.gov.wales/docs/learningwales/news/121025improvingschoolsen.pdf"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estyn.gov.wales/effective-practice/search?sector=144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12</Pages>
  <Words>5157</Words>
  <Characters>29401</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34490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lenovo</cp:lastModifiedBy>
  <cp:revision>2</cp:revision>
  <cp:lastPrinted>2018-11-05T16:52:00Z</cp:lastPrinted>
  <dcterms:created xsi:type="dcterms:W3CDTF">2019-01-27T17:30:00Z</dcterms:created>
  <dcterms:modified xsi:type="dcterms:W3CDTF">2019-01-27T17:30:00Z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