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0DA5D6" w14:textId="1B7E7A99" w:rsidR="00047B26" w:rsidRPr="000A64B7" w:rsidRDefault="00047B26" w:rsidP="000A64B7">
      <w:pPr>
        <w:spacing w:line="360" w:lineRule="auto"/>
        <w:rPr>
          <w:rFonts w:ascii="Times New Roman" w:hAnsi="Times New Roman" w:cs="Times New Roman"/>
          <w:sz w:val="22"/>
          <w:szCs w:val="22"/>
          <w:u w:val="single"/>
        </w:rPr>
      </w:pPr>
      <w:r w:rsidRPr="000A64B7">
        <w:rPr>
          <w:rFonts w:ascii="Times New Roman" w:hAnsi="Times New Roman" w:cs="Times New Roman"/>
          <w:sz w:val="22"/>
          <w:szCs w:val="22"/>
        </w:rPr>
        <w:t>Name: Shahid Mahmud</w:t>
      </w:r>
    </w:p>
    <w:p w14:paraId="56A00544" w14:textId="77777777" w:rsidR="00047B26" w:rsidRPr="000A64B7" w:rsidRDefault="00047B26"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Student No: 2411651</w:t>
      </w:r>
    </w:p>
    <w:p w14:paraId="53F6EB93" w14:textId="77777777" w:rsidR="00047B26" w:rsidRPr="000A64B7" w:rsidRDefault="00047B26" w:rsidP="000A64B7">
      <w:pPr>
        <w:spacing w:before="120" w:after="120" w:line="360" w:lineRule="auto"/>
        <w:rPr>
          <w:rFonts w:ascii="Times New Roman" w:hAnsi="Times New Roman" w:cs="Times New Roman"/>
          <w:sz w:val="22"/>
          <w:szCs w:val="22"/>
        </w:rPr>
      </w:pPr>
      <w:r w:rsidRPr="000A64B7">
        <w:rPr>
          <w:rFonts w:ascii="Times New Roman" w:hAnsi="Times New Roman" w:cs="Times New Roman"/>
          <w:sz w:val="22"/>
          <w:szCs w:val="22"/>
        </w:rPr>
        <w:t xml:space="preserve">Module: Psychological Classifications and Provisions </w:t>
      </w:r>
    </w:p>
    <w:p w14:paraId="42B8597E" w14:textId="77777777" w:rsidR="00047B26" w:rsidRPr="000A64B7" w:rsidRDefault="00047B26" w:rsidP="000A64B7">
      <w:pPr>
        <w:spacing w:before="120" w:after="120" w:line="360" w:lineRule="auto"/>
        <w:rPr>
          <w:rFonts w:ascii="Times New Roman" w:hAnsi="Times New Roman" w:cs="Times New Roman"/>
          <w:sz w:val="22"/>
          <w:szCs w:val="22"/>
        </w:rPr>
      </w:pPr>
      <w:r w:rsidRPr="000A64B7">
        <w:rPr>
          <w:rFonts w:ascii="Times New Roman" w:hAnsi="Times New Roman" w:cs="Times New Roman"/>
          <w:sz w:val="22"/>
          <w:szCs w:val="22"/>
        </w:rPr>
        <w:t xml:space="preserve">Lecturer: </w:t>
      </w:r>
      <w:r w:rsidRPr="000A64B7">
        <w:rPr>
          <w:rFonts w:ascii="Times New Roman" w:eastAsia="Arial" w:hAnsi="Times New Roman" w:cs="Times New Roman"/>
          <w:color w:val="000000" w:themeColor="text1"/>
          <w:sz w:val="22"/>
          <w:szCs w:val="22"/>
        </w:rPr>
        <w:t>Neale Haddon</w:t>
      </w:r>
    </w:p>
    <w:p w14:paraId="354E109D" w14:textId="77777777" w:rsidR="00047B26" w:rsidRPr="000A64B7" w:rsidRDefault="00047B26"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Programme: BSc Health and Social Care</w:t>
      </w:r>
    </w:p>
    <w:p w14:paraId="0EE028B6" w14:textId="77777777" w:rsidR="00047B26" w:rsidRPr="000A64B7" w:rsidRDefault="00047B26"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Module: BMHP6029</w:t>
      </w:r>
    </w:p>
    <w:p w14:paraId="48868125" w14:textId="77777777" w:rsidR="00047B26" w:rsidRPr="000A64B7" w:rsidRDefault="00047B26"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Assignment Title: Component 2: Written Report</w:t>
      </w:r>
    </w:p>
    <w:p w14:paraId="6B1536AA" w14:textId="77777777" w:rsidR="00047B26" w:rsidRPr="000A64B7" w:rsidRDefault="00047B26"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br w:type="page"/>
      </w:r>
    </w:p>
    <w:p w14:paraId="31F0E6AA" w14:textId="5EFDF940" w:rsidR="00A62B85" w:rsidRPr="00A62B85" w:rsidRDefault="006660C8" w:rsidP="000A64B7">
      <w:pPr>
        <w:spacing w:line="360" w:lineRule="auto"/>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Schizophrenia</w:t>
      </w:r>
    </w:p>
    <w:p w14:paraId="4FBF5A00" w14:textId="77777777" w:rsidR="00A62B85" w:rsidRDefault="00A62B85" w:rsidP="000A64B7">
      <w:pPr>
        <w:spacing w:line="360" w:lineRule="auto"/>
        <w:rPr>
          <w:rFonts w:ascii="Times New Roman" w:hAnsi="Times New Roman" w:cs="Times New Roman"/>
          <w:b/>
          <w:bCs/>
          <w:sz w:val="22"/>
          <w:szCs w:val="22"/>
          <w:u w:val="single"/>
        </w:rPr>
      </w:pPr>
    </w:p>
    <w:p w14:paraId="6F70B81A" w14:textId="01CDD05E"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Introduction</w:t>
      </w:r>
    </w:p>
    <w:p w14:paraId="5253BB40" w14:textId="77777777" w:rsidR="00D47FB7" w:rsidRPr="009B1836" w:rsidRDefault="00D47FB7" w:rsidP="000A64B7">
      <w:pPr>
        <w:spacing w:line="360" w:lineRule="auto"/>
        <w:rPr>
          <w:rFonts w:ascii="Times New Roman" w:hAnsi="Times New Roman" w:cs="Times New Roman"/>
          <w:sz w:val="22"/>
          <w:szCs w:val="22"/>
        </w:rPr>
      </w:pPr>
      <w:r w:rsidRPr="009B1836">
        <w:rPr>
          <w:rFonts w:ascii="Times New Roman" w:hAnsi="Times New Roman" w:cs="Times New Roman"/>
          <w:sz w:val="22"/>
          <w:szCs w:val="22"/>
        </w:rPr>
        <w:t>This report reviews schizophrenia, including its origins, classification under ICD-11 (code 6A20), diagnosis, evidence-based treatment, and legal framework in England and Wales. Coined by Swiss psychiatrist Paul Eugen Bleuler in 1910, "schizophrenia" combines Greek terms for “split” and “mind,” misunderstood as “split personality.” It is a serious mental health condition affecting 1 in 100 people, a major cause of long-term disability (WHO, 2024).</w:t>
      </w:r>
    </w:p>
    <w:p w14:paraId="71435F30" w14:textId="77777777" w:rsidR="00D47FB7" w:rsidRPr="009B1836" w:rsidRDefault="00D47FB7" w:rsidP="000A64B7">
      <w:pPr>
        <w:spacing w:line="360" w:lineRule="auto"/>
        <w:rPr>
          <w:rFonts w:ascii="Times New Roman" w:hAnsi="Times New Roman" w:cs="Times New Roman"/>
          <w:sz w:val="22"/>
          <w:szCs w:val="22"/>
        </w:rPr>
      </w:pPr>
      <w:r w:rsidRPr="009B1836">
        <w:rPr>
          <w:rFonts w:ascii="Times New Roman" w:hAnsi="Times New Roman" w:cs="Times New Roman"/>
          <w:sz w:val="22"/>
          <w:szCs w:val="22"/>
        </w:rPr>
        <w:t>The Mental Health Act 1983, reformed in 2007, establishes legal foundations and practice guidance (Code of Practice). The relationship between clinical classification and legal authority is vital: ICD-11 outlines clinical boundaries, whereas legislation dictates assessment, treatment, rights, and challenging detention. A diagnosis alone does not warrant compulsory intervention; legal criteria for risk and treatment options differ from diagnostic criteria (Suárez Levant et al., 2024)</w:t>
      </w:r>
    </w:p>
    <w:p w14:paraId="40A7A594" w14:textId="77777777" w:rsidR="00D47FB7" w:rsidRPr="000A64B7" w:rsidRDefault="00D47FB7" w:rsidP="000A64B7">
      <w:pPr>
        <w:spacing w:line="360" w:lineRule="auto"/>
        <w:rPr>
          <w:rFonts w:ascii="Times New Roman" w:hAnsi="Times New Roman" w:cs="Times New Roman"/>
          <w:sz w:val="22"/>
          <w:szCs w:val="22"/>
        </w:rPr>
      </w:pPr>
    </w:p>
    <w:p w14:paraId="7A88033E"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Classification and Diagnosis</w:t>
      </w:r>
    </w:p>
    <w:p w14:paraId="602564F0" w14:textId="39B85D2E" w:rsidR="00CF22B0" w:rsidRPr="00CF22B0" w:rsidRDefault="00DA439D"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ICD-11 puts schizophrenia into “Schizophrenia or Other Primary Psychotic Disorders” (as opposed to ICD 10’s much broader classifications). The intention is to make these conditions more inclusive (“functional patterns”, not diseases). Aetiology and Heritability: Schizophrenia is highly heritable (genetic contribution 60–80%). It is polygenic (many common variants and some rare genetic changes) but high heritability does not mean determinism — prenatal exposure, childhood adversity and substance use all influence risk. Having a first degree relative with schizophrenia increases lifetime risk from about 1% to 10%. But environmental influences mean genetic concordance isn’t 100% even among identical twins. Symptoms. Symptoms must last at least one month and contain core features such as: Persistent delusions. Persistent hallucinations. Disorganized thinking or speech. Passivity or control experiences. Negative symptoms and disorganized behavior may also be present. Symptoms should not arise from substance use, organic brain disorders or primary mood disturbances and there must be clear functional impairment. Catatonia is now an independent category.</w:t>
      </w:r>
    </w:p>
    <w:p w14:paraId="747418A3" w14:textId="77777777" w:rsidR="00D47FB7" w:rsidRPr="000A64B7" w:rsidRDefault="00D47FB7" w:rsidP="000A64B7">
      <w:pPr>
        <w:spacing w:line="360" w:lineRule="auto"/>
        <w:rPr>
          <w:rFonts w:ascii="Times New Roman" w:hAnsi="Times New Roman" w:cs="Times New Roman"/>
          <w:sz w:val="22"/>
          <w:szCs w:val="22"/>
        </w:rPr>
      </w:pPr>
    </w:p>
    <w:p w14:paraId="24E20D4B"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Legal Framework: Evolution, Detention, Rights and Safeguards</w:t>
      </w:r>
    </w:p>
    <w:p w14:paraId="0F24B544" w14:textId="77777777" w:rsidR="00D47FB7" w:rsidRPr="00130B7D" w:rsidRDefault="00D47FB7" w:rsidP="000A64B7">
      <w:pPr>
        <w:numPr>
          <w:ilvl w:val="0"/>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The Mental Health Act 1983 established compulsory assessment and treatment in England and Wales, categorizing mental disorders (e.g., schizophrenia as "mental illness") with distinct legal powers. Key admission provisions included:</w:t>
      </w:r>
    </w:p>
    <w:p w14:paraId="0E4A9BF7"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Section 2: Assessment up to 28 days with two medical recommendations</w:t>
      </w:r>
    </w:p>
    <w:p w14:paraId="5F4E174A"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Section 3: Treatment up to six months, renewable</w:t>
      </w:r>
    </w:p>
    <w:p w14:paraId="51E05370"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Section 4: Emergency detention for up to 72 hours</w:t>
      </w:r>
    </w:p>
    <w:p w14:paraId="25EDDC8F"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Section 5(2): Holding power for inpatients</w:t>
      </w:r>
    </w:p>
    <w:p w14:paraId="313330DE"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lastRenderedPageBreak/>
        <w:t>Detention under Section 3 required the "treatability test," excluding those not amenable to treatment.</w:t>
      </w:r>
    </w:p>
    <w:p w14:paraId="13E6831A" w14:textId="77777777" w:rsidR="00D47FB7" w:rsidRPr="00130B7D" w:rsidRDefault="00D47FB7" w:rsidP="000A64B7">
      <w:pPr>
        <w:numPr>
          <w:ilvl w:val="0"/>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The Mental Health Act 2007 significantly reformed legislation, introducing:</w:t>
      </w:r>
    </w:p>
    <w:p w14:paraId="0D4036BE"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A unified definition: “Any disorder or disability of the mind”</w:t>
      </w:r>
    </w:p>
    <w:p w14:paraId="7380D6A2"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Abolishment of the treatability test, replaced by “appropriate medical treatment available”</w:t>
      </w:r>
    </w:p>
    <w:p w14:paraId="30B70D39"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Supervised Community Treatment: Recall powers post-discharge</w:t>
      </w:r>
    </w:p>
    <w:p w14:paraId="79830DA8"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Overhauls in professional roles and extended rights for nearest relatives.</w:t>
      </w:r>
    </w:p>
    <w:p w14:paraId="33AFF0F3" w14:textId="77777777" w:rsidR="00D47FB7" w:rsidRPr="00130B7D" w:rsidRDefault="00D47FB7" w:rsidP="000A64B7">
      <w:pPr>
        <w:numPr>
          <w:ilvl w:val="0"/>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Updated guidance followed, notably the 2015 Code of Practice, centered on patient involvement and least restrictive practices.</w:t>
      </w:r>
    </w:p>
    <w:p w14:paraId="7FBB6AF9" w14:textId="77777777" w:rsidR="00D47FB7" w:rsidRPr="00130B7D" w:rsidRDefault="00D47FB7" w:rsidP="000A64B7">
      <w:pPr>
        <w:numPr>
          <w:ilvl w:val="0"/>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Rights, Appeals, and Advocacy:</w:t>
      </w:r>
    </w:p>
    <w:p w14:paraId="5403C459"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Patients can appeal to the Mental Health Tribunal: Section 2 appeals within 14 days; Section 3 within six months, thereafter yearly.</w:t>
      </w:r>
    </w:p>
    <w:p w14:paraId="2F9067C5"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Independent Mental Health Advocate (IMHA): All detained patients and those under Community Treatment Orders have a right to an IMHA for support, particularly if they disagree with care plans.</w:t>
      </w:r>
    </w:p>
    <w:p w14:paraId="51E9B773" w14:textId="77777777" w:rsidR="00D47FB7" w:rsidRPr="00130B7D" w:rsidRDefault="00D47FB7" w:rsidP="000A64B7">
      <w:pPr>
        <w:numPr>
          <w:ilvl w:val="1"/>
          <w:numId w:val="1"/>
        </w:numPr>
        <w:spacing w:line="360" w:lineRule="auto"/>
        <w:rPr>
          <w:rFonts w:ascii="Times New Roman" w:hAnsi="Times New Roman" w:cs="Times New Roman"/>
          <w:sz w:val="22"/>
          <w:szCs w:val="22"/>
        </w:rPr>
      </w:pPr>
      <w:r w:rsidRPr="00130B7D">
        <w:rPr>
          <w:rFonts w:ascii="Times New Roman" w:hAnsi="Times New Roman" w:cs="Times New Roman"/>
          <w:sz w:val="22"/>
          <w:szCs w:val="22"/>
        </w:rPr>
        <w:t>Nearest relative safeguards allows them to request admissions, apply for discharges, and be consulted on plans, with patients able to displace relatives conflicting with their interests.</w:t>
      </w:r>
    </w:p>
    <w:p w14:paraId="0E2F8A2D" w14:textId="77777777" w:rsidR="00D47FB7" w:rsidRPr="000A64B7" w:rsidRDefault="00D47FB7" w:rsidP="000A64B7">
      <w:pPr>
        <w:spacing w:line="360" w:lineRule="auto"/>
        <w:rPr>
          <w:rFonts w:ascii="Times New Roman" w:hAnsi="Times New Roman" w:cs="Times New Roman"/>
          <w:sz w:val="22"/>
          <w:szCs w:val="22"/>
        </w:rPr>
      </w:pPr>
    </w:p>
    <w:p w14:paraId="50D49A31"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Treatment Consent and Capacity Safeguards</w:t>
      </w:r>
    </w:p>
    <w:p w14:paraId="072C2C56" w14:textId="77777777" w:rsidR="00D47FB7" w:rsidRPr="001120BA" w:rsidRDefault="00D47FB7" w:rsidP="000A64B7">
      <w:pPr>
        <w:numPr>
          <w:ilvl w:val="0"/>
          <w:numId w:val="2"/>
        </w:numPr>
        <w:spacing w:line="360" w:lineRule="auto"/>
        <w:rPr>
          <w:rFonts w:ascii="Times New Roman" w:hAnsi="Times New Roman" w:cs="Times New Roman"/>
          <w:sz w:val="22"/>
          <w:szCs w:val="22"/>
        </w:rPr>
      </w:pPr>
      <w:r w:rsidRPr="001120BA">
        <w:rPr>
          <w:rFonts w:ascii="Times New Roman" w:hAnsi="Times New Roman" w:cs="Times New Roman"/>
          <w:sz w:val="22"/>
          <w:szCs w:val="22"/>
        </w:rPr>
        <w:t>Patient Capacity and Consent: Treatment requires patient consent; safeguards exist when capacity is in question.</w:t>
      </w:r>
    </w:p>
    <w:p w14:paraId="44AD8D40" w14:textId="77777777" w:rsidR="00D47FB7" w:rsidRPr="001120BA" w:rsidRDefault="00D47FB7" w:rsidP="000A64B7">
      <w:pPr>
        <w:numPr>
          <w:ilvl w:val="0"/>
          <w:numId w:val="2"/>
        </w:numPr>
        <w:spacing w:line="360" w:lineRule="auto"/>
        <w:rPr>
          <w:rFonts w:ascii="Times New Roman" w:hAnsi="Times New Roman" w:cs="Times New Roman"/>
          <w:sz w:val="22"/>
          <w:szCs w:val="22"/>
        </w:rPr>
      </w:pPr>
      <w:r w:rsidRPr="001120BA">
        <w:rPr>
          <w:rFonts w:ascii="Times New Roman" w:hAnsi="Times New Roman" w:cs="Times New Roman"/>
          <w:sz w:val="22"/>
          <w:szCs w:val="22"/>
        </w:rPr>
        <w:t>Second Opinion Appointed Doctor (SOAD): For patients unable to consent, certain treatments (e.g., medication after three months, electroconvulsive therapy) must be reviewed by a SOAD from the Care Quality Commission. The SOAD assesses clinical appropriateness and patient consideration before proceeding, serving as an independent justification for compulsory treatment.</w:t>
      </w:r>
    </w:p>
    <w:p w14:paraId="511097F5" w14:textId="77777777" w:rsidR="00D47FB7" w:rsidRPr="001120BA" w:rsidRDefault="00D47FB7" w:rsidP="000A64B7">
      <w:pPr>
        <w:numPr>
          <w:ilvl w:val="0"/>
          <w:numId w:val="2"/>
        </w:numPr>
        <w:spacing w:line="360" w:lineRule="auto"/>
        <w:rPr>
          <w:rFonts w:ascii="Times New Roman" w:hAnsi="Times New Roman" w:cs="Times New Roman"/>
          <w:sz w:val="22"/>
          <w:szCs w:val="22"/>
        </w:rPr>
      </w:pPr>
      <w:r w:rsidRPr="001120BA">
        <w:rPr>
          <w:rFonts w:ascii="Times New Roman" w:hAnsi="Times New Roman" w:cs="Times New Roman"/>
          <w:sz w:val="22"/>
          <w:szCs w:val="22"/>
        </w:rPr>
        <w:t>Mental Capacity Act (MCA) Relationship: The MCA prioritizes capacity assessment and decision-making support. Compulsion under the Mental Health Act should only occur when the MCA cannot adequately protect the individual. Professionals must consider less restrictive MCA options before using detention powers, per the 2015 Code of Practice.</w:t>
      </w:r>
    </w:p>
    <w:p w14:paraId="04A26554" w14:textId="77777777" w:rsidR="00D47FB7" w:rsidRPr="000A64B7" w:rsidRDefault="00D47FB7" w:rsidP="000A64B7">
      <w:pPr>
        <w:spacing w:line="360" w:lineRule="auto"/>
        <w:rPr>
          <w:rFonts w:ascii="Times New Roman" w:hAnsi="Times New Roman" w:cs="Times New Roman"/>
          <w:sz w:val="22"/>
          <w:szCs w:val="22"/>
        </w:rPr>
      </w:pPr>
    </w:p>
    <w:p w14:paraId="6515FA64"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Treatment and Rehabilitation</w:t>
      </w:r>
    </w:p>
    <w:p w14:paraId="1733B4FC" w14:textId="77777777" w:rsidR="00D47FB7" w:rsidRPr="000A64B7"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The National Institute for Health and Care Excellence (NICE) Guideline CG178 (2022) sets the gold standard for care in England, and its stepped model aligns closely with ICD</w:t>
      </w:r>
      <w:r w:rsidRPr="00A324C4">
        <w:rPr>
          <w:rFonts w:ascii="Times New Roman" w:hAnsi="Times New Roman" w:cs="Times New Roman"/>
          <w:sz w:val="22"/>
          <w:szCs w:val="22"/>
        </w:rPr>
        <w:noBreakHyphen/>
        <w:t>11’s course</w:t>
      </w:r>
      <w:r w:rsidRPr="00A324C4">
        <w:rPr>
          <w:rFonts w:ascii="Times New Roman" w:hAnsi="Times New Roman" w:cs="Times New Roman"/>
          <w:sz w:val="22"/>
          <w:szCs w:val="22"/>
        </w:rPr>
        <w:noBreakHyphen/>
        <w:t xml:space="preserve">based </w:t>
      </w:r>
      <w:r w:rsidRPr="00A324C4">
        <w:rPr>
          <w:rFonts w:ascii="Times New Roman" w:hAnsi="Times New Roman" w:cs="Times New Roman"/>
          <w:sz w:val="22"/>
          <w:szCs w:val="22"/>
        </w:rPr>
        <w:lastRenderedPageBreak/>
        <w:t>structure including recognition that understanding both genetic vulnerability and environmental triggers supports earlier, more personalised care (Damsgaard &amp; Angel, 2021).</w:t>
      </w:r>
    </w:p>
    <w:p w14:paraId="35B2D52E" w14:textId="77777777" w:rsidR="00D47FB7" w:rsidRPr="00A324C4" w:rsidRDefault="00D47FB7" w:rsidP="000A64B7">
      <w:pPr>
        <w:spacing w:line="360" w:lineRule="auto"/>
        <w:rPr>
          <w:rFonts w:ascii="Times New Roman" w:hAnsi="Times New Roman" w:cs="Times New Roman"/>
          <w:sz w:val="22"/>
          <w:szCs w:val="22"/>
        </w:rPr>
      </w:pPr>
    </w:p>
    <w:tbl>
      <w:tblPr>
        <w:tblW w:w="0" w:type="auto"/>
        <w:tblCellSpacing w:w="15" w:type="dxa"/>
        <w:tblCellMar>
          <w:left w:w="0" w:type="dxa"/>
          <w:right w:w="0" w:type="dxa"/>
        </w:tblCellMar>
        <w:tblLook w:val="04A0" w:firstRow="1" w:lastRow="0" w:firstColumn="1" w:lastColumn="0" w:noHBand="0" w:noVBand="1"/>
      </w:tblPr>
      <w:tblGrid>
        <w:gridCol w:w="2401"/>
        <w:gridCol w:w="3583"/>
        <w:gridCol w:w="3042"/>
      </w:tblGrid>
      <w:tr w:rsidR="00D47FB7" w:rsidRPr="00A324C4" w14:paraId="5C36E9D0" w14:textId="77777777" w:rsidTr="00702323">
        <w:trPr>
          <w:tblHeader/>
          <w:tblCellSpacing w:w="15" w:type="dxa"/>
        </w:trPr>
        <w:tc>
          <w:tcPr>
            <w:tcW w:w="0" w:type="auto"/>
            <w:vAlign w:val="center"/>
            <w:hideMark/>
          </w:tcPr>
          <w:p w14:paraId="28A910F1"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ICD</w:t>
            </w:r>
            <w:r w:rsidRPr="00A324C4">
              <w:rPr>
                <w:rFonts w:ascii="Times New Roman" w:hAnsi="Times New Roman" w:cs="Times New Roman"/>
                <w:b/>
                <w:bCs/>
                <w:sz w:val="22"/>
                <w:szCs w:val="22"/>
                <w:u w:val="single"/>
              </w:rPr>
              <w:noBreakHyphen/>
              <w:t>11 Category</w:t>
            </w:r>
          </w:p>
        </w:tc>
        <w:tc>
          <w:tcPr>
            <w:tcW w:w="0" w:type="auto"/>
            <w:vAlign w:val="center"/>
            <w:hideMark/>
          </w:tcPr>
          <w:p w14:paraId="78FBAF1C"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First</w:t>
            </w:r>
            <w:r w:rsidRPr="00A324C4">
              <w:rPr>
                <w:rFonts w:ascii="Times New Roman" w:hAnsi="Times New Roman" w:cs="Times New Roman"/>
                <w:b/>
                <w:bCs/>
                <w:sz w:val="22"/>
                <w:szCs w:val="22"/>
                <w:u w:val="single"/>
              </w:rPr>
              <w:noBreakHyphen/>
              <w:t>Line Interventions</w:t>
            </w:r>
          </w:p>
        </w:tc>
        <w:tc>
          <w:tcPr>
            <w:tcW w:w="0" w:type="auto"/>
            <w:vAlign w:val="center"/>
            <w:hideMark/>
          </w:tcPr>
          <w:p w14:paraId="6A79C2E6"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Second</w:t>
            </w:r>
            <w:r w:rsidRPr="00A324C4">
              <w:rPr>
                <w:rFonts w:ascii="Times New Roman" w:hAnsi="Times New Roman" w:cs="Times New Roman"/>
                <w:b/>
                <w:bCs/>
                <w:sz w:val="22"/>
                <w:szCs w:val="22"/>
                <w:u w:val="single"/>
              </w:rPr>
              <w:noBreakHyphen/>
              <w:t>Line / Combination Approaches</w:t>
            </w:r>
          </w:p>
        </w:tc>
      </w:tr>
      <w:tr w:rsidR="00D47FB7" w:rsidRPr="00A324C4" w14:paraId="0F1B8EF8" w14:textId="77777777" w:rsidTr="00702323">
        <w:trPr>
          <w:tblCellSpacing w:w="15" w:type="dxa"/>
        </w:trPr>
        <w:tc>
          <w:tcPr>
            <w:tcW w:w="0" w:type="auto"/>
            <w:vAlign w:val="center"/>
            <w:hideMark/>
          </w:tcPr>
          <w:p w14:paraId="41B4BEDB"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First episode (6A20.0)  Early Intervention in Psychosis (EIP)</w:t>
            </w:r>
          </w:p>
        </w:tc>
        <w:tc>
          <w:tcPr>
            <w:tcW w:w="0" w:type="auto"/>
            <w:vAlign w:val="center"/>
            <w:hideMark/>
          </w:tcPr>
          <w:p w14:paraId="4E0ABFC9"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Oral atypical antipsychotic; CBT for psychosis (CBTp); family intervention; dedicated EIP team support; 14</w:t>
            </w:r>
            <w:r w:rsidRPr="00A324C4">
              <w:rPr>
                <w:rFonts w:ascii="Times New Roman" w:hAnsi="Times New Roman" w:cs="Times New Roman"/>
                <w:sz w:val="22"/>
                <w:szCs w:val="22"/>
              </w:rPr>
              <w:noBreakHyphen/>
              <w:t>day referral target</w:t>
            </w:r>
          </w:p>
        </w:tc>
        <w:tc>
          <w:tcPr>
            <w:tcW w:w="0" w:type="auto"/>
            <w:vAlign w:val="center"/>
            <w:hideMark/>
          </w:tcPr>
          <w:p w14:paraId="0D6C4EE6"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Switch antipsychotic; address adherence barriers; social and occupational reintegration support</w:t>
            </w:r>
          </w:p>
        </w:tc>
      </w:tr>
      <w:tr w:rsidR="00D47FB7" w:rsidRPr="00A324C4" w14:paraId="3C8F58DD" w14:textId="77777777" w:rsidTr="00702323">
        <w:trPr>
          <w:tblCellSpacing w:w="15" w:type="dxa"/>
        </w:trPr>
        <w:tc>
          <w:tcPr>
            <w:tcW w:w="0" w:type="auto"/>
            <w:vAlign w:val="center"/>
            <w:hideMark/>
          </w:tcPr>
          <w:p w14:paraId="2F488986"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Multiple episodes (6A20.1) established illness</w:t>
            </w:r>
          </w:p>
        </w:tc>
        <w:tc>
          <w:tcPr>
            <w:tcW w:w="0" w:type="auto"/>
            <w:vAlign w:val="center"/>
            <w:hideMark/>
          </w:tcPr>
          <w:p w14:paraId="0CD0B3D2"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Continuing antipsychotic medication; CBTp; family or carer support; social recovery focus</w:t>
            </w:r>
          </w:p>
        </w:tc>
        <w:tc>
          <w:tcPr>
            <w:tcW w:w="0" w:type="auto"/>
            <w:vAlign w:val="center"/>
            <w:hideMark/>
          </w:tcPr>
          <w:p w14:paraId="3D8F4679"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Clozapine for treatment</w:t>
            </w:r>
            <w:r w:rsidRPr="00A324C4">
              <w:rPr>
                <w:rFonts w:ascii="Times New Roman" w:hAnsi="Times New Roman" w:cs="Times New Roman"/>
                <w:sz w:val="22"/>
                <w:szCs w:val="22"/>
              </w:rPr>
              <w:noBreakHyphen/>
              <w:t>resistant cases; depot/long</w:t>
            </w:r>
            <w:r w:rsidRPr="00A324C4">
              <w:rPr>
                <w:rFonts w:ascii="Times New Roman" w:hAnsi="Times New Roman" w:cs="Times New Roman"/>
                <w:sz w:val="22"/>
                <w:szCs w:val="22"/>
              </w:rPr>
              <w:noBreakHyphen/>
              <w:t>acting injection; enhanced community support</w:t>
            </w:r>
          </w:p>
        </w:tc>
      </w:tr>
      <w:tr w:rsidR="00D47FB7" w:rsidRPr="00A324C4" w14:paraId="2A7CA0DA" w14:textId="77777777" w:rsidTr="00702323">
        <w:trPr>
          <w:tblCellSpacing w:w="15" w:type="dxa"/>
        </w:trPr>
        <w:tc>
          <w:tcPr>
            <w:tcW w:w="0" w:type="auto"/>
            <w:vAlign w:val="center"/>
            <w:hideMark/>
          </w:tcPr>
          <w:p w14:paraId="6250E602"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Continuous (6A20.2) persistent course</w:t>
            </w:r>
          </w:p>
        </w:tc>
        <w:tc>
          <w:tcPr>
            <w:tcW w:w="0" w:type="auto"/>
            <w:vAlign w:val="center"/>
            <w:hideMark/>
          </w:tcPr>
          <w:p w14:paraId="5494BEC1"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Maintenance antipsychotic; structured rehabilitation; supported housing and employment; peer support</w:t>
            </w:r>
          </w:p>
        </w:tc>
        <w:tc>
          <w:tcPr>
            <w:tcW w:w="0" w:type="auto"/>
            <w:vAlign w:val="center"/>
            <w:hideMark/>
          </w:tcPr>
          <w:p w14:paraId="6966DEC2"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Cognitive remediation; assertive outreach; symptom management and quality</w:t>
            </w:r>
            <w:r w:rsidRPr="00A324C4">
              <w:rPr>
                <w:rFonts w:ascii="Times New Roman" w:hAnsi="Times New Roman" w:cs="Times New Roman"/>
                <w:sz w:val="22"/>
                <w:szCs w:val="22"/>
              </w:rPr>
              <w:noBreakHyphen/>
              <w:t>of</w:t>
            </w:r>
            <w:r w:rsidRPr="00A324C4">
              <w:rPr>
                <w:rFonts w:ascii="Times New Roman" w:hAnsi="Times New Roman" w:cs="Times New Roman"/>
                <w:sz w:val="22"/>
                <w:szCs w:val="22"/>
              </w:rPr>
              <w:noBreakHyphen/>
              <w:t>life focus</w:t>
            </w:r>
          </w:p>
        </w:tc>
      </w:tr>
      <w:tr w:rsidR="00D47FB7" w:rsidRPr="00A324C4" w14:paraId="7F698F69" w14:textId="77777777" w:rsidTr="00702323">
        <w:trPr>
          <w:tblCellSpacing w:w="15" w:type="dxa"/>
        </w:trPr>
        <w:tc>
          <w:tcPr>
            <w:tcW w:w="0" w:type="auto"/>
            <w:vAlign w:val="center"/>
            <w:hideMark/>
          </w:tcPr>
          <w:p w14:paraId="0A33A603"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Prominent negative/cognitive specifiers</w:t>
            </w:r>
          </w:p>
        </w:tc>
        <w:tc>
          <w:tcPr>
            <w:tcW w:w="0" w:type="auto"/>
            <w:vAlign w:val="center"/>
            <w:hideMark/>
          </w:tcPr>
          <w:p w14:paraId="7A747A42"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Psychological and activity</w:t>
            </w:r>
            <w:r w:rsidRPr="00A324C4">
              <w:rPr>
                <w:rFonts w:ascii="Times New Roman" w:hAnsi="Times New Roman" w:cs="Times New Roman"/>
                <w:sz w:val="22"/>
                <w:szCs w:val="22"/>
              </w:rPr>
              <w:noBreakHyphen/>
              <w:t>based interventions; social inclusion as primary goal; antipsychotics have limited impact here (Correll &amp; Schooler, 2020)</w:t>
            </w:r>
          </w:p>
        </w:tc>
        <w:tc>
          <w:tcPr>
            <w:tcW w:w="0" w:type="auto"/>
            <w:vAlign w:val="center"/>
            <w:hideMark/>
          </w:tcPr>
          <w:p w14:paraId="61832684"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Adjunctive therapies; priority given to accommodation, education and occupational pathways</w:t>
            </w:r>
          </w:p>
        </w:tc>
      </w:tr>
    </w:tbl>
    <w:p w14:paraId="0FAF99D8"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Sources: NICE, 2022; Fung &amp; Zhu, 2023; Correll &amp; Schooler, 2020</w:t>
      </w:r>
    </w:p>
    <w:p w14:paraId="5EADC01E" w14:textId="77777777" w:rsidR="00D47FB7" w:rsidRPr="000A64B7" w:rsidRDefault="00D47FB7" w:rsidP="000A64B7">
      <w:pPr>
        <w:spacing w:line="360" w:lineRule="auto"/>
        <w:rPr>
          <w:rFonts w:ascii="Times New Roman" w:hAnsi="Times New Roman" w:cs="Times New Roman"/>
          <w:sz w:val="22"/>
          <w:szCs w:val="22"/>
        </w:rPr>
      </w:pPr>
    </w:p>
    <w:p w14:paraId="1BE5F97E" w14:textId="77777777" w:rsidR="0030455C" w:rsidRPr="000A64B7" w:rsidRDefault="0030455C"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Atypical antipsychotics reduce positive symptoms in about 70% of first episode cases. EIP teams improve long term outcomes (especially young adults). But they have little effect on negative symptoms so environmental risk factors, stress reduction, trauma informed support and substance use need to be addressed to prevent onset and relapse.</w:t>
      </w:r>
    </w:p>
    <w:p w14:paraId="60A1230C" w14:textId="77777777" w:rsidR="0030455C" w:rsidRPr="000A64B7" w:rsidRDefault="0030455C"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CBTp works across symptom profiles, family interventions reduce relapse rates by 40%; one third don’t respond well to first line meds and clozapine is underused; access to psychological therapies varies and culturally adapted versions are scarce; most NHS systems still use ICD-10 (functional recovery not yet included).</w:t>
      </w:r>
    </w:p>
    <w:p w14:paraId="20CA801E" w14:textId="77777777" w:rsidR="0030455C" w:rsidRPr="000A64B7" w:rsidRDefault="0030455C"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Community Treatment Orders have been introduced since 2007 to reduce readmissions but they are not uniformly effective and coercion may increase. EIP is effective but usually time limited (3–5 years) so people with persistent schizophrenia receive fragmented care after that.</w:t>
      </w:r>
    </w:p>
    <w:p w14:paraId="7B6D0B9B" w14:textId="13A1C2F0" w:rsidR="00D47FB7" w:rsidRPr="000A64B7" w:rsidRDefault="0030455C"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lastRenderedPageBreak/>
        <w:t>Phase specific care is provided by EIP teams (Assertive Outreach for disengaged individuals; Home Treatment for crisis). Supported employment, housing and educational re-entry are clinical priorities now but availability varies.</w:t>
      </w:r>
    </w:p>
    <w:p w14:paraId="517EBEFC" w14:textId="77777777" w:rsidR="000823D4" w:rsidRPr="000A64B7" w:rsidRDefault="000823D4" w:rsidP="000A64B7">
      <w:pPr>
        <w:spacing w:line="360" w:lineRule="auto"/>
        <w:rPr>
          <w:rFonts w:ascii="Times New Roman" w:hAnsi="Times New Roman" w:cs="Times New Roman"/>
          <w:sz w:val="22"/>
          <w:szCs w:val="22"/>
        </w:rPr>
      </w:pPr>
    </w:p>
    <w:p w14:paraId="11305108" w14:textId="77777777" w:rsidR="009F6E4C" w:rsidRDefault="009F6E4C" w:rsidP="000A64B7">
      <w:pPr>
        <w:spacing w:line="360" w:lineRule="auto"/>
        <w:rPr>
          <w:rFonts w:ascii="Times New Roman" w:hAnsi="Times New Roman" w:cs="Times New Roman"/>
          <w:b/>
          <w:bCs/>
          <w:sz w:val="22"/>
          <w:szCs w:val="22"/>
          <w:u w:val="single"/>
        </w:rPr>
      </w:pPr>
    </w:p>
    <w:p w14:paraId="7446837E" w14:textId="1C94BD56" w:rsidR="00D47FB7" w:rsidRPr="00356476"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Current Debates and Emerging Issues</w:t>
      </w:r>
    </w:p>
    <w:p w14:paraId="502F6E8F" w14:textId="77777777" w:rsidR="00D47FB7" w:rsidRPr="00356476" w:rsidRDefault="00D47FB7" w:rsidP="000A64B7">
      <w:pPr>
        <w:spacing w:line="360" w:lineRule="auto"/>
        <w:rPr>
          <w:rFonts w:ascii="Times New Roman" w:hAnsi="Times New Roman" w:cs="Times New Roman"/>
          <w:sz w:val="22"/>
          <w:szCs w:val="22"/>
        </w:rPr>
      </w:pPr>
      <w:r w:rsidRPr="00356476">
        <w:rPr>
          <w:rFonts w:ascii="Times New Roman" w:hAnsi="Times New Roman" w:cs="Times New Roman"/>
          <w:sz w:val="22"/>
          <w:szCs w:val="22"/>
        </w:rPr>
        <w:t>A crucial debate exists regarding the meaning of a diagnosis, particularly relating to schizophrenia. Cooke and Kinderman (2018) caution against using diagnosis as an all-encompassing explanation, potentially stifling understanding of an individual's unique circumstances. The term “split mind” continues to mislead the public and perpetuate stigma. Schizophrenia's high heritability risks reinforcing genetic determinism, overshadowing environmental factors that influence the condition (Damsgaard &amp; Angel, 2021). Symptoms are often mischaracterized, with trauma and medication side effects being overlooked (Correll &amp; Schooler, 2020). Gender differences also highlight that schizophrenia varies significantly among individuals. Those who define themselves by their diagnosis tend to have worse recovery outcomes compared to those who contextualize their experience (Read &amp; Williams, 2022).</w:t>
      </w:r>
    </w:p>
    <w:p w14:paraId="46B15278" w14:textId="77777777" w:rsidR="00D47FB7" w:rsidRPr="00356476" w:rsidRDefault="00D47FB7" w:rsidP="000A64B7">
      <w:pPr>
        <w:spacing w:line="360" w:lineRule="auto"/>
        <w:rPr>
          <w:rFonts w:ascii="Times New Roman" w:hAnsi="Times New Roman" w:cs="Times New Roman"/>
          <w:sz w:val="22"/>
          <w:szCs w:val="22"/>
        </w:rPr>
      </w:pPr>
      <w:r w:rsidRPr="00356476">
        <w:rPr>
          <w:rFonts w:ascii="Times New Roman" w:hAnsi="Times New Roman" w:cs="Times New Roman"/>
          <w:sz w:val="22"/>
          <w:szCs w:val="22"/>
        </w:rPr>
        <w:t>In legal and ethical contexts, the 1983 Act focused on public protection, while reforms in 2007 emphasized individual rights and supported decision-making (Beale et al., 2022). Yet, some argue that current reforms do not sufficiently address issues of consent in compulsory treatment. Future reforms in the Mental Health Act 2025 aim to enhance rights and advocacy (Mental Health Alliance, 2023).</w:t>
      </w:r>
    </w:p>
    <w:p w14:paraId="1BB59C5D" w14:textId="77777777" w:rsidR="00D47FB7" w:rsidRPr="00356476" w:rsidRDefault="00D47FB7" w:rsidP="000A64B7">
      <w:pPr>
        <w:spacing w:line="360" w:lineRule="auto"/>
        <w:rPr>
          <w:rFonts w:ascii="Times New Roman" w:hAnsi="Times New Roman" w:cs="Times New Roman"/>
          <w:sz w:val="22"/>
          <w:szCs w:val="22"/>
        </w:rPr>
      </w:pPr>
      <w:r w:rsidRPr="00356476">
        <w:rPr>
          <w:rFonts w:ascii="Times New Roman" w:hAnsi="Times New Roman" w:cs="Times New Roman"/>
          <w:sz w:val="22"/>
          <w:szCs w:val="22"/>
        </w:rPr>
        <w:t>Additionally, there is a growing acceptance that atypical perceptions may be aspects of neurodiversity rather than solely symptoms to be treated. Although ICD-11 doesn't fully acknowledge this, services are increasingly becoming informed by lived experience. Misdiagnosis between autism and schizophrenia due to overlapping traits is crucial, especially since cultural biases affect detainment rates in mental health (Mind, 2025).</w:t>
      </w:r>
    </w:p>
    <w:p w14:paraId="213C5C4D" w14:textId="77777777" w:rsidR="00D47FB7" w:rsidRPr="00356476" w:rsidRDefault="00D47FB7" w:rsidP="000A64B7">
      <w:pPr>
        <w:spacing w:line="360" w:lineRule="auto"/>
        <w:rPr>
          <w:rFonts w:ascii="Times New Roman" w:hAnsi="Times New Roman" w:cs="Times New Roman"/>
          <w:sz w:val="22"/>
          <w:szCs w:val="22"/>
        </w:rPr>
      </w:pPr>
    </w:p>
    <w:p w14:paraId="23ADB883" w14:textId="77777777" w:rsidR="00D47FB7" w:rsidRPr="000A64B7" w:rsidRDefault="00D47FB7" w:rsidP="000A64B7">
      <w:pPr>
        <w:spacing w:line="360" w:lineRule="auto"/>
        <w:rPr>
          <w:rFonts w:ascii="Times New Roman" w:hAnsi="Times New Roman" w:cs="Times New Roman"/>
          <w:sz w:val="22"/>
          <w:szCs w:val="22"/>
        </w:rPr>
      </w:pPr>
    </w:p>
    <w:p w14:paraId="5A8C3874"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Recommendations</w:t>
      </w:r>
    </w:p>
    <w:p w14:paraId="505EA330" w14:textId="77777777" w:rsidR="00D47FB7" w:rsidRPr="000A64B7" w:rsidRDefault="00D47FB7"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Six evidence based recommendations follow from this review:</w:t>
      </w:r>
    </w:p>
    <w:p w14:paraId="59A75B9A" w14:textId="77777777" w:rsidR="00D47FB7" w:rsidRPr="000A64B7" w:rsidRDefault="00D47FB7" w:rsidP="000A64B7">
      <w:pPr>
        <w:spacing w:line="360" w:lineRule="auto"/>
        <w:rPr>
          <w:rFonts w:ascii="Times New Roman" w:hAnsi="Times New Roman" w:cs="Times New Roman"/>
          <w:sz w:val="22"/>
          <w:szCs w:val="22"/>
        </w:rPr>
      </w:pPr>
    </w:p>
    <w:p w14:paraId="047203C2" w14:textId="77777777" w:rsidR="00D47FB7" w:rsidRPr="000A64B7" w:rsidRDefault="00D47FB7"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1. Fully adopt ICD-11 across NHS mental health services replace ICD-10 coding with the 6A20 series; train staff to use dimensional specifiers so negative, cognitive and mood dimensions are given proper weighting (so holistic assessment that takes account of gender and age of onset variations and recognises full impact of negative symptoms) (Correll &amp; Schooler, 2020).</w:t>
      </w:r>
    </w:p>
    <w:p w14:paraId="2506D0AB" w14:textId="77777777" w:rsidR="00D47FB7" w:rsidRPr="000A64B7" w:rsidRDefault="00D47FB7" w:rsidP="000A64B7">
      <w:pPr>
        <w:spacing w:line="360" w:lineRule="auto"/>
        <w:rPr>
          <w:rFonts w:ascii="Times New Roman" w:hAnsi="Times New Roman" w:cs="Times New Roman"/>
          <w:sz w:val="22"/>
          <w:szCs w:val="22"/>
        </w:rPr>
      </w:pPr>
    </w:p>
    <w:p w14:paraId="117FE386" w14:textId="77777777" w:rsidR="00D47FB7" w:rsidRPr="000A64B7" w:rsidRDefault="00D47FB7"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lastRenderedPageBreak/>
        <w:t>2. Genetic literacy needs environmental awareness use Martin &amp; Carlson (2023) and Damsgaard &amp; Angel (2021) to inform staff and service users: high heritability alongside gene environment interaction so risk is not destiny but vulnerability; environmental supports alongside medication.</w:t>
      </w:r>
    </w:p>
    <w:p w14:paraId="72485661" w14:textId="77777777" w:rsidR="00D47FB7" w:rsidRPr="000A64B7" w:rsidRDefault="00D47FB7" w:rsidP="000A64B7">
      <w:pPr>
        <w:spacing w:line="360" w:lineRule="auto"/>
        <w:rPr>
          <w:rFonts w:ascii="Times New Roman" w:hAnsi="Times New Roman" w:cs="Times New Roman"/>
          <w:sz w:val="22"/>
          <w:szCs w:val="22"/>
        </w:rPr>
      </w:pPr>
    </w:p>
    <w:p w14:paraId="5C26CB1C" w14:textId="77777777" w:rsidR="00D47FB7" w:rsidRPr="000A64B7" w:rsidRDefault="00D47FB7"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3. Strengthen rights literacy and access to advocacy all patients, families and staff should know Tribunal rights, IMHA availability and SOAD processes from the point of detention (induction training, admission documentation etc). IMHA referral should be standard practice.</w:t>
      </w:r>
    </w:p>
    <w:p w14:paraId="574AE562" w14:textId="77777777" w:rsidR="00D47FB7" w:rsidRPr="000A64B7" w:rsidRDefault="00D47FB7" w:rsidP="000A64B7">
      <w:pPr>
        <w:spacing w:line="360" w:lineRule="auto"/>
        <w:rPr>
          <w:rFonts w:ascii="Times New Roman" w:hAnsi="Times New Roman" w:cs="Times New Roman"/>
          <w:sz w:val="22"/>
          <w:szCs w:val="22"/>
        </w:rPr>
      </w:pPr>
    </w:p>
    <w:p w14:paraId="6F4ED63D" w14:textId="77777777" w:rsidR="00D47FB7" w:rsidRPr="000A64B7" w:rsidRDefault="00D47FB7"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4. MCA MHA dual framework training (Beale et al. 2022): professionals should explore MCA supported decision making before invoking Mental Health Act powers and document why less restrictive approaches are not possible (i.e., principles of the 2015 Code).</w:t>
      </w:r>
    </w:p>
    <w:p w14:paraId="3E7DC2BE" w14:textId="77777777" w:rsidR="00D47FB7" w:rsidRPr="000A64B7" w:rsidRDefault="00D47FB7" w:rsidP="000A64B7">
      <w:pPr>
        <w:spacing w:line="360" w:lineRule="auto"/>
        <w:rPr>
          <w:rFonts w:ascii="Times New Roman" w:hAnsi="Times New Roman" w:cs="Times New Roman"/>
          <w:sz w:val="22"/>
          <w:szCs w:val="22"/>
        </w:rPr>
      </w:pPr>
    </w:p>
    <w:p w14:paraId="79A4D21B" w14:textId="77777777" w:rsidR="00D47FB7" w:rsidRPr="000A64B7" w:rsidRDefault="00D47FB7"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5. Tailor care pathways to individual needs age/gender patterns (Jongsma et al., 2019; Ochoa et al., 2012) and dedicated non-pharmacological interventions for negative symptoms (Correll &amp; Schooler, 2020). Mandatory cultural and neurodivergence training with culturally adapted assessment tools.</w:t>
      </w:r>
    </w:p>
    <w:p w14:paraId="431D42E8" w14:textId="77777777" w:rsidR="00D47FB7" w:rsidRPr="000A64B7" w:rsidRDefault="00D47FB7" w:rsidP="000A64B7">
      <w:pPr>
        <w:spacing w:line="360" w:lineRule="auto"/>
        <w:rPr>
          <w:rFonts w:ascii="Times New Roman" w:hAnsi="Times New Roman" w:cs="Times New Roman"/>
          <w:sz w:val="22"/>
          <w:szCs w:val="22"/>
        </w:rPr>
      </w:pPr>
    </w:p>
    <w:p w14:paraId="549C83BD" w14:textId="77777777" w:rsidR="00D47FB7" w:rsidRPr="000A64B7" w:rsidRDefault="00D47FB7"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6. Social recovery is a core clinical outcome employment, housing, education and relationships are routinely tracked alongside symptoms; commissioned supported living and employment services as core provision (directly addressing functional impact of negative symptoms and environmental modifiability Damsgaard &amp; Angel 2021).</w:t>
      </w:r>
    </w:p>
    <w:p w14:paraId="1376D21D" w14:textId="77777777" w:rsidR="00D47FB7" w:rsidRPr="000A64B7" w:rsidRDefault="00D47FB7" w:rsidP="000A64B7">
      <w:pPr>
        <w:spacing w:line="360" w:lineRule="auto"/>
        <w:rPr>
          <w:rFonts w:ascii="Times New Roman" w:hAnsi="Times New Roman" w:cs="Times New Roman"/>
          <w:sz w:val="22"/>
          <w:szCs w:val="22"/>
        </w:rPr>
      </w:pPr>
    </w:p>
    <w:p w14:paraId="50675DF4"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Conclusion</w:t>
      </w:r>
    </w:p>
    <w:p w14:paraId="288C350E" w14:textId="77777777" w:rsidR="00D47FB7" w:rsidRPr="000A64B7" w:rsidRDefault="00D47FB7" w:rsidP="000A64B7">
      <w:pPr>
        <w:spacing w:line="360" w:lineRule="auto"/>
        <w:rPr>
          <w:rFonts w:ascii="Times New Roman" w:hAnsi="Times New Roman" w:cs="Times New Roman"/>
          <w:sz w:val="22"/>
          <w:szCs w:val="22"/>
        </w:rPr>
      </w:pPr>
      <w:r w:rsidRPr="000A64B7">
        <w:rPr>
          <w:rFonts w:ascii="Times New Roman" w:hAnsi="Times New Roman" w:cs="Times New Roman"/>
          <w:sz w:val="22"/>
          <w:szCs w:val="22"/>
        </w:rPr>
        <w:t xml:space="preserve">Over a century since Bleuler coined the term “schizophrenia”, our understanding has changed dramatically: onset peaks in early twenties, is extremely rare in childhood and follows different trajectories for men and women more men than women (1:0.70 ratio), sharp early peak in men versus flatter later distribution in women (Jongsma et al., 2019; Jauhar, Johnstone and McKenna, 2022; Ochoa et al., 2012). We know schizophrenia is highly heritable (60–80%) not caused by one gene but shaped by hundreds of genetic variants interacting with life circumstances (Martin &amp; Carlson, 2023; Damsgaard &amp; Angel, 2021) as Damsgaard &amp; Angel (2021) put it: genes load the gun but environment pulls the trigger vulnerability is not destiny. We also know positive symptoms from negative symptoms. Correll &amp; Schooler (2020) define negative symptoms as absence or reduction of normal behaviour which are often most persistent and disabling feature but respond poorly to standard medication. ICD-11 reflects this nuance too: it gets rid of rigid sub types; person centred dimensional approach; links diagnosis with functional recovery. The law has followed suit: Mental Health Act 1983 gave detention powers; 2007 reforms modernised definitions and community supervision; Codes of Practice (2008 &amp; 2015) progressively embedded rights, equality and least restrictive practice IMHAs, SOAD reviews, Tribunal appeals, MCA aligned decision making etc. These safeguards are </w:t>
      </w:r>
      <w:r w:rsidRPr="000A64B7">
        <w:rPr>
          <w:rFonts w:ascii="Times New Roman" w:hAnsi="Times New Roman" w:cs="Times New Roman"/>
          <w:sz w:val="22"/>
          <w:szCs w:val="22"/>
        </w:rPr>
        <w:lastRenderedPageBreak/>
        <w:t>not ‘afterthoughts’; they are needed to balance care with autonomy (Cooke &amp; Kinderman (2018 p. 59)). Diagnosis should never be a substitute for understanding the person behind the label (disparities exist Black communities disproportionately detained; neurodivergent people misdiagnosed) but strong accessible safeguards can reduce these. Better classification needs fairer practice; ICD-11 clarity needs culturally competent assessment, genuine commitment to supported decision making and rights that aren’t just written into law but experienced by every patient.</w:t>
      </w:r>
    </w:p>
    <w:p w14:paraId="25DC24A4" w14:textId="77777777" w:rsidR="00D47FB7" w:rsidRPr="000A64B7" w:rsidRDefault="00D47FB7" w:rsidP="000A64B7">
      <w:pPr>
        <w:spacing w:line="360" w:lineRule="auto"/>
        <w:rPr>
          <w:rFonts w:ascii="Times New Roman" w:hAnsi="Times New Roman" w:cs="Times New Roman"/>
          <w:sz w:val="22"/>
          <w:szCs w:val="22"/>
        </w:rPr>
      </w:pPr>
    </w:p>
    <w:p w14:paraId="09767728" w14:textId="77777777" w:rsidR="00D47FB7" w:rsidRPr="00A324C4" w:rsidRDefault="00556584" w:rsidP="000A64B7">
      <w:pPr>
        <w:spacing w:line="360" w:lineRule="auto"/>
        <w:rPr>
          <w:rFonts w:ascii="Times New Roman" w:hAnsi="Times New Roman" w:cs="Times New Roman"/>
          <w:sz w:val="22"/>
          <w:szCs w:val="22"/>
        </w:rPr>
      </w:pPr>
      <w:r w:rsidRPr="00A324C4">
        <w:rPr>
          <w:rFonts w:ascii="Times New Roman" w:hAnsi="Times New Roman" w:cs="Times New Roman"/>
          <w:noProof/>
          <w:sz w:val="22"/>
          <w:szCs w:val="22"/>
        </w:rPr>
        <w:pict w14:anchorId="488D3C94">
          <v:rect id="_x0000_i1025" alt="" style="width:451.3pt;height:.05pt;mso-width-percent:0;mso-height-percent:0;mso-width-percent:0;mso-height-percent:0" o:hralign="center" o:hrstd="t" o:hrnoshade="t" o:hr="t" fillcolor="black" stroked="f"/>
        </w:pict>
      </w:r>
    </w:p>
    <w:p w14:paraId="1B930F37" w14:textId="77777777" w:rsidR="00D47FB7" w:rsidRPr="00A324C4" w:rsidRDefault="00D47FB7" w:rsidP="000A64B7">
      <w:pPr>
        <w:spacing w:line="360" w:lineRule="auto"/>
        <w:rPr>
          <w:rFonts w:ascii="Times New Roman" w:hAnsi="Times New Roman" w:cs="Times New Roman"/>
          <w:b/>
          <w:bCs/>
          <w:sz w:val="22"/>
          <w:szCs w:val="22"/>
          <w:u w:val="single"/>
        </w:rPr>
      </w:pPr>
      <w:r w:rsidRPr="00A324C4">
        <w:rPr>
          <w:rFonts w:ascii="Times New Roman" w:hAnsi="Times New Roman" w:cs="Times New Roman"/>
          <w:b/>
          <w:bCs/>
          <w:sz w:val="22"/>
          <w:szCs w:val="22"/>
          <w:u w:val="single"/>
        </w:rPr>
        <w:t>References</w:t>
      </w:r>
    </w:p>
    <w:p w14:paraId="73BB8160"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Beale, C., Lee</w:t>
      </w:r>
      <w:r w:rsidRPr="00A324C4">
        <w:rPr>
          <w:rFonts w:ascii="Times New Roman" w:hAnsi="Times New Roman" w:cs="Times New Roman"/>
          <w:sz w:val="22"/>
          <w:szCs w:val="22"/>
        </w:rPr>
        <w:noBreakHyphen/>
        <w:t>Davey, J., Lee, T. and Ruck Keene, A. (2022) ‘Mental capacity in practice part 1: how do we really assess capacity?’, BJPsych Advances, 29, pp. 1–9.</w:t>
      </w:r>
    </w:p>
    <w:p w14:paraId="7B5F3C41"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Bertolín</w:t>
      </w:r>
      <w:r w:rsidRPr="00A324C4">
        <w:rPr>
          <w:rFonts w:ascii="Times New Roman" w:hAnsi="Times New Roman" w:cs="Times New Roman"/>
          <w:sz w:val="22"/>
          <w:szCs w:val="22"/>
        </w:rPr>
        <w:noBreakHyphen/>
        <w:t>Guillén, J.M. and Porcel</w:t>
      </w:r>
      <w:r w:rsidRPr="00A324C4">
        <w:rPr>
          <w:rFonts w:ascii="Times New Roman" w:hAnsi="Times New Roman" w:cs="Times New Roman"/>
          <w:sz w:val="22"/>
          <w:szCs w:val="22"/>
        </w:rPr>
        <w:noBreakHyphen/>
        <w:t>Torrens, A. (2021) ‘Cultural and conceptual challenges in the ICD</w:t>
      </w:r>
      <w:r w:rsidRPr="00A324C4">
        <w:rPr>
          <w:rFonts w:ascii="Times New Roman" w:hAnsi="Times New Roman" w:cs="Times New Roman"/>
          <w:sz w:val="22"/>
          <w:szCs w:val="22"/>
        </w:rPr>
        <w:noBreakHyphen/>
        <w:t>11 classification of psychotic disorders’, Transcultural Psychiatry, 58(4), pp. 512–528.</w:t>
      </w:r>
    </w:p>
    <w:p w14:paraId="0F977789"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Cooke, R. and Kinderman, P. (2018) Psychological Wellbeing: A Practical Guide. London: Palgrave Macmillan, p. 59.</w:t>
      </w:r>
    </w:p>
    <w:p w14:paraId="40D1883A"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Correll, C.U. and Schooler, N.R. (2020) ‘Negative symptoms in schizophrenia: a review and clinical guide for recognition, assessment, and treatment’, Neuropsychiatric Disease and Treatment, 16, pp. 519–534.</w:t>
      </w:r>
    </w:p>
    <w:p w14:paraId="41640185"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Damsgaard, J. and Angel, M. (2021) ‘Gene</w:t>
      </w:r>
      <w:r w:rsidRPr="00A324C4">
        <w:rPr>
          <w:rFonts w:ascii="Times New Roman" w:hAnsi="Times New Roman" w:cs="Times New Roman"/>
          <w:sz w:val="22"/>
          <w:szCs w:val="22"/>
        </w:rPr>
        <w:noBreakHyphen/>
        <w:t>environment interplay in schizophrenia: rethinking causality and implications for practice’, Journal of Psychiatric and Mental Health Nursing, 28(6), pp. 945–958.</w:t>
      </w:r>
    </w:p>
    <w:p w14:paraId="349B2D19"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 xml:space="preserve">Department of Health (2008) Mental Health Act 1983: Code of Practice. London: The Stationery Office. Available at: </w:t>
      </w:r>
      <w:hyperlink r:id="rId5" w:tgtFrame="_blank" w:tooltip="autolink" w:history="1">
        <w:r w:rsidRPr="00A324C4">
          <w:rPr>
            <w:rStyle w:val="Hyperlink"/>
            <w:rFonts w:ascii="Times New Roman" w:hAnsi="Times New Roman" w:cs="Times New Roman"/>
            <w:sz w:val="22"/>
            <w:szCs w:val="22"/>
          </w:rPr>
          <w:t>https://www.legislation.gov.uk/uksi/2008/1206/contents/made</w:t>
        </w:r>
      </w:hyperlink>
      <w:r w:rsidRPr="00A324C4">
        <w:rPr>
          <w:rFonts w:ascii="Times New Roman" w:hAnsi="Times New Roman" w:cs="Times New Roman"/>
          <w:sz w:val="22"/>
          <w:szCs w:val="22"/>
        </w:rPr>
        <w:t xml:space="preserve"> (Accessed: 21 September 2026).</w:t>
      </w:r>
    </w:p>
    <w:p w14:paraId="401DF37F"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 xml:space="preserve">Department of Health (2015) Mental Health Act 1983: Code of Practice (Revised edn). London: The Stationery Office. Available at: </w:t>
      </w:r>
      <w:hyperlink r:id="rId6" w:tgtFrame="_blank" w:tooltip="autolink" w:history="1">
        <w:r w:rsidRPr="00A324C4">
          <w:rPr>
            <w:rStyle w:val="Hyperlink"/>
            <w:rFonts w:ascii="Times New Roman" w:hAnsi="Times New Roman" w:cs="Times New Roman"/>
            <w:sz w:val="22"/>
            <w:szCs w:val="22"/>
          </w:rPr>
          <w:t>https://www.gov.uk/government/publications/mental-health-act-1983-code-of-practice</w:t>
        </w:r>
      </w:hyperlink>
      <w:r w:rsidRPr="00A324C4">
        <w:rPr>
          <w:rFonts w:ascii="Times New Roman" w:hAnsi="Times New Roman" w:cs="Times New Roman"/>
          <w:sz w:val="22"/>
          <w:szCs w:val="22"/>
        </w:rPr>
        <w:t xml:space="preserve"> (Accessed: 21 September 2026).</w:t>
      </w:r>
    </w:p>
    <w:p w14:paraId="581319B0"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 xml:space="preserve">Department of Health and Social Security (1983) Mental Health Act 1983, c. 20. London: The Stationery Office. Available at: </w:t>
      </w:r>
      <w:hyperlink r:id="rId7" w:tgtFrame="_blank" w:tooltip="autolink" w:history="1">
        <w:r w:rsidRPr="00A324C4">
          <w:rPr>
            <w:rStyle w:val="Hyperlink"/>
            <w:rFonts w:ascii="Times New Roman" w:hAnsi="Times New Roman" w:cs="Times New Roman"/>
            <w:sz w:val="22"/>
            <w:szCs w:val="22"/>
          </w:rPr>
          <w:t>https://www.legislation.gov.uk/ukpga/1983/20</w:t>
        </w:r>
      </w:hyperlink>
      <w:r w:rsidRPr="00A324C4">
        <w:rPr>
          <w:rFonts w:ascii="Times New Roman" w:hAnsi="Times New Roman" w:cs="Times New Roman"/>
          <w:sz w:val="22"/>
          <w:szCs w:val="22"/>
        </w:rPr>
        <w:t xml:space="preserve"> (Accessed: 21 September 2026).</w:t>
      </w:r>
    </w:p>
    <w:p w14:paraId="6FCD6ADF"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Fung, H.W. and Zhu, Y. (2023) ‘Global implementation of ICD</w:t>
      </w:r>
      <w:r w:rsidRPr="00A324C4">
        <w:rPr>
          <w:rFonts w:ascii="Times New Roman" w:hAnsi="Times New Roman" w:cs="Times New Roman"/>
          <w:sz w:val="22"/>
          <w:szCs w:val="22"/>
        </w:rPr>
        <w:noBreakHyphen/>
        <w:t>11: Implications for severe mental health service delivery’, International Journal of Mental Health, 51(3), pp. 245–258.</w:t>
      </w:r>
    </w:p>
    <w:p w14:paraId="3689E978"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Hofmann, S.G. and Hinton, D.E. (2021) ‘Cultural and neurodevelopmental considerations in psychotic disorder classification’, Annual Review of Clinical Psychology, 17, pp. 451–474.</w:t>
      </w:r>
    </w:p>
    <w:p w14:paraId="63CE6F31"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Jauhar, S., Johnstone, E.C. and McKenna, P.J. (2022) ‘Schizophrenia’, The Lancet, 399(10330), pp. 1146–1161.</w:t>
      </w:r>
    </w:p>
    <w:p w14:paraId="018C9966"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lastRenderedPageBreak/>
        <w:t>Jongsma, K.R., et al. (2019) ‘Age at onset of psychotic illness: a population</w:t>
      </w:r>
      <w:r w:rsidRPr="00A324C4">
        <w:rPr>
          <w:rFonts w:ascii="Times New Roman" w:hAnsi="Times New Roman" w:cs="Times New Roman"/>
          <w:sz w:val="22"/>
          <w:szCs w:val="22"/>
        </w:rPr>
        <w:noBreakHyphen/>
        <w:t>based study of incidence by age and sex’, Psychological Medicine, 49(14), pp. 2348–2356.</w:t>
      </w:r>
    </w:p>
    <w:p w14:paraId="09E5956E"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Martin, A. and Carlson, E. (2023) ‘Heritability and genetic architecture of schizophrenia: current understanding and clinical implications’, Current Psychiatry Reports, 25(11), p. 79.</w:t>
      </w:r>
    </w:p>
    <w:p w14:paraId="47A2595B"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Mind (2025) State of Mental Health Care 2025. London: National Association for Mental Health.</w:t>
      </w:r>
    </w:p>
    <w:p w14:paraId="3A4AC679"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 xml:space="preserve">National Institute of Mental Health (n.d.) Schizophrenia. Bethesda, MD: National Institute of Mental Health. Available at: </w:t>
      </w:r>
      <w:hyperlink r:id="rId8" w:tgtFrame="_blank" w:tooltip="autolink" w:history="1">
        <w:r w:rsidRPr="00A324C4">
          <w:rPr>
            <w:rStyle w:val="Hyperlink"/>
            <w:rFonts w:ascii="Times New Roman" w:hAnsi="Times New Roman" w:cs="Times New Roman"/>
            <w:sz w:val="22"/>
            <w:szCs w:val="22"/>
          </w:rPr>
          <w:t>https://www.nimh.nih.gov/health/publications/schizophrenia</w:t>
        </w:r>
      </w:hyperlink>
      <w:r w:rsidRPr="00A324C4">
        <w:rPr>
          <w:rFonts w:ascii="Times New Roman" w:hAnsi="Times New Roman" w:cs="Times New Roman"/>
          <w:sz w:val="22"/>
          <w:szCs w:val="22"/>
        </w:rPr>
        <w:t xml:space="preserve"> (Accessed: 21 September 2026).</w:t>
      </w:r>
    </w:p>
    <w:p w14:paraId="61ACD9FC"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NICE (2022) Psychosis and Schizophrenia in Adults: Prevention and Management. CG178. London: National Institute for Health and Care Excellence.</w:t>
      </w:r>
    </w:p>
    <w:p w14:paraId="3F338412"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Ochoa, S., et al. (2012) ‘Gender differences in schizophrenia and first</w:t>
      </w:r>
      <w:r w:rsidRPr="00A324C4">
        <w:rPr>
          <w:rFonts w:ascii="Times New Roman" w:hAnsi="Times New Roman" w:cs="Times New Roman"/>
          <w:sz w:val="22"/>
          <w:szCs w:val="22"/>
        </w:rPr>
        <w:noBreakHyphen/>
        <w:t>episode psychosis’, Psychosis, 4(3), pp. 233–243.</w:t>
      </w:r>
    </w:p>
    <w:p w14:paraId="365E731E"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Read, J. and Williams, J. (2022) ‘Social determinants, neurodiversity and the medical model of psychosis’, Journal of Mental Health, 31(3), pp. 345–351.</w:t>
      </w:r>
    </w:p>
    <w:p w14:paraId="607311CD"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Suárez</w:t>
      </w:r>
      <w:r w:rsidRPr="00A324C4">
        <w:rPr>
          <w:rFonts w:ascii="Times New Roman" w:hAnsi="Times New Roman" w:cs="Times New Roman"/>
          <w:sz w:val="22"/>
          <w:szCs w:val="22"/>
        </w:rPr>
        <w:noBreakHyphen/>
        <w:t>Levant, M., García</w:t>
      </w:r>
      <w:r w:rsidRPr="00A324C4">
        <w:rPr>
          <w:rFonts w:ascii="Times New Roman" w:hAnsi="Times New Roman" w:cs="Times New Roman"/>
          <w:sz w:val="22"/>
          <w:szCs w:val="22"/>
        </w:rPr>
        <w:noBreakHyphen/>
        <w:t>Campayo, J. and Fernández, A. (2024) ‘From ICD</w:t>
      </w:r>
      <w:r w:rsidRPr="00A324C4">
        <w:rPr>
          <w:rFonts w:ascii="Times New Roman" w:hAnsi="Times New Roman" w:cs="Times New Roman"/>
          <w:sz w:val="22"/>
          <w:szCs w:val="22"/>
        </w:rPr>
        <w:noBreakHyphen/>
        <w:t>11 criteria to legal practice: Implementation gaps in severe mental health care’, Family Practice, 41(2), pp. 189–195.</w:t>
      </w:r>
    </w:p>
    <w:p w14:paraId="397EBF63" w14:textId="77777777" w:rsidR="00D47FB7" w:rsidRPr="00A324C4" w:rsidRDefault="00D47FB7" w:rsidP="000A64B7">
      <w:pPr>
        <w:spacing w:line="360" w:lineRule="auto"/>
        <w:rPr>
          <w:rFonts w:ascii="Times New Roman" w:hAnsi="Times New Roman" w:cs="Times New Roman"/>
          <w:sz w:val="22"/>
          <w:szCs w:val="22"/>
        </w:rPr>
      </w:pPr>
      <w:r w:rsidRPr="00A324C4">
        <w:rPr>
          <w:rFonts w:ascii="Times New Roman" w:hAnsi="Times New Roman" w:cs="Times New Roman"/>
          <w:sz w:val="22"/>
          <w:szCs w:val="22"/>
        </w:rPr>
        <w:t>WHO (2024) ICD</w:t>
      </w:r>
      <w:r w:rsidRPr="00A324C4">
        <w:rPr>
          <w:rFonts w:ascii="Times New Roman" w:hAnsi="Times New Roman" w:cs="Times New Roman"/>
          <w:sz w:val="22"/>
          <w:szCs w:val="22"/>
        </w:rPr>
        <w:noBreakHyphen/>
        <w:t>11 Clinical Descriptions and Diagnostic Requirements for Mental, Behavioural and Neurodevelopmental Disorders. Geneva: World Health Organization.</w:t>
      </w:r>
    </w:p>
    <w:p w14:paraId="4E81119B" w14:textId="77777777" w:rsidR="00D47FB7" w:rsidRPr="000A64B7" w:rsidRDefault="00D47FB7" w:rsidP="000A64B7">
      <w:pPr>
        <w:spacing w:line="360" w:lineRule="auto"/>
        <w:rPr>
          <w:rFonts w:ascii="Times New Roman" w:hAnsi="Times New Roman" w:cs="Times New Roman"/>
          <w:sz w:val="22"/>
          <w:szCs w:val="22"/>
        </w:rPr>
      </w:pPr>
    </w:p>
    <w:p w14:paraId="58D31889" w14:textId="77777777" w:rsidR="00A466B9" w:rsidRPr="000A64B7" w:rsidRDefault="00A466B9" w:rsidP="000A64B7">
      <w:pPr>
        <w:spacing w:line="360" w:lineRule="auto"/>
        <w:rPr>
          <w:rFonts w:ascii="Times New Roman" w:hAnsi="Times New Roman" w:cs="Times New Roman"/>
          <w:sz w:val="22"/>
          <w:szCs w:val="22"/>
        </w:rPr>
      </w:pPr>
    </w:p>
    <w:sectPr w:rsidR="00A466B9" w:rsidRPr="000A64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7A7F18"/>
    <w:multiLevelType w:val="multilevel"/>
    <w:tmpl w:val="0DFA6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193AF6"/>
    <w:multiLevelType w:val="multilevel"/>
    <w:tmpl w:val="4F12E8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C568E2"/>
    <w:multiLevelType w:val="multilevel"/>
    <w:tmpl w:val="010A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8737612">
    <w:abstractNumId w:val="1"/>
  </w:num>
  <w:num w:numId="2" w16cid:durableId="1001280591">
    <w:abstractNumId w:val="2"/>
  </w:num>
  <w:num w:numId="3" w16cid:durableId="1809318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FB7"/>
    <w:rsid w:val="00047B26"/>
    <w:rsid w:val="000823D4"/>
    <w:rsid w:val="000964CE"/>
    <w:rsid w:val="000A64B7"/>
    <w:rsid w:val="000B0B0D"/>
    <w:rsid w:val="002966AB"/>
    <w:rsid w:val="0030455C"/>
    <w:rsid w:val="00556584"/>
    <w:rsid w:val="00640620"/>
    <w:rsid w:val="006660C8"/>
    <w:rsid w:val="009A1060"/>
    <w:rsid w:val="009F6E4C"/>
    <w:rsid w:val="00A466B9"/>
    <w:rsid w:val="00A62B85"/>
    <w:rsid w:val="00CD477C"/>
    <w:rsid w:val="00CF22B0"/>
    <w:rsid w:val="00D47FB7"/>
    <w:rsid w:val="00DA439D"/>
    <w:rsid w:val="00DA6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C0536"/>
  <w15:chartTrackingRefBased/>
  <w15:docId w15:val="{23FDB733-BB20-9842-BC30-0FB401155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FB7"/>
  </w:style>
  <w:style w:type="paragraph" w:styleId="Heading1">
    <w:name w:val="heading 1"/>
    <w:basedOn w:val="Normal"/>
    <w:next w:val="Normal"/>
    <w:link w:val="Heading1Char"/>
    <w:uiPriority w:val="9"/>
    <w:qFormat/>
    <w:rsid w:val="00D47F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F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F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F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F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F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F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F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F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F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F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F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F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F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F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F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F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FB7"/>
    <w:rPr>
      <w:rFonts w:eastAsiaTheme="majorEastAsia" w:cstheme="majorBidi"/>
      <w:color w:val="272727" w:themeColor="text1" w:themeTint="D8"/>
    </w:rPr>
  </w:style>
  <w:style w:type="paragraph" w:styleId="Title">
    <w:name w:val="Title"/>
    <w:basedOn w:val="Normal"/>
    <w:next w:val="Normal"/>
    <w:link w:val="TitleChar"/>
    <w:uiPriority w:val="10"/>
    <w:qFormat/>
    <w:rsid w:val="00D47F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F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F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F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F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7FB7"/>
    <w:rPr>
      <w:i/>
      <w:iCs/>
      <w:color w:val="404040" w:themeColor="text1" w:themeTint="BF"/>
    </w:rPr>
  </w:style>
  <w:style w:type="paragraph" w:styleId="ListParagraph">
    <w:name w:val="List Paragraph"/>
    <w:basedOn w:val="Normal"/>
    <w:uiPriority w:val="34"/>
    <w:qFormat/>
    <w:rsid w:val="00D47FB7"/>
    <w:pPr>
      <w:ind w:left="720"/>
      <w:contextualSpacing/>
    </w:pPr>
  </w:style>
  <w:style w:type="character" w:styleId="IntenseEmphasis">
    <w:name w:val="Intense Emphasis"/>
    <w:basedOn w:val="DefaultParagraphFont"/>
    <w:uiPriority w:val="21"/>
    <w:qFormat/>
    <w:rsid w:val="00D47FB7"/>
    <w:rPr>
      <w:i/>
      <w:iCs/>
      <w:color w:val="0F4761" w:themeColor="accent1" w:themeShade="BF"/>
    </w:rPr>
  </w:style>
  <w:style w:type="paragraph" w:styleId="IntenseQuote">
    <w:name w:val="Intense Quote"/>
    <w:basedOn w:val="Normal"/>
    <w:next w:val="Normal"/>
    <w:link w:val="IntenseQuoteChar"/>
    <w:uiPriority w:val="30"/>
    <w:qFormat/>
    <w:rsid w:val="00D47F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FB7"/>
    <w:rPr>
      <w:i/>
      <w:iCs/>
      <w:color w:val="0F4761" w:themeColor="accent1" w:themeShade="BF"/>
    </w:rPr>
  </w:style>
  <w:style w:type="character" w:styleId="IntenseReference">
    <w:name w:val="Intense Reference"/>
    <w:basedOn w:val="DefaultParagraphFont"/>
    <w:uiPriority w:val="32"/>
    <w:qFormat/>
    <w:rsid w:val="00D47FB7"/>
    <w:rPr>
      <w:b/>
      <w:bCs/>
      <w:smallCaps/>
      <w:color w:val="0F4761" w:themeColor="accent1" w:themeShade="BF"/>
      <w:spacing w:val="5"/>
    </w:rPr>
  </w:style>
  <w:style w:type="character" w:styleId="Hyperlink">
    <w:name w:val="Hyperlink"/>
    <w:basedOn w:val="DefaultParagraphFont"/>
    <w:uiPriority w:val="99"/>
    <w:unhideWhenUsed/>
    <w:rsid w:val="00D47F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238040">
      <w:bodyDiv w:val="1"/>
      <w:marLeft w:val="0"/>
      <w:marRight w:val="0"/>
      <w:marTop w:val="0"/>
      <w:marBottom w:val="0"/>
      <w:divBdr>
        <w:top w:val="none" w:sz="0" w:space="0" w:color="auto"/>
        <w:left w:val="none" w:sz="0" w:space="0" w:color="auto"/>
        <w:bottom w:val="none" w:sz="0" w:space="0" w:color="auto"/>
        <w:right w:val="none" w:sz="0" w:space="0" w:color="auto"/>
      </w:divBdr>
    </w:div>
    <w:div w:id="460273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mh.nih.gov/health/publications/schizophrenia" TargetMode="External"/><Relationship Id="rId3" Type="http://schemas.openxmlformats.org/officeDocument/2006/relationships/settings" Target="settings.xml"/><Relationship Id="rId7" Type="http://schemas.openxmlformats.org/officeDocument/2006/relationships/hyperlink" Target="https://www.legislation.gov.uk/ukpga/1983/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mental-health-act-1983-code-of-practice" TargetMode="External"/><Relationship Id="rId5" Type="http://schemas.openxmlformats.org/officeDocument/2006/relationships/hyperlink" Target="https://www.legislation.gov.uk/uksi/2008/1206/contents/mad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8</Pages>
  <Words>2561</Words>
  <Characters>14600</Characters>
  <Application>Microsoft Office Word</Application>
  <DocSecurity>0</DocSecurity>
  <Lines>121</Lines>
  <Paragraphs>34</Paragraphs>
  <ScaleCrop>false</ScaleCrop>
  <Company/>
  <LinksUpToDate>false</LinksUpToDate>
  <CharactersWithSpaces>17127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12</cp:revision>
  <dcterms:created xsi:type="dcterms:W3CDTF">2026-10-21T21:32:00Z</dcterms:created>
  <dcterms:modified xsi:type="dcterms:W3CDTF">2026-10-21T21:48:00Z</dcterms:modified>
</cp:coreProperties>
</file>