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1">
      <w:pPr>
        <w:rPr>
          <w:sz w:val="26"/>
          <w:szCs w:val="26"/>
        </w:rPr>
      </w:pPr>
      <w:r w:rsidDel="00000000" w:rsidR="00000000" w:rsidRPr="00000000">
        <w:rPr>
          <w:rtl w:val="0"/>
        </w:rPr>
      </w:r>
    </w:p>
    <w:p w:rsidR="00000000" w:rsidDel="00000000" w:rsidP="00000000" w:rsidRDefault="00000000" w:rsidRPr="00000000" w14:paraId="00000002">
      <w:pPr>
        <w:rPr>
          <w:sz w:val="26"/>
          <w:szCs w:val="26"/>
        </w:rPr>
      </w:pPr>
      <w:r w:rsidDel="00000000" w:rsidR="00000000" w:rsidRPr="00000000">
        <w:rPr>
          <w:rtl w:val="0"/>
        </w:rPr>
      </w:r>
    </w:p>
    <w:p w:rsidR="00000000" w:rsidDel="00000000" w:rsidP="00000000" w:rsidRDefault="00000000" w:rsidRPr="00000000" w14:paraId="00000003">
      <w:pPr>
        <w:rPr>
          <w:sz w:val="26"/>
          <w:szCs w:val="26"/>
        </w:rPr>
      </w:pPr>
      <w:r w:rsidDel="00000000" w:rsidR="00000000" w:rsidRPr="00000000">
        <w:rPr>
          <w:rtl w:val="0"/>
        </w:rPr>
      </w:r>
    </w:p>
    <w:p w:rsidR="00000000" w:rsidDel="00000000" w:rsidP="00000000" w:rsidRDefault="00000000" w:rsidRPr="00000000" w14:paraId="00000004">
      <w:pPr>
        <w:rPr>
          <w:sz w:val="26"/>
          <w:szCs w:val="26"/>
        </w:rPr>
      </w:pPr>
      <w:r w:rsidDel="00000000" w:rsidR="00000000" w:rsidRPr="00000000">
        <w:rPr>
          <w:rtl w:val="0"/>
        </w:rPr>
      </w:r>
    </w:p>
    <w:p w:rsidR="00000000" w:rsidDel="00000000" w:rsidP="00000000" w:rsidRDefault="00000000" w:rsidRPr="00000000" w14:paraId="00000005">
      <w:pPr>
        <w:rPr>
          <w:sz w:val="26"/>
          <w:szCs w:val="26"/>
        </w:rPr>
      </w:pPr>
      <w:r w:rsidDel="00000000" w:rsidR="00000000" w:rsidRPr="00000000">
        <w:rPr>
          <w:rtl w:val="0"/>
        </w:rPr>
      </w:r>
    </w:p>
    <w:p w:rsidR="00000000" w:rsidDel="00000000" w:rsidP="00000000" w:rsidRDefault="00000000" w:rsidRPr="00000000" w14:paraId="00000006">
      <w:pPr>
        <w:rPr>
          <w:sz w:val="26"/>
          <w:szCs w:val="26"/>
        </w:rPr>
      </w:pPr>
      <w:r w:rsidDel="00000000" w:rsidR="00000000" w:rsidRPr="00000000">
        <w:rPr>
          <w:rtl w:val="0"/>
        </w:rPr>
      </w:r>
    </w:p>
    <w:p w:rsidR="00000000" w:rsidDel="00000000" w:rsidP="00000000" w:rsidRDefault="00000000" w:rsidRPr="00000000" w14:paraId="00000007">
      <w:pPr>
        <w:rPr>
          <w:sz w:val="26"/>
          <w:szCs w:val="26"/>
        </w:rPr>
      </w:pPr>
      <w:r w:rsidDel="00000000" w:rsidR="00000000" w:rsidRPr="00000000">
        <w:rPr>
          <w:rtl w:val="0"/>
        </w:rPr>
      </w:r>
    </w:p>
    <w:p w:rsidR="00000000" w:rsidDel="00000000" w:rsidP="00000000" w:rsidRDefault="00000000" w:rsidRPr="00000000" w14:paraId="00000008">
      <w:pPr>
        <w:rPr>
          <w:sz w:val="26"/>
          <w:szCs w:val="26"/>
        </w:rPr>
      </w:pPr>
      <w:r w:rsidDel="00000000" w:rsidR="00000000" w:rsidRPr="00000000">
        <w:rPr>
          <w:rtl w:val="0"/>
        </w:rPr>
      </w:r>
    </w:p>
    <w:p w:rsidR="00000000" w:rsidDel="00000000" w:rsidP="00000000" w:rsidRDefault="00000000" w:rsidRPr="00000000" w14:paraId="00000009">
      <w:pPr>
        <w:rPr>
          <w:sz w:val="26"/>
          <w:szCs w:val="26"/>
        </w:rPr>
      </w:pPr>
      <w:r w:rsidDel="00000000" w:rsidR="00000000" w:rsidRPr="00000000">
        <w:rPr>
          <w:rtl w:val="0"/>
        </w:rPr>
      </w:r>
    </w:p>
    <w:p w:rsidR="00000000" w:rsidDel="00000000" w:rsidP="00000000" w:rsidRDefault="00000000" w:rsidRPr="00000000" w14:paraId="0000000A">
      <w:pPr>
        <w:rPr>
          <w:sz w:val="26"/>
          <w:szCs w:val="26"/>
        </w:rPr>
      </w:pPr>
      <w:r w:rsidDel="00000000" w:rsidR="00000000" w:rsidRPr="00000000">
        <w:rPr>
          <w:rtl w:val="0"/>
        </w:rPr>
      </w:r>
    </w:p>
    <w:p w:rsidR="00000000" w:rsidDel="00000000" w:rsidP="00000000" w:rsidRDefault="00000000" w:rsidRPr="00000000" w14:paraId="0000000B">
      <w:pPr>
        <w:rPr>
          <w:sz w:val="26"/>
          <w:szCs w:val="26"/>
        </w:rPr>
      </w:pPr>
      <w:r w:rsidDel="00000000" w:rsidR="00000000" w:rsidRPr="00000000">
        <w:rPr>
          <w:rtl w:val="0"/>
        </w:rPr>
      </w:r>
    </w:p>
    <w:p w:rsidR="00000000" w:rsidDel="00000000" w:rsidP="00000000" w:rsidRDefault="00000000" w:rsidRPr="00000000" w14:paraId="0000000C">
      <w:pPr>
        <w:rPr>
          <w:sz w:val="26"/>
          <w:szCs w:val="26"/>
        </w:rPr>
      </w:pPr>
      <w:r w:rsidDel="00000000" w:rsidR="00000000" w:rsidRPr="00000000">
        <w:rPr>
          <w:rtl w:val="0"/>
        </w:rPr>
      </w:r>
    </w:p>
    <w:p w:rsidR="00000000" w:rsidDel="00000000" w:rsidP="00000000" w:rsidRDefault="00000000" w:rsidRPr="00000000" w14:paraId="0000000D">
      <w:pPr>
        <w:rPr>
          <w:sz w:val="26"/>
          <w:szCs w:val="26"/>
        </w:rPr>
      </w:pPr>
      <w:r w:rsidDel="00000000" w:rsidR="00000000" w:rsidRPr="00000000">
        <w:rPr>
          <w:rtl w:val="0"/>
        </w:rPr>
      </w:r>
    </w:p>
    <w:p w:rsidR="00000000" w:rsidDel="00000000" w:rsidP="00000000" w:rsidRDefault="00000000" w:rsidRPr="00000000" w14:paraId="0000000E">
      <w:pPr>
        <w:rPr>
          <w:sz w:val="26"/>
          <w:szCs w:val="26"/>
        </w:rPr>
      </w:pPr>
      <w:r w:rsidDel="00000000" w:rsidR="00000000" w:rsidRPr="00000000">
        <w:rPr>
          <w:rtl w:val="0"/>
        </w:rPr>
      </w:r>
    </w:p>
    <w:p w:rsidR="00000000" w:rsidDel="00000000" w:rsidP="00000000" w:rsidRDefault="00000000" w:rsidRPr="00000000" w14:paraId="0000000F">
      <w:pPr>
        <w:rPr>
          <w:sz w:val="26"/>
          <w:szCs w:val="26"/>
        </w:rPr>
      </w:pPr>
      <w:r w:rsidDel="00000000" w:rsidR="00000000" w:rsidRPr="00000000">
        <w:rPr>
          <w:rtl w:val="0"/>
        </w:rPr>
      </w:r>
    </w:p>
    <w:p w:rsidR="00000000" w:rsidDel="00000000" w:rsidP="00000000" w:rsidRDefault="00000000" w:rsidRPr="00000000" w14:paraId="00000010">
      <w:pPr>
        <w:spacing w:line="480" w:lineRule="auto"/>
        <w:jc w:val="center"/>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Gifts, Marriage, and Status: The Amarna Letters and Diplomacy in the Bronze Age.</w:t>
      </w:r>
    </w:p>
    <w:p w:rsidR="00000000" w:rsidDel="00000000" w:rsidP="00000000" w:rsidRDefault="00000000" w:rsidRPr="00000000" w14:paraId="00000011">
      <w:pPr>
        <w:pStyle w:val="Heading1"/>
        <w:keepNext w:val="0"/>
        <w:keepLines w:val="0"/>
        <w:shd w:fill="ffffff" w:val="clear"/>
        <w:spacing w:before="0" w:line="288" w:lineRule="auto"/>
        <w:jc w:val="center"/>
        <w:rPr>
          <w:rFonts w:ascii="Times New Roman" w:cs="Times New Roman" w:eastAsia="Times New Roman" w:hAnsi="Times New Roman"/>
          <w:sz w:val="26"/>
          <w:szCs w:val="26"/>
        </w:rPr>
      </w:pPr>
      <w:bookmarkStart w:colFirst="0" w:colLast="0" w:name="_blrq7sgxlh7o" w:id="0"/>
      <w:bookmarkEnd w:id="0"/>
      <w:r w:rsidDel="00000000" w:rsidR="00000000" w:rsidRPr="00000000">
        <w:rPr>
          <w:rFonts w:ascii="Times New Roman" w:cs="Times New Roman" w:eastAsia="Times New Roman" w:hAnsi="Times New Roman"/>
          <w:sz w:val="26"/>
          <w:szCs w:val="26"/>
          <w:rtl w:val="0"/>
        </w:rPr>
        <w:t xml:space="preserve">HPAH5083 — Entanglements: Exploring Interactions between the Aegean and the Near East.</w:t>
      </w:r>
    </w:p>
    <w:p w:rsidR="00000000" w:rsidDel="00000000" w:rsidP="00000000" w:rsidRDefault="00000000" w:rsidRPr="00000000" w14:paraId="00000012">
      <w:pPr>
        <w:spacing w:line="480" w:lineRule="auto"/>
        <w:jc w:val="center"/>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Prof. Thomas Humphrey.</w:t>
      </w:r>
    </w:p>
    <w:p w:rsidR="00000000" w:rsidDel="00000000" w:rsidP="00000000" w:rsidRDefault="00000000" w:rsidRPr="00000000" w14:paraId="00000013">
      <w:pPr>
        <w:spacing w:line="480" w:lineRule="auto"/>
        <w:jc w:val="center"/>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Letícia Magalhães da Silva Pontes.</w:t>
      </w:r>
    </w:p>
    <w:p w:rsidR="00000000" w:rsidDel="00000000" w:rsidP="00000000" w:rsidRDefault="00000000" w:rsidRPr="00000000" w14:paraId="00000014">
      <w:pPr>
        <w:spacing w:line="480" w:lineRule="auto"/>
        <w:jc w:val="center"/>
        <w:rPr>
          <w:rFonts w:ascii="Times New Roman" w:cs="Times New Roman" w:eastAsia="Times New Roman" w:hAnsi="Times New Roman"/>
          <w:sz w:val="26"/>
          <w:szCs w:val="26"/>
        </w:rPr>
      </w:pPr>
      <w:r w:rsidDel="00000000" w:rsidR="00000000" w:rsidRPr="00000000">
        <w:rPr>
          <w:rFonts w:ascii="Times New Roman" w:cs="Times New Roman" w:eastAsia="Times New Roman" w:hAnsi="Times New Roman"/>
          <w:sz w:val="26"/>
          <w:szCs w:val="26"/>
          <w:rtl w:val="0"/>
        </w:rPr>
        <w:t xml:space="preserve">19/11/2023</w:t>
      </w:r>
    </w:p>
    <w:p w:rsidR="00000000" w:rsidDel="00000000" w:rsidP="00000000" w:rsidRDefault="00000000" w:rsidRPr="00000000" w14:paraId="00000015">
      <w:pPr>
        <w:spacing w:line="480" w:lineRule="auto"/>
        <w:jc w:val="center"/>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16">
      <w:pPr>
        <w:spacing w:line="480" w:lineRule="auto"/>
        <w:jc w:val="center"/>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17">
      <w:pPr>
        <w:spacing w:line="480" w:lineRule="auto"/>
        <w:jc w:val="center"/>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18">
      <w:pPr>
        <w:spacing w:line="480" w:lineRule="auto"/>
        <w:jc w:val="center"/>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19">
      <w:pPr>
        <w:spacing w:line="480" w:lineRule="auto"/>
        <w:jc w:val="center"/>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1A">
      <w:pPr>
        <w:spacing w:line="480" w:lineRule="auto"/>
        <w:jc w:val="center"/>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1B">
      <w:pPr>
        <w:spacing w:line="480" w:lineRule="auto"/>
        <w:jc w:val="center"/>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1C">
      <w:pPr>
        <w:spacing w:line="480" w:lineRule="auto"/>
        <w:jc w:val="center"/>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1D">
      <w:pPr>
        <w:spacing w:line="480" w:lineRule="auto"/>
        <w:jc w:val="center"/>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1E">
      <w:pPr>
        <w:spacing w:line="480" w:lineRule="auto"/>
        <w:jc w:val="center"/>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1F">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Introduction</w:t>
      </w:r>
    </w:p>
    <w:p w:rsidR="00000000" w:rsidDel="00000000" w:rsidP="00000000" w:rsidRDefault="00000000" w:rsidRPr="00000000" w14:paraId="00000020">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1">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The Amarna Letters proved the existence of complex social relations between societies during the Bronze Age. To most people, it might be difficult to believe that during the Bronze Age, complex ideas such as commodity trade, gift exchange, culture hybridization, writing, and diplomacy existed between the kingdoms of the Near East and the Aegean. However, by finding the Clay tablets, today known as the Amarna Letters, date back to the 14th century BC (British Museum). It was possible to gather more information about this period in human history and to show the complexity of the societies of that time. The letters present us with how the Kings of that time addressed each other and how that could dictate the tone of the letter. And it also showed how crucial it was the culture of gift exchange among them, and how they were able to exchange significant quantities of objects and people. By using the Diplomacy theory and discussing the accounts of gift exchange, this essay will argue that the Amarna Letters are the best example to represent the complex relationships between the societies during the Bronze Age.</w:t>
      </w:r>
    </w:p>
    <w:p w:rsidR="00000000" w:rsidDel="00000000" w:rsidP="00000000" w:rsidRDefault="00000000" w:rsidRPr="00000000" w14:paraId="00000022">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3">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Amarna Tablets — object analysis</w:t>
      </w:r>
    </w:p>
    <w:p w:rsidR="00000000" w:rsidDel="00000000" w:rsidP="00000000" w:rsidRDefault="00000000" w:rsidRPr="00000000" w14:paraId="00000024">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5">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The Amarna letters were inscribed on tablets made from Clay (British Museum,). The pictures presented in this essay (see Figures 1 and 2) are from the British Museum's Tablets. They were acquired in 1888, and date from the 14th century BC (British Museum,). Around three hundred and eighty-two texts were discovered, although many have been destroyed or simply disappeared during the 20th century (Rainey, 2015, p.17). Nevertheless, three hundred and forty-nine of them were in different states of preservation, where some were complete and others only fragments exist (Rainey, 2015, p. 17). The tablets were discovered at the sight today known as El-Amarna (Rainey, 2015, p.12) and they were inscribed in Cuneiform ascription, a style of writing that is distinct from the alphabet (British Museum, 2021). </w:t>
      </w:r>
    </w:p>
    <w:p w:rsidR="00000000" w:rsidDel="00000000" w:rsidP="00000000" w:rsidRDefault="00000000" w:rsidRPr="00000000" w14:paraId="00000026">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3510915" cy="2204722"/>
            <wp:effectExtent b="0" l="0" r="0" t="0"/>
            <wp:docPr id="1" name="image2.jpg"/>
            <a:graphic>
              <a:graphicData uri="http://schemas.openxmlformats.org/drawingml/2006/picture">
                <pic:pic>
                  <pic:nvPicPr>
                    <pic:cNvPr id="0" name="image2.jpg"/>
                    <pic:cNvPicPr preferRelativeResize="0"/>
                  </pic:nvPicPr>
                  <pic:blipFill>
                    <a:blip r:embed="rId6"/>
                    <a:srcRect b="0" l="0" r="0" t="0"/>
                    <a:stretch>
                      <a:fillRect/>
                    </a:stretch>
                  </pic:blipFill>
                  <pic:spPr>
                    <a:xfrm>
                      <a:off x="0" y="0"/>
                      <a:ext cx="3510915" cy="2204722"/>
                    </a:xfrm>
                    <a:prstGeom prst="rect"/>
                    <a:ln/>
                  </pic:spPr>
                </pic:pic>
              </a:graphicData>
            </a:graphic>
          </wp:inline>
        </w:drawing>
      </w:r>
      <w:r w:rsidDel="00000000" w:rsidR="00000000" w:rsidRPr="00000000">
        <w:rPr>
          <w:rFonts w:ascii="Times New Roman" w:cs="Times New Roman" w:eastAsia="Times New Roman" w:hAnsi="Times New Roman"/>
          <w:sz w:val="24"/>
          <w:szCs w:val="24"/>
          <w:rtl w:val="0"/>
        </w:rPr>
        <w:t xml:space="preserve">Figure 1: Amarna Tablets.</w:t>
      </w:r>
    </w:p>
    <w:p w:rsidR="00000000" w:rsidDel="00000000" w:rsidP="00000000" w:rsidRDefault="00000000" w:rsidRPr="00000000" w14:paraId="00000027">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8">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The tablets from the pictures are from the letters exchanged by the ruler of Gezer Yapahu to the Egyptian Pharaoh Amenhotep III or Amenhotep IV, also known as Akhenaten (British Museum). The letters contained requests for help to fight against the Marauders named as Hapiru (British Museum). These tablets are one of the many examples of communication between the nations in the Near East and the Aegean in the Bronze Age. These societies not only exchanged commodities and gifts but also engaged in diplomacy and established alliances when necessary.</w:t>
      </w:r>
    </w:p>
    <w:p w:rsidR="00000000" w:rsidDel="00000000" w:rsidP="00000000" w:rsidRDefault="00000000" w:rsidRPr="00000000" w14:paraId="00000029">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1933575" cy="2566219"/>
            <wp:effectExtent b="0" l="0" r="0" t="0"/>
            <wp:docPr id="2" name="image1.jpg"/>
            <a:graphic>
              <a:graphicData uri="http://schemas.openxmlformats.org/drawingml/2006/picture">
                <pic:pic>
                  <pic:nvPicPr>
                    <pic:cNvPr id="0" name="image1.jpg"/>
                    <pic:cNvPicPr preferRelativeResize="0"/>
                  </pic:nvPicPr>
                  <pic:blipFill>
                    <a:blip r:embed="rId7"/>
                    <a:srcRect b="0" l="0" r="0" t="0"/>
                    <a:stretch>
                      <a:fillRect/>
                    </a:stretch>
                  </pic:blipFill>
                  <pic:spPr>
                    <a:xfrm>
                      <a:off x="0" y="0"/>
                      <a:ext cx="1933575" cy="2566219"/>
                    </a:xfrm>
                    <a:prstGeom prst="rect"/>
                    <a:ln/>
                  </pic:spPr>
                </pic:pic>
              </a:graphicData>
            </a:graphic>
          </wp:inline>
        </w:drawing>
      </w:r>
      <w:r w:rsidDel="00000000" w:rsidR="00000000" w:rsidRPr="00000000">
        <w:rPr>
          <w:rFonts w:ascii="Times New Roman" w:cs="Times New Roman" w:eastAsia="Times New Roman" w:hAnsi="Times New Roman"/>
          <w:sz w:val="24"/>
          <w:szCs w:val="24"/>
          <w:rtl w:val="0"/>
        </w:rPr>
        <w:t xml:space="preserve">Figure 2: Amarna Tablet (British Museum, </w:t>
      </w:r>
    </w:p>
    <w:p w:rsidR="00000000" w:rsidDel="00000000" w:rsidP="00000000" w:rsidRDefault="00000000" w:rsidRPr="00000000" w14:paraId="0000002A">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B">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2C">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Interpreting Diplomatic Etiquette</w:t>
      </w:r>
    </w:p>
    <w:p w:rsidR="00000000" w:rsidDel="00000000" w:rsidP="00000000" w:rsidRDefault="00000000" w:rsidRPr="00000000" w14:paraId="0000002D">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2E">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By analysing the diplomatic relations present in the Amarna Letters, it is possible to understand better the societies that lived during the Bronze Age. Diplomacy is a crucial part of the world's politics in the present day. Nevertheless, by what was presented by many of the Amarna letters after its translation, it was also an important factor in the politics of the Bronze Age. The field of diplomacy is filled with etiquette, rules and social norms that can be applied only in the context of a diplomatic encounter, be this one in person or via a written saucer. Just as today, in the time of the Amarna letters communication and the way Kings would address each other meant everything. The way a King would present himself and address the other in the letter could dictate the stability or the break of the diplomatic relations between two kingdoms. From Rainey’s translations of the Amarna letters, it is possible to notice such etiquette towards the King of Babylonia and the King of Egypt. This extract is a great example of how two powerful men at the time sustained a relationship full of social norms and courtesies:</w:t>
      </w:r>
    </w:p>
    <w:p w:rsidR="00000000" w:rsidDel="00000000" w:rsidP="00000000" w:rsidRDefault="00000000" w:rsidRPr="00000000" w14:paraId="0000002F">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0">
      <w:pPr>
        <w:spacing w:line="480" w:lineRule="auto"/>
        <w:ind w:left="144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(1–6) Speak to Kadashman-Enlil, king of the land of Karaduniash, my</w:t>
      </w:r>
    </w:p>
    <w:p w:rsidR="00000000" w:rsidDel="00000000" w:rsidP="00000000" w:rsidRDefault="00000000" w:rsidRPr="00000000" w14:paraId="00000031">
      <w:pPr>
        <w:spacing w:line="480" w:lineRule="auto"/>
        <w:ind w:left="144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brother! Thus Nibmuʿareʿa, the great king, king of the land of Egypt, your</w:t>
      </w:r>
    </w:p>
    <w:p w:rsidR="00000000" w:rsidDel="00000000" w:rsidP="00000000" w:rsidRDefault="00000000" w:rsidRPr="00000000" w14:paraId="00000032">
      <w:pPr>
        <w:spacing w:line="480" w:lineRule="auto"/>
        <w:ind w:left="144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brother: With me all is well; may all be well with you. With your house, with</w:t>
      </w:r>
    </w:p>
    <w:p w:rsidR="00000000" w:rsidDel="00000000" w:rsidP="00000000" w:rsidRDefault="00000000" w:rsidRPr="00000000" w14:paraId="00000033">
      <w:pPr>
        <w:spacing w:line="480" w:lineRule="auto"/>
        <w:ind w:left="144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your wives, with your sons, with your senior officials, with your horses and</w:t>
      </w:r>
    </w:p>
    <w:p w:rsidR="00000000" w:rsidDel="00000000" w:rsidP="00000000" w:rsidRDefault="00000000" w:rsidRPr="00000000" w14:paraId="00000034">
      <w:pPr>
        <w:spacing w:line="480" w:lineRule="auto"/>
        <w:ind w:left="144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 your chariotry, (and) in the midst of your territories, may all be exceedingly well.   (Rainey, 2015, p. 75)</w:t>
      </w:r>
    </w:p>
    <w:p w:rsidR="00000000" w:rsidDel="00000000" w:rsidP="00000000" w:rsidRDefault="00000000" w:rsidRPr="00000000" w14:paraId="00000035">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The Amarna Letters showed to the modern reader that diplomacy back in the Bronze Age already had a set of rules, indicating a complex society, such as in Egypt as in Babylonian and a complex set of international relations. It is possible to notice the use of courtesies and ritualistic sentences, examples of what consists of the diplomatic language (Jönsson, 2000, p.193). By addressing themselves as “my brothers” it established a sense of alliance and indicated that they were on good terms with one another despite the matter of the letter itself being good or bad. These courtesies and a sense of camaraderie were still present in the diplomatic exchange, proving that both incomes knew the importance of maintaining good relations. This section “With your house, with your wives, with your sons, with your senior officials, with your horses and with your chariotry, (and) in the midst of your territories, may all be exceedingly well” proceeds to show us the ritualistic set of sentences. By making sure to address all the important people and objects present in the life of the other King, it shows the acknowledgement that they care about the well-being of each other and the people in their lives. Once more, making sure that this environment of good relations is present. It is also significant to notice that in that extract the house comes before the wife. That might also indicate how women were seen in that period. Although the woman was of certain importance to be remembered in the letter, she was not as important as the King’s house, an object. This connects with the next topic, which requires a lot of diplomatic etiquette and could be a delicate matter, sometimes, diplomatic marriages.</w:t>
      </w:r>
    </w:p>
    <w:p w:rsidR="00000000" w:rsidDel="00000000" w:rsidP="00000000" w:rsidRDefault="00000000" w:rsidRPr="00000000" w14:paraId="00000037">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8">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Marriage and Diplomacy</w:t>
      </w:r>
    </w:p>
    <w:p w:rsidR="00000000" w:rsidDel="00000000" w:rsidP="00000000" w:rsidRDefault="00000000" w:rsidRPr="00000000" w14:paraId="00000039">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A">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The use of marriage as a diplomatic mechanism indicates complex political relations during the Bronze Age. Even though in most parts of the world, marriage has the connection with love and building a family, during the major part of history marriage was seen as a political move to establish important relationships between Kingdom, Empires, and Nations. During the Bronze Age, it was not different. Throughout the Amarna Letters, it is possible to identify that most of the topics of the letters included marriage arrangements. When a king arranged a marriage for his daughter with another king, that would create a political bond between the two Kingdoms. The idea of “family” would then take place, and the way they would address each other would also change. As cited before, the word “brother” would not only mean the idea of an alliance and being on good terms but also the idea of kingship. Kingship in the letters after a royal marriage would indicate equality between the two Kings, one being the father-in-law and the other the son-in-law (Meier, 2002, p. 168). In that scenario the Egyptian Pharaoh would not treat his father-in-law from Babylonia, for example, using a language of superiority but of equality (Meier, 2002, p. 168). The idea of a diplomatic marriage implicates two things: that complex diplomatic relations were indeed occurring during the Bronze Age; and that women were seen as a commodity to be traded between kingdoms. Here is an example of such desire, where the King of Kara sent to the King of Egypt:</w:t>
      </w:r>
    </w:p>
    <w:p w:rsidR="00000000" w:rsidDel="00000000" w:rsidP="00000000" w:rsidRDefault="00000000" w:rsidRPr="00000000" w14:paraId="0000003B">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C">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D">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E">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(6–11)Inasmuch as my brother has written to me a[bout marriage], saying“[I</w:t>
      </w:r>
    </w:p>
    <w:p w:rsidR="00000000" w:rsidDel="00000000" w:rsidP="00000000" w:rsidRDefault="00000000" w:rsidRPr="00000000" w14:paraId="0000003F">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desi]re [your daughter,”] why should you not marry (her)? [...] My daughters</w:t>
      </w:r>
    </w:p>
    <w:p w:rsidR="00000000" w:rsidDel="00000000" w:rsidP="00000000" w:rsidRDefault="00000000" w:rsidRPr="00000000" w14:paraId="00000040">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are available, [but their husbands must be a king o]r of royal descent. [These</w:t>
      </w:r>
    </w:p>
    <w:p w:rsidR="00000000" w:rsidDel="00000000" w:rsidP="00000000" w:rsidRDefault="00000000" w:rsidRPr="00000000" w14:paraId="00000041">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are the only ones whom I take for my daughters. No king] gives them [to one</w:t>
      </w:r>
    </w:p>
    <w:p w:rsidR="00000000" w:rsidDel="00000000" w:rsidP="00000000" w:rsidRDefault="00000000" w:rsidRPr="00000000" w14:paraId="00000042">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who is not of royal descent]. (Rainey, 2015, p. 83)</w:t>
      </w:r>
    </w:p>
    <w:p w:rsidR="00000000" w:rsidDel="00000000" w:rsidP="00000000" w:rsidRDefault="00000000" w:rsidRPr="00000000" w14:paraId="00000043">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4">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5">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As can be observed through this excerpt, Kings used their daughters as social climbers from an international point of view. Being able to arrange a marriage between his daughter and the Egyptian pharaoh, for example, would give this King a new social status, the one of being addressed as equal by the pharaoh. This shows that diplomacy at the time not only helped in creating alliances but also helped in changing social status from an international point of view.</w:t>
      </w:r>
    </w:p>
    <w:p w:rsidR="00000000" w:rsidDel="00000000" w:rsidP="00000000" w:rsidRDefault="00000000" w:rsidRPr="00000000" w14:paraId="00000046">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7">
      <w:pPr>
        <w:spacing w:line="480" w:lineRule="auto"/>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48">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Diplomacy and Gift Exchange</w:t>
      </w:r>
    </w:p>
    <w:p w:rsidR="00000000" w:rsidDel="00000000" w:rsidP="00000000" w:rsidRDefault="00000000" w:rsidRPr="00000000" w14:paraId="00000049">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4A">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Exchanging gifts was a crucial part of diplomatic relations during the Bronze Age. The culture of gift exchange was one of the most significant traits of the Bronze Age, how much and what was exchanged could say a lot about the relationship between kingdoms. The act of exchanging gifts consisted of two stages: the obligation to give and the obligation to receive (Rivero, 2021, p.140). The distribution of gifts was essential in the diplomatic letters, it would dictate the importance of the Kings that were communicating. It would not only show the prestige of receiving such expensive and luxurious gifts, but it would also indicate how important this King was to receive the gift. It would also be provided what would be like a “status stamp” showing that you were not only just a King but one who was relevant enough in the international scenario to receive such luxuries. For the King that was giving the gifts, it wouldn’t only help him get what he wanted by giving hundreds of different objects (and people). But it would also show to the other ruler that he was dealing with a powerful person, that could afford to give so much but still had a lot of his own. In other words, it also meant a status stamp of being rich and powerful in that period. Below are two examples extracted from the Amarna Letters, showing how much was exchanged and the variety of the gifts:</w:t>
      </w:r>
    </w:p>
    <w:p w:rsidR="00000000" w:rsidDel="00000000" w:rsidP="00000000" w:rsidRDefault="00000000" w:rsidRPr="00000000" w14:paraId="0000004B">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C">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(1–9) [...] fine horses [...] 20 wooden [...] of gold.120 shekels [...I send] to you</w:t>
      </w:r>
    </w:p>
    <w:p w:rsidR="00000000" w:rsidDel="00000000" w:rsidP="00000000" w:rsidRDefault="00000000" w:rsidRPr="00000000" w14:paraId="0000004D">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 [your] greeting [gift]. 60 shekels of lapis la[zuli I send as the greeting-gift</w:t>
      </w:r>
    </w:p>
    <w:p w:rsidR="00000000" w:rsidDel="00000000" w:rsidP="00000000" w:rsidRDefault="00000000" w:rsidRPr="00000000" w14:paraId="0000004E">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of ]my ˹sister˺ [...be]cause sh[e] is your wife [have I sent]. (Rainey, 2015, p. 83)</w:t>
      </w:r>
    </w:p>
    <w:p w:rsidR="00000000" w:rsidDel="00000000" w:rsidP="00000000" w:rsidRDefault="00000000" w:rsidRPr="00000000" w14:paraId="0000004F">
      <w:pPr>
        <w:spacing w:line="480" w:lineRule="auto"/>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0">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(80–85) Now for the greeting gift of my brother have I sent: one large gold</w:t>
      </w:r>
    </w:p>
    <w:p w:rsidR="00000000" w:rsidDel="00000000" w:rsidP="00000000" w:rsidRDefault="00000000" w:rsidRPr="00000000" w14:paraId="00000051">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cup, its handle inlaid with genuine lapis lazuli, one heavy maninnu necklace</w:t>
      </w:r>
    </w:p>
    <w:p w:rsidR="00000000" w:rsidDel="00000000" w:rsidP="00000000" w:rsidRDefault="00000000" w:rsidRPr="00000000" w14:paraId="00000052">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with twenty genuine lapis lazuli stones and nineteen gold ones, its center</w:t>
      </w:r>
    </w:p>
    <w:p w:rsidR="00000000" w:rsidDel="00000000" w:rsidP="00000000" w:rsidRDefault="00000000" w:rsidRPr="00000000" w14:paraId="00000053">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piece of genuine lapis lazuli set in gold, one heavy maninnu necklace with</w:t>
      </w:r>
    </w:p>
    <w:p w:rsidR="00000000" w:rsidDel="00000000" w:rsidP="00000000" w:rsidRDefault="00000000" w:rsidRPr="00000000" w14:paraId="00000054">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42 geniuine ḫulalu stones, 40 gold pubic triangles of Shaushga, of which the</w:t>
      </w:r>
    </w:p>
    <w:p w:rsidR="00000000" w:rsidDel="00000000" w:rsidP="00000000" w:rsidRDefault="00000000" w:rsidRPr="00000000" w14:paraId="00000055">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center piece is on genuine ḫulalu stones set in gold, ten teams of horses, ten</w:t>
      </w:r>
    </w:p>
    <w:p w:rsidR="00000000" w:rsidDel="00000000" w:rsidP="00000000" w:rsidRDefault="00000000" w:rsidRPr="00000000" w14:paraId="00000056">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wooden chariots with their accoutrements and 30 women (and) men, as the</w:t>
      </w:r>
    </w:p>
    <w:p w:rsidR="00000000" w:rsidDel="00000000" w:rsidP="00000000" w:rsidRDefault="00000000" w:rsidRPr="00000000" w14:paraId="00000057">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greeting gift of my brother.  ( Rainey, 2015, p. 147)</w:t>
      </w:r>
    </w:p>
    <w:p w:rsidR="00000000" w:rsidDel="00000000" w:rsidP="00000000" w:rsidRDefault="00000000" w:rsidRPr="00000000" w14:paraId="00000058">
      <w:pPr>
        <w:spacing w:line="480" w:lineRule="auto"/>
        <w:ind w:left="72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59">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The act of exchanging gifts was intrinsically connected with the state of the diplomatic relationships between kingdoms (Rivero, 2021, p.155). If the diplomatic relation was going well, more and better gifts were sent, if it was not going well then a decline in the exchange could be noticed. The gifts show that diplomatic relations between the kingdoms required thought and planning since everything could go wrong, depending on what was sent as a gift.</w:t>
      </w:r>
    </w:p>
    <w:p w:rsidR="00000000" w:rsidDel="00000000" w:rsidP="00000000" w:rsidRDefault="00000000" w:rsidRPr="00000000" w14:paraId="0000005A">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B">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C">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Conclusion</w:t>
      </w:r>
    </w:p>
    <w:p w:rsidR="00000000" w:rsidDel="00000000" w:rsidP="00000000" w:rsidRDefault="00000000" w:rsidRPr="00000000" w14:paraId="0000005D">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E">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      When thinking about the Bronze Age, it might be difficult for some people to understand that complex societies existed during that period in human history. For many, the concept of diplomacy might be a recent one, but as it says in this essay, diplomatic relations existed for a very long time. The Amarna Letters proved that to us, it showed us the complex diplomatic relations occurring during that historical period in the Near East and the Aegean. Starting with the diplomatic etiquette required in the letters; the way the Kings would address each other could indicate the relation between their kingdoms, and a lot of courtesy and formal language was required. This shows us that the social idea of politics and how to behave when talking about such topic already existed, and it is not a recent concept. Diplomatic marriage is another relevant matter in Bronze Age diplomacy. The Amarna Letters presented the fact that by marriage, one kingdom could change its international </w:t>
      </w:r>
      <w:r w:rsidDel="00000000" w:rsidR="00000000" w:rsidRPr="00000000">
        <w:rPr>
          <w:rFonts w:ascii="Times New Roman" w:cs="Times New Roman" w:eastAsia="Times New Roman" w:hAnsi="Times New Roman"/>
          <w:i w:val="1"/>
          <w:sz w:val="24"/>
          <w:szCs w:val="24"/>
          <w:rtl w:val="0"/>
        </w:rPr>
        <w:t xml:space="preserve">status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quo </w:t>
      </w:r>
      <w:r w:rsidDel="00000000" w:rsidR="00000000" w:rsidRPr="00000000">
        <w:rPr>
          <w:rFonts w:ascii="Times New Roman" w:cs="Times New Roman" w:eastAsia="Times New Roman" w:hAnsi="Times New Roman"/>
          <w:sz w:val="24"/>
          <w:szCs w:val="24"/>
          <w:rtl w:val="0"/>
        </w:rPr>
        <w:t xml:space="preserve">by achieving a level of kinship between Kings through marriages. Gift exchange was another indicator of the </w:t>
      </w:r>
      <w:r w:rsidDel="00000000" w:rsidR="00000000" w:rsidRPr="00000000">
        <w:rPr>
          <w:rFonts w:ascii="Times New Roman" w:cs="Times New Roman" w:eastAsia="Times New Roman" w:hAnsi="Times New Roman"/>
          <w:i w:val="1"/>
          <w:sz w:val="24"/>
          <w:szCs w:val="24"/>
          <w:rtl w:val="0"/>
        </w:rPr>
        <w:t xml:space="preserve">status quo</w:t>
      </w:r>
      <w:r w:rsidDel="00000000" w:rsidR="00000000" w:rsidRPr="00000000">
        <w:rPr>
          <w:rFonts w:ascii="Times New Roman" w:cs="Times New Roman" w:eastAsia="Times New Roman" w:hAnsi="Times New Roman"/>
          <w:sz w:val="24"/>
          <w:szCs w:val="24"/>
          <w:rtl w:val="0"/>
        </w:rPr>
        <w:t xml:space="preserve">, for the receiver and the one giving the gifts. Receiving luxurious gifts from other kingdoms through acts of diplomacy indicated the importance of such a kingdom in the international scenario, which attributes prestige to the ruler. When able to give expensive gifts, it showed to the other kingdoms its power and riches, since the King was able to give so much but still keep a luxurious life at home. Gifts would also be an indication of the relations between kingdoms, it could show when diplomacy was working or not. The Amarna Letters, the proof that diplomacy in the Bronze Age was as developed and complex as the diplomacy of today, only changing its scale. By applying the diplomatic theory, it is possible to observe how interconnected all those kingdoms were, even though they could be many miles away from each other. It proves that concepts that look modern, might be actually very ancient. The Amarna letters were indeed a significant archaeological find, that helped us understand better the lives of people that are long gone.</w:t>
      </w:r>
      <w:r w:rsidDel="00000000" w:rsidR="00000000" w:rsidRPr="00000000">
        <w:rPr>
          <w:rtl w:val="0"/>
        </w:rPr>
      </w:r>
    </w:p>
    <w:p w:rsidR="00000000" w:rsidDel="00000000" w:rsidP="00000000" w:rsidRDefault="00000000" w:rsidRPr="00000000" w14:paraId="0000005F">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0">
      <w:pPr>
        <w:spacing w:line="480" w:lineRule="auto"/>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61">
      <w:pPr>
        <w:spacing w:line="480" w:lineRule="auto"/>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62">
      <w:pPr>
        <w:spacing w:line="480" w:lineRule="auto"/>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63">
      <w:pPr>
        <w:spacing w:line="480" w:lineRule="auto"/>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64">
      <w:pPr>
        <w:spacing w:line="480" w:lineRule="auto"/>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65">
      <w:pPr>
        <w:spacing w:line="480" w:lineRule="auto"/>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66">
      <w:pPr>
        <w:spacing w:line="480" w:lineRule="auto"/>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67">
      <w:pPr>
        <w:spacing w:line="480" w:lineRule="auto"/>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68">
      <w:pPr>
        <w:spacing w:line="480" w:lineRule="auto"/>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69">
      <w:pPr>
        <w:spacing w:line="480" w:lineRule="auto"/>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6A">
      <w:pPr>
        <w:spacing w:line="480" w:lineRule="auto"/>
        <w:jc w:val="center"/>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6B">
      <w:pPr>
        <w:spacing w:line="480" w:lineRule="auto"/>
        <w:jc w:val="center"/>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6C">
      <w:pPr>
        <w:spacing w:line="480" w:lineRule="auto"/>
        <w:jc w:val="center"/>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6D">
      <w:pPr>
        <w:spacing w:line="480" w:lineRule="auto"/>
        <w:jc w:val="center"/>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6E">
      <w:pPr>
        <w:spacing w:line="480" w:lineRule="auto"/>
        <w:jc w:val="center"/>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6F">
      <w:pPr>
        <w:spacing w:line="480" w:lineRule="auto"/>
        <w:jc w:val="center"/>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70">
      <w:pPr>
        <w:spacing w:line="480" w:lineRule="auto"/>
        <w:jc w:val="center"/>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71">
      <w:pPr>
        <w:spacing w:line="480" w:lineRule="auto"/>
        <w:jc w:val="center"/>
        <w:rPr>
          <w:rFonts w:ascii="Times New Roman" w:cs="Times New Roman" w:eastAsia="Times New Roman" w:hAnsi="Times New Roman"/>
          <w:sz w:val="26"/>
          <w:szCs w:val="26"/>
        </w:rPr>
      </w:pPr>
      <w:r w:rsidDel="00000000" w:rsidR="00000000" w:rsidRPr="00000000">
        <w:rPr>
          <w:rtl w:val="0"/>
        </w:rPr>
      </w:r>
    </w:p>
    <w:p w:rsidR="00000000" w:rsidDel="00000000" w:rsidP="00000000" w:rsidRDefault="00000000" w:rsidRPr="00000000" w14:paraId="00000072">
      <w:pPr>
        <w:spacing w:line="48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Bibliography</w:t>
      </w:r>
    </w:p>
    <w:p w:rsidR="00000000" w:rsidDel="00000000" w:rsidP="00000000" w:rsidRDefault="00000000" w:rsidRPr="00000000" w14:paraId="00000073">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4">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5">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Jönsson, Christer. “Diplomatic Signalling in the Amarna Letters,” </w:t>
      </w:r>
      <w:r w:rsidDel="00000000" w:rsidR="00000000" w:rsidRPr="00000000">
        <w:rPr>
          <w:rFonts w:ascii="Times New Roman" w:cs="Times New Roman" w:eastAsia="Times New Roman" w:hAnsi="Times New Roman"/>
          <w:i w:val="1"/>
          <w:sz w:val="24"/>
          <w:szCs w:val="24"/>
          <w:highlight w:val="white"/>
          <w:rtl w:val="0"/>
        </w:rPr>
        <w:t xml:space="preserve">The Beginnings of International Relations</w:t>
      </w:r>
      <w:r w:rsidDel="00000000" w:rsidR="00000000" w:rsidRPr="00000000">
        <w:rPr>
          <w:rFonts w:ascii="Times New Roman" w:cs="Times New Roman" w:eastAsia="Times New Roman" w:hAnsi="Times New Roman"/>
          <w:sz w:val="24"/>
          <w:szCs w:val="24"/>
          <w:highlight w:val="white"/>
          <w:rtl w:val="0"/>
        </w:rPr>
        <w:t xml:space="preserve"> (Johns Hopkins University Press, 2000), 191- 204.</w:t>
      </w:r>
    </w:p>
    <w:p w:rsidR="00000000" w:rsidDel="00000000" w:rsidP="00000000" w:rsidRDefault="00000000" w:rsidRPr="00000000" w14:paraId="00000076">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77">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Meier, A. Samuel. </w:t>
      </w:r>
      <w:r w:rsidDel="00000000" w:rsidR="00000000" w:rsidRPr="00000000">
        <w:rPr>
          <w:rFonts w:ascii="Times New Roman" w:cs="Times New Roman" w:eastAsia="Times New Roman" w:hAnsi="Times New Roman"/>
          <w:sz w:val="24"/>
          <w:szCs w:val="24"/>
          <w:highlight w:val="white"/>
          <w:rtl w:val="0"/>
        </w:rPr>
        <w:t xml:space="preserve">“Diplomacy and International Marriages,” in </w:t>
      </w:r>
      <w:r w:rsidDel="00000000" w:rsidR="00000000" w:rsidRPr="00000000">
        <w:rPr>
          <w:rFonts w:ascii="Times New Roman" w:cs="Times New Roman" w:eastAsia="Times New Roman" w:hAnsi="Times New Roman"/>
          <w:i w:val="1"/>
          <w:sz w:val="24"/>
          <w:szCs w:val="24"/>
          <w:highlight w:val="white"/>
          <w:rtl w:val="0"/>
        </w:rPr>
        <w:t xml:space="preserve">Amarna Diplomacy: The Beginnings of International Relations</w:t>
      </w:r>
      <w:r w:rsidDel="00000000" w:rsidR="00000000" w:rsidRPr="00000000">
        <w:rPr>
          <w:rFonts w:ascii="Times New Roman" w:cs="Times New Roman" w:eastAsia="Times New Roman" w:hAnsi="Times New Roman"/>
          <w:sz w:val="24"/>
          <w:szCs w:val="24"/>
          <w:highlight w:val="white"/>
          <w:rtl w:val="0"/>
        </w:rPr>
        <w:t xml:space="preserve"> (Johns Hopkins University Press, 2000), 165-173, 259-262.</w:t>
      </w:r>
    </w:p>
    <w:p w:rsidR="00000000" w:rsidDel="00000000" w:rsidP="00000000" w:rsidRDefault="00000000" w:rsidRPr="00000000" w14:paraId="00000078">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9">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Rainey, F. Anson “The El-Amarna Correspondence: A New Edition of the Cuneiform Letters from the Site of El — Amarna based of Collations of all Extant Tablets, volume 1,” </w:t>
      </w:r>
      <w:r w:rsidDel="00000000" w:rsidR="00000000" w:rsidRPr="00000000">
        <w:rPr>
          <w:rFonts w:ascii="Times New Roman" w:cs="Times New Roman" w:eastAsia="Times New Roman" w:hAnsi="Times New Roman"/>
          <w:i w:val="1"/>
          <w:sz w:val="24"/>
          <w:szCs w:val="24"/>
          <w:rtl w:val="0"/>
        </w:rPr>
        <w:t xml:space="preserve">Handbook of Oriental Studies</w:t>
      </w:r>
      <w:r w:rsidDel="00000000" w:rsidR="00000000" w:rsidRPr="00000000">
        <w:rPr>
          <w:rFonts w:ascii="Times New Roman" w:cs="Times New Roman" w:eastAsia="Times New Roman" w:hAnsi="Times New Roman"/>
          <w:sz w:val="24"/>
          <w:szCs w:val="24"/>
          <w:rtl w:val="0"/>
        </w:rPr>
        <w:t xml:space="preserve"> (Leiden, Boston, 2015)</w:t>
      </w:r>
    </w:p>
    <w:p w:rsidR="00000000" w:rsidDel="00000000" w:rsidP="00000000" w:rsidRDefault="00000000" w:rsidRPr="00000000" w14:paraId="0000007A">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7B">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Rivero. Perazzone Emma. “Gift Exchange in the Amarna Letters: A Concise Study of the Letters from the Great Kings,” in </w:t>
      </w:r>
      <w:r w:rsidDel="00000000" w:rsidR="00000000" w:rsidRPr="00000000">
        <w:rPr>
          <w:rFonts w:ascii="Times New Roman" w:cs="Times New Roman" w:eastAsia="Times New Roman" w:hAnsi="Times New Roman"/>
          <w:i w:val="1"/>
          <w:sz w:val="24"/>
          <w:szCs w:val="24"/>
          <w:highlight w:val="white"/>
          <w:rtl w:val="0"/>
        </w:rPr>
        <w:t xml:space="preserve"> Trabajos de Egipilogía: Papers on Ancient Egypt </w:t>
      </w:r>
      <w:r w:rsidDel="00000000" w:rsidR="00000000" w:rsidRPr="00000000">
        <w:rPr>
          <w:rFonts w:ascii="Times New Roman" w:cs="Times New Roman" w:eastAsia="Times New Roman" w:hAnsi="Times New Roman"/>
          <w:sz w:val="24"/>
          <w:szCs w:val="24"/>
          <w:highlight w:val="white"/>
          <w:rtl w:val="0"/>
        </w:rPr>
        <w:t xml:space="preserve">(Universidad de la Laguna, 2021), 139- 158.</w:t>
      </w:r>
    </w:p>
    <w:p w:rsidR="00000000" w:rsidDel="00000000" w:rsidP="00000000" w:rsidRDefault="00000000" w:rsidRPr="00000000" w14:paraId="0000007C">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7D">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The British Museum (2021) </w:t>
      </w:r>
      <w:r w:rsidDel="00000000" w:rsidR="00000000" w:rsidRPr="00000000">
        <w:rPr>
          <w:rFonts w:ascii="Times New Roman" w:cs="Times New Roman" w:eastAsia="Times New Roman" w:hAnsi="Times New Roman"/>
          <w:i w:val="1"/>
          <w:sz w:val="24"/>
          <w:szCs w:val="24"/>
          <w:highlight w:val="white"/>
          <w:rtl w:val="0"/>
        </w:rPr>
        <w:t xml:space="preserve">How to Write Cuneiform </w:t>
      </w:r>
      <w:hyperlink r:id="rId8">
        <w:r w:rsidDel="00000000" w:rsidR="00000000" w:rsidRPr="00000000">
          <w:rPr>
            <w:rFonts w:ascii="Times New Roman" w:cs="Times New Roman" w:eastAsia="Times New Roman" w:hAnsi="Times New Roman"/>
            <w:sz w:val="24"/>
            <w:szCs w:val="24"/>
            <w:highlight w:val="white"/>
            <w:u w:val="single"/>
            <w:rtl w:val="0"/>
          </w:rPr>
          <w:t xml:space="preserve">https://www.britishmuseum.org/blog/how-write-cuneiform</w:t>
        </w:r>
      </w:hyperlink>
      <w:r w:rsidDel="00000000" w:rsidR="00000000" w:rsidRPr="00000000">
        <w:rPr>
          <w:rFonts w:ascii="Times New Roman" w:cs="Times New Roman" w:eastAsia="Times New Roman" w:hAnsi="Times New Roman"/>
          <w:sz w:val="24"/>
          <w:szCs w:val="24"/>
          <w:highlight w:val="white"/>
          <w:rtl w:val="0"/>
        </w:rPr>
        <w:t xml:space="preserve"> (Accessed: 19 November 2023)</w:t>
      </w:r>
    </w:p>
    <w:p w:rsidR="00000000" w:rsidDel="00000000" w:rsidP="00000000" w:rsidRDefault="00000000" w:rsidRPr="00000000" w14:paraId="0000007E">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7F">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    The British Museum (No date) </w:t>
      </w:r>
      <w:r w:rsidDel="00000000" w:rsidR="00000000" w:rsidRPr="00000000">
        <w:rPr>
          <w:rFonts w:ascii="Times New Roman" w:cs="Times New Roman" w:eastAsia="Times New Roman" w:hAnsi="Times New Roman"/>
          <w:i w:val="1"/>
          <w:sz w:val="24"/>
          <w:szCs w:val="24"/>
          <w:rtl w:val="0"/>
        </w:rPr>
        <w:t xml:space="preserve">Amarna Tablets   </w:t>
      </w:r>
      <w:hyperlink r:id="rId9">
        <w:r w:rsidDel="00000000" w:rsidR="00000000" w:rsidRPr="00000000">
          <w:rPr>
            <w:rFonts w:ascii="Times New Roman" w:cs="Times New Roman" w:eastAsia="Times New Roman" w:hAnsi="Times New Roman"/>
            <w:sz w:val="24"/>
            <w:szCs w:val="24"/>
            <w:u w:val="single"/>
            <w:rtl w:val="0"/>
          </w:rPr>
          <w:t xml:space="preserve">https://www.britishmuseum.org/collection/object/W_1888-1013-45</w:t>
        </w:r>
      </w:hyperlink>
      <w:r w:rsidDel="00000000" w:rsidR="00000000" w:rsidRPr="00000000">
        <w:rPr>
          <w:rFonts w:ascii="Times New Roman" w:cs="Times New Roman" w:eastAsia="Times New Roman" w:hAnsi="Times New Roman"/>
          <w:sz w:val="24"/>
          <w:szCs w:val="24"/>
          <w:rtl w:val="0"/>
        </w:rPr>
        <w:t xml:space="preserve"> (Accessed: 19 November 2023)</w:t>
      </w:r>
    </w:p>
    <w:p w:rsidR="00000000" w:rsidDel="00000000" w:rsidP="00000000" w:rsidRDefault="00000000" w:rsidRPr="00000000" w14:paraId="00000080">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1">
      <w:pPr>
        <w:spacing w:line="480" w:lineRule="auto"/>
        <w:rPr>
          <w:rFonts w:ascii="Times New Roman" w:cs="Times New Roman" w:eastAsia="Times New Roman" w:hAnsi="Times New Roman"/>
          <w:sz w:val="24"/>
          <w:szCs w:val="24"/>
          <w:highlight w:val="white"/>
        </w:rPr>
      </w:pPr>
      <w:r w:rsidDel="00000000" w:rsidR="00000000" w:rsidRPr="00000000">
        <w:rPr>
          <w:rtl w:val="0"/>
        </w:rPr>
      </w:r>
    </w:p>
    <w:sectPr>
      <w:headerReference r:id="rId10" w:type="default"/>
      <w:headerReference r:id="rId11" w:type="first"/>
      <w:pgSz w:h="16838" w:w="11906" w:orient="portrait"/>
      <w:pgMar w:bottom="1440.0000000000002" w:top="1440.0000000000002" w:left="1440.0000000000002" w:right="1440.0000000000002"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2">
    <w:pPr>
      <w:rPr/>
    </w:pP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83">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pt_BR"/>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1" Type="http://schemas.openxmlformats.org/officeDocument/2006/relationships/header" Target="header1.xml"/><Relationship Id="rId10" Type="http://schemas.openxmlformats.org/officeDocument/2006/relationships/header" Target="header2.xml"/><Relationship Id="rId9" Type="http://schemas.openxmlformats.org/officeDocument/2006/relationships/hyperlink" Target="https://www.britishmuseum.org/collection/object/W_1888-1013-45" TargetMode="External"/><Relationship Id="rId5" Type="http://schemas.openxmlformats.org/officeDocument/2006/relationships/styles" Target="styles.xml"/><Relationship Id="rId6" Type="http://schemas.openxmlformats.org/officeDocument/2006/relationships/image" Target="media/image2.jpg"/><Relationship Id="rId7" Type="http://schemas.openxmlformats.org/officeDocument/2006/relationships/image" Target="media/image1.jpg"/><Relationship Id="rId8" Type="http://schemas.openxmlformats.org/officeDocument/2006/relationships/hyperlink" Target="https://www.britishmuseum.org/blog/how-write-cuneifor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