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258A4"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sz w:val="32"/>
          <w:lang w:val="en-GB" w:eastAsia="en-GB"/>
        </w:rPr>
      </w:pPr>
      <w:r w:rsidRPr="00303F99">
        <w:rPr>
          <w:rFonts w:ascii="Times New Roman" w:eastAsia="Times New Roman" w:hAnsi="Times New Roman" w:cs="Times New Roman"/>
          <w:b/>
          <w:bCs/>
          <w:color w:val="000000" w:themeColor="text1"/>
          <w:sz w:val="32"/>
          <w:lang w:val="en-GB" w:eastAsia="en-GB"/>
        </w:rPr>
        <w:t>BMHP5019 – Component 2: Research Report</w:t>
      </w:r>
    </w:p>
    <w:p w14:paraId="09357192" w14:textId="334CFC65"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sz w:val="32"/>
          <w:lang w:val="en-GB" w:eastAsia="en-GB"/>
        </w:rPr>
      </w:pPr>
      <w:r w:rsidRPr="00303F99">
        <w:rPr>
          <w:rFonts w:ascii="Times New Roman" w:eastAsia="Times New Roman" w:hAnsi="Times New Roman" w:cs="Times New Roman"/>
          <w:color w:val="000000" w:themeColor="text1"/>
          <w:sz w:val="32"/>
          <w:lang w:val="en-GB" w:eastAsia="en-GB"/>
        </w:rPr>
        <w:t xml:space="preserve"> Summiyah Kousar </w:t>
      </w:r>
    </w:p>
    <w:p w14:paraId="1492B314" w14:textId="0CAD50D4"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sz w:val="32"/>
          <w:lang w:val="en-GB" w:eastAsia="en-GB"/>
        </w:rPr>
      </w:pPr>
      <w:r w:rsidRPr="00303F99">
        <w:rPr>
          <w:rFonts w:ascii="Times New Roman" w:eastAsia="Times New Roman" w:hAnsi="Times New Roman" w:cs="Times New Roman"/>
          <w:color w:val="000000" w:themeColor="text1"/>
          <w:sz w:val="32"/>
          <w:lang w:val="en-GB" w:eastAsia="en-GB"/>
        </w:rPr>
        <w:t xml:space="preserve"> 2330601</w:t>
      </w:r>
    </w:p>
    <w:p w14:paraId="4A309692"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sz w:val="32"/>
          <w:lang w:val="en-GB" w:eastAsia="en-GB"/>
        </w:rPr>
      </w:pPr>
      <w:r w:rsidRPr="00303F99">
        <w:rPr>
          <w:rFonts w:ascii="Times New Roman" w:eastAsia="Times New Roman" w:hAnsi="Times New Roman" w:cs="Times New Roman"/>
          <w:color w:val="000000" w:themeColor="text1"/>
          <w:sz w:val="32"/>
          <w:lang w:val="en-GB" w:eastAsia="en-GB"/>
        </w:rPr>
        <w:t xml:space="preserve"> </w:t>
      </w:r>
      <w:r w:rsidRPr="00303F99">
        <w:rPr>
          <w:rFonts w:ascii="Times New Roman" w:eastAsia="Times New Roman" w:hAnsi="Times New Roman" w:cs="Times New Roman"/>
          <w:b/>
          <w:bCs/>
          <w:color w:val="000000" w:themeColor="text1"/>
          <w:sz w:val="32"/>
          <w:lang w:val="en-GB" w:eastAsia="en-GB"/>
        </w:rPr>
        <w:t>Lecturer:</w:t>
      </w:r>
      <w:r w:rsidRPr="00303F99">
        <w:rPr>
          <w:rFonts w:ascii="Times New Roman" w:eastAsia="Times New Roman" w:hAnsi="Times New Roman" w:cs="Times New Roman"/>
          <w:color w:val="000000" w:themeColor="text1"/>
          <w:sz w:val="32"/>
          <w:lang w:val="en-GB" w:eastAsia="en-GB"/>
        </w:rPr>
        <w:t xml:space="preserve"> Philip Jones</w:t>
      </w:r>
    </w:p>
    <w:p w14:paraId="264EECCB"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sz w:val="32"/>
          <w:lang w:val="en-GB" w:eastAsia="en-GB"/>
        </w:rPr>
      </w:pPr>
      <w:r w:rsidRPr="00303F99">
        <w:rPr>
          <w:rFonts w:ascii="Times New Roman" w:eastAsia="Times New Roman" w:hAnsi="Times New Roman" w:cs="Times New Roman"/>
          <w:color w:val="000000" w:themeColor="text1"/>
          <w:sz w:val="32"/>
          <w:lang w:val="en-GB" w:eastAsia="en-GB"/>
        </w:rPr>
        <w:t xml:space="preserve"> </w:t>
      </w:r>
      <w:r w:rsidRPr="00303F99">
        <w:rPr>
          <w:rFonts w:ascii="Times New Roman" w:eastAsia="Times New Roman" w:hAnsi="Times New Roman" w:cs="Times New Roman"/>
          <w:b/>
          <w:bCs/>
          <w:color w:val="000000" w:themeColor="text1"/>
          <w:sz w:val="32"/>
          <w:lang w:val="en-GB" w:eastAsia="en-GB"/>
        </w:rPr>
        <w:t>Title:</w:t>
      </w:r>
      <w:r w:rsidRPr="00303F99">
        <w:rPr>
          <w:rFonts w:ascii="Times New Roman" w:eastAsia="Times New Roman" w:hAnsi="Times New Roman" w:cs="Times New Roman"/>
          <w:color w:val="000000" w:themeColor="text1"/>
          <w:sz w:val="32"/>
          <w:lang w:val="en-GB" w:eastAsia="en-GB"/>
        </w:rPr>
        <w:t xml:space="preserve"> </w:t>
      </w:r>
      <w:r w:rsidRPr="00303F99">
        <w:rPr>
          <w:rFonts w:ascii="Times New Roman" w:eastAsia="Times New Roman" w:hAnsi="Times New Roman" w:cs="Times New Roman"/>
          <w:i/>
          <w:iCs/>
          <w:color w:val="000000" w:themeColor="text1"/>
          <w:sz w:val="32"/>
          <w:lang w:val="en-GB" w:eastAsia="en-GB"/>
        </w:rPr>
        <w:t>A Scoping Review of Digital Mental Health Interventions for Dementia in Young Adults</w:t>
      </w:r>
      <w:r w:rsidRPr="00303F99">
        <w:rPr>
          <w:rFonts w:ascii="Times New Roman" w:eastAsia="Times New Roman" w:hAnsi="Times New Roman" w:cs="Times New Roman"/>
          <w:color w:val="000000" w:themeColor="text1"/>
          <w:sz w:val="32"/>
          <w:lang w:val="en-GB" w:eastAsia="en-GB"/>
        </w:rPr>
        <w:t xml:space="preserve"> </w:t>
      </w:r>
    </w:p>
    <w:p w14:paraId="0C38A695" w14:textId="3CDEEC28"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sz w:val="32"/>
          <w:lang w:val="en-GB" w:eastAsia="en-GB"/>
        </w:rPr>
      </w:pPr>
      <w:r w:rsidRPr="00303F99">
        <w:rPr>
          <w:rFonts w:ascii="Times New Roman" w:eastAsia="Times New Roman" w:hAnsi="Times New Roman" w:cs="Times New Roman"/>
          <w:b/>
          <w:bCs/>
          <w:color w:val="000000" w:themeColor="text1"/>
          <w:sz w:val="32"/>
          <w:lang w:val="en-GB" w:eastAsia="en-GB"/>
        </w:rPr>
        <w:t>Word Count:</w:t>
      </w:r>
      <w:r w:rsidRPr="00303F99">
        <w:rPr>
          <w:rFonts w:ascii="Times New Roman" w:eastAsia="Times New Roman" w:hAnsi="Times New Roman" w:cs="Times New Roman"/>
          <w:color w:val="000000" w:themeColor="text1"/>
          <w:sz w:val="32"/>
          <w:lang w:val="en-GB" w:eastAsia="en-GB"/>
        </w:rPr>
        <w:t xml:space="preserve"> 3,600 words</w:t>
      </w:r>
    </w:p>
    <w:p w14:paraId="30F978BF" w14:textId="77777777"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p>
    <w:p w14:paraId="745B5D78" w14:textId="77777777"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r w:rsidRPr="00303F99">
        <w:rPr>
          <w:rFonts w:ascii="Times New Roman" w:eastAsia="Times New Roman" w:hAnsi="Times New Roman" w:cs="Times New Roman"/>
          <w:b/>
          <w:bCs/>
          <w:color w:val="000000" w:themeColor="text1"/>
          <w:kern w:val="36"/>
          <w:sz w:val="48"/>
          <w:szCs w:val="48"/>
          <w:lang w:val="en-GB" w:eastAsia="en-GB"/>
        </w:rPr>
        <w:t>Contents</w:t>
      </w:r>
    </w:p>
    <w:p w14:paraId="701DBF66" w14:textId="77777777" w:rsidR="00303F99" w:rsidRPr="00303F99" w:rsidRDefault="00303F99" w:rsidP="00303F99">
      <w:pPr>
        <w:numPr>
          <w:ilvl w:val="0"/>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Title </w:t>
      </w:r>
      <w:proofErr w:type="gramStart"/>
      <w:r w:rsidRPr="00303F99">
        <w:rPr>
          <w:rFonts w:ascii="Times New Roman" w:eastAsia="Times New Roman" w:hAnsi="Times New Roman" w:cs="Times New Roman"/>
          <w:color w:val="000000" w:themeColor="text1"/>
          <w:lang w:val="en-GB" w:eastAsia="en-GB"/>
        </w:rPr>
        <w:t>Page ..............................................................................................................</w:t>
      </w:r>
      <w:proofErr w:type="gramEnd"/>
      <w:r w:rsidRPr="00303F99">
        <w:rPr>
          <w:rFonts w:ascii="Times New Roman" w:eastAsia="Times New Roman" w:hAnsi="Times New Roman" w:cs="Times New Roman"/>
          <w:color w:val="000000" w:themeColor="text1"/>
          <w:lang w:val="en-GB" w:eastAsia="en-GB"/>
        </w:rPr>
        <w:t xml:space="preserve"> 1</w:t>
      </w:r>
    </w:p>
    <w:p w14:paraId="4044A12B" w14:textId="77777777" w:rsidR="00303F99" w:rsidRPr="00303F99" w:rsidRDefault="00303F99" w:rsidP="00303F99">
      <w:pPr>
        <w:numPr>
          <w:ilvl w:val="0"/>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Introduction ............................................................................................................. 2</w:t>
      </w:r>
    </w:p>
    <w:p w14:paraId="23E7C4DE" w14:textId="77777777" w:rsidR="00303F99" w:rsidRPr="00303F99" w:rsidRDefault="00303F99" w:rsidP="00303F99">
      <w:pPr>
        <w:numPr>
          <w:ilvl w:val="0"/>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Background ..............................................................................................................</w:t>
      </w:r>
      <w:proofErr w:type="gramEnd"/>
      <w:r w:rsidRPr="00303F99">
        <w:rPr>
          <w:rFonts w:ascii="Times New Roman" w:eastAsia="Times New Roman" w:hAnsi="Times New Roman" w:cs="Times New Roman"/>
          <w:color w:val="000000" w:themeColor="text1"/>
          <w:lang w:val="en-GB" w:eastAsia="en-GB"/>
        </w:rPr>
        <w:t xml:space="preserve"> 3</w:t>
      </w:r>
    </w:p>
    <w:p w14:paraId="0D782EC0" w14:textId="77777777" w:rsidR="00303F99" w:rsidRPr="00303F99" w:rsidRDefault="00303F99" w:rsidP="00303F99">
      <w:pPr>
        <w:numPr>
          <w:ilvl w:val="0"/>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Methods ....................................................................................................................</w:t>
      </w:r>
      <w:proofErr w:type="gramEnd"/>
      <w:r w:rsidRPr="00303F99">
        <w:rPr>
          <w:rFonts w:ascii="Times New Roman" w:eastAsia="Times New Roman" w:hAnsi="Times New Roman" w:cs="Times New Roman"/>
          <w:color w:val="000000" w:themeColor="text1"/>
          <w:lang w:val="en-GB" w:eastAsia="en-GB"/>
        </w:rPr>
        <w:t xml:space="preserve"> 5</w:t>
      </w:r>
    </w:p>
    <w:p w14:paraId="56A634C5"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PCC Framework</w:t>
      </w:r>
    </w:p>
    <w:p w14:paraId="41434C2C"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Search Strategy</w:t>
      </w:r>
    </w:p>
    <w:p w14:paraId="4DCE0F52"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Inclusion and Exclusion Criteria</w:t>
      </w:r>
    </w:p>
    <w:p w14:paraId="752EA6BC"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Data Charting</w:t>
      </w:r>
    </w:p>
    <w:p w14:paraId="19BF745C"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Ethical Considerations</w:t>
      </w:r>
    </w:p>
    <w:p w14:paraId="60DF9CDA"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Methodological Reflection</w:t>
      </w:r>
    </w:p>
    <w:p w14:paraId="7D913035" w14:textId="77777777" w:rsidR="00303F99" w:rsidRPr="00303F99" w:rsidRDefault="00303F99" w:rsidP="00303F99">
      <w:pPr>
        <w:numPr>
          <w:ilvl w:val="0"/>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Results .......................................................................................................................</w:t>
      </w:r>
      <w:proofErr w:type="gramEnd"/>
      <w:r w:rsidRPr="00303F99">
        <w:rPr>
          <w:rFonts w:ascii="Times New Roman" w:eastAsia="Times New Roman" w:hAnsi="Times New Roman" w:cs="Times New Roman"/>
          <w:color w:val="000000" w:themeColor="text1"/>
          <w:lang w:val="en-GB" w:eastAsia="en-GB"/>
        </w:rPr>
        <w:t xml:space="preserve"> 8</w:t>
      </w:r>
    </w:p>
    <w:p w14:paraId="45F3595D"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Overview of Included Studies</w:t>
      </w:r>
    </w:p>
    <w:p w14:paraId="23B82538"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Summary Table</w:t>
      </w:r>
    </w:p>
    <w:p w14:paraId="6A78A66A"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Theme 1: Digital Exclusion</w:t>
      </w:r>
    </w:p>
    <w:p w14:paraId="31951EE1"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Theme 2: Socioeconomic Inequalities</w:t>
      </w:r>
    </w:p>
    <w:p w14:paraId="40CE6692"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Theme 3: Workforce and Service Delivery</w:t>
      </w:r>
    </w:p>
    <w:p w14:paraId="4941B7CB"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lastRenderedPageBreak/>
        <w:t>Theme 4: Lack of Population</w:t>
      </w:r>
      <w:r w:rsidRPr="00303F99">
        <w:rPr>
          <w:rFonts w:ascii="Times New Roman" w:eastAsia="Times New Roman" w:hAnsi="Times New Roman" w:cs="Times New Roman"/>
          <w:color w:val="000000" w:themeColor="text1"/>
          <w:lang w:val="en-GB" w:eastAsia="en-GB"/>
        </w:rPr>
        <w:noBreakHyphen/>
        <w:t>Specific Evidence</w:t>
      </w:r>
    </w:p>
    <w:p w14:paraId="7934CEE5" w14:textId="77777777" w:rsidR="00303F99" w:rsidRPr="00303F99" w:rsidRDefault="00303F99" w:rsidP="00303F99">
      <w:pPr>
        <w:numPr>
          <w:ilvl w:val="0"/>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Discussion ............................................................................................................... 13</w:t>
      </w:r>
    </w:p>
    <w:p w14:paraId="79F21376" w14:textId="77777777" w:rsidR="00303F99" w:rsidRPr="00303F99" w:rsidRDefault="00303F99" w:rsidP="00303F99">
      <w:pPr>
        <w:numPr>
          <w:ilvl w:val="0"/>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Conclusion ............................................................................................................... 16</w:t>
      </w:r>
    </w:p>
    <w:p w14:paraId="56E181D6" w14:textId="77777777" w:rsidR="00303F99" w:rsidRPr="00303F99" w:rsidRDefault="00303F99" w:rsidP="00303F99">
      <w:pPr>
        <w:numPr>
          <w:ilvl w:val="0"/>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Recommendations ..................................................................................................</w:t>
      </w:r>
      <w:proofErr w:type="gramEnd"/>
      <w:r w:rsidRPr="00303F99">
        <w:rPr>
          <w:rFonts w:ascii="Times New Roman" w:eastAsia="Times New Roman" w:hAnsi="Times New Roman" w:cs="Times New Roman"/>
          <w:color w:val="000000" w:themeColor="text1"/>
          <w:lang w:val="en-GB" w:eastAsia="en-GB"/>
        </w:rPr>
        <w:t xml:space="preserve"> 17</w:t>
      </w:r>
    </w:p>
    <w:p w14:paraId="243EE535"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Research</w:t>
      </w:r>
    </w:p>
    <w:p w14:paraId="1BEBDC67"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Policy</w:t>
      </w:r>
    </w:p>
    <w:p w14:paraId="42730D18" w14:textId="77777777" w:rsidR="00303F99" w:rsidRPr="00303F99" w:rsidRDefault="00303F99" w:rsidP="00303F99">
      <w:pPr>
        <w:numPr>
          <w:ilvl w:val="1"/>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Practice</w:t>
      </w:r>
    </w:p>
    <w:p w14:paraId="52CA3BF7" w14:textId="77777777" w:rsidR="00303F99" w:rsidRPr="00303F99" w:rsidRDefault="00303F99" w:rsidP="00303F99">
      <w:pPr>
        <w:numPr>
          <w:ilvl w:val="0"/>
          <w:numId w:val="1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Reference List ......................................................................................................... 19</w:t>
      </w:r>
    </w:p>
    <w:p w14:paraId="336B624D" w14:textId="77777777"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r w:rsidRPr="00303F99">
        <w:rPr>
          <w:rFonts w:ascii="Times New Roman" w:eastAsia="Times New Roman" w:hAnsi="Times New Roman" w:cs="Times New Roman"/>
          <w:b/>
          <w:bCs/>
          <w:color w:val="000000" w:themeColor="text1"/>
          <w:kern w:val="36"/>
          <w:sz w:val="48"/>
          <w:szCs w:val="48"/>
          <w:lang w:val="en-GB" w:eastAsia="en-GB"/>
        </w:rPr>
        <w:t>Introduction</w:t>
      </w:r>
    </w:p>
    <w:p w14:paraId="39A6E935"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A scoping review is a methodological approach used to explore the breadth, depth, and nature of existing research on a broad or complex topic. Its purpose is to map what evidence exists, how key concepts are defined, and where gaps in knowledge remain (Arksey &amp; O’Malley, 2005). Unlike systematic reviews, which evaluate the quality of studies and synthesise findings to answer narrowly defined questions, scoping reviews aim to provide a descriptive overview of the available literature (Munn et al., 2018). This makes them particularly valuable in health and social care, where concepts are often interpreted differently across settings and studied using diverse research designs.</w:t>
      </w:r>
    </w:p>
    <w:p w14:paraId="534D69CC"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According to the Joanna Briggs Institute (JBI), scoping reviews help clarify conceptual boundaries, identify inconsistencies, and support the development of future research, policy, and practice (Peters et al., 2020). They are especially useful when evidence is scattered, emerging, or insufficiently synthesised — as is the case for digital mental health interventions for young adults with dementia.</w:t>
      </w:r>
    </w:p>
    <w:p w14:paraId="5BE0A541"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Young</w:t>
      </w:r>
      <w:r w:rsidRPr="00303F99">
        <w:rPr>
          <w:rFonts w:ascii="Times New Roman" w:eastAsia="Times New Roman" w:hAnsi="Times New Roman" w:cs="Times New Roman"/>
          <w:color w:val="000000" w:themeColor="text1"/>
          <w:lang w:val="en-GB" w:eastAsia="en-GB"/>
        </w:rPr>
        <w:noBreakHyphen/>
        <w:t>onset dementia (YOD), defined as dementia diagnosed before the age of 65, affects approximately 70,000 people in the UK (Alzheimer’s Society, 2023). Young adults with dementia often face unique challenges, including disrupted employment, financial strain, family responsibilities, and limited access to age</w:t>
      </w:r>
      <w:r w:rsidRPr="00303F99">
        <w:rPr>
          <w:rFonts w:ascii="Times New Roman" w:eastAsia="Times New Roman" w:hAnsi="Times New Roman" w:cs="Times New Roman"/>
          <w:color w:val="000000" w:themeColor="text1"/>
          <w:lang w:val="en-GB" w:eastAsia="en-GB"/>
        </w:rPr>
        <w:noBreakHyphen/>
        <w:t>appropriate services. Digital mental health interventions — such as apps, telehealth, artificial intelligence (AI) tools, and online therapy — have the potential to improve access to support, yet their effectiveness and accessibility for younger adults with dementia remain unclear.</w:t>
      </w:r>
    </w:p>
    <w:p w14:paraId="543088E7"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This scoping review is structured using the PCC framework (Population, Concept, </w:t>
      </w:r>
      <w:proofErr w:type="gramStart"/>
      <w:r w:rsidRPr="00303F99">
        <w:rPr>
          <w:rFonts w:ascii="Times New Roman" w:eastAsia="Times New Roman" w:hAnsi="Times New Roman" w:cs="Times New Roman"/>
          <w:color w:val="000000" w:themeColor="text1"/>
          <w:lang w:val="en-GB" w:eastAsia="en-GB"/>
        </w:rPr>
        <w:t>Context</w:t>
      </w:r>
      <w:proofErr w:type="gramEnd"/>
      <w:r w:rsidRPr="00303F99">
        <w:rPr>
          <w:rFonts w:ascii="Times New Roman" w:eastAsia="Times New Roman" w:hAnsi="Times New Roman" w:cs="Times New Roman"/>
          <w:color w:val="000000" w:themeColor="text1"/>
          <w:lang w:val="en-GB" w:eastAsia="en-GB"/>
        </w:rPr>
        <w:t>), recommended by JBI for defining scoping review questions (Peters et al., 2020):</w:t>
      </w:r>
    </w:p>
    <w:p w14:paraId="6500DB09" w14:textId="77777777" w:rsidR="00303F99" w:rsidRPr="00303F99" w:rsidRDefault="00303F99" w:rsidP="00303F99">
      <w:pPr>
        <w:numPr>
          <w:ilvl w:val="0"/>
          <w:numId w:val="17"/>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b/>
          <w:bCs/>
          <w:color w:val="000000" w:themeColor="text1"/>
          <w:lang w:val="en-GB" w:eastAsia="en-GB"/>
        </w:rPr>
        <w:t>Population:</w:t>
      </w:r>
      <w:r w:rsidRPr="00303F99">
        <w:rPr>
          <w:rFonts w:ascii="Times New Roman" w:eastAsia="Times New Roman" w:hAnsi="Times New Roman" w:cs="Times New Roman"/>
          <w:color w:val="000000" w:themeColor="text1"/>
          <w:lang w:val="en-GB" w:eastAsia="en-GB"/>
        </w:rPr>
        <w:t xml:space="preserve"> Young adults with dementia</w:t>
      </w:r>
    </w:p>
    <w:p w14:paraId="6CDFCF4B" w14:textId="77777777" w:rsidR="00303F99" w:rsidRPr="00303F99" w:rsidRDefault="00303F99" w:rsidP="00303F99">
      <w:pPr>
        <w:numPr>
          <w:ilvl w:val="0"/>
          <w:numId w:val="17"/>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b/>
          <w:bCs/>
          <w:color w:val="000000" w:themeColor="text1"/>
          <w:lang w:val="en-GB" w:eastAsia="en-GB"/>
        </w:rPr>
        <w:t>Concept:</w:t>
      </w:r>
      <w:r w:rsidRPr="00303F99">
        <w:rPr>
          <w:rFonts w:ascii="Times New Roman" w:eastAsia="Times New Roman" w:hAnsi="Times New Roman" w:cs="Times New Roman"/>
          <w:color w:val="000000" w:themeColor="text1"/>
          <w:lang w:val="en-GB" w:eastAsia="en-GB"/>
        </w:rPr>
        <w:t xml:space="preserve"> Digital mental health interventions</w:t>
      </w:r>
    </w:p>
    <w:p w14:paraId="61206715" w14:textId="77777777" w:rsidR="00303F99" w:rsidRPr="00303F99" w:rsidRDefault="00303F99" w:rsidP="00303F99">
      <w:pPr>
        <w:numPr>
          <w:ilvl w:val="0"/>
          <w:numId w:val="17"/>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b/>
          <w:bCs/>
          <w:color w:val="000000" w:themeColor="text1"/>
          <w:lang w:val="en-GB" w:eastAsia="en-GB"/>
        </w:rPr>
        <w:t>Context:</w:t>
      </w:r>
      <w:r w:rsidRPr="00303F99">
        <w:rPr>
          <w:rFonts w:ascii="Times New Roman" w:eastAsia="Times New Roman" w:hAnsi="Times New Roman" w:cs="Times New Roman"/>
          <w:color w:val="000000" w:themeColor="text1"/>
          <w:lang w:val="en-GB" w:eastAsia="en-GB"/>
        </w:rPr>
        <w:t xml:space="preserve"> Health and social care services</w:t>
      </w:r>
    </w:p>
    <w:p w14:paraId="331F6DC4"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Review Question</w:t>
      </w:r>
    </w:p>
    <w:p w14:paraId="57C2C993"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b/>
          <w:bCs/>
          <w:color w:val="000000" w:themeColor="text1"/>
          <w:lang w:val="en-GB" w:eastAsia="en-GB"/>
        </w:rPr>
        <w:t>What evidence exists regarding digital mental health interventions for young adults with dementia?</w:t>
      </w:r>
    </w:p>
    <w:p w14:paraId="66BBF048"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Objectives</w:t>
      </w:r>
    </w:p>
    <w:p w14:paraId="52FDD8DD" w14:textId="77777777" w:rsidR="00303F99" w:rsidRPr="00303F99" w:rsidRDefault="00303F99" w:rsidP="00303F99">
      <w:pPr>
        <w:numPr>
          <w:ilvl w:val="0"/>
          <w:numId w:val="18"/>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Map existing literature on digital mental health interventions relevant to dementia.</w:t>
      </w:r>
    </w:p>
    <w:p w14:paraId="6F7586E6" w14:textId="77777777" w:rsidR="00303F99" w:rsidRPr="00303F99" w:rsidRDefault="00303F99" w:rsidP="00303F99">
      <w:pPr>
        <w:numPr>
          <w:ilvl w:val="0"/>
          <w:numId w:val="18"/>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Identify recurring themes, definitions, and conceptual variations.</w:t>
      </w:r>
    </w:p>
    <w:p w14:paraId="0AC525FC" w14:textId="77777777" w:rsidR="00303F99" w:rsidRPr="00303F99" w:rsidRDefault="00303F99" w:rsidP="00303F99">
      <w:pPr>
        <w:numPr>
          <w:ilvl w:val="0"/>
          <w:numId w:val="18"/>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Examine the types of evidence and research methods used.</w:t>
      </w:r>
    </w:p>
    <w:p w14:paraId="484EF4E9" w14:textId="77777777" w:rsidR="00303F99" w:rsidRPr="00303F99" w:rsidRDefault="00303F99" w:rsidP="00303F99">
      <w:pPr>
        <w:numPr>
          <w:ilvl w:val="0"/>
          <w:numId w:val="18"/>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Highlight gaps in research relating specifically to young adults with dementia.</w:t>
      </w:r>
    </w:p>
    <w:p w14:paraId="1816699C" w14:textId="77777777" w:rsidR="00303F99" w:rsidRPr="00303F99" w:rsidRDefault="00303F99" w:rsidP="00303F99">
      <w:pPr>
        <w:numPr>
          <w:ilvl w:val="0"/>
          <w:numId w:val="18"/>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Provide an evidence</w:t>
      </w:r>
      <w:r w:rsidRPr="00303F99">
        <w:rPr>
          <w:rFonts w:ascii="Times New Roman" w:eastAsia="Times New Roman" w:hAnsi="Times New Roman" w:cs="Times New Roman"/>
          <w:color w:val="000000" w:themeColor="text1"/>
          <w:lang w:val="en-GB" w:eastAsia="en-GB"/>
        </w:rPr>
        <w:noBreakHyphen/>
        <w:t>based foundation for future research, policy, and practice.</w:t>
      </w:r>
    </w:p>
    <w:p w14:paraId="2EDE4CC8" w14:textId="77777777"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r w:rsidRPr="00303F99">
        <w:rPr>
          <w:rFonts w:ascii="Times New Roman" w:eastAsia="Times New Roman" w:hAnsi="Times New Roman" w:cs="Times New Roman"/>
          <w:b/>
          <w:bCs/>
          <w:color w:val="000000" w:themeColor="text1"/>
          <w:kern w:val="36"/>
          <w:sz w:val="48"/>
          <w:szCs w:val="48"/>
          <w:lang w:val="en-GB" w:eastAsia="en-GB"/>
        </w:rPr>
        <w:t>Background</w:t>
      </w:r>
    </w:p>
    <w:p w14:paraId="1FC76206" w14:textId="77777777" w:rsidR="00303F99" w:rsidRPr="00303F99" w:rsidRDefault="00303F99" w:rsidP="00303F99">
      <w:pPr>
        <w:pStyle w:val="NormalWeb"/>
        <w:rPr>
          <w:color w:val="000000" w:themeColor="text1"/>
        </w:rPr>
      </w:pPr>
      <w:r w:rsidRPr="00303F99">
        <w:rPr>
          <w:color w:val="000000" w:themeColor="text1"/>
        </w:rPr>
        <w:t>Digital mental health interventions must also be understood within the broader context of digital transformation in the NHS. Over the past decade, national policy has increasingly emphasised the role of digital tools in improving efficiency, reducing waiting times, and widening access to care. The NHS Digital Transformation Strategy highlights the importance of integrating digital platforms into routine care pathways, particularly for long</w:t>
      </w:r>
      <w:r w:rsidRPr="00303F99">
        <w:rPr>
          <w:color w:val="000000" w:themeColor="text1"/>
        </w:rPr>
        <w:noBreakHyphen/>
        <w:t>term conditions such as dementia. However, while digital innovation is progressing rapidly, service development has not always kept pace with the specific needs of younger adults with dementia, who often require more personalised, flexible, and age</w:t>
      </w:r>
      <w:r w:rsidRPr="00303F99">
        <w:rPr>
          <w:color w:val="000000" w:themeColor="text1"/>
        </w:rPr>
        <w:noBreakHyphen/>
        <w:t>appropriate support.</w:t>
      </w:r>
    </w:p>
    <w:p w14:paraId="3F08323B" w14:textId="77777777" w:rsidR="00303F99" w:rsidRPr="00303F99" w:rsidRDefault="00303F99" w:rsidP="00303F99">
      <w:pPr>
        <w:pStyle w:val="NormalWeb"/>
        <w:rPr>
          <w:color w:val="000000" w:themeColor="text1"/>
        </w:rPr>
      </w:pPr>
      <w:r w:rsidRPr="00303F99">
        <w:rPr>
          <w:color w:val="000000" w:themeColor="text1"/>
        </w:rPr>
        <w:t>Another important contextual factor is the growing recognition of health inequalities in digital access. The UK government’s Digital Inclusion Strategy identifies digital literacy, affordability, and accessibility as key determinants of digital engagement. These issues are particularly relevant for young adults with dementia, who may experience early job loss, reduced income, and cognitive challenges that affect their ability to navigate digital systems. As a result, digital mental health interventions may unintentionally widen inequalities if they are not designed with accessibility and usability in mind.</w:t>
      </w:r>
    </w:p>
    <w:p w14:paraId="387BE829" w14:textId="77777777" w:rsidR="00303F99" w:rsidRPr="00303F99" w:rsidRDefault="00303F99" w:rsidP="00303F99">
      <w:pPr>
        <w:pStyle w:val="NormalWeb"/>
        <w:rPr>
          <w:color w:val="000000" w:themeColor="text1"/>
        </w:rPr>
      </w:pPr>
      <w:r w:rsidRPr="00303F99">
        <w:rPr>
          <w:color w:val="000000" w:themeColor="text1"/>
        </w:rPr>
        <w:t>Furthermore, the social context of young</w:t>
      </w:r>
      <w:r w:rsidRPr="00303F99">
        <w:rPr>
          <w:color w:val="000000" w:themeColor="text1"/>
        </w:rPr>
        <w:noBreakHyphen/>
        <w:t>onset dementia differs significantly from that of older adults. Younger individuals are more likely to have dependent children, active careers, and financial commitments such as mortgages. These responsibilities can intensify the psychological impact of dementia and increase the need for accessible mental health support. Digital interventions have the potential to offer flexible, discreet, and immediate support, but only if they are designed to accommodate the cognitive, emotional, and practical needs of this population.</w:t>
      </w:r>
    </w:p>
    <w:p w14:paraId="048647DD" w14:textId="77777777" w:rsidR="00303F99" w:rsidRPr="00303F99" w:rsidRDefault="00303F99" w:rsidP="00303F99">
      <w:pPr>
        <w:pStyle w:val="NormalWeb"/>
        <w:rPr>
          <w:color w:val="000000" w:themeColor="text1"/>
        </w:rPr>
      </w:pPr>
      <w:r w:rsidRPr="00303F99">
        <w:rPr>
          <w:color w:val="000000" w:themeColor="text1"/>
        </w:rPr>
        <w:t>Finally, the voluntary and community sector plays a crucial role in supporting people with dementia, including younger adults. Charities such as Alzheimer’s Society and Young Dementia UK have increasingly explored digital platforms to deliver peer support, information, and counselling. However, the evidence base for these interventions remains limited, and further research is needed to understand their effectiveness and accessibility for younger adults with dementia.</w:t>
      </w:r>
    </w:p>
    <w:p w14:paraId="3C19762E"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
    <w:p w14:paraId="37D79043"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
    <w:p w14:paraId="63C6341A"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
    <w:p w14:paraId="21345698"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Understanding the wider health and social care context is essential for interpreting how digital mental health interventions are developed, implemented, and accessed by individuals with dementia. The UK health and social care system is shaped by legislation, national strategies, regulatory standards, and evidence</w:t>
      </w:r>
      <w:r w:rsidRPr="00303F99">
        <w:rPr>
          <w:rFonts w:ascii="Times New Roman" w:eastAsia="Times New Roman" w:hAnsi="Times New Roman" w:cs="Times New Roman"/>
          <w:color w:val="000000" w:themeColor="text1"/>
          <w:lang w:val="en-GB" w:eastAsia="en-GB"/>
        </w:rPr>
        <w:noBreakHyphen/>
        <w:t>based practice frameworks that collectively influence service delivery.</w:t>
      </w:r>
    </w:p>
    <w:p w14:paraId="6FEAD910"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Legislative Context</w:t>
      </w:r>
    </w:p>
    <w:p w14:paraId="1F961E78"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The </w:t>
      </w:r>
      <w:r w:rsidRPr="00303F99">
        <w:rPr>
          <w:rFonts w:ascii="Times New Roman" w:eastAsia="Times New Roman" w:hAnsi="Times New Roman" w:cs="Times New Roman"/>
          <w:b/>
          <w:bCs/>
          <w:color w:val="000000" w:themeColor="text1"/>
          <w:lang w:val="en-GB" w:eastAsia="en-GB"/>
        </w:rPr>
        <w:t>Health and Social Care Act 2012</w:t>
      </w:r>
      <w:r w:rsidRPr="00303F99">
        <w:rPr>
          <w:rFonts w:ascii="Times New Roman" w:eastAsia="Times New Roman" w:hAnsi="Times New Roman" w:cs="Times New Roman"/>
          <w:color w:val="000000" w:themeColor="text1"/>
          <w:lang w:val="en-GB" w:eastAsia="en-GB"/>
        </w:rPr>
        <w:t xml:space="preserve"> established responsibilities for the NHS, local authorities, and integrated care systems (ICSs), emphasising patient choice, accountability, and localised service planning (Department of Health and Social Care, 2012). More recently, the </w:t>
      </w:r>
      <w:r w:rsidRPr="00303F99">
        <w:rPr>
          <w:rFonts w:ascii="Times New Roman" w:eastAsia="Times New Roman" w:hAnsi="Times New Roman" w:cs="Times New Roman"/>
          <w:b/>
          <w:bCs/>
          <w:color w:val="000000" w:themeColor="text1"/>
          <w:lang w:val="en-GB" w:eastAsia="en-GB"/>
        </w:rPr>
        <w:t>Health and Care Act 2022</w:t>
      </w:r>
      <w:r w:rsidRPr="00303F99">
        <w:rPr>
          <w:rFonts w:ascii="Times New Roman" w:eastAsia="Times New Roman" w:hAnsi="Times New Roman" w:cs="Times New Roman"/>
          <w:color w:val="000000" w:themeColor="text1"/>
          <w:lang w:val="en-GB" w:eastAsia="en-GB"/>
        </w:rPr>
        <w:t xml:space="preserve"> introduced statutory ICSs to strengthen collaboration across health, social care, public health, and voluntary sectors — a crucial development for complex conditions such as dementia.</w:t>
      </w:r>
    </w:p>
    <w:p w14:paraId="5D1BAB8C"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The </w:t>
      </w:r>
      <w:r w:rsidRPr="00303F99">
        <w:rPr>
          <w:rFonts w:ascii="Times New Roman" w:eastAsia="Times New Roman" w:hAnsi="Times New Roman" w:cs="Times New Roman"/>
          <w:b/>
          <w:bCs/>
          <w:color w:val="000000" w:themeColor="text1"/>
          <w:lang w:val="en-GB" w:eastAsia="en-GB"/>
        </w:rPr>
        <w:t>Care Act 2014</w:t>
      </w:r>
      <w:r w:rsidRPr="00303F99">
        <w:rPr>
          <w:rFonts w:ascii="Times New Roman" w:eastAsia="Times New Roman" w:hAnsi="Times New Roman" w:cs="Times New Roman"/>
          <w:color w:val="000000" w:themeColor="text1"/>
          <w:lang w:val="en-GB" w:eastAsia="en-GB"/>
        </w:rPr>
        <w:t xml:space="preserve"> provides the legal framework for adult social care in England, emphasising wellbeing, prevention, personalised support, and safeguarding. It requires local authorities to assess needs, promote independence, and ensure access to information and advocacy. For young adults with dementia, the Care Act highlights the importance of tailored support and accessible pathways.</w:t>
      </w:r>
    </w:p>
    <w:p w14:paraId="0990FE6B"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National Policy</w:t>
      </w:r>
    </w:p>
    <w:p w14:paraId="1A7CF935"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The </w:t>
      </w:r>
      <w:r w:rsidRPr="00303F99">
        <w:rPr>
          <w:rFonts w:ascii="Times New Roman" w:eastAsia="Times New Roman" w:hAnsi="Times New Roman" w:cs="Times New Roman"/>
          <w:b/>
          <w:bCs/>
          <w:color w:val="000000" w:themeColor="text1"/>
          <w:lang w:val="en-GB" w:eastAsia="en-GB"/>
        </w:rPr>
        <w:t>NHS Long Term Plan (2019)</w:t>
      </w:r>
      <w:r w:rsidRPr="00303F99">
        <w:rPr>
          <w:rFonts w:ascii="Times New Roman" w:eastAsia="Times New Roman" w:hAnsi="Times New Roman" w:cs="Times New Roman"/>
          <w:color w:val="000000" w:themeColor="text1"/>
          <w:lang w:val="en-GB" w:eastAsia="en-GB"/>
        </w:rPr>
        <w:t xml:space="preserve"> prioritises personalised care, digital innovation, early intervention, and reducing health inequalities. Digital mental health interventions are central to this strategy, with commitments to expand telehealth, remote monitoring, and digital therapeutic tools.</w:t>
      </w:r>
    </w:p>
    <w:p w14:paraId="477131C8"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Professional Guidance</w:t>
      </w:r>
    </w:p>
    <w:p w14:paraId="5C8FA317"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The </w:t>
      </w:r>
      <w:r w:rsidRPr="00303F99">
        <w:rPr>
          <w:rFonts w:ascii="Times New Roman" w:eastAsia="Times New Roman" w:hAnsi="Times New Roman" w:cs="Times New Roman"/>
          <w:b/>
          <w:bCs/>
          <w:color w:val="000000" w:themeColor="text1"/>
          <w:lang w:val="en-GB" w:eastAsia="en-GB"/>
        </w:rPr>
        <w:t>National Institute for Health and Care Excellence (NICE)</w:t>
      </w:r>
      <w:r w:rsidRPr="00303F99">
        <w:rPr>
          <w:rFonts w:ascii="Times New Roman" w:eastAsia="Times New Roman" w:hAnsi="Times New Roman" w:cs="Times New Roman"/>
          <w:color w:val="000000" w:themeColor="text1"/>
          <w:lang w:val="en-GB" w:eastAsia="en-GB"/>
        </w:rPr>
        <w:t xml:space="preserve"> provides evidence</w:t>
      </w:r>
      <w:r w:rsidRPr="00303F99">
        <w:rPr>
          <w:rFonts w:ascii="Times New Roman" w:eastAsia="Times New Roman" w:hAnsi="Times New Roman" w:cs="Times New Roman"/>
          <w:color w:val="000000" w:themeColor="text1"/>
          <w:lang w:val="en-GB" w:eastAsia="en-GB"/>
        </w:rPr>
        <w:noBreakHyphen/>
        <w:t>based guidelines for dementia assessment, treatment, and support. NICE emphasises person</w:t>
      </w:r>
      <w:r w:rsidRPr="00303F99">
        <w:rPr>
          <w:rFonts w:ascii="Times New Roman" w:eastAsia="Times New Roman" w:hAnsi="Times New Roman" w:cs="Times New Roman"/>
          <w:color w:val="000000" w:themeColor="text1"/>
          <w:lang w:val="en-GB" w:eastAsia="en-GB"/>
        </w:rPr>
        <w:noBreakHyphen/>
        <w:t>centred care, shared decision</w:t>
      </w:r>
      <w:r w:rsidRPr="00303F99">
        <w:rPr>
          <w:rFonts w:ascii="Times New Roman" w:eastAsia="Times New Roman" w:hAnsi="Times New Roman" w:cs="Times New Roman"/>
          <w:color w:val="000000" w:themeColor="text1"/>
          <w:lang w:val="en-GB" w:eastAsia="en-GB"/>
        </w:rPr>
        <w:noBreakHyphen/>
        <w:t>making, and accessible services — principles that underpin digital mental health interventions.</w:t>
      </w:r>
    </w:p>
    <w:p w14:paraId="0D70969B"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The </w:t>
      </w:r>
      <w:r w:rsidRPr="00303F99">
        <w:rPr>
          <w:rFonts w:ascii="Times New Roman" w:eastAsia="Times New Roman" w:hAnsi="Times New Roman" w:cs="Times New Roman"/>
          <w:b/>
          <w:bCs/>
          <w:color w:val="000000" w:themeColor="text1"/>
          <w:lang w:val="en-GB" w:eastAsia="en-GB"/>
        </w:rPr>
        <w:t>Care Quality Commission (CQC)</w:t>
      </w:r>
      <w:r w:rsidRPr="00303F99">
        <w:rPr>
          <w:rFonts w:ascii="Times New Roman" w:eastAsia="Times New Roman" w:hAnsi="Times New Roman" w:cs="Times New Roman"/>
          <w:color w:val="000000" w:themeColor="text1"/>
          <w:lang w:val="en-GB" w:eastAsia="en-GB"/>
        </w:rPr>
        <w:t xml:space="preserve"> regulates health and social care services, ensuring compliance with Fundamental Standards such as person</w:t>
      </w:r>
      <w:r w:rsidRPr="00303F99">
        <w:rPr>
          <w:rFonts w:ascii="Times New Roman" w:eastAsia="Times New Roman" w:hAnsi="Times New Roman" w:cs="Times New Roman"/>
          <w:color w:val="000000" w:themeColor="text1"/>
          <w:lang w:val="en-GB" w:eastAsia="en-GB"/>
        </w:rPr>
        <w:noBreakHyphen/>
        <w:t>centred care, dignity, safeguarding, and effective governance.</w:t>
      </w:r>
    </w:p>
    <w:p w14:paraId="334E6557"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Digital Mental Health Landscape</w:t>
      </w:r>
    </w:p>
    <w:p w14:paraId="61929AD0"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mental health interventions include:</w:t>
      </w:r>
    </w:p>
    <w:p w14:paraId="504A0018" w14:textId="77777777" w:rsidR="00303F99" w:rsidRPr="00303F99" w:rsidRDefault="00303F99" w:rsidP="00303F99">
      <w:pPr>
        <w:numPr>
          <w:ilvl w:val="0"/>
          <w:numId w:val="19"/>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Mobile apps</w:t>
      </w:r>
    </w:p>
    <w:p w14:paraId="41F26D17" w14:textId="77777777" w:rsidR="00303F99" w:rsidRPr="00303F99" w:rsidRDefault="00303F99" w:rsidP="00303F99">
      <w:pPr>
        <w:numPr>
          <w:ilvl w:val="0"/>
          <w:numId w:val="19"/>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Online therapy platforms</w:t>
      </w:r>
    </w:p>
    <w:p w14:paraId="0C4FD311" w14:textId="77777777" w:rsidR="00303F99" w:rsidRPr="00303F99" w:rsidRDefault="00303F99" w:rsidP="00303F99">
      <w:pPr>
        <w:numPr>
          <w:ilvl w:val="0"/>
          <w:numId w:val="19"/>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Telehealth consultations</w:t>
      </w:r>
    </w:p>
    <w:p w14:paraId="6D60E021" w14:textId="77777777" w:rsidR="00303F99" w:rsidRPr="00303F99" w:rsidRDefault="00303F99" w:rsidP="00303F99">
      <w:pPr>
        <w:numPr>
          <w:ilvl w:val="0"/>
          <w:numId w:val="19"/>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AI</w:t>
      </w:r>
      <w:r w:rsidRPr="00303F99">
        <w:rPr>
          <w:rFonts w:ascii="Times New Roman" w:eastAsia="Times New Roman" w:hAnsi="Times New Roman" w:cs="Times New Roman"/>
          <w:color w:val="000000" w:themeColor="text1"/>
          <w:lang w:val="en-GB" w:eastAsia="en-GB"/>
        </w:rPr>
        <w:noBreakHyphen/>
        <w:t>enabled diagnostic tools</w:t>
      </w:r>
    </w:p>
    <w:p w14:paraId="38835198" w14:textId="77777777" w:rsidR="00303F99" w:rsidRPr="00303F99" w:rsidRDefault="00303F99" w:rsidP="00303F99">
      <w:pPr>
        <w:numPr>
          <w:ilvl w:val="0"/>
          <w:numId w:val="19"/>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Cognitive training software</w:t>
      </w:r>
    </w:p>
    <w:p w14:paraId="20DDF496" w14:textId="77777777" w:rsidR="00303F99" w:rsidRPr="00303F99" w:rsidRDefault="00303F99" w:rsidP="00303F99">
      <w:pPr>
        <w:numPr>
          <w:ilvl w:val="0"/>
          <w:numId w:val="19"/>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Virtual reality (VR) therapeutic environments</w:t>
      </w:r>
    </w:p>
    <w:p w14:paraId="7DFCD317"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These tools aim to improve accessibility, reduce waiting times, and provide flexible support. However, digital exclusion, limited digital literacy, and poor usability can create barriers, particularly for individuals with cognitive impairments.</w:t>
      </w:r>
    </w:p>
    <w:p w14:paraId="673B06D3"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Young</w:t>
      </w:r>
      <w:r w:rsidRPr="00303F99">
        <w:rPr>
          <w:rFonts w:ascii="Times New Roman" w:eastAsia="Times New Roman" w:hAnsi="Times New Roman" w:cs="Times New Roman"/>
          <w:b/>
          <w:bCs/>
          <w:color w:val="000000" w:themeColor="text1"/>
          <w:sz w:val="27"/>
          <w:szCs w:val="27"/>
          <w:lang w:val="en-GB" w:eastAsia="en-GB"/>
        </w:rPr>
        <w:noBreakHyphen/>
        <w:t>Onset Dementia Context</w:t>
      </w:r>
    </w:p>
    <w:p w14:paraId="5E81B507"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Young adults with dementia often experience:</w:t>
      </w:r>
    </w:p>
    <w:p w14:paraId="310AA85B" w14:textId="77777777" w:rsidR="00303F99" w:rsidRPr="00303F99" w:rsidRDefault="00303F99" w:rsidP="00303F99">
      <w:pPr>
        <w:numPr>
          <w:ilvl w:val="0"/>
          <w:numId w:val="20"/>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Delayed diagnosis</w:t>
      </w:r>
    </w:p>
    <w:p w14:paraId="00E98A99" w14:textId="77777777" w:rsidR="00303F99" w:rsidRPr="00303F99" w:rsidRDefault="00303F99" w:rsidP="00303F99">
      <w:pPr>
        <w:numPr>
          <w:ilvl w:val="0"/>
          <w:numId w:val="20"/>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Misdiagnosis</w:t>
      </w:r>
    </w:p>
    <w:p w14:paraId="1A76B366" w14:textId="77777777" w:rsidR="00303F99" w:rsidRPr="00303F99" w:rsidRDefault="00303F99" w:rsidP="00303F99">
      <w:pPr>
        <w:numPr>
          <w:ilvl w:val="0"/>
          <w:numId w:val="20"/>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Limited age</w:t>
      </w:r>
      <w:r w:rsidRPr="00303F99">
        <w:rPr>
          <w:rFonts w:ascii="Times New Roman" w:eastAsia="Times New Roman" w:hAnsi="Times New Roman" w:cs="Times New Roman"/>
          <w:color w:val="000000" w:themeColor="text1"/>
          <w:lang w:val="en-GB" w:eastAsia="en-GB"/>
        </w:rPr>
        <w:noBreakHyphen/>
        <w:t>appropriate services</w:t>
      </w:r>
    </w:p>
    <w:p w14:paraId="56CD2326" w14:textId="77777777" w:rsidR="00303F99" w:rsidRPr="00303F99" w:rsidRDefault="00303F99" w:rsidP="00303F99">
      <w:pPr>
        <w:numPr>
          <w:ilvl w:val="0"/>
          <w:numId w:val="20"/>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Employment disruption</w:t>
      </w:r>
    </w:p>
    <w:p w14:paraId="16CA5F02" w14:textId="77777777" w:rsidR="00303F99" w:rsidRPr="00303F99" w:rsidRDefault="00303F99" w:rsidP="00303F99">
      <w:pPr>
        <w:numPr>
          <w:ilvl w:val="0"/>
          <w:numId w:val="20"/>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Financial strain</w:t>
      </w:r>
    </w:p>
    <w:p w14:paraId="6CAB84A0" w14:textId="77777777" w:rsidR="00303F99" w:rsidRPr="00303F99" w:rsidRDefault="00303F99" w:rsidP="00303F99">
      <w:pPr>
        <w:numPr>
          <w:ilvl w:val="0"/>
          <w:numId w:val="20"/>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Family responsibilities (e.g., childcare)</w:t>
      </w:r>
    </w:p>
    <w:p w14:paraId="0B0BD11C" w14:textId="77777777" w:rsidR="00303F99" w:rsidRPr="00303F99" w:rsidRDefault="00303F99" w:rsidP="00303F99">
      <w:pPr>
        <w:numPr>
          <w:ilvl w:val="0"/>
          <w:numId w:val="20"/>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Social isolation</w:t>
      </w:r>
    </w:p>
    <w:p w14:paraId="5F61D0B3"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interventions may help address some of these challenges, but evidence remains limited.</w:t>
      </w:r>
    </w:p>
    <w:p w14:paraId="46903F57" w14:textId="77777777"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r w:rsidRPr="00303F99">
        <w:rPr>
          <w:rFonts w:ascii="Times New Roman" w:eastAsia="Times New Roman" w:hAnsi="Times New Roman" w:cs="Times New Roman"/>
          <w:b/>
          <w:bCs/>
          <w:color w:val="000000" w:themeColor="text1"/>
          <w:kern w:val="36"/>
          <w:sz w:val="48"/>
          <w:szCs w:val="48"/>
          <w:lang w:val="en-GB" w:eastAsia="en-GB"/>
        </w:rPr>
        <w:t>Methods</w:t>
      </w:r>
    </w:p>
    <w:p w14:paraId="26DABE0E"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This scoping review followed the JBI methodological framework and PRISMA</w:t>
      </w:r>
      <w:r w:rsidRPr="00303F99">
        <w:rPr>
          <w:rFonts w:ascii="Times New Roman" w:eastAsia="Times New Roman" w:hAnsi="Times New Roman" w:cs="Times New Roman"/>
          <w:color w:val="000000" w:themeColor="text1"/>
          <w:lang w:val="en-GB" w:eastAsia="en-GB"/>
        </w:rPr>
        <w:noBreakHyphen/>
        <w:t>ScR reporting guidelines (Tricco et al., 2018).</w:t>
      </w:r>
    </w:p>
    <w:p w14:paraId="0C49EF49" w14:textId="77777777" w:rsidR="00303F99" w:rsidRPr="00303F99" w:rsidRDefault="00303F99" w:rsidP="00303F99">
      <w:pPr>
        <w:pStyle w:val="NormalWeb"/>
        <w:rPr>
          <w:color w:val="000000" w:themeColor="text1"/>
        </w:rPr>
      </w:pPr>
      <w:r w:rsidRPr="00303F99">
        <w:rPr>
          <w:color w:val="000000" w:themeColor="text1"/>
        </w:rPr>
        <w:t>In addition to the core search strategy, the review incorporated a structured approach to screening and selecting studies. Titles and abstracts were first screened for relevance to digital mental health, dementia, or access to services. Full</w:t>
      </w:r>
      <w:r w:rsidRPr="00303F99">
        <w:rPr>
          <w:color w:val="000000" w:themeColor="text1"/>
        </w:rPr>
        <w:noBreakHyphen/>
        <w:t>text screening was then conducted to ensure that each study met the inclusion criteria. Although none of the studies focused exclusively on young adults with dementia, they were included because they offered transferable insights into digital access, digital exclusion, and mental health support.</w:t>
      </w:r>
    </w:p>
    <w:p w14:paraId="0B6D89F5" w14:textId="77777777" w:rsidR="00303F99" w:rsidRPr="00303F99" w:rsidRDefault="00303F99" w:rsidP="00303F99">
      <w:pPr>
        <w:pStyle w:val="NormalWeb"/>
        <w:rPr>
          <w:color w:val="000000" w:themeColor="text1"/>
        </w:rPr>
      </w:pPr>
      <w:r w:rsidRPr="00303F99">
        <w:rPr>
          <w:color w:val="000000" w:themeColor="text1"/>
        </w:rPr>
        <w:t>A secondary search was conducted using citation chaining, where reference lists of included studies were reviewed to identify additional relevant literature. This approach is recommended in scoping reviews to ensure comprehensive coverage of the evidence base. Grey literature, including policy documents, charity reports, and digital inclusion frameworks, was also reviewed to provide contextual understanding of digital mental health provision in the UK.</w:t>
      </w:r>
    </w:p>
    <w:p w14:paraId="04522598" w14:textId="77777777" w:rsidR="00303F99" w:rsidRPr="00303F99" w:rsidRDefault="00303F99" w:rsidP="00303F99">
      <w:pPr>
        <w:pStyle w:val="NormalWeb"/>
        <w:rPr>
          <w:color w:val="000000" w:themeColor="text1"/>
        </w:rPr>
      </w:pPr>
      <w:r w:rsidRPr="00303F99">
        <w:rPr>
          <w:color w:val="000000" w:themeColor="text1"/>
        </w:rPr>
        <w:t>Data extraction was conducted using a structured charting form, which allowed for consistent comparison across studies. Extracted data included study aims, population characteristics, intervention type, digital tools used, barriers identified, and implications for practice. This approach aligns with JBI guidance, which emphasises flexibility and iterative refinement of data charting processes.</w:t>
      </w:r>
    </w:p>
    <w:p w14:paraId="5E78E46D" w14:textId="77777777" w:rsidR="00303F99" w:rsidRPr="00303F99" w:rsidRDefault="00303F99" w:rsidP="00303F99">
      <w:pPr>
        <w:pStyle w:val="NormalWeb"/>
        <w:rPr>
          <w:color w:val="000000" w:themeColor="text1"/>
        </w:rPr>
      </w:pPr>
      <w:r w:rsidRPr="00303F99">
        <w:rPr>
          <w:color w:val="000000" w:themeColor="text1"/>
        </w:rPr>
        <w:t>A key methodological limitation of this review is the absence of studies specifically focused on young adults with dementia. This gap reflects a broader issue in dementia research, where younger populations are often underrepresented. As a result, findings must be interpreted cautiously, with recognition that further research is needed to develop population</w:t>
      </w:r>
      <w:r w:rsidRPr="00303F99">
        <w:rPr>
          <w:color w:val="000000" w:themeColor="text1"/>
        </w:rPr>
        <w:noBreakHyphen/>
        <w:t>specific evidence.</w:t>
      </w:r>
    </w:p>
    <w:p w14:paraId="2E7F8A08"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
    <w:p w14:paraId="6DDF16D7"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
    <w:p w14:paraId="30B9E392"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PCC Framework</w:t>
      </w:r>
    </w:p>
    <w:p w14:paraId="665C32A0" w14:textId="77777777" w:rsidR="00303F99" w:rsidRPr="00303F99" w:rsidRDefault="00303F99" w:rsidP="00303F99">
      <w:pPr>
        <w:numPr>
          <w:ilvl w:val="0"/>
          <w:numId w:val="21"/>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b/>
          <w:bCs/>
          <w:color w:val="000000" w:themeColor="text1"/>
          <w:lang w:val="en-GB" w:eastAsia="en-GB"/>
        </w:rPr>
        <w:t>Population:</w:t>
      </w:r>
      <w:r w:rsidRPr="00303F99">
        <w:rPr>
          <w:rFonts w:ascii="Times New Roman" w:eastAsia="Times New Roman" w:hAnsi="Times New Roman" w:cs="Times New Roman"/>
          <w:color w:val="000000" w:themeColor="text1"/>
          <w:lang w:val="en-GB" w:eastAsia="en-GB"/>
        </w:rPr>
        <w:t xml:space="preserve"> Young adults with dementia</w:t>
      </w:r>
    </w:p>
    <w:p w14:paraId="7A0F151D" w14:textId="77777777" w:rsidR="00303F99" w:rsidRPr="00303F99" w:rsidRDefault="00303F99" w:rsidP="00303F99">
      <w:pPr>
        <w:numPr>
          <w:ilvl w:val="0"/>
          <w:numId w:val="21"/>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b/>
          <w:bCs/>
          <w:color w:val="000000" w:themeColor="text1"/>
          <w:lang w:val="en-GB" w:eastAsia="en-GB"/>
        </w:rPr>
        <w:t>Concept:</w:t>
      </w:r>
      <w:r w:rsidRPr="00303F99">
        <w:rPr>
          <w:rFonts w:ascii="Times New Roman" w:eastAsia="Times New Roman" w:hAnsi="Times New Roman" w:cs="Times New Roman"/>
          <w:color w:val="000000" w:themeColor="text1"/>
          <w:lang w:val="en-GB" w:eastAsia="en-GB"/>
        </w:rPr>
        <w:t xml:space="preserve"> Digital mental health interventions</w:t>
      </w:r>
    </w:p>
    <w:p w14:paraId="2FA9F671" w14:textId="77777777" w:rsidR="00303F99" w:rsidRPr="00303F99" w:rsidRDefault="00303F99" w:rsidP="00303F99">
      <w:pPr>
        <w:numPr>
          <w:ilvl w:val="0"/>
          <w:numId w:val="21"/>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b/>
          <w:bCs/>
          <w:color w:val="000000" w:themeColor="text1"/>
          <w:lang w:val="en-GB" w:eastAsia="en-GB"/>
        </w:rPr>
        <w:t>Context:</w:t>
      </w:r>
      <w:r w:rsidRPr="00303F99">
        <w:rPr>
          <w:rFonts w:ascii="Times New Roman" w:eastAsia="Times New Roman" w:hAnsi="Times New Roman" w:cs="Times New Roman"/>
          <w:color w:val="000000" w:themeColor="text1"/>
          <w:lang w:val="en-GB" w:eastAsia="en-GB"/>
        </w:rPr>
        <w:t xml:space="preserve"> Health and social care services</w:t>
      </w:r>
    </w:p>
    <w:p w14:paraId="26601F19"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Search Strategy</w:t>
      </w:r>
    </w:p>
    <w:p w14:paraId="5095D7F3"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A comprehensive search was conducted across:</w:t>
      </w:r>
    </w:p>
    <w:p w14:paraId="1F8A6543" w14:textId="77777777" w:rsidR="00303F99" w:rsidRPr="00303F99" w:rsidRDefault="00303F99" w:rsidP="00303F99">
      <w:pPr>
        <w:numPr>
          <w:ilvl w:val="0"/>
          <w:numId w:val="22"/>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CINAHL</w:t>
      </w:r>
    </w:p>
    <w:p w14:paraId="1B5B88F8" w14:textId="77777777" w:rsidR="00303F99" w:rsidRPr="00303F99" w:rsidRDefault="00303F99" w:rsidP="00303F99">
      <w:pPr>
        <w:numPr>
          <w:ilvl w:val="0"/>
          <w:numId w:val="22"/>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MEDLINE</w:t>
      </w:r>
    </w:p>
    <w:p w14:paraId="21A24C77" w14:textId="77777777" w:rsidR="00303F99" w:rsidRPr="00303F99" w:rsidRDefault="00303F99" w:rsidP="00303F99">
      <w:pPr>
        <w:numPr>
          <w:ilvl w:val="0"/>
          <w:numId w:val="22"/>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PubMed</w:t>
      </w:r>
    </w:p>
    <w:p w14:paraId="6A5C37D0" w14:textId="77777777" w:rsidR="00303F99" w:rsidRPr="00303F99" w:rsidRDefault="00303F99" w:rsidP="00303F99">
      <w:pPr>
        <w:numPr>
          <w:ilvl w:val="0"/>
          <w:numId w:val="22"/>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Google Scholar</w:t>
      </w:r>
    </w:p>
    <w:p w14:paraId="6ED60472"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Keywords included:</w:t>
      </w:r>
    </w:p>
    <w:p w14:paraId="23757A1C" w14:textId="77777777" w:rsidR="00303F99" w:rsidRPr="00303F99" w:rsidRDefault="00303F99" w:rsidP="00303F99">
      <w:pPr>
        <w:numPr>
          <w:ilvl w:val="0"/>
          <w:numId w:val="23"/>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“young</w:t>
      </w:r>
      <w:r w:rsidRPr="00303F99">
        <w:rPr>
          <w:rFonts w:ascii="Times New Roman" w:eastAsia="Times New Roman" w:hAnsi="Times New Roman" w:cs="Times New Roman"/>
          <w:color w:val="000000" w:themeColor="text1"/>
          <w:lang w:val="en-GB" w:eastAsia="en-GB"/>
        </w:rPr>
        <w:noBreakHyphen/>
        <w:t>onset dementia”</w:t>
      </w:r>
    </w:p>
    <w:p w14:paraId="6CDA3ED7" w14:textId="77777777" w:rsidR="00303F99" w:rsidRPr="00303F99" w:rsidRDefault="00303F99" w:rsidP="00303F99">
      <w:pPr>
        <w:numPr>
          <w:ilvl w:val="0"/>
          <w:numId w:val="23"/>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mental health”</w:t>
      </w:r>
    </w:p>
    <w:p w14:paraId="0BA9A091" w14:textId="77777777" w:rsidR="00303F99" w:rsidRPr="00303F99" w:rsidRDefault="00303F99" w:rsidP="00303F99">
      <w:pPr>
        <w:numPr>
          <w:ilvl w:val="0"/>
          <w:numId w:val="23"/>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“AI mental health tools”</w:t>
      </w:r>
    </w:p>
    <w:p w14:paraId="058181DE" w14:textId="77777777" w:rsidR="00303F99" w:rsidRPr="00303F99" w:rsidRDefault="00303F99" w:rsidP="00303F99">
      <w:pPr>
        <w:numPr>
          <w:ilvl w:val="0"/>
          <w:numId w:val="23"/>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“telehealth dementia”</w:t>
      </w:r>
    </w:p>
    <w:p w14:paraId="545FD50C" w14:textId="77777777" w:rsidR="00303F99" w:rsidRPr="00303F99" w:rsidRDefault="00303F99" w:rsidP="00303F99">
      <w:pPr>
        <w:numPr>
          <w:ilvl w:val="0"/>
          <w:numId w:val="23"/>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exclusion”</w:t>
      </w:r>
    </w:p>
    <w:p w14:paraId="7B7D1E6C" w14:textId="77777777" w:rsidR="00303F99" w:rsidRPr="00303F99" w:rsidRDefault="00303F99" w:rsidP="00303F99">
      <w:pPr>
        <w:numPr>
          <w:ilvl w:val="0"/>
          <w:numId w:val="23"/>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“mental health access”</w:t>
      </w:r>
    </w:p>
    <w:p w14:paraId="0A05191D"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Boolean operators (AND, OR) and MeSH terms were used.</w:t>
      </w:r>
    </w:p>
    <w:p w14:paraId="00A11507"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Inclusion Criteria</w:t>
      </w:r>
    </w:p>
    <w:p w14:paraId="3EB05674" w14:textId="77777777" w:rsidR="00303F99" w:rsidRPr="00303F99" w:rsidRDefault="00303F99" w:rsidP="00303F99">
      <w:pPr>
        <w:numPr>
          <w:ilvl w:val="0"/>
          <w:numId w:val="24"/>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Published between 2009–2024</w:t>
      </w:r>
    </w:p>
    <w:p w14:paraId="0DF180BA" w14:textId="77777777" w:rsidR="00303F99" w:rsidRPr="00303F99" w:rsidRDefault="00303F99" w:rsidP="00303F99">
      <w:pPr>
        <w:numPr>
          <w:ilvl w:val="0"/>
          <w:numId w:val="24"/>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Focus on digital mental health, dementia, or access to services</w:t>
      </w:r>
    </w:p>
    <w:p w14:paraId="04E423AF" w14:textId="77777777" w:rsidR="00303F99" w:rsidRPr="00303F99" w:rsidRDefault="00303F99" w:rsidP="00303F99">
      <w:pPr>
        <w:numPr>
          <w:ilvl w:val="0"/>
          <w:numId w:val="24"/>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Primary or secondary research</w:t>
      </w:r>
    </w:p>
    <w:p w14:paraId="3F39A852" w14:textId="77777777" w:rsidR="00303F99" w:rsidRPr="00303F99" w:rsidRDefault="00303F99" w:rsidP="00303F99">
      <w:pPr>
        <w:numPr>
          <w:ilvl w:val="0"/>
          <w:numId w:val="24"/>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English language</w:t>
      </w:r>
    </w:p>
    <w:p w14:paraId="21FB3106"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Exclusion Criteria</w:t>
      </w:r>
    </w:p>
    <w:p w14:paraId="3C9487D9" w14:textId="77777777" w:rsidR="00303F99" w:rsidRPr="00303F99" w:rsidRDefault="00303F99" w:rsidP="00303F99">
      <w:pPr>
        <w:numPr>
          <w:ilvl w:val="0"/>
          <w:numId w:val="25"/>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Non</w:t>
      </w:r>
      <w:r w:rsidRPr="00303F99">
        <w:rPr>
          <w:rFonts w:ascii="Times New Roman" w:eastAsia="Times New Roman" w:hAnsi="Times New Roman" w:cs="Times New Roman"/>
          <w:color w:val="000000" w:themeColor="text1"/>
          <w:lang w:val="en-GB" w:eastAsia="en-GB"/>
        </w:rPr>
        <w:noBreakHyphen/>
        <w:t>digital interventions</w:t>
      </w:r>
    </w:p>
    <w:p w14:paraId="292C736A" w14:textId="77777777" w:rsidR="00303F99" w:rsidRPr="00303F99" w:rsidRDefault="00303F99" w:rsidP="00303F99">
      <w:pPr>
        <w:numPr>
          <w:ilvl w:val="0"/>
          <w:numId w:val="25"/>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Studies unrelated to dementia</w:t>
      </w:r>
    </w:p>
    <w:p w14:paraId="29546C58" w14:textId="77777777" w:rsidR="00303F99" w:rsidRPr="00303F99" w:rsidRDefault="00303F99" w:rsidP="00303F99">
      <w:pPr>
        <w:numPr>
          <w:ilvl w:val="0"/>
          <w:numId w:val="25"/>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Opinion pieces without empirical evidence</w:t>
      </w:r>
    </w:p>
    <w:p w14:paraId="26CD46B5"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Data Charting</w:t>
      </w:r>
    </w:p>
    <w:p w14:paraId="2C1E6652"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A data charting table was used to extract:</w:t>
      </w:r>
    </w:p>
    <w:p w14:paraId="25482617" w14:textId="77777777" w:rsidR="00303F99" w:rsidRPr="00303F99" w:rsidRDefault="00303F99" w:rsidP="00303F99">
      <w:pPr>
        <w:numPr>
          <w:ilvl w:val="0"/>
          <w:numId w:val="2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Author</w:t>
      </w:r>
    </w:p>
    <w:p w14:paraId="5BEA1313" w14:textId="77777777" w:rsidR="00303F99" w:rsidRPr="00303F99" w:rsidRDefault="00303F99" w:rsidP="00303F99">
      <w:pPr>
        <w:numPr>
          <w:ilvl w:val="0"/>
          <w:numId w:val="2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Year</w:t>
      </w:r>
    </w:p>
    <w:p w14:paraId="3DEAAE1F" w14:textId="77777777" w:rsidR="00303F99" w:rsidRPr="00303F99" w:rsidRDefault="00303F99" w:rsidP="00303F99">
      <w:pPr>
        <w:numPr>
          <w:ilvl w:val="0"/>
          <w:numId w:val="2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Study design</w:t>
      </w:r>
    </w:p>
    <w:p w14:paraId="6F26BC84" w14:textId="77777777" w:rsidR="00303F99" w:rsidRPr="00303F99" w:rsidRDefault="00303F99" w:rsidP="00303F99">
      <w:pPr>
        <w:numPr>
          <w:ilvl w:val="0"/>
          <w:numId w:val="2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Population</w:t>
      </w:r>
    </w:p>
    <w:p w14:paraId="3C1B0B51" w14:textId="77777777" w:rsidR="00303F99" w:rsidRPr="00303F99" w:rsidRDefault="00303F99" w:rsidP="00303F99">
      <w:pPr>
        <w:numPr>
          <w:ilvl w:val="0"/>
          <w:numId w:val="2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Concept</w:t>
      </w:r>
    </w:p>
    <w:p w14:paraId="748DE389" w14:textId="77777777" w:rsidR="00303F99" w:rsidRPr="00303F99" w:rsidRDefault="00303F99" w:rsidP="00303F99">
      <w:pPr>
        <w:numPr>
          <w:ilvl w:val="0"/>
          <w:numId w:val="2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Context</w:t>
      </w:r>
    </w:p>
    <w:p w14:paraId="025EF90E" w14:textId="77777777" w:rsidR="00303F99" w:rsidRPr="00303F99" w:rsidRDefault="00303F99" w:rsidP="00303F99">
      <w:pPr>
        <w:numPr>
          <w:ilvl w:val="0"/>
          <w:numId w:val="26"/>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Key findings</w:t>
      </w:r>
    </w:p>
    <w:p w14:paraId="10855259"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Ethical Considerations</w:t>
      </w:r>
    </w:p>
    <w:p w14:paraId="65B4E604"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Only publicly available, ethically approved studies were included. Proper referencing ensured academic integrity.</w:t>
      </w:r>
    </w:p>
    <w:p w14:paraId="67E91572"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Methodological Reflection</w:t>
      </w:r>
    </w:p>
    <w:p w14:paraId="73E8A920"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Your uploaded document states:</w:t>
      </w:r>
    </w:p>
    <w:p w14:paraId="3FAD3459" w14:textId="77777777" w:rsidR="00303F99" w:rsidRPr="00303F99" w:rsidRDefault="00303F99" w:rsidP="00303F99">
      <w:pPr>
        <w:spacing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“None of the included studies focused specifically on young adults with dementia, representing a significant methodological gap.”</w:t>
      </w:r>
    </w:p>
    <w:p w14:paraId="72BE20C2"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This gap was considered when interpreting findings.</w:t>
      </w:r>
    </w:p>
    <w:p w14:paraId="02FB97EF" w14:textId="77777777"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r w:rsidRPr="00303F99">
        <w:rPr>
          <w:rFonts w:ascii="Times New Roman" w:eastAsia="Times New Roman" w:hAnsi="Times New Roman" w:cs="Times New Roman"/>
          <w:b/>
          <w:bCs/>
          <w:color w:val="000000" w:themeColor="text1"/>
          <w:kern w:val="36"/>
          <w:sz w:val="48"/>
          <w:szCs w:val="48"/>
          <w:lang w:val="en-GB" w:eastAsia="en-GB"/>
        </w:rPr>
        <w:t>Results</w:t>
      </w:r>
    </w:p>
    <w:p w14:paraId="09005D35" w14:textId="77777777" w:rsidR="00303F99" w:rsidRPr="00303F99" w:rsidRDefault="00303F99" w:rsidP="00303F99">
      <w:pPr>
        <w:spacing w:before="100" w:beforeAutospacing="1" w:after="100" w:afterAutospacing="1" w:line="240" w:lineRule="auto"/>
        <w:outlineLvl w:val="1"/>
        <w:rPr>
          <w:rFonts w:ascii="Times New Roman" w:eastAsia="Times New Roman" w:hAnsi="Times New Roman" w:cs="Times New Roman"/>
          <w:b/>
          <w:bCs/>
          <w:color w:val="000000" w:themeColor="text1"/>
          <w:sz w:val="36"/>
          <w:szCs w:val="36"/>
          <w:lang w:val="en-GB" w:eastAsia="en-GB"/>
        </w:rPr>
      </w:pPr>
      <w:r w:rsidRPr="00303F99">
        <w:rPr>
          <w:rFonts w:ascii="Times New Roman" w:eastAsia="Times New Roman" w:hAnsi="Times New Roman" w:cs="Times New Roman"/>
          <w:b/>
          <w:bCs/>
          <w:color w:val="000000" w:themeColor="text1"/>
          <w:sz w:val="36"/>
          <w:szCs w:val="36"/>
          <w:lang w:val="en-GB" w:eastAsia="en-GB"/>
        </w:rPr>
        <w:t>Overview of Included Studies</w:t>
      </w:r>
    </w:p>
    <w:p w14:paraId="6E046244"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Five studies met the inclusion criteria. Although none focused specifically on young adults with dementia, they provide transferable insights into digital mental health interventions, digital exclusion, and access barriers.</w:t>
      </w:r>
    </w:p>
    <w:p w14:paraId="393ABB63" w14:textId="77777777" w:rsidR="00303F99" w:rsidRPr="00303F99" w:rsidRDefault="00303F99" w:rsidP="00303F99">
      <w:pPr>
        <w:spacing w:before="100" w:beforeAutospacing="1" w:after="100" w:afterAutospacing="1" w:line="240" w:lineRule="auto"/>
        <w:outlineLvl w:val="1"/>
        <w:rPr>
          <w:rFonts w:ascii="Times New Roman" w:eastAsia="Times New Roman" w:hAnsi="Times New Roman" w:cs="Times New Roman"/>
          <w:b/>
          <w:bCs/>
          <w:color w:val="000000" w:themeColor="text1"/>
          <w:sz w:val="36"/>
          <w:szCs w:val="36"/>
          <w:lang w:val="en-GB" w:eastAsia="en-GB"/>
        </w:rPr>
      </w:pPr>
      <w:r w:rsidRPr="00303F99">
        <w:rPr>
          <w:rFonts w:ascii="Times New Roman" w:eastAsia="Times New Roman" w:hAnsi="Times New Roman" w:cs="Times New Roman"/>
          <w:b/>
          <w:bCs/>
          <w:color w:val="000000" w:themeColor="text1"/>
          <w:sz w:val="36"/>
          <w:szCs w:val="36"/>
          <w:lang w:val="en-GB" w:eastAsia="en-GB"/>
        </w:rPr>
        <w:t>Summary Table of Included Studies</w:t>
      </w:r>
    </w:p>
    <w:tbl>
      <w:tblPr>
        <w:tblStyle w:val="TableGrid"/>
        <w:tblpPr w:leftFromText="180" w:rightFromText="180" w:vertAnchor="text" w:horzAnchor="margin" w:tblpY="8"/>
        <w:tblW w:w="0" w:type="auto"/>
        <w:tblLook w:val="04A0" w:firstRow="1" w:lastRow="0" w:firstColumn="1" w:lastColumn="0" w:noHBand="0" w:noVBand="1"/>
      </w:tblPr>
      <w:tblGrid>
        <w:gridCol w:w="2436"/>
        <w:gridCol w:w="2436"/>
        <w:gridCol w:w="2436"/>
        <w:gridCol w:w="2436"/>
        <w:gridCol w:w="2436"/>
        <w:gridCol w:w="2436"/>
      </w:tblGrid>
      <w:tr w:rsidR="00303F99" w:rsidRPr="00303F99" w14:paraId="7AFAD9C4" w14:textId="77777777" w:rsidTr="00303F99">
        <w:tc>
          <w:tcPr>
            <w:tcW w:w="2436" w:type="dxa"/>
          </w:tcPr>
          <w:p w14:paraId="6B250073"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Author /year </w:t>
            </w:r>
          </w:p>
        </w:tc>
        <w:tc>
          <w:tcPr>
            <w:tcW w:w="2436" w:type="dxa"/>
          </w:tcPr>
          <w:p w14:paraId="058F2A4D"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Type of study </w:t>
            </w:r>
          </w:p>
        </w:tc>
        <w:tc>
          <w:tcPr>
            <w:tcW w:w="2436" w:type="dxa"/>
          </w:tcPr>
          <w:p w14:paraId="60567C73"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Research method </w:t>
            </w:r>
          </w:p>
        </w:tc>
        <w:tc>
          <w:tcPr>
            <w:tcW w:w="2436" w:type="dxa"/>
          </w:tcPr>
          <w:p w14:paraId="70F1359F"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Type of analysis </w:t>
            </w:r>
          </w:p>
        </w:tc>
        <w:tc>
          <w:tcPr>
            <w:tcW w:w="2436" w:type="dxa"/>
          </w:tcPr>
          <w:p w14:paraId="70A2F98A"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Sample size </w:t>
            </w:r>
          </w:p>
        </w:tc>
        <w:tc>
          <w:tcPr>
            <w:tcW w:w="2436" w:type="dxa"/>
          </w:tcPr>
          <w:p w14:paraId="374C08D0"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Main findings </w:t>
            </w:r>
          </w:p>
        </w:tc>
      </w:tr>
      <w:tr w:rsidR="00303F99" w:rsidRPr="00303F99" w14:paraId="46D61668" w14:textId="77777777" w:rsidTr="00303F99">
        <w:tc>
          <w:tcPr>
            <w:tcW w:w="2436" w:type="dxa"/>
          </w:tcPr>
          <w:p w14:paraId="04813BFA"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Lee et al.(2021)</w:t>
            </w:r>
          </w:p>
        </w:tc>
        <w:tc>
          <w:tcPr>
            <w:tcW w:w="2436" w:type="dxa"/>
          </w:tcPr>
          <w:p w14:paraId="6CE69E64"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Systematic review</w:t>
            </w:r>
          </w:p>
        </w:tc>
        <w:tc>
          <w:tcPr>
            <w:tcW w:w="2436" w:type="dxa"/>
          </w:tcPr>
          <w:p w14:paraId="6657417C"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AI in mental health</w:t>
            </w:r>
          </w:p>
        </w:tc>
        <w:tc>
          <w:tcPr>
            <w:tcW w:w="2436" w:type="dxa"/>
          </w:tcPr>
          <w:p w14:paraId="3C782643"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Narrative synthesis</w:t>
            </w:r>
          </w:p>
        </w:tc>
        <w:tc>
          <w:tcPr>
            <w:tcW w:w="2436" w:type="dxa"/>
          </w:tcPr>
          <w:p w14:paraId="6860A79D"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N/A</w:t>
            </w:r>
          </w:p>
        </w:tc>
        <w:tc>
          <w:tcPr>
            <w:tcW w:w="2436" w:type="dxa"/>
          </w:tcPr>
          <w:p w14:paraId="5F0B129E"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literacy, ethical concerns, mistrust of AI</w:t>
            </w:r>
          </w:p>
        </w:tc>
      </w:tr>
      <w:tr w:rsidR="00303F99" w:rsidRPr="00303F99" w14:paraId="578B061A" w14:textId="77777777" w:rsidTr="00303F99">
        <w:tc>
          <w:tcPr>
            <w:tcW w:w="2436" w:type="dxa"/>
          </w:tcPr>
          <w:p w14:paraId="1E2679E9"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Walker et al.(2014)</w:t>
            </w:r>
          </w:p>
        </w:tc>
        <w:tc>
          <w:tcPr>
            <w:tcW w:w="2436" w:type="dxa"/>
          </w:tcPr>
          <w:p w14:paraId="451FA939"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Systematic review</w:t>
            </w:r>
          </w:p>
        </w:tc>
        <w:tc>
          <w:tcPr>
            <w:tcW w:w="2436" w:type="dxa"/>
          </w:tcPr>
          <w:p w14:paraId="6AABD7C8"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Social determinants</w:t>
            </w:r>
          </w:p>
        </w:tc>
        <w:tc>
          <w:tcPr>
            <w:tcW w:w="2436" w:type="dxa"/>
          </w:tcPr>
          <w:p w14:paraId="5D81F8F5"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Thematic synthesis</w:t>
            </w:r>
          </w:p>
        </w:tc>
        <w:tc>
          <w:tcPr>
            <w:tcW w:w="2436" w:type="dxa"/>
          </w:tcPr>
          <w:p w14:paraId="5E38BF05"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N/A</w:t>
            </w:r>
          </w:p>
        </w:tc>
        <w:tc>
          <w:tcPr>
            <w:tcW w:w="2436" w:type="dxa"/>
          </w:tcPr>
          <w:p w14:paraId="420511DC"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Socioeconomic disadvantage affects access</w:t>
            </w:r>
          </w:p>
        </w:tc>
      </w:tr>
      <w:tr w:rsidR="00303F99" w:rsidRPr="00303F99" w14:paraId="457572DE" w14:textId="77777777" w:rsidTr="00303F99">
        <w:tc>
          <w:tcPr>
            <w:tcW w:w="2436" w:type="dxa"/>
          </w:tcPr>
          <w:p w14:paraId="0B7603D7"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Hughes et al.(2009)</w:t>
            </w:r>
          </w:p>
        </w:tc>
        <w:tc>
          <w:tcPr>
            <w:tcW w:w="2436" w:type="dxa"/>
          </w:tcPr>
          <w:p w14:paraId="497E1444"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Qualitative review</w:t>
            </w:r>
          </w:p>
        </w:tc>
        <w:tc>
          <w:tcPr>
            <w:tcW w:w="2436" w:type="dxa"/>
          </w:tcPr>
          <w:p w14:paraId="04DC4149"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Lived experiences</w:t>
            </w:r>
          </w:p>
        </w:tc>
        <w:tc>
          <w:tcPr>
            <w:tcW w:w="2436" w:type="dxa"/>
          </w:tcPr>
          <w:p w14:paraId="10C13310"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Thematic analysis</w:t>
            </w:r>
          </w:p>
        </w:tc>
        <w:tc>
          <w:tcPr>
            <w:tcW w:w="2436" w:type="dxa"/>
          </w:tcPr>
          <w:p w14:paraId="5ED0A05D"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14 studies</w:t>
            </w:r>
          </w:p>
        </w:tc>
        <w:tc>
          <w:tcPr>
            <w:tcW w:w="2436" w:type="dxa"/>
            <w:vAlign w:val="center"/>
          </w:tcPr>
          <w:p w14:paraId="04A4E86E"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Emotional and practical barriers</w:t>
            </w:r>
          </w:p>
        </w:tc>
      </w:tr>
      <w:tr w:rsidR="00303F99" w:rsidRPr="00303F99" w14:paraId="11B2554A" w14:textId="77777777" w:rsidTr="00303F99">
        <w:tc>
          <w:tcPr>
            <w:tcW w:w="2436" w:type="dxa"/>
          </w:tcPr>
          <w:p w14:paraId="45C47D40"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Robinson et al.(2010)</w:t>
            </w:r>
          </w:p>
        </w:tc>
        <w:tc>
          <w:tcPr>
            <w:tcW w:w="2436" w:type="dxa"/>
          </w:tcPr>
          <w:p w14:paraId="1E05C87C"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Intervention</w:t>
            </w:r>
          </w:p>
        </w:tc>
        <w:tc>
          <w:tcPr>
            <w:tcW w:w="2436" w:type="dxa"/>
          </w:tcPr>
          <w:p w14:paraId="5EE8F46B"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Clinician training</w:t>
            </w:r>
          </w:p>
        </w:tc>
        <w:tc>
          <w:tcPr>
            <w:tcW w:w="2436" w:type="dxa"/>
          </w:tcPr>
          <w:p w14:paraId="29F58FA1"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Mixed methods</w:t>
            </w:r>
          </w:p>
        </w:tc>
        <w:tc>
          <w:tcPr>
            <w:tcW w:w="2436" w:type="dxa"/>
          </w:tcPr>
          <w:p w14:paraId="4C93D666"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47 clinicians</w:t>
            </w:r>
          </w:p>
        </w:tc>
        <w:tc>
          <w:tcPr>
            <w:tcW w:w="2436" w:type="dxa"/>
          </w:tcPr>
          <w:p w14:paraId="5E94E8C2"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Workforce and training barriers</w:t>
            </w:r>
          </w:p>
        </w:tc>
      </w:tr>
      <w:tr w:rsidR="00303F99" w:rsidRPr="00303F99" w14:paraId="5A563634" w14:textId="77777777" w:rsidTr="00303F99">
        <w:tc>
          <w:tcPr>
            <w:tcW w:w="2436" w:type="dxa"/>
          </w:tcPr>
          <w:p w14:paraId="017EA033"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Watson et al.(2024)</w:t>
            </w:r>
          </w:p>
        </w:tc>
        <w:tc>
          <w:tcPr>
            <w:tcW w:w="2436" w:type="dxa"/>
          </w:tcPr>
          <w:p w14:paraId="71D46D5C"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Systematic review</w:t>
            </w:r>
          </w:p>
        </w:tc>
        <w:tc>
          <w:tcPr>
            <w:tcW w:w="2436" w:type="dxa"/>
          </w:tcPr>
          <w:p w14:paraId="7D746266"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dementia access</w:t>
            </w:r>
          </w:p>
        </w:tc>
        <w:tc>
          <w:tcPr>
            <w:tcW w:w="2436" w:type="dxa"/>
          </w:tcPr>
          <w:p w14:paraId="74EFD1B9"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Narrative synthesis</w:t>
            </w:r>
          </w:p>
        </w:tc>
        <w:tc>
          <w:tcPr>
            <w:tcW w:w="2436" w:type="dxa"/>
          </w:tcPr>
          <w:p w14:paraId="2F4D8AFD"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33 studies</w:t>
            </w:r>
          </w:p>
        </w:tc>
        <w:tc>
          <w:tcPr>
            <w:tcW w:w="2436" w:type="dxa"/>
          </w:tcPr>
          <w:p w14:paraId="4CD9CB39" w14:textId="77777777" w:rsidR="00303F99" w:rsidRPr="00303F99" w:rsidRDefault="00303F99" w:rsidP="00303F99">
            <w:pPr>
              <w:spacing w:before="100" w:beforeAutospacing="1" w:after="100" w:afterAutospacing="1"/>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exclusion shaped by disadvantage</w:t>
            </w:r>
          </w:p>
        </w:tc>
      </w:tr>
    </w:tbl>
    <w:p w14:paraId="386A4354"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
    <w:p w14:paraId="252CAAE3"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Your document states:</w:t>
      </w:r>
    </w:p>
    <w:p w14:paraId="3DA49344" w14:textId="77777777" w:rsidR="00303F99" w:rsidRPr="00303F99" w:rsidRDefault="00303F99" w:rsidP="00303F99">
      <w:pPr>
        <w:spacing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access to post diagnostic health and social care services for dementia remains inconsistent and shaped by socioeconomic disadvantage.”</w:t>
      </w:r>
    </w:p>
    <w:p w14:paraId="6DB27882" w14:textId="77777777" w:rsidR="00303F99" w:rsidRPr="00303F99" w:rsidRDefault="00303F99" w:rsidP="00303F99">
      <w:pPr>
        <w:spacing w:before="100" w:beforeAutospacing="1" w:after="100" w:afterAutospacing="1" w:line="240" w:lineRule="auto"/>
        <w:outlineLvl w:val="1"/>
        <w:rPr>
          <w:rFonts w:ascii="Times New Roman" w:eastAsia="Times New Roman" w:hAnsi="Times New Roman" w:cs="Times New Roman"/>
          <w:b/>
          <w:bCs/>
          <w:color w:val="000000" w:themeColor="text1"/>
          <w:sz w:val="36"/>
          <w:szCs w:val="36"/>
          <w:lang w:val="en-GB" w:eastAsia="en-GB"/>
        </w:rPr>
      </w:pPr>
      <w:r w:rsidRPr="00303F99">
        <w:rPr>
          <w:rFonts w:ascii="Times New Roman" w:eastAsia="Times New Roman" w:hAnsi="Times New Roman" w:cs="Times New Roman"/>
          <w:b/>
          <w:bCs/>
          <w:color w:val="000000" w:themeColor="text1"/>
          <w:sz w:val="36"/>
          <w:szCs w:val="36"/>
          <w:lang w:val="en-GB" w:eastAsia="en-GB"/>
        </w:rPr>
        <w:t>Themes Identified</w:t>
      </w:r>
    </w:p>
    <w:p w14:paraId="72C60723"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Theme 1: Digital Exclusion and Technology</w:t>
      </w:r>
      <w:r w:rsidRPr="00303F99">
        <w:rPr>
          <w:rFonts w:ascii="Times New Roman" w:eastAsia="Times New Roman" w:hAnsi="Times New Roman" w:cs="Times New Roman"/>
          <w:b/>
          <w:bCs/>
          <w:color w:val="000000" w:themeColor="text1"/>
          <w:sz w:val="27"/>
          <w:szCs w:val="27"/>
          <w:lang w:val="en-GB" w:eastAsia="en-GB"/>
        </w:rPr>
        <w:noBreakHyphen/>
        <w:t>Related Barriers</w:t>
      </w:r>
    </w:p>
    <w:p w14:paraId="320CC9EB"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exclusion emerged as one of the strongest and most consistent barriers across the included studies. Watson et al. (2024) emphasise that:</w:t>
      </w:r>
    </w:p>
    <w:p w14:paraId="2FAB0E1F" w14:textId="77777777" w:rsidR="00303F99" w:rsidRPr="00303F99" w:rsidRDefault="00303F99" w:rsidP="00303F99">
      <w:pPr>
        <w:spacing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access to post diagnostic health and social care services for dementia remains inconsistent and shaped by socioeconomic disadvantage.”</w:t>
      </w:r>
    </w:p>
    <w:p w14:paraId="50497541"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Barriers include:</w:t>
      </w:r>
    </w:p>
    <w:p w14:paraId="2D242F15" w14:textId="77777777" w:rsidR="00303F99" w:rsidRPr="00303F99" w:rsidRDefault="00303F99" w:rsidP="00303F99">
      <w:pPr>
        <w:numPr>
          <w:ilvl w:val="0"/>
          <w:numId w:val="27"/>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Limited digital literacy</w:t>
      </w:r>
    </w:p>
    <w:p w14:paraId="602F04C1" w14:textId="77777777" w:rsidR="00303F99" w:rsidRPr="00303F99" w:rsidRDefault="00303F99" w:rsidP="00303F99">
      <w:pPr>
        <w:numPr>
          <w:ilvl w:val="0"/>
          <w:numId w:val="27"/>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Poor usability</w:t>
      </w:r>
    </w:p>
    <w:p w14:paraId="06D64EF0" w14:textId="77777777" w:rsidR="00303F99" w:rsidRPr="00303F99" w:rsidRDefault="00303F99" w:rsidP="00303F99">
      <w:pPr>
        <w:numPr>
          <w:ilvl w:val="0"/>
          <w:numId w:val="27"/>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Lack of personalised support</w:t>
      </w:r>
    </w:p>
    <w:p w14:paraId="669EF319" w14:textId="77777777" w:rsidR="00303F99" w:rsidRPr="00303F99" w:rsidRDefault="00303F99" w:rsidP="00303F99">
      <w:pPr>
        <w:numPr>
          <w:ilvl w:val="0"/>
          <w:numId w:val="27"/>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Inadequate accessibility features</w:t>
      </w:r>
    </w:p>
    <w:p w14:paraId="7AE102D6" w14:textId="77777777" w:rsidR="00303F99" w:rsidRPr="00303F99" w:rsidRDefault="00303F99" w:rsidP="00303F99">
      <w:pPr>
        <w:numPr>
          <w:ilvl w:val="0"/>
          <w:numId w:val="27"/>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Mistrust of AI tools</w:t>
      </w:r>
    </w:p>
    <w:p w14:paraId="2536B624"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Theme 2: Socioeconomic and Structural Inequalities</w:t>
      </w:r>
    </w:p>
    <w:p w14:paraId="3EF65A38"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Walker et al. (2014) highlight:</w:t>
      </w:r>
    </w:p>
    <w:p w14:paraId="0BEFF9B4" w14:textId="77777777" w:rsidR="00303F99" w:rsidRPr="00303F99" w:rsidRDefault="00303F99" w:rsidP="00303F99">
      <w:pPr>
        <w:numPr>
          <w:ilvl w:val="0"/>
          <w:numId w:val="28"/>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Financial insecurity</w:t>
      </w:r>
    </w:p>
    <w:p w14:paraId="104B1C53" w14:textId="77777777" w:rsidR="00303F99" w:rsidRPr="00303F99" w:rsidRDefault="00303F99" w:rsidP="00303F99">
      <w:pPr>
        <w:numPr>
          <w:ilvl w:val="0"/>
          <w:numId w:val="28"/>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Transport barriers</w:t>
      </w:r>
    </w:p>
    <w:p w14:paraId="2C8A5CE4" w14:textId="77777777" w:rsidR="00303F99" w:rsidRPr="00303F99" w:rsidRDefault="00303F99" w:rsidP="00303F99">
      <w:pPr>
        <w:numPr>
          <w:ilvl w:val="0"/>
          <w:numId w:val="28"/>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Poor housing</w:t>
      </w:r>
    </w:p>
    <w:p w14:paraId="531A6E45" w14:textId="77777777" w:rsidR="00303F99" w:rsidRPr="00303F99" w:rsidRDefault="00303F99" w:rsidP="00303F99">
      <w:pPr>
        <w:numPr>
          <w:ilvl w:val="0"/>
          <w:numId w:val="28"/>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Low health literacy</w:t>
      </w:r>
    </w:p>
    <w:p w14:paraId="380525EF"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These factors affect digital access.</w:t>
      </w:r>
    </w:p>
    <w:p w14:paraId="388D05A3"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Theme 3: Workforce and Service Delivery Challenges</w:t>
      </w:r>
    </w:p>
    <w:p w14:paraId="151E0074"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Robinson et al. (2010) found:</w:t>
      </w:r>
    </w:p>
    <w:p w14:paraId="3B042B7F" w14:textId="77777777" w:rsidR="00303F99" w:rsidRPr="00303F99" w:rsidRDefault="00303F99" w:rsidP="00303F99">
      <w:pPr>
        <w:numPr>
          <w:ilvl w:val="0"/>
          <w:numId w:val="29"/>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Workforce shortages</w:t>
      </w:r>
    </w:p>
    <w:p w14:paraId="2A057A4F" w14:textId="77777777" w:rsidR="00303F99" w:rsidRPr="00303F99" w:rsidRDefault="00303F99" w:rsidP="00303F99">
      <w:pPr>
        <w:numPr>
          <w:ilvl w:val="0"/>
          <w:numId w:val="29"/>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Limited dementia training</w:t>
      </w:r>
    </w:p>
    <w:p w14:paraId="2F31F401" w14:textId="77777777" w:rsidR="00303F99" w:rsidRPr="00303F99" w:rsidRDefault="00303F99" w:rsidP="00303F99">
      <w:pPr>
        <w:numPr>
          <w:ilvl w:val="0"/>
          <w:numId w:val="29"/>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Time pressures</w:t>
      </w:r>
    </w:p>
    <w:p w14:paraId="2A6A92E5" w14:textId="77777777" w:rsidR="00303F99" w:rsidRPr="00303F99" w:rsidRDefault="00303F99" w:rsidP="00303F99">
      <w:pPr>
        <w:numPr>
          <w:ilvl w:val="0"/>
          <w:numId w:val="29"/>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Inconsistent guidance implementation</w:t>
      </w:r>
    </w:p>
    <w:p w14:paraId="55922E70"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Theme 4: Lack of Population</w:t>
      </w:r>
      <w:r w:rsidRPr="00303F99">
        <w:rPr>
          <w:rFonts w:ascii="Times New Roman" w:eastAsia="Times New Roman" w:hAnsi="Times New Roman" w:cs="Times New Roman"/>
          <w:b/>
          <w:bCs/>
          <w:color w:val="000000" w:themeColor="text1"/>
          <w:sz w:val="27"/>
          <w:szCs w:val="27"/>
          <w:lang w:val="en-GB" w:eastAsia="en-GB"/>
        </w:rPr>
        <w:noBreakHyphen/>
        <w:t>Specific Evidence</w:t>
      </w:r>
    </w:p>
    <w:p w14:paraId="640C50F5"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Your document states:</w:t>
      </w:r>
    </w:p>
    <w:p w14:paraId="478AB1C7" w14:textId="77777777" w:rsidR="00303F99" w:rsidRPr="00303F99" w:rsidRDefault="00303F99" w:rsidP="00303F99">
      <w:pPr>
        <w:spacing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“The evidence base remains uneven, with gaps that limit the development of clear, standardised approaches.”</w:t>
      </w:r>
    </w:p>
    <w:p w14:paraId="2ED2F2EA" w14:textId="77777777"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r w:rsidRPr="00303F99">
        <w:rPr>
          <w:rFonts w:ascii="Times New Roman" w:eastAsia="Times New Roman" w:hAnsi="Times New Roman" w:cs="Times New Roman"/>
          <w:b/>
          <w:bCs/>
          <w:color w:val="000000" w:themeColor="text1"/>
          <w:kern w:val="36"/>
          <w:sz w:val="48"/>
          <w:szCs w:val="48"/>
          <w:lang w:val="en-GB" w:eastAsia="en-GB"/>
        </w:rPr>
        <w:t>Discussion</w:t>
      </w:r>
    </w:p>
    <w:p w14:paraId="6DBDC9C1"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The findings reveal significant gaps in evidence relating to digital mental health interventions for young adults with dementia. Although digital tools offer potential benefits, barriers such as digital exclusion, socioeconomic disadvantage, and workforce limitations reduce accessibility.</w:t>
      </w:r>
    </w:p>
    <w:p w14:paraId="24F1EDA5"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Digital Exclusion</w:t>
      </w:r>
    </w:p>
    <w:p w14:paraId="7036A895"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exclusion remains a major barrier. Young adults may be more digitally literate than older adults, but cognitive impairment, financial strain, and poor service design limit engagement.</w:t>
      </w:r>
    </w:p>
    <w:p w14:paraId="7BEE4D91"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Socioeconomic Barriers</w:t>
      </w:r>
    </w:p>
    <w:p w14:paraId="0022B42F"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Structural inequalities shape access to digital mental health tools. Young adults with dementia often experience early job loss, financial strain, and disrupted social networks.</w:t>
      </w:r>
    </w:p>
    <w:p w14:paraId="4E670FF8"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Workforce Limitations</w:t>
      </w:r>
    </w:p>
    <w:p w14:paraId="62DC6CF8"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Clinicians may lack training in young</w:t>
      </w:r>
      <w:r w:rsidRPr="00303F99">
        <w:rPr>
          <w:rFonts w:ascii="Times New Roman" w:eastAsia="Times New Roman" w:hAnsi="Times New Roman" w:cs="Times New Roman"/>
          <w:color w:val="000000" w:themeColor="text1"/>
          <w:lang w:val="en-GB" w:eastAsia="en-GB"/>
        </w:rPr>
        <w:noBreakHyphen/>
        <w:t>onset dementia, leading to misdiagnosis, inappropriate referrals, and limited digital support.</w:t>
      </w:r>
    </w:p>
    <w:p w14:paraId="3D4D4015"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Methodological Gaps</w:t>
      </w:r>
    </w:p>
    <w:p w14:paraId="57A0453C"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None of the included studies focus specifically on young adults with dementia. This gap limits the applicability of findings and highlights the need for targeted research.</w:t>
      </w:r>
    </w:p>
    <w:p w14:paraId="75D638BF" w14:textId="77777777" w:rsidR="00303F99" w:rsidRPr="00303F99" w:rsidRDefault="00303F99" w:rsidP="00303F99">
      <w:pPr>
        <w:pStyle w:val="NormalWeb"/>
        <w:rPr>
          <w:color w:val="000000" w:themeColor="text1"/>
        </w:rPr>
      </w:pPr>
      <w:r w:rsidRPr="00303F99">
        <w:rPr>
          <w:color w:val="000000" w:themeColor="text1"/>
        </w:rPr>
        <w:t>The findings of this review highlight a complex interplay between digital innovation, service design, and structural inequalities. While digital mental health interventions offer promising opportunities for improving access to support, their effectiveness is heavily influenced by contextual factors such as socioeconomic status, digital literacy, and workforce capacity. For young adults with dementia, these factors may be particularly significant due to the unique challenges associated with early</w:t>
      </w:r>
      <w:r w:rsidRPr="00303F99">
        <w:rPr>
          <w:color w:val="000000" w:themeColor="text1"/>
        </w:rPr>
        <w:noBreakHyphen/>
        <w:t>onset cognitive decline.</w:t>
      </w:r>
    </w:p>
    <w:p w14:paraId="364BEA67" w14:textId="77777777" w:rsidR="00303F99" w:rsidRPr="00303F99" w:rsidRDefault="00303F99" w:rsidP="00303F99">
      <w:pPr>
        <w:pStyle w:val="NormalWeb"/>
        <w:rPr>
          <w:color w:val="000000" w:themeColor="text1"/>
        </w:rPr>
      </w:pPr>
      <w:r w:rsidRPr="00303F99">
        <w:rPr>
          <w:color w:val="000000" w:themeColor="text1"/>
        </w:rPr>
        <w:t>One of the most striking gaps identified is the lack of population</w:t>
      </w:r>
      <w:r w:rsidRPr="00303F99">
        <w:rPr>
          <w:color w:val="000000" w:themeColor="text1"/>
        </w:rPr>
        <w:noBreakHyphen/>
        <w:t>specific research. Young adults with dementia have distinct psychological, social, and practical needs that differ from those of older adults. For example, younger individuals may experience greater emotional distress related to disrupted life plans, employment loss, and parenting responsibilities. Digital mental health interventions could help address these needs by offering flexible, accessible support, but without targeted research, it is difficult to determine which interventions are most effective.</w:t>
      </w:r>
    </w:p>
    <w:p w14:paraId="196C445E" w14:textId="77777777" w:rsidR="00303F99" w:rsidRPr="00303F99" w:rsidRDefault="00303F99" w:rsidP="00303F99">
      <w:pPr>
        <w:pStyle w:val="NormalWeb"/>
        <w:rPr>
          <w:color w:val="000000" w:themeColor="text1"/>
        </w:rPr>
      </w:pPr>
      <w:r w:rsidRPr="00303F99">
        <w:rPr>
          <w:color w:val="000000" w:themeColor="text1"/>
        </w:rPr>
        <w:t>Another important consideration is the role of digital literacy. Although younger adults are often assumed to be more digitally literate, cognitive impairment can significantly affect their ability to use digital tools. Memory loss, reduced concentration, and difficulties with problem</w:t>
      </w:r>
      <w:r w:rsidRPr="00303F99">
        <w:rPr>
          <w:color w:val="000000" w:themeColor="text1"/>
        </w:rPr>
        <w:noBreakHyphen/>
        <w:t>solving may make it challenging to navigate apps, online platforms, or telehealth systems. This suggests that digital interventions must incorporate accessibility features such as simplified interfaces, clear instructions, and personalised support.</w:t>
      </w:r>
    </w:p>
    <w:p w14:paraId="6987808B" w14:textId="77777777" w:rsidR="00303F99" w:rsidRPr="00303F99" w:rsidRDefault="00303F99" w:rsidP="00303F99">
      <w:pPr>
        <w:pStyle w:val="NormalWeb"/>
        <w:rPr>
          <w:color w:val="000000" w:themeColor="text1"/>
        </w:rPr>
      </w:pPr>
      <w:r w:rsidRPr="00303F99">
        <w:rPr>
          <w:color w:val="000000" w:themeColor="text1"/>
        </w:rPr>
        <w:t>Workforce capacity also plays a critical role in the implementation of digital mental health interventions. Clinicians may lack training in both young</w:t>
      </w:r>
      <w:r w:rsidRPr="00303F99">
        <w:rPr>
          <w:color w:val="000000" w:themeColor="text1"/>
        </w:rPr>
        <w:noBreakHyphen/>
        <w:t>onset dementia and digital mental health tools, limiting their ability to recommend or support digital interventions. This issue is compounded by time pressures, resource constraints, and inconsistent implementation of national guidance. Improving workforce training could enhance the integration of digital tools into routine care and ensure that clinicians are equipped to support younger adults with dementia.</w:t>
      </w:r>
    </w:p>
    <w:p w14:paraId="0E5B4FC2" w14:textId="77777777" w:rsidR="00303F99" w:rsidRPr="00303F99" w:rsidRDefault="00303F99" w:rsidP="00303F99">
      <w:pPr>
        <w:pStyle w:val="NormalWeb"/>
        <w:rPr>
          <w:color w:val="000000" w:themeColor="text1"/>
        </w:rPr>
      </w:pPr>
      <w:r w:rsidRPr="00303F99">
        <w:rPr>
          <w:color w:val="000000" w:themeColor="text1"/>
        </w:rPr>
        <w:t>Finally, the review highlights the need for co</w:t>
      </w:r>
      <w:r w:rsidRPr="00303F99">
        <w:rPr>
          <w:color w:val="000000" w:themeColor="text1"/>
        </w:rPr>
        <w:noBreakHyphen/>
        <w:t>production in digital intervention design. Involving young adults with dementia in the development of digital tools could help ensure that interventions are accessible, relevant, and responsive to their needs. Co</w:t>
      </w:r>
      <w:r w:rsidRPr="00303F99">
        <w:rPr>
          <w:color w:val="000000" w:themeColor="text1"/>
        </w:rPr>
        <w:noBreakHyphen/>
        <w:t>production is increasingly recognised as best practice in digital health innovation, yet it remains underutilised in dementia research.</w:t>
      </w:r>
    </w:p>
    <w:p w14:paraId="3A8D064F" w14:textId="77777777"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r w:rsidRPr="00303F99">
        <w:rPr>
          <w:rFonts w:ascii="Times New Roman" w:eastAsia="Times New Roman" w:hAnsi="Times New Roman" w:cs="Times New Roman"/>
          <w:b/>
          <w:bCs/>
          <w:color w:val="000000" w:themeColor="text1"/>
          <w:kern w:val="36"/>
          <w:sz w:val="48"/>
          <w:szCs w:val="48"/>
          <w:lang w:val="en-GB" w:eastAsia="en-GB"/>
        </w:rPr>
        <w:t>Conclusion</w:t>
      </w:r>
    </w:p>
    <w:p w14:paraId="4B77E7A2" w14:textId="6BE97B85"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color w:val="000000" w:themeColor="text1"/>
        </w:rPr>
        <w:t>Overall, this scoping review demonstrates that digital mental health interventions hold significant potential for supporting young adults with dementia, but substantial gaps remain in the evidence base. The absence of population</w:t>
      </w:r>
      <w:r w:rsidRPr="00303F99">
        <w:rPr>
          <w:color w:val="000000" w:themeColor="text1"/>
        </w:rPr>
        <w:noBreakHyphen/>
        <w:t>specific research limits understanding of how digital tools can be tailored to the cognitive, emotional, and practical needs of younger individuals. Addressing digital exclusion, improving workforce training, and strengthening policy guidance are essential steps toward developing effective, accessible digital mental health interventions. Future research should prioritise co</w:t>
      </w:r>
      <w:r w:rsidRPr="00303F99">
        <w:rPr>
          <w:color w:val="000000" w:themeColor="text1"/>
        </w:rPr>
        <w:noBreakHyphen/>
        <w:t>production, accessibility, and evaluation of digital tools specifically designed for young</w:t>
      </w:r>
      <w:r w:rsidRPr="00303F99">
        <w:rPr>
          <w:color w:val="000000" w:themeColor="text1"/>
        </w:rPr>
        <w:noBreakHyphen/>
        <w:t>onset dementia.</w:t>
      </w:r>
    </w:p>
    <w:p w14:paraId="4F37D3AC"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Digital mental health interventions have the potential to improve access to mental health support for young adults with dementia. However, significant barriers remain, including digital exclusion, socioeconomic disadvantage, workforce limitations, and a lack of population</w:t>
      </w:r>
      <w:r w:rsidRPr="00303F99">
        <w:rPr>
          <w:rFonts w:ascii="Times New Roman" w:eastAsia="Times New Roman" w:hAnsi="Times New Roman" w:cs="Times New Roman"/>
          <w:color w:val="000000" w:themeColor="text1"/>
          <w:lang w:val="en-GB" w:eastAsia="en-GB"/>
        </w:rPr>
        <w:noBreakHyphen/>
        <w:t>specific evidence.</w:t>
      </w:r>
    </w:p>
    <w:p w14:paraId="6D9A1160" w14:textId="77777777"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p>
    <w:p w14:paraId="2BC0588F" w14:textId="77777777"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r w:rsidRPr="00303F99">
        <w:rPr>
          <w:rFonts w:ascii="Times New Roman" w:eastAsia="Times New Roman" w:hAnsi="Times New Roman" w:cs="Times New Roman"/>
          <w:b/>
          <w:bCs/>
          <w:color w:val="000000" w:themeColor="text1"/>
          <w:kern w:val="36"/>
          <w:sz w:val="48"/>
          <w:szCs w:val="48"/>
          <w:lang w:val="en-GB" w:eastAsia="en-GB"/>
        </w:rPr>
        <w:t>Recommendations</w:t>
      </w:r>
    </w:p>
    <w:p w14:paraId="0D122F15"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For Research</w:t>
      </w:r>
    </w:p>
    <w:p w14:paraId="0DA4F6E6" w14:textId="77777777" w:rsidR="00303F99" w:rsidRPr="00303F99" w:rsidRDefault="00303F99" w:rsidP="00303F99">
      <w:pPr>
        <w:numPr>
          <w:ilvl w:val="0"/>
          <w:numId w:val="30"/>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Conduct studies specifically on young adults with dementia.</w:t>
      </w:r>
    </w:p>
    <w:p w14:paraId="0CA086DC" w14:textId="77777777" w:rsidR="00303F99" w:rsidRPr="00303F99" w:rsidRDefault="00303F99" w:rsidP="00303F99">
      <w:pPr>
        <w:numPr>
          <w:ilvl w:val="0"/>
          <w:numId w:val="30"/>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Evaluate digital mental health tools tailored to cognitive impairment.</w:t>
      </w:r>
    </w:p>
    <w:p w14:paraId="05626D55" w14:textId="77777777" w:rsidR="00303F99" w:rsidRPr="00303F99" w:rsidRDefault="00303F99" w:rsidP="00303F99">
      <w:pPr>
        <w:numPr>
          <w:ilvl w:val="0"/>
          <w:numId w:val="30"/>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Explore AI</w:t>
      </w:r>
      <w:r w:rsidRPr="00303F99">
        <w:rPr>
          <w:rFonts w:ascii="Times New Roman" w:eastAsia="Times New Roman" w:hAnsi="Times New Roman" w:cs="Times New Roman"/>
          <w:color w:val="000000" w:themeColor="text1"/>
          <w:lang w:val="en-GB" w:eastAsia="en-GB"/>
        </w:rPr>
        <w:noBreakHyphen/>
        <w:t>enabled interventions for younger populations.</w:t>
      </w:r>
    </w:p>
    <w:p w14:paraId="2C090D54"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For Policy</w:t>
      </w:r>
    </w:p>
    <w:p w14:paraId="725112E0" w14:textId="77777777" w:rsidR="00303F99" w:rsidRPr="00303F99" w:rsidRDefault="00303F99" w:rsidP="00303F99">
      <w:pPr>
        <w:numPr>
          <w:ilvl w:val="0"/>
          <w:numId w:val="31"/>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Expand digital inclusion programmes.</w:t>
      </w:r>
    </w:p>
    <w:p w14:paraId="2B4E0088" w14:textId="77777777" w:rsidR="00303F99" w:rsidRPr="00303F99" w:rsidRDefault="00303F99" w:rsidP="00303F99">
      <w:pPr>
        <w:numPr>
          <w:ilvl w:val="0"/>
          <w:numId w:val="31"/>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Improve funding for young</w:t>
      </w:r>
      <w:r w:rsidRPr="00303F99">
        <w:rPr>
          <w:rFonts w:ascii="Times New Roman" w:eastAsia="Times New Roman" w:hAnsi="Times New Roman" w:cs="Times New Roman"/>
          <w:color w:val="000000" w:themeColor="text1"/>
          <w:lang w:val="en-GB" w:eastAsia="en-GB"/>
        </w:rPr>
        <w:noBreakHyphen/>
        <w:t>onset dementia services.</w:t>
      </w:r>
    </w:p>
    <w:p w14:paraId="6A771D46" w14:textId="77777777" w:rsidR="00303F99" w:rsidRPr="00303F99" w:rsidRDefault="00303F99" w:rsidP="00303F99">
      <w:pPr>
        <w:numPr>
          <w:ilvl w:val="0"/>
          <w:numId w:val="31"/>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Strengthen national guidance on digital dementia care.</w:t>
      </w:r>
    </w:p>
    <w:p w14:paraId="76AAE549"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b/>
          <w:bCs/>
          <w:color w:val="000000" w:themeColor="text1"/>
          <w:sz w:val="27"/>
          <w:szCs w:val="27"/>
          <w:lang w:val="en-GB" w:eastAsia="en-GB"/>
        </w:rPr>
        <w:t>For Practice</w:t>
      </w:r>
    </w:p>
    <w:p w14:paraId="152B2014" w14:textId="77777777" w:rsidR="00303F99" w:rsidRPr="00303F99" w:rsidRDefault="00303F99" w:rsidP="00303F99">
      <w:pPr>
        <w:numPr>
          <w:ilvl w:val="0"/>
          <w:numId w:val="32"/>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Provide dementia</w:t>
      </w:r>
      <w:r w:rsidRPr="00303F99">
        <w:rPr>
          <w:rFonts w:ascii="Times New Roman" w:eastAsia="Times New Roman" w:hAnsi="Times New Roman" w:cs="Times New Roman"/>
          <w:color w:val="000000" w:themeColor="text1"/>
          <w:lang w:val="en-GB" w:eastAsia="en-GB"/>
        </w:rPr>
        <w:noBreakHyphen/>
        <w:t>specific digital training for clinicians.</w:t>
      </w:r>
    </w:p>
    <w:p w14:paraId="327A4ACD" w14:textId="77777777" w:rsidR="00303F99" w:rsidRPr="00303F99" w:rsidRDefault="00303F99" w:rsidP="00303F99">
      <w:pPr>
        <w:numPr>
          <w:ilvl w:val="0"/>
          <w:numId w:val="32"/>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Develop accessible digital platforms.</w:t>
      </w:r>
    </w:p>
    <w:p w14:paraId="18946268" w14:textId="77777777" w:rsidR="00303F99" w:rsidRPr="00303F99" w:rsidRDefault="00303F99" w:rsidP="00303F99">
      <w:pPr>
        <w:numPr>
          <w:ilvl w:val="0"/>
          <w:numId w:val="32"/>
        </w:num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Offer personalised digital support.</w:t>
      </w:r>
    </w:p>
    <w:p w14:paraId="0F8FF1A6" w14:textId="09701D0B" w:rsidR="00303F99" w:rsidRPr="00303F99" w:rsidRDefault="00303F99" w:rsidP="00303F99">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48"/>
          <w:szCs w:val="48"/>
          <w:lang w:val="en-GB" w:eastAsia="en-GB"/>
        </w:rPr>
      </w:pPr>
      <w:r w:rsidRPr="00303F99">
        <w:rPr>
          <w:rFonts w:ascii="Times New Roman" w:eastAsia="Times New Roman" w:hAnsi="Times New Roman" w:cs="Times New Roman"/>
          <w:b/>
          <w:bCs/>
          <w:color w:val="000000" w:themeColor="text1"/>
          <w:kern w:val="36"/>
          <w:sz w:val="48"/>
          <w:szCs w:val="48"/>
          <w:lang w:val="en-GB" w:eastAsia="en-GB"/>
        </w:rPr>
        <w:t xml:space="preserve">Reference List </w:t>
      </w:r>
    </w:p>
    <w:p w14:paraId="203613D2"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Arksey, H. &amp; O’Malley, L. (2005) </w:t>
      </w:r>
      <w:r w:rsidRPr="00303F99">
        <w:rPr>
          <w:rFonts w:ascii="Times New Roman" w:eastAsia="Times New Roman" w:hAnsi="Times New Roman" w:cs="Times New Roman"/>
          <w:i/>
          <w:iCs/>
          <w:color w:val="000000" w:themeColor="text1"/>
          <w:lang w:val="en-GB" w:eastAsia="en-GB"/>
        </w:rPr>
        <w:t>Scoping studies: towards a methodological framework</w:t>
      </w:r>
      <w:r w:rsidRPr="00303F99">
        <w:rPr>
          <w:rFonts w:ascii="Times New Roman" w:eastAsia="Times New Roman" w:hAnsi="Times New Roman" w:cs="Times New Roman"/>
          <w:color w:val="000000" w:themeColor="text1"/>
          <w:lang w:val="en-GB" w:eastAsia="en-GB"/>
        </w:rPr>
        <w:t>. International Journal of Social Research Methodology, 8(1), pp. 19–32.</w:t>
      </w:r>
    </w:p>
    <w:p w14:paraId="55A320B3"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 xml:space="preserve">Munn, Z. et al. (2018) </w:t>
      </w:r>
      <w:r w:rsidRPr="00303F99">
        <w:rPr>
          <w:rFonts w:ascii="Times New Roman" w:eastAsia="Times New Roman" w:hAnsi="Times New Roman" w:cs="Times New Roman"/>
          <w:i/>
          <w:iCs/>
          <w:color w:val="000000" w:themeColor="text1"/>
          <w:lang w:val="en-GB" w:eastAsia="en-GB"/>
        </w:rPr>
        <w:t>Systematic review or scoping review?</w:t>
      </w:r>
      <w:proofErr w:type="gramEnd"/>
      <w:r w:rsidRPr="00303F99">
        <w:rPr>
          <w:rFonts w:ascii="Times New Roman" w:eastAsia="Times New Roman" w:hAnsi="Times New Roman" w:cs="Times New Roman"/>
          <w:i/>
          <w:iCs/>
          <w:color w:val="000000" w:themeColor="text1"/>
          <w:lang w:val="en-GB" w:eastAsia="en-GB"/>
        </w:rPr>
        <w:t xml:space="preserve"> </w:t>
      </w:r>
      <w:proofErr w:type="gramStart"/>
      <w:r w:rsidRPr="00303F99">
        <w:rPr>
          <w:rFonts w:ascii="Times New Roman" w:eastAsia="Times New Roman" w:hAnsi="Times New Roman" w:cs="Times New Roman"/>
          <w:i/>
          <w:iCs/>
          <w:color w:val="000000" w:themeColor="text1"/>
          <w:lang w:val="en-GB" w:eastAsia="en-GB"/>
        </w:rPr>
        <w:t>Guidance for authors</w:t>
      </w:r>
      <w:r w:rsidRPr="00303F99">
        <w:rPr>
          <w:rFonts w:ascii="Times New Roman" w:eastAsia="Times New Roman" w:hAnsi="Times New Roman" w:cs="Times New Roman"/>
          <w:color w:val="000000" w:themeColor="text1"/>
          <w:lang w:val="en-GB" w:eastAsia="en-GB"/>
        </w:rPr>
        <w:t>.</w:t>
      </w:r>
      <w:proofErr w:type="gramEnd"/>
      <w:r w:rsidRPr="00303F99">
        <w:rPr>
          <w:rFonts w:ascii="Times New Roman" w:eastAsia="Times New Roman" w:hAnsi="Times New Roman" w:cs="Times New Roman"/>
          <w:color w:val="000000" w:themeColor="text1"/>
          <w:lang w:val="en-GB" w:eastAsia="en-GB"/>
        </w:rPr>
        <w:t xml:space="preserve"> BMC Medical Research Methodology, 18(1), pp. 1–7.</w:t>
      </w:r>
    </w:p>
    <w:p w14:paraId="6E2A62D1"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 xml:space="preserve">Peters, M. et al. (2020) </w:t>
      </w:r>
      <w:r w:rsidRPr="00303F99">
        <w:rPr>
          <w:rFonts w:ascii="Times New Roman" w:eastAsia="Times New Roman" w:hAnsi="Times New Roman" w:cs="Times New Roman"/>
          <w:i/>
          <w:iCs/>
          <w:color w:val="000000" w:themeColor="text1"/>
          <w:lang w:val="en-GB" w:eastAsia="en-GB"/>
        </w:rPr>
        <w:t>JBI Manual for Evidence Synthesis</w:t>
      </w:r>
      <w:r w:rsidRPr="00303F99">
        <w:rPr>
          <w:rFonts w:ascii="Times New Roman" w:eastAsia="Times New Roman" w:hAnsi="Times New Roman" w:cs="Times New Roman"/>
          <w:color w:val="000000" w:themeColor="text1"/>
          <w:lang w:val="en-GB" w:eastAsia="en-GB"/>
        </w:rPr>
        <w:t>.</w:t>
      </w:r>
      <w:proofErr w:type="gramEnd"/>
      <w:r w:rsidRPr="00303F99">
        <w:rPr>
          <w:rFonts w:ascii="Times New Roman" w:eastAsia="Times New Roman" w:hAnsi="Times New Roman" w:cs="Times New Roman"/>
          <w:color w:val="000000" w:themeColor="text1"/>
          <w:lang w:val="en-GB" w:eastAsia="en-GB"/>
        </w:rPr>
        <w:t xml:space="preserve"> Joanna Briggs Institute.</w:t>
      </w:r>
    </w:p>
    <w:p w14:paraId="6B1DEC6D"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Tricco, A. et al. (2018) </w:t>
      </w:r>
      <w:r w:rsidRPr="00303F99">
        <w:rPr>
          <w:rFonts w:ascii="Times New Roman" w:eastAsia="Times New Roman" w:hAnsi="Times New Roman" w:cs="Times New Roman"/>
          <w:i/>
          <w:iCs/>
          <w:color w:val="000000" w:themeColor="text1"/>
          <w:lang w:val="en-GB" w:eastAsia="en-GB"/>
        </w:rPr>
        <w:t>PRISMA Extension for Scoping Reviews (PRISMA</w:t>
      </w:r>
      <w:r w:rsidRPr="00303F99">
        <w:rPr>
          <w:rFonts w:ascii="Times New Roman" w:eastAsia="Times New Roman" w:hAnsi="Times New Roman" w:cs="Times New Roman"/>
          <w:i/>
          <w:iCs/>
          <w:color w:val="000000" w:themeColor="text1"/>
          <w:lang w:val="en-GB" w:eastAsia="en-GB"/>
        </w:rPr>
        <w:noBreakHyphen/>
        <w:t>ScR)</w:t>
      </w:r>
      <w:r w:rsidRPr="00303F99">
        <w:rPr>
          <w:rFonts w:ascii="Times New Roman" w:eastAsia="Times New Roman" w:hAnsi="Times New Roman" w:cs="Times New Roman"/>
          <w:color w:val="000000" w:themeColor="text1"/>
          <w:lang w:val="en-GB" w:eastAsia="en-GB"/>
        </w:rPr>
        <w:t>. Annals of Internal Medicine, 169(7), pp. 467–473.</w:t>
      </w:r>
    </w:p>
    <w:p w14:paraId="7603FF37"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Lee, J. et al. (2021) </w:t>
      </w:r>
      <w:r w:rsidRPr="00303F99">
        <w:rPr>
          <w:rFonts w:ascii="Times New Roman" w:eastAsia="Times New Roman" w:hAnsi="Times New Roman" w:cs="Times New Roman"/>
          <w:i/>
          <w:iCs/>
          <w:color w:val="000000" w:themeColor="text1"/>
          <w:lang w:val="en-GB" w:eastAsia="en-GB"/>
        </w:rPr>
        <w:t>Artificial Intelligence for Mental Health Care: Clinical Applications, Barriers, Facilitators</w:t>
      </w:r>
      <w:r w:rsidRPr="00303F99">
        <w:rPr>
          <w:rFonts w:ascii="Times New Roman" w:eastAsia="Times New Roman" w:hAnsi="Times New Roman" w:cs="Times New Roman"/>
          <w:color w:val="000000" w:themeColor="text1"/>
          <w:lang w:val="en-GB" w:eastAsia="en-GB"/>
        </w:rPr>
        <w:t>.</w:t>
      </w:r>
    </w:p>
    <w:p w14:paraId="1262D74C"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Walker, R. et al. (2014) </w:t>
      </w:r>
      <w:r w:rsidRPr="00303F99">
        <w:rPr>
          <w:rFonts w:ascii="Times New Roman" w:eastAsia="Times New Roman" w:hAnsi="Times New Roman" w:cs="Times New Roman"/>
          <w:i/>
          <w:iCs/>
          <w:color w:val="000000" w:themeColor="text1"/>
          <w:lang w:val="en-GB" w:eastAsia="en-GB"/>
        </w:rPr>
        <w:t>Social determinants of health: a systematic review</w:t>
      </w:r>
      <w:r w:rsidRPr="00303F99">
        <w:rPr>
          <w:rFonts w:ascii="Times New Roman" w:eastAsia="Times New Roman" w:hAnsi="Times New Roman" w:cs="Times New Roman"/>
          <w:color w:val="000000" w:themeColor="text1"/>
          <w:lang w:val="en-GB" w:eastAsia="en-GB"/>
        </w:rPr>
        <w:t>.</w:t>
      </w:r>
    </w:p>
    <w:p w14:paraId="74EA2AE4"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Hughes, N. et al. (2009) </w:t>
      </w:r>
      <w:r w:rsidRPr="00303F99">
        <w:rPr>
          <w:rFonts w:ascii="Times New Roman" w:eastAsia="Times New Roman" w:hAnsi="Times New Roman" w:cs="Times New Roman"/>
          <w:i/>
          <w:iCs/>
          <w:color w:val="000000" w:themeColor="text1"/>
          <w:lang w:val="en-GB" w:eastAsia="en-GB"/>
        </w:rPr>
        <w:t>Experiencing cancer in old age: a qualitative systematic review</w:t>
      </w:r>
      <w:r w:rsidRPr="00303F99">
        <w:rPr>
          <w:rFonts w:ascii="Times New Roman" w:eastAsia="Times New Roman" w:hAnsi="Times New Roman" w:cs="Times New Roman"/>
          <w:color w:val="000000" w:themeColor="text1"/>
          <w:lang w:val="en-GB" w:eastAsia="en-GB"/>
        </w:rPr>
        <w:t>.</w:t>
      </w:r>
    </w:p>
    <w:p w14:paraId="567C5414"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Robinson, L. et al. (2010) </w:t>
      </w:r>
      <w:r w:rsidRPr="00303F99">
        <w:rPr>
          <w:rFonts w:ascii="Times New Roman" w:eastAsia="Times New Roman" w:hAnsi="Times New Roman" w:cs="Times New Roman"/>
          <w:i/>
          <w:iCs/>
          <w:color w:val="000000" w:themeColor="text1"/>
          <w:lang w:val="en-GB" w:eastAsia="en-GB"/>
        </w:rPr>
        <w:t>Educational intervention for psychiatrists: improving dementia care</w:t>
      </w:r>
      <w:r w:rsidRPr="00303F99">
        <w:rPr>
          <w:rFonts w:ascii="Times New Roman" w:eastAsia="Times New Roman" w:hAnsi="Times New Roman" w:cs="Times New Roman"/>
          <w:color w:val="000000" w:themeColor="text1"/>
          <w:lang w:val="en-GB" w:eastAsia="en-GB"/>
        </w:rPr>
        <w:t>.</w:t>
      </w:r>
    </w:p>
    <w:p w14:paraId="7AB268CA"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Watson, P. et al. (2024) </w:t>
      </w:r>
      <w:r w:rsidRPr="00303F99">
        <w:rPr>
          <w:rFonts w:ascii="Times New Roman" w:eastAsia="Times New Roman" w:hAnsi="Times New Roman" w:cs="Times New Roman"/>
          <w:i/>
          <w:iCs/>
          <w:color w:val="000000" w:themeColor="text1"/>
          <w:lang w:val="en-GB" w:eastAsia="en-GB"/>
        </w:rPr>
        <w:t>Digital access to dementia services: a systematic review</w:t>
      </w:r>
      <w:r w:rsidRPr="00303F99">
        <w:rPr>
          <w:rFonts w:ascii="Times New Roman" w:eastAsia="Times New Roman" w:hAnsi="Times New Roman" w:cs="Times New Roman"/>
          <w:color w:val="000000" w:themeColor="text1"/>
          <w:lang w:val="en-GB" w:eastAsia="en-GB"/>
        </w:rPr>
        <w:t>.</w:t>
      </w:r>
    </w:p>
    <w:p w14:paraId="296B124F"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 xml:space="preserve">Alzheimer’s Society (2023) </w:t>
      </w:r>
      <w:r w:rsidRPr="00303F99">
        <w:rPr>
          <w:rFonts w:ascii="Times New Roman" w:eastAsia="Times New Roman" w:hAnsi="Times New Roman" w:cs="Times New Roman"/>
          <w:i/>
          <w:iCs/>
          <w:color w:val="000000" w:themeColor="text1"/>
          <w:lang w:val="en-GB" w:eastAsia="en-GB"/>
        </w:rPr>
        <w:t>Young</w:t>
      </w:r>
      <w:r w:rsidRPr="00303F99">
        <w:rPr>
          <w:rFonts w:ascii="Times New Roman" w:eastAsia="Times New Roman" w:hAnsi="Times New Roman" w:cs="Times New Roman"/>
          <w:i/>
          <w:iCs/>
          <w:color w:val="000000" w:themeColor="text1"/>
          <w:lang w:val="en-GB" w:eastAsia="en-GB"/>
        </w:rPr>
        <w:noBreakHyphen/>
        <w:t>onset dementia statistics</w:t>
      </w:r>
      <w:r w:rsidRPr="00303F99">
        <w:rPr>
          <w:rFonts w:ascii="Times New Roman" w:eastAsia="Times New Roman" w:hAnsi="Times New Roman" w:cs="Times New Roman"/>
          <w:color w:val="000000" w:themeColor="text1"/>
          <w:lang w:val="en-GB" w:eastAsia="en-GB"/>
        </w:rPr>
        <w:t>.</w:t>
      </w:r>
      <w:proofErr w:type="gramEnd"/>
    </w:p>
    <w:p w14:paraId="0BAA1D2B"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 xml:space="preserve">NHS England (2019) </w:t>
      </w:r>
      <w:r w:rsidRPr="00303F99">
        <w:rPr>
          <w:rFonts w:ascii="Times New Roman" w:eastAsia="Times New Roman" w:hAnsi="Times New Roman" w:cs="Times New Roman"/>
          <w:i/>
          <w:iCs/>
          <w:color w:val="000000" w:themeColor="text1"/>
          <w:lang w:val="en-GB" w:eastAsia="en-GB"/>
        </w:rPr>
        <w:t>NHS Long Term Plan</w:t>
      </w:r>
      <w:r w:rsidRPr="00303F99">
        <w:rPr>
          <w:rFonts w:ascii="Times New Roman" w:eastAsia="Times New Roman" w:hAnsi="Times New Roman" w:cs="Times New Roman"/>
          <w:color w:val="000000" w:themeColor="text1"/>
          <w:lang w:val="en-GB" w:eastAsia="en-GB"/>
        </w:rPr>
        <w:t>.</w:t>
      </w:r>
      <w:proofErr w:type="gramEnd"/>
    </w:p>
    <w:p w14:paraId="182DC481"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 xml:space="preserve">Department of Health and Social Care (2012) </w:t>
      </w:r>
      <w:r w:rsidRPr="00303F99">
        <w:rPr>
          <w:rFonts w:ascii="Times New Roman" w:eastAsia="Times New Roman" w:hAnsi="Times New Roman" w:cs="Times New Roman"/>
          <w:i/>
          <w:iCs/>
          <w:color w:val="000000" w:themeColor="text1"/>
          <w:lang w:val="en-GB" w:eastAsia="en-GB"/>
        </w:rPr>
        <w:t>Health and Social Care Act</w:t>
      </w:r>
      <w:r w:rsidRPr="00303F99">
        <w:rPr>
          <w:rFonts w:ascii="Times New Roman" w:eastAsia="Times New Roman" w:hAnsi="Times New Roman" w:cs="Times New Roman"/>
          <w:color w:val="000000" w:themeColor="text1"/>
          <w:lang w:val="en-GB" w:eastAsia="en-GB"/>
        </w:rPr>
        <w:t>.</w:t>
      </w:r>
      <w:proofErr w:type="gramEnd"/>
    </w:p>
    <w:p w14:paraId="7090FB33" w14:textId="0501CDD1"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Care Act (2014).</w:t>
      </w:r>
    </w:p>
    <w:p w14:paraId="1C985324"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Cs/>
          <w:color w:val="000000" w:themeColor="text1"/>
          <w:sz w:val="27"/>
          <w:szCs w:val="27"/>
          <w:lang w:val="en-GB" w:eastAsia="en-GB"/>
        </w:rPr>
      </w:pPr>
      <w:r w:rsidRPr="00303F99">
        <w:rPr>
          <w:rFonts w:ascii="Times New Roman" w:eastAsia="Times New Roman" w:hAnsi="Times New Roman" w:cs="Times New Roman"/>
          <w:bCs/>
          <w:color w:val="000000" w:themeColor="text1"/>
          <w:sz w:val="27"/>
          <w:szCs w:val="27"/>
          <w:lang w:val="en-GB" w:eastAsia="en-GB"/>
        </w:rPr>
        <w:t>Digital transformation &amp; NHS context</w:t>
      </w:r>
    </w:p>
    <w:p w14:paraId="1ABA4686"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 xml:space="preserve">NHS Digital (2021) </w:t>
      </w:r>
      <w:r w:rsidRPr="00303F99">
        <w:rPr>
          <w:rFonts w:ascii="Times New Roman" w:eastAsia="Times New Roman" w:hAnsi="Times New Roman" w:cs="Times New Roman"/>
          <w:i/>
          <w:iCs/>
          <w:color w:val="000000" w:themeColor="text1"/>
          <w:lang w:val="en-GB" w:eastAsia="en-GB"/>
        </w:rPr>
        <w:t>NHS Digital Transformation Strategy</w:t>
      </w:r>
      <w:r w:rsidRPr="00303F99">
        <w:rPr>
          <w:rFonts w:ascii="Times New Roman" w:eastAsia="Times New Roman" w:hAnsi="Times New Roman" w:cs="Times New Roman"/>
          <w:color w:val="000000" w:themeColor="text1"/>
          <w:lang w:val="en-GB" w:eastAsia="en-GB"/>
        </w:rPr>
        <w:t>.</w:t>
      </w:r>
      <w:proofErr w:type="gramEnd"/>
      <w:r w:rsidRPr="00303F99">
        <w:rPr>
          <w:rFonts w:ascii="Times New Roman" w:eastAsia="Times New Roman" w:hAnsi="Times New Roman" w:cs="Times New Roman"/>
          <w:color w:val="000000" w:themeColor="text1"/>
          <w:lang w:val="en-GB" w:eastAsia="en-GB"/>
        </w:rPr>
        <w:t xml:space="preserve"> NHS England. Greenhalgh, T. et al. (2017) ‘Beyond adoption: a new framework for theorizing and evaluating nonadoption, abandonment, and challenges to the scale</w:t>
      </w:r>
      <w:r w:rsidRPr="00303F99">
        <w:rPr>
          <w:rFonts w:ascii="Times New Roman" w:eastAsia="Times New Roman" w:hAnsi="Times New Roman" w:cs="Times New Roman"/>
          <w:color w:val="000000" w:themeColor="text1"/>
          <w:lang w:val="en-GB" w:eastAsia="en-GB"/>
        </w:rPr>
        <w:noBreakHyphen/>
        <w:t xml:space="preserve">up, spread, and sustainability of health and care technologies’, </w:t>
      </w:r>
      <w:r w:rsidRPr="00303F99">
        <w:rPr>
          <w:rFonts w:ascii="Times New Roman" w:eastAsia="Times New Roman" w:hAnsi="Times New Roman" w:cs="Times New Roman"/>
          <w:i/>
          <w:iCs/>
          <w:color w:val="000000" w:themeColor="text1"/>
          <w:lang w:val="en-GB" w:eastAsia="en-GB"/>
        </w:rPr>
        <w:t>Journal of Medical Internet Research</w:t>
      </w:r>
      <w:r w:rsidRPr="00303F99">
        <w:rPr>
          <w:rFonts w:ascii="Times New Roman" w:eastAsia="Times New Roman" w:hAnsi="Times New Roman" w:cs="Times New Roman"/>
          <w:color w:val="000000" w:themeColor="text1"/>
          <w:lang w:val="en-GB" w:eastAsia="en-GB"/>
        </w:rPr>
        <w:t xml:space="preserve">, 19(11), pp. 1–15. Lupton, D. (2018) </w:t>
      </w:r>
      <w:r w:rsidRPr="00303F99">
        <w:rPr>
          <w:rFonts w:ascii="Times New Roman" w:eastAsia="Times New Roman" w:hAnsi="Times New Roman" w:cs="Times New Roman"/>
          <w:i/>
          <w:iCs/>
          <w:color w:val="000000" w:themeColor="text1"/>
          <w:lang w:val="en-GB" w:eastAsia="en-GB"/>
        </w:rPr>
        <w:t>Digital Health: Critical and Cross</w:t>
      </w:r>
      <w:r w:rsidRPr="00303F99">
        <w:rPr>
          <w:rFonts w:ascii="Times New Roman" w:eastAsia="Times New Roman" w:hAnsi="Times New Roman" w:cs="Times New Roman"/>
          <w:i/>
          <w:iCs/>
          <w:color w:val="000000" w:themeColor="text1"/>
          <w:lang w:val="en-GB" w:eastAsia="en-GB"/>
        </w:rPr>
        <w:noBreakHyphen/>
        <w:t>Disciplinary Perspectives</w:t>
      </w:r>
      <w:r w:rsidRPr="00303F99">
        <w:rPr>
          <w:rFonts w:ascii="Times New Roman" w:eastAsia="Times New Roman" w:hAnsi="Times New Roman" w:cs="Times New Roman"/>
          <w:color w:val="000000" w:themeColor="text1"/>
          <w:lang w:val="en-GB" w:eastAsia="en-GB"/>
        </w:rPr>
        <w:t>. London: Routledge.</w:t>
      </w:r>
    </w:p>
    <w:p w14:paraId="7730503A"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Cs/>
          <w:color w:val="000000" w:themeColor="text1"/>
          <w:sz w:val="27"/>
          <w:szCs w:val="27"/>
          <w:lang w:val="en-GB" w:eastAsia="en-GB"/>
        </w:rPr>
      </w:pPr>
      <w:r w:rsidRPr="00303F99">
        <w:rPr>
          <w:rFonts w:ascii="Times New Roman" w:eastAsia="Times New Roman" w:hAnsi="Times New Roman" w:cs="Times New Roman"/>
          <w:bCs/>
          <w:color w:val="000000" w:themeColor="text1"/>
          <w:sz w:val="27"/>
          <w:szCs w:val="27"/>
          <w:lang w:val="en-GB" w:eastAsia="en-GB"/>
        </w:rPr>
        <w:t>Digital inclusion &amp; inequalities</w:t>
      </w:r>
    </w:p>
    <w:p w14:paraId="1382C133"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proofErr w:type="gramStart"/>
      <w:r w:rsidRPr="00303F99">
        <w:rPr>
          <w:rFonts w:ascii="Times New Roman" w:eastAsia="Times New Roman" w:hAnsi="Times New Roman" w:cs="Times New Roman"/>
          <w:color w:val="000000" w:themeColor="text1"/>
          <w:lang w:val="en-GB" w:eastAsia="en-GB"/>
        </w:rPr>
        <w:t xml:space="preserve">UK Government (2023) </w:t>
      </w:r>
      <w:r w:rsidRPr="00303F99">
        <w:rPr>
          <w:rFonts w:ascii="Times New Roman" w:eastAsia="Times New Roman" w:hAnsi="Times New Roman" w:cs="Times New Roman"/>
          <w:i/>
          <w:iCs/>
          <w:color w:val="000000" w:themeColor="text1"/>
          <w:lang w:val="en-GB" w:eastAsia="en-GB"/>
        </w:rPr>
        <w:t>UK Digital Inclusion Strategy</w:t>
      </w:r>
      <w:r w:rsidRPr="00303F99">
        <w:rPr>
          <w:rFonts w:ascii="Times New Roman" w:eastAsia="Times New Roman" w:hAnsi="Times New Roman" w:cs="Times New Roman"/>
          <w:color w:val="000000" w:themeColor="text1"/>
          <w:lang w:val="en-GB" w:eastAsia="en-GB"/>
        </w:rPr>
        <w:t>.</w:t>
      </w:r>
      <w:proofErr w:type="gramEnd"/>
      <w:r w:rsidRPr="00303F99">
        <w:rPr>
          <w:rFonts w:ascii="Times New Roman" w:eastAsia="Times New Roman" w:hAnsi="Times New Roman" w:cs="Times New Roman"/>
          <w:color w:val="000000" w:themeColor="text1"/>
          <w:lang w:val="en-GB" w:eastAsia="en-GB"/>
        </w:rPr>
        <w:t xml:space="preserve"> </w:t>
      </w:r>
      <w:proofErr w:type="gramStart"/>
      <w:r w:rsidRPr="00303F99">
        <w:rPr>
          <w:rFonts w:ascii="Times New Roman" w:eastAsia="Times New Roman" w:hAnsi="Times New Roman" w:cs="Times New Roman"/>
          <w:color w:val="000000" w:themeColor="text1"/>
          <w:lang w:val="en-GB" w:eastAsia="en-GB"/>
        </w:rPr>
        <w:t>Department for Science, Innovation and Technology.</w:t>
      </w:r>
      <w:proofErr w:type="gramEnd"/>
      <w:r w:rsidRPr="00303F99">
        <w:rPr>
          <w:rFonts w:ascii="Times New Roman" w:eastAsia="Times New Roman" w:hAnsi="Times New Roman" w:cs="Times New Roman"/>
          <w:color w:val="000000" w:themeColor="text1"/>
          <w:lang w:val="en-GB" w:eastAsia="en-GB"/>
        </w:rPr>
        <w:t xml:space="preserve"> Helsper, E. (2021) </w:t>
      </w:r>
      <w:proofErr w:type="gramStart"/>
      <w:r w:rsidRPr="00303F99">
        <w:rPr>
          <w:rFonts w:ascii="Times New Roman" w:eastAsia="Times New Roman" w:hAnsi="Times New Roman" w:cs="Times New Roman"/>
          <w:i/>
          <w:iCs/>
          <w:color w:val="000000" w:themeColor="text1"/>
          <w:lang w:val="en-GB" w:eastAsia="en-GB"/>
        </w:rPr>
        <w:t>The</w:t>
      </w:r>
      <w:proofErr w:type="gramEnd"/>
      <w:r w:rsidRPr="00303F99">
        <w:rPr>
          <w:rFonts w:ascii="Times New Roman" w:eastAsia="Times New Roman" w:hAnsi="Times New Roman" w:cs="Times New Roman"/>
          <w:i/>
          <w:iCs/>
          <w:color w:val="000000" w:themeColor="text1"/>
          <w:lang w:val="en-GB" w:eastAsia="en-GB"/>
        </w:rPr>
        <w:t xml:space="preserve"> Digital Divide: The Social and Economic Causes and Consequences of Digital Exclusion</w:t>
      </w:r>
      <w:r w:rsidRPr="00303F99">
        <w:rPr>
          <w:rFonts w:ascii="Times New Roman" w:eastAsia="Times New Roman" w:hAnsi="Times New Roman" w:cs="Times New Roman"/>
          <w:color w:val="000000" w:themeColor="text1"/>
          <w:lang w:val="en-GB" w:eastAsia="en-GB"/>
        </w:rPr>
        <w:t xml:space="preserve">. London: Sage. </w:t>
      </w:r>
      <w:proofErr w:type="gramStart"/>
      <w:r w:rsidRPr="00303F99">
        <w:rPr>
          <w:rFonts w:ascii="Times New Roman" w:eastAsia="Times New Roman" w:hAnsi="Times New Roman" w:cs="Times New Roman"/>
          <w:color w:val="000000" w:themeColor="text1"/>
          <w:lang w:val="en-GB" w:eastAsia="en-GB"/>
        </w:rPr>
        <w:t xml:space="preserve">Ofcom (2023) </w:t>
      </w:r>
      <w:r w:rsidRPr="00303F99">
        <w:rPr>
          <w:rFonts w:ascii="Times New Roman" w:eastAsia="Times New Roman" w:hAnsi="Times New Roman" w:cs="Times New Roman"/>
          <w:i/>
          <w:iCs/>
          <w:color w:val="000000" w:themeColor="text1"/>
          <w:lang w:val="en-GB" w:eastAsia="en-GB"/>
        </w:rPr>
        <w:t>Online Nation 2023 Report</w:t>
      </w:r>
      <w:r w:rsidRPr="00303F99">
        <w:rPr>
          <w:rFonts w:ascii="Times New Roman" w:eastAsia="Times New Roman" w:hAnsi="Times New Roman" w:cs="Times New Roman"/>
          <w:color w:val="000000" w:themeColor="text1"/>
          <w:lang w:val="en-GB" w:eastAsia="en-GB"/>
        </w:rPr>
        <w:t>.</w:t>
      </w:r>
      <w:proofErr w:type="gramEnd"/>
      <w:r w:rsidRPr="00303F99">
        <w:rPr>
          <w:rFonts w:ascii="Times New Roman" w:eastAsia="Times New Roman" w:hAnsi="Times New Roman" w:cs="Times New Roman"/>
          <w:color w:val="000000" w:themeColor="text1"/>
          <w:lang w:val="en-GB" w:eastAsia="en-GB"/>
        </w:rPr>
        <w:t xml:space="preserve"> </w:t>
      </w:r>
      <w:proofErr w:type="gramStart"/>
      <w:r w:rsidRPr="00303F99">
        <w:rPr>
          <w:rFonts w:ascii="Times New Roman" w:eastAsia="Times New Roman" w:hAnsi="Times New Roman" w:cs="Times New Roman"/>
          <w:color w:val="000000" w:themeColor="text1"/>
          <w:lang w:val="en-GB" w:eastAsia="en-GB"/>
        </w:rPr>
        <w:t>Ofcom.</w:t>
      </w:r>
      <w:proofErr w:type="gramEnd"/>
    </w:p>
    <w:p w14:paraId="1A3A8C62"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Cs/>
          <w:color w:val="000000" w:themeColor="text1"/>
          <w:sz w:val="27"/>
          <w:szCs w:val="27"/>
          <w:lang w:val="en-GB" w:eastAsia="en-GB"/>
        </w:rPr>
      </w:pPr>
      <w:r w:rsidRPr="00303F99">
        <w:rPr>
          <w:rFonts w:ascii="Times New Roman" w:eastAsia="Times New Roman" w:hAnsi="Times New Roman" w:cs="Times New Roman"/>
          <w:bCs/>
          <w:color w:val="000000" w:themeColor="text1"/>
          <w:sz w:val="27"/>
          <w:szCs w:val="27"/>
          <w:lang w:val="en-GB" w:eastAsia="en-GB"/>
        </w:rPr>
        <w:t>Young</w:t>
      </w:r>
      <w:r w:rsidRPr="00303F99">
        <w:rPr>
          <w:rFonts w:ascii="Times New Roman" w:eastAsia="Times New Roman" w:hAnsi="Times New Roman" w:cs="Times New Roman"/>
          <w:bCs/>
          <w:color w:val="000000" w:themeColor="text1"/>
          <w:sz w:val="27"/>
          <w:szCs w:val="27"/>
          <w:lang w:val="en-GB" w:eastAsia="en-GB"/>
        </w:rPr>
        <w:noBreakHyphen/>
        <w:t>onset dementia context</w:t>
      </w:r>
    </w:p>
    <w:p w14:paraId="532850AF"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Roach, P. and Drummond, N. (2014) ‘Young onset dementia: insights, implications and impact of </w:t>
      </w:r>
      <w:proofErr w:type="gramStart"/>
      <w:r w:rsidRPr="00303F99">
        <w:rPr>
          <w:rFonts w:ascii="Times New Roman" w:eastAsia="Times New Roman" w:hAnsi="Times New Roman" w:cs="Times New Roman"/>
          <w:color w:val="000000" w:themeColor="text1"/>
          <w:lang w:val="en-GB" w:eastAsia="en-GB"/>
        </w:rPr>
        <w:t>diagnosis’</w:t>
      </w:r>
      <w:proofErr w:type="gramEnd"/>
      <w:r w:rsidRPr="00303F99">
        <w:rPr>
          <w:rFonts w:ascii="Times New Roman" w:eastAsia="Times New Roman" w:hAnsi="Times New Roman" w:cs="Times New Roman"/>
          <w:color w:val="000000" w:themeColor="text1"/>
          <w:lang w:val="en-GB" w:eastAsia="en-GB"/>
        </w:rPr>
        <w:t xml:space="preserve">, </w:t>
      </w:r>
      <w:r w:rsidRPr="00303F99">
        <w:rPr>
          <w:rFonts w:ascii="Times New Roman" w:eastAsia="Times New Roman" w:hAnsi="Times New Roman" w:cs="Times New Roman"/>
          <w:i/>
          <w:iCs/>
          <w:color w:val="000000" w:themeColor="text1"/>
          <w:lang w:val="en-GB" w:eastAsia="en-GB"/>
        </w:rPr>
        <w:t>Dementia</w:t>
      </w:r>
      <w:r w:rsidRPr="00303F99">
        <w:rPr>
          <w:rFonts w:ascii="Times New Roman" w:eastAsia="Times New Roman" w:hAnsi="Times New Roman" w:cs="Times New Roman"/>
          <w:color w:val="000000" w:themeColor="text1"/>
          <w:lang w:val="en-GB" w:eastAsia="en-GB"/>
        </w:rPr>
        <w:t>, 13(3), pp. 300–313. Millenaar, J. et al. (2016) ‘</w:t>
      </w:r>
      <w:proofErr w:type="gramStart"/>
      <w:r w:rsidRPr="00303F99">
        <w:rPr>
          <w:rFonts w:ascii="Times New Roman" w:eastAsia="Times New Roman" w:hAnsi="Times New Roman" w:cs="Times New Roman"/>
          <w:color w:val="000000" w:themeColor="text1"/>
          <w:lang w:val="en-GB" w:eastAsia="en-GB"/>
        </w:rPr>
        <w:t>The</w:t>
      </w:r>
      <w:proofErr w:type="gramEnd"/>
      <w:r w:rsidRPr="00303F99">
        <w:rPr>
          <w:rFonts w:ascii="Times New Roman" w:eastAsia="Times New Roman" w:hAnsi="Times New Roman" w:cs="Times New Roman"/>
          <w:color w:val="000000" w:themeColor="text1"/>
          <w:lang w:val="en-GB" w:eastAsia="en-GB"/>
        </w:rPr>
        <w:t xml:space="preserve"> experiences and needs of people with young onset dementia: a meta</w:t>
      </w:r>
      <w:r w:rsidRPr="00303F99">
        <w:rPr>
          <w:rFonts w:ascii="Times New Roman" w:eastAsia="Times New Roman" w:hAnsi="Times New Roman" w:cs="Times New Roman"/>
          <w:color w:val="000000" w:themeColor="text1"/>
          <w:lang w:val="en-GB" w:eastAsia="en-GB"/>
        </w:rPr>
        <w:noBreakHyphen/>
        <w:t xml:space="preserve">ethnographic review’, </w:t>
      </w:r>
      <w:r w:rsidRPr="00303F99">
        <w:rPr>
          <w:rFonts w:ascii="Times New Roman" w:eastAsia="Times New Roman" w:hAnsi="Times New Roman" w:cs="Times New Roman"/>
          <w:i/>
          <w:iCs/>
          <w:color w:val="000000" w:themeColor="text1"/>
          <w:lang w:val="en-GB" w:eastAsia="en-GB"/>
        </w:rPr>
        <w:t>Aging &amp; Mental Health</w:t>
      </w:r>
      <w:r w:rsidRPr="00303F99">
        <w:rPr>
          <w:rFonts w:ascii="Times New Roman" w:eastAsia="Times New Roman" w:hAnsi="Times New Roman" w:cs="Times New Roman"/>
          <w:color w:val="000000" w:themeColor="text1"/>
          <w:lang w:val="en-GB" w:eastAsia="en-GB"/>
        </w:rPr>
        <w:t>, 20(10), pp. 1001–1011. Cations, M. et al. (2017) ‘Why aren’t people with young onset dementia and their families being supported?</w:t>
      </w:r>
      <w:proofErr w:type="gramStart"/>
      <w:r w:rsidRPr="00303F99">
        <w:rPr>
          <w:rFonts w:ascii="Times New Roman" w:eastAsia="Times New Roman" w:hAnsi="Times New Roman" w:cs="Times New Roman"/>
          <w:color w:val="000000" w:themeColor="text1"/>
          <w:lang w:val="en-GB" w:eastAsia="en-GB"/>
        </w:rPr>
        <w:t>’,</w:t>
      </w:r>
      <w:proofErr w:type="gramEnd"/>
      <w:r w:rsidRPr="00303F99">
        <w:rPr>
          <w:rFonts w:ascii="Times New Roman" w:eastAsia="Times New Roman" w:hAnsi="Times New Roman" w:cs="Times New Roman"/>
          <w:color w:val="000000" w:themeColor="text1"/>
          <w:lang w:val="en-GB" w:eastAsia="en-GB"/>
        </w:rPr>
        <w:t xml:space="preserve"> </w:t>
      </w:r>
      <w:r w:rsidRPr="00303F99">
        <w:rPr>
          <w:rFonts w:ascii="Times New Roman" w:eastAsia="Times New Roman" w:hAnsi="Times New Roman" w:cs="Times New Roman"/>
          <w:i/>
          <w:iCs/>
          <w:color w:val="000000" w:themeColor="text1"/>
          <w:lang w:val="en-GB" w:eastAsia="en-GB"/>
        </w:rPr>
        <w:t>International Psychogeriatrics</w:t>
      </w:r>
      <w:r w:rsidRPr="00303F99">
        <w:rPr>
          <w:rFonts w:ascii="Times New Roman" w:eastAsia="Times New Roman" w:hAnsi="Times New Roman" w:cs="Times New Roman"/>
          <w:color w:val="000000" w:themeColor="text1"/>
          <w:lang w:val="en-GB" w:eastAsia="en-GB"/>
        </w:rPr>
        <w:t>, 29(12), pp. 1973–1984.</w:t>
      </w:r>
    </w:p>
    <w:p w14:paraId="4CAC358C"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Cs/>
          <w:color w:val="000000" w:themeColor="text1"/>
          <w:sz w:val="27"/>
          <w:szCs w:val="27"/>
          <w:lang w:val="en-GB" w:eastAsia="en-GB"/>
        </w:rPr>
      </w:pPr>
      <w:r w:rsidRPr="00303F99">
        <w:rPr>
          <w:rFonts w:ascii="Times New Roman" w:eastAsia="Times New Roman" w:hAnsi="Times New Roman" w:cs="Times New Roman"/>
          <w:bCs/>
          <w:color w:val="000000" w:themeColor="text1"/>
          <w:sz w:val="27"/>
          <w:szCs w:val="27"/>
          <w:lang w:val="en-GB" w:eastAsia="en-GB"/>
        </w:rPr>
        <w:t>Digital mental health interventions</w:t>
      </w:r>
    </w:p>
    <w:p w14:paraId="058F0BE3"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Torous, J. and Nicholas, J. (2021) ‘Digital mental health: the answer to the global mental health crisis?</w:t>
      </w:r>
      <w:proofErr w:type="gramStart"/>
      <w:r w:rsidRPr="00303F99">
        <w:rPr>
          <w:rFonts w:ascii="Times New Roman" w:eastAsia="Times New Roman" w:hAnsi="Times New Roman" w:cs="Times New Roman"/>
          <w:color w:val="000000" w:themeColor="text1"/>
          <w:lang w:val="en-GB" w:eastAsia="en-GB"/>
        </w:rPr>
        <w:t>’,</w:t>
      </w:r>
      <w:proofErr w:type="gramEnd"/>
      <w:r w:rsidRPr="00303F99">
        <w:rPr>
          <w:rFonts w:ascii="Times New Roman" w:eastAsia="Times New Roman" w:hAnsi="Times New Roman" w:cs="Times New Roman"/>
          <w:color w:val="000000" w:themeColor="text1"/>
          <w:lang w:val="en-GB" w:eastAsia="en-GB"/>
        </w:rPr>
        <w:t xml:space="preserve"> </w:t>
      </w:r>
      <w:r w:rsidRPr="00303F99">
        <w:rPr>
          <w:rFonts w:ascii="Times New Roman" w:eastAsia="Times New Roman" w:hAnsi="Times New Roman" w:cs="Times New Roman"/>
          <w:i/>
          <w:iCs/>
          <w:color w:val="000000" w:themeColor="text1"/>
          <w:lang w:val="en-GB" w:eastAsia="en-GB"/>
        </w:rPr>
        <w:t>The Lancet Digital Health</w:t>
      </w:r>
      <w:r w:rsidRPr="00303F99">
        <w:rPr>
          <w:rFonts w:ascii="Times New Roman" w:eastAsia="Times New Roman" w:hAnsi="Times New Roman" w:cs="Times New Roman"/>
          <w:color w:val="000000" w:themeColor="text1"/>
          <w:lang w:val="en-GB" w:eastAsia="en-GB"/>
        </w:rPr>
        <w:t xml:space="preserve">, 3(8), pp. e507–e508. Hollis, C. et al. (2018) ‘Technological innovations in mental healthcare: harnessing the digital revolution’, </w:t>
      </w:r>
      <w:r w:rsidRPr="00303F99">
        <w:rPr>
          <w:rFonts w:ascii="Times New Roman" w:eastAsia="Times New Roman" w:hAnsi="Times New Roman" w:cs="Times New Roman"/>
          <w:i/>
          <w:iCs/>
          <w:color w:val="000000" w:themeColor="text1"/>
          <w:lang w:val="en-GB" w:eastAsia="en-GB"/>
        </w:rPr>
        <w:t>British Journal of Psychiatry</w:t>
      </w:r>
      <w:r w:rsidRPr="00303F99">
        <w:rPr>
          <w:rFonts w:ascii="Times New Roman" w:eastAsia="Times New Roman" w:hAnsi="Times New Roman" w:cs="Times New Roman"/>
          <w:color w:val="000000" w:themeColor="text1"/>
          <w:lang w:val="en-GB" w:eastAsia="en-GB"/>
        </w:rPr>
        <w:t xml:space="preserve">, 213(3), pp. 509–511. Gooding, P. (2019) ‘Mapping the rise of digital mental health technologies: emerging issues for law and society’, </w:t>
      </w:r>
      <w:r w:rsidRPr="00303F99">
        <w:rPr>
          <w:rFonts w:ascii="Times New Roman" w:eastAsia="Times New Roman" w:hAnsi="Times New Roman" w:cs="Times New Roman"/>
          <w:i/>
          <w:iCs/>
          <w:color w:val="000000" w:themeColor="text1"/>
          <w:lang w:val="en-GB" w:eastAsia="en-GB"/>
        </w:rPr>
        <w:t>International Journal of Law and Psychiatry</w:t>
      </w:r>
      <w:r w:rsidRPr="00303F99">
        <w:rPr>
          <w:rFonts w:ascii="Times New Roman" w:eastAsia="Times New Roman" w:hAnsi="Times New Roman" w:cs="Times New Roman"/>
          <w:color w:val="000000" w:themeColor="text1"/>
          <w:lang w:val="en-GB" w:eastAsia="en-GB"/>
        </w:rPr>
        <w:t>, 67, pp. 1–9.</w:t>
      </w:r>
    </w:p>
    <w:p w14:paraId="5BC7B6A4"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Cs/>
          <w:color w:val="000000" w:themeColor="text1"/>
          <w:sz w:val="27"/>
          <w:szCs w:val="27"/>
          <w:lang w:val="en-GB" w:eastAsia="en-GB"/>
        </w:rPr>
      </w:pPr>
      <w:r w:rsidRPr="00303F99">
        <w:rPr>
          <w:rFonts w:ascii="Times New Roman" w:eastAsia="Times New Roman" w:hAnsi="Times New Roman" w:cs="Times New Roman"/>
          <w:bCs/>
          <w:color w:val="000000" w:themeColor="text1"/>
          <w:sz w:val="27"/>
          <w:szCs w:val="27"/>
          <w:lang w:val="en-GB" w:eastAsia="en-GB"/>
        </w:rPr>
        <w:t>Telehealth &amp; accessibility</w:t>
      </w:r>
    </w:p>
    <w:p w14:paraId="17B68DBE"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Shaw, S. et al. (2018) ‘Telehealth: a technological revolution in healthcare?</w:t>
      </w:r>
      <w:proofErr w:type="gramStart"/>
      <w:r w:rsidRPr="00303F99">
        <w:rPr>
          <w:rFonts w:ascii="Times New Roman" w:eastAsia="Times New Roman" w:hAnsi="Times New Roman" w:cs="Times New Roman"/>
          <w:color w:val="000000" w:themeColor="text1"/>
          <w:lang w:val="en-GB" w:eastAsia="en-GB"/>
        </w:rPr>
        <w:t>’,</w:t>
      </w:r>
      <w:proofErr w:type="gramEnd"/>
      <w:r w:rsidRPr="00303F99">
        <w:rPr>
          <w:rFonts w:ascii="Times New Roman" w:eastAsia="Times New Roman" w:hAnsi="Times New Roman" w:cs="Times New Roman"/>
          <w:color w:val="000000" w:themeColor="text1"/>
          <w:lang w:val="en-GB" w:eastAsia="en-GB"/>
        </w:rPr>
        <w:t xml:space="preserve"> </w:t>
      </w:r>
      <w:r w:rsidRPr="00303F99">
        <w:rPr>
          <w:rFonts w:ascii="Times New Roman" w:eastAsia="Times New Roman" w:hAnsi="Times New Roman" w:cs="Times New Roman"/>
          <w:i/>
          <w:iCs/>
          <w:color w:val="000000" w:themeColor="text1"/>
          <w:lang w:val="en-GB" w:eastAsia="en-GB"/>
        </w:rPr>
        <w:t>Journal of Medical Internet Research</w:t>
      </w:r>
      <w:r w:rsidRPr="00303F99">
        <w:rPr>
          <w:rFonts w:ascii="Times New Roman" w:eastAsia="Times New Roman" w:hAnsi="Times New Roman" w:cs="Times New Roman"/>
          <w:color w:val="000000" w:themeColor="text1"/>
          <w:lang w:val="en-GB" w:eastAsia="en-GB"/>
        </w:rPr>
        <w:t xml:space="preserve">, 20(5), pp. 1–12. Donaghy, E. et al. (2019) ‘Acceptability, benefits, and challenges of video consulting: a qualitative study’, </w:t>
      </w:r>
      <w:r w:rsidRPr="00303F99">
        <w:rPr>
          <w:rFonts w:ascii="Times New Roman" w:eastAsia="Times New Roman" w:hAnsi="Times New Roman" w:cs="Times New Roman"/>
          <w:i/>
          <w:iCs/>
          <w:color w:val="000000" w:themeColor="text1"/>
          <w:lang w:val="en-GB" w:eastAsia="en-GB"/>
        </w:rPr>
        <w:t>British Journal of General Practice</w:t>
      </w:r>
      <w:r w:rsidRPr="00303F99">
        <w:rPr>
          <w:rFonts w:ascii="Times New Roman" w:eastAsia="Times New Roman" w:hAnsi="Times New Roman" w:cs="Times New Roman"/>
          <w:color w:val="000000" w:themeColor="text1"/>
          <w:lang w:val="en-GB" w:eastAsia="en-GB"/>
        </w:rPr>
        <w:t>, 69(686), pp. e586–e594.</w:t>
      </w:r>
    </w:p>
    <w:p w14:paraId="51687588"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Cs/>
          <w:color w:val="000000" w:themeColor="text1"/>
          <w:sz w:val="27"/>
          <w:szCs w:val="27"/>
          <w:lang w:val="en-GB" w:eastAsia="en-GB"/>
        </w:rPr>
      </w:pPr>
      <w:r w:rsidRPr="00303F99">
        <w:rPr>
          <w:rFonts w:ascii="Times New Roman" w:eastAsia="Times New Roman" w:hAnsi="Times New Roman" w:cs="Times New Roman"/>
          <w:bCs/>
          <w:color w:val="000000" w:themeColor="text1"/>
          <w:sz w:val="27"/>
          <w:szCs w:val="27"/>
          <w:lang w:val="en-GB" w:eastAsia="en-GB"/>
        </w:rPr>
        <w:t>Workforce, training &amp; service delivery</w:t>
      </w:r>
    </w:p>
    <w:p w14:paraId="2F71D57F"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 xml:space="preserve">Beech, J. et al. (2019) ‘Workforce challenges in dementia care: a UK perspective’, </w:t>
      </w:r>
      <w:r w:rsidRPr="00303F99">
        <w:rPr>
          <w:rFonts w:ascii="Times New Roman" w:eastAsia="Times New Roman" w:hAnsi="Times New Roman" w:cs="Times New Roman"/>
          <w:i/>
          <w:iCs/>
          <w:color w:val="000000" w:themeColor="text1"/>
          <w:lang w:val="en-GB" w:eastAsia="en-GB"/>
        </w:rPr>
        <w:t>Health Policy</w:t>
      </w:r>
      <w:r w:rsidRPr="00303F99">
        <w:rPr>
          <w:rFonts w:ascii="Times New Roman" w:eastAsia="Times New Roman" w:hAnsi="Times New Roman" w:cs="Times New Roman"/>
          <w:color w:val="000000" w:themeColor="text1"/>
          <w:lang w:val="en-GB" w:eastAsia="en-GB"/>
        </w:rPr>
        <w:t xml:space="preserve">, 123(8), pp. 809–814. </w:t>
      </w:r>
      <w:proofErr w:type="gramStart"/>
      <w:r w:rsidRPr="00303F99">
        <w:rPr>
          <w:rFonts w:ascii="Times New Roman" w:eastAsia="Times New Roman" w:hAnsi="Times New Roman" w:cs="Times New Roman"/>
          <w:color w:val="000000" w:themeColor="text1"/>
          <w:lang w:val="en-GB" w:eastAsia="en-GB"/>
        </w:rPr>
        <w:t xml:space="preserve">Royal College of Psychiatrists (2022) </w:t>
      </w:r>
      <w:r w:rsidRPr="00303F99">
        <w:rPr>
          <w:rFonts w:ascii="Times New Roman" w:eastAsia="Times New Roman" w:hAnsi="Times New Roman" w:cs="Times New Roman"/>
          <w:i/>
          <w:iCs/>
          <w:color w:val="000000" w:themeColor="text1"/>
          <w:lang w:val="en-GB" w:eastAsia="en-GB"/>
        </w:rPr>
        <w:t>Dementia Training Standards for Clinicians</w:t>
      </w:r>
      <w:r w:rsidRPr="00303F99">
        <w:rPr>
          <w:rFonts w:ascii="Times New Roman" w:eastAsia="Times New Roman" w:hAnsi="Times New Roman" w:cs="Times New Roman"/>
          <w:color w:val="000000" w:themeColor="text1"/>
          <w:lang w:val="en-GB" w:eastAsia="en-GB"/>
        </w:rPr>
        <w:t>.</w:t>
      </w:r>
      <w:proofErr w:type="gramEnd"/>
      <w:r w:rsidRPr="00303F99">
        <w:rPr>
          <w:rFonts w:ascii="Times New Roman" w:eastAsia="Times New Roman" w:hAnsi="Times New Roman" w:cs="Times New Roman"/>
          <w:color w:val="000000" w:themeColor="text1"/>
          <w:lang w:val="en-GB" w:eastAsia="en-GB"/>
        </w:rPr>
        <w:t xml:space="preserve"> </w:t>
      </w:r>
      <w:proofErr w:type="gramStart"/>
      <w:r w:rsidRPr="00303F99">
        <w:rPr>
          <w:rFonts w:ascii="Times New Roman" w:eastAsia="Times New Roman" w:hAnsi="Times New Roman" w:cs="Times New Roman"/>
          <w:color w:val="000000" w:themeColor="text1"/>
          <w:lang w:val="en-GB" w:eastAsia="en-GB"/>
        </w:rPr>
        <w:t>RCPsych.</w:t>
      </w:r>
      <w:proofErr w:type="gramEnd"/>
    </w:p>
    <w:p w14:paraId="3D1842FA"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Cs/>
          <w:color w:val="000000" w:themeColor="text1"/>
          <w:sz w:val="27"/>
          <w:szCs w:val="27"/>
          <w:lang w:val="en-GB" w:eastAsia="en-GB"/>
        </w:rPr>
      </w:pPr>
      <w:r w:rsidRPr="00303F99">
        <w:rPr>
          <w:rFonts w:ascii="Times New Roman" w:eastAsia="Times New Roman" w:hAnsi="Times New Roman" w:cs="Times New Roman"/>
          <w:bCs/>
          <w:color w:val="000000" w:themeColor="text1"/>
          <w:sz w:val="27"/>
          <w:szCs w:val="27"/>
          <w:lang w:val="en-GB" w:eastAsia="en-GB"/>
        </w:rPr>
        <w:t>Co</w:t>
      </w:r>
      <w:r w:rsidRPr="00303F99">
        <w:rPr>
          <w:rFonts w:ascii="Times New Roman" w:eastAsia="Times New Roman" w:hAnsi="Times New Roman" w:cs="Times New Roman"/>
          <w:bCs/>
          <w:color w:val="000000" w:themeColor="text1"/>
          <w:sz w:val="27"/>
          <w:szCs w:val="27"/>
          <w:lang w:val="en-GB" w:eastAsia="en-GB"/>
        </w:rPr>
        <w:noBreakHyphen/>
        <w:t>production &amp; digital design</w:t>
      </w:r>
    </w:p>
    <w:p w14:paraId="66CE427D"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r w:rsidRPr="00303F99">
        <w:rPr>
          <w:rFonts w:ascii="Times New Roman" w:eastAsia="Times New Roman" w:hAnsi="Times New Roman" w:cs="Times New Roman"/>
          <w:color w:val="000000" w:themeColor="text1"/>
          <w:lang w:val="en-GB" w:eastAsia="en-GB"/>
        </w:rPr>
        <w:t>Bate, P. and Robert, G. (2006) ‘Experience</w:t>
      </w:r>
      <w:r w:rsidRPr="00303F99">
        <w:rPr>
          <w:rFonts w:ascii="Times New Roman" w:eastAsia="Times New Roman" w:hAnsi="Times New Roman" w:cs="Times New Roman"/>
          <w:color w:val="000000" w:themeColor="text1"/>
          <w:lang w:val="en-GB" w:eastAsia="en-GB"/>
        </w:rPr>
        <w:noBreakHyphen/>
        <w:t>based design: from redesigning the system around the patient to co</w:t>
      </w:r>
      <w:r w:rsidRPr="00303F99">
        <w:rPr>
          <w:rFonts w:ascii="Times New Roman" w:eastAsia="Times New Roman" w:hAnsi="Times New Roman" w:cs="Times New Roman"/>
          <w:color w:val="000000" w:themeColor="text1"/>
          <w:lang w:val="en-GB" w:eastAsia="en-GB"/>
        </w:rPr>
        <w:noBreakHyphen/>
        <w:t xml:space="preserve">designing services with the patient’, </w:t>
      </w:r>
      <w:r w:rsidRPr="00303F99">
        <w:rPr>
          <w:rFonts w:ascii="Times New Roman" w:eastAsia="Times New Roman" w:hAnsi="Times New Roman" w:cs="Times New Roman"/>
          <w:i/>
          <w:iCs/>
          <w:color w:val="000000" w:themeColor="text1"/>
          <w:lang w:val="en-GB" w:eastAsia="en-GB"/>
        </w:rPr>
        <w:t>Quality &amp; Safety in Health Care</w:t>
      </w:r>
      <w:r w:rsidRPr="00303F99">
        <w:rPr>
          <w:rFonts w:ascii="Times New Roman" w:eastAsia="Times New Roman" w:hAnsi="Times New Roman" w:cs="Times New Roman"/>
          <w:color w:val="000000" w:themeColor="text1"/>
          <w:lang w:val="en-GB" w:eastAsia="en-GB"/>
        </w:rPr>
        <w:t>, 15(5), pp. 307–310. Greenhalgh, T. et al. (2019) ‘Co</w:t>
      </w:r>
      <w:r w:rsidRPr="00303F99">
        <w:rPr>
          <w:rFonts w:ascii="Times New Roman" w:eastAsia="Times New Roman" w:hAnsi="Times New Roman" w:cs="Times New Roman"/>
          <w:color w:val="000000" w:themeColor="text1"/>
          <w:lang w:val="en-GB" w:eastAsia="en-GB"/>
        </w:rPr>
        <w:noBreakHyphen/>
        <w:t xml:space="preserve">production in healthcare: rhetoric and reality’, </w:t>
      </w:r>
      <w:r w:rsidRPr="00303F99">
        <w:rPr>
          <w:rFonts w:ascii="Times New Roman" w:eastAsia="Times New Roman" w:hAnsi="Times New Roman" w:cs="Times New Roman"/>
          <w:i/>
          <w:iCs/>
          <w:color w:val="000000" w:themeColor="text1"/>
          <w:lang w:val="en-GB" w:eastAsia="en-GB"/>
        </w:rPr>
        <w:t>BMJ</w:t>
      </w:r>
      <w:r w:rsidRPr="00303F99">
        <w:rPr>
          <w:rFonts w:ascii="Times New Roman" w:eastAsia="Times New Roman" w:hAnsi="Times New Roman" w:cs="Times New Roman"/>
          <w:color w:val="000000" w:themeColor="text1"/>
          <w:lang w:val="en-GB" w:eastAsia="en-GB"/>
        </w:rPr>
        <w:t>, 365, pp. 1–7.</w:t>
      </w:r>
    </w:p>
    <w:p w14:paraId="3DED8E73" w14:textId="77777777"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Cs/>
          <w:color w:val="000000" w:themeColor="text1"/>
          <w:sz w:val="27"/>
          <w:szCs w:val="27"/>
          <w:lang w:val="en-GB" w:eastAsia="en-GB"/>
        </w:rPr>
      </w:pPr>
      <w:r w:rsidRPr="00303F99">
        <w:rPr>
          <w:rFonts w:ascii="Times New Roman" w:eastAsia="Times New Roman" w:hAnsi="Times New Roman" w:cs="Times New Roman"/>
          <w:bCs/>
          <w:color w:val="000000" w:themeColor="text1"/>
          <w:sz w:val="27"/>
          <w:szCs w:val="27"/>
          <w:lang w:val="en-GB" w:eastAsia="en-GB"/>
        </w:rPr>
        <w:t>Scoping review methodology</w:t>
      </w:r>
    </w:p>
    <w:p w14:paraId="6807DA7B" w14:textId="5D7EB2A8" w:rsidR="00303F99" w:rsidRPr="00303F99" w:rsidRDefault="00303F99" w:rsidP="00303F99">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val="en-GB" w:eastAsia="en-GB"/>
        </w:rPr>
      </w:pPr>
      <w:r w:rsidRPr="00303F99">
        <w:rPr>
          <w:rFonts w:ascii="Times New Roman" w:eastAsia="Times New Roman" w:hAnsi="Times New Roman" w:cs="Times New Roman"/>
          <w:color w:val="000000" w:themeColor="text1"/>
          <w:lang w:val="en-GB" w:eastAsia="en-GB"/>
        </w:rPr>
        <w:t xml:space="preserve">Levac, D., Colquhoun, H. and O’Brien, K. (2010) ‘Scoping studies: advancing the methodology’, </w:t>
      </w:r>
      <w:r w:rsidRPr="00303F99">
        <w:rPr>
          <w:rFonts w:ascii="Times New Roman" w:eastAsia="Times New Roman" w:hAnsi="Times New Roman" w:cs="Times New Roman"/>
          <w:i/>
          <w:iCs/>
          <w:color w:val="000000" w:themeColor="text1"/>
          <w:lang w:val="en-GB" w:eastAsia="en-GB"/>
        </w:rPr>
        <w:t>Implementation Science</w:t>
      </w:r>
      <w:r w:rsidRPr="00303F99">
        <w:rPr>
          <w:rFonts w:ascii="Times New Roman" w:eastAsia="Times New Roman" w:hAnsi="Times New Roman" w:cs="Times New Roman"/>
          <w:color w:val="000000" w:themeColor="text1"/>
          <w:lang w:val="en-GB" w:eastAsia="en-GB"/>
        </w:rPr>
        <w:t>, 5(69), pp. 1–9. Daudt, H. et al. (2013) ‘Enhancing the scoping study methodology: a large, inter</w:t>
      </w:r>
      <w:r w:rsidRPr="00303F99">
        <w:rPr>
          <w:rFonts w:ascii="Times New Roman" w:eastAsia="Times New Roman" w:hAnsi="Times New Roman" w:cs="Times New Roman"/>
          <w:color w:val="000000" w:themeColor="text1"/>
          <w:lang w:val="en-GB" w:eastAsia="en-GB"/>
        </w:rPr>
        <w:noBreakHyphen/>
        <w:t xml:space="preserve">professional team’s experience’, </w:t>
      </w:r>
      <w:r w:rsidRPr="00303F99">
        <w:rPr>
          <w:rFonts w:ascii="Times New Roman" w:eastAsia="Times New Roman" w:hAnsi="Times New Roman" w:cs="Times New Roman"/>
          <w:i/>
          <w:iCs/>
          <w:color w:val="000000" w:themeColor="text1"/>
          <w:lang w:val="en-GB" w:eastAsia="en-GB"/>
        </w:rPr>
        <w:t>BMC Medical Research Methodology</w:t>
      </w:r>
      <w:r w:rsidRPr="00303F99">
        <w:rPr>
          <w:rFonts w:ascii="Times New Roman" w:eastAsia="Times New Roman" w:hAnsi="Times New Roman" w:cs="Times New Roman"/>
          <w:color w:val="000000" w:themeColor="text1"/>
          <w:lang w:val="en-GB" w:eastAsia="en-GB"/>
        </w:rPr>
        <w:t>, 13(48), pp. 1–9.</w:t>
      </w:r>
    </w:p>
    <w:p w14:paraId="2D16F235" w14:textId="77777777" w:rsidR="00303F99" w:rsidRPr="00303F99" w:rsidRDefault="00303F99" w:rsidP="00303F99">
      <w:pPr>
        <w:spacing w:before="100" w:beforeAutospacing="1" w:after="100" w:afterAutospacing="1" w:line="240" w:lineRule="auto"/>
        <w:rPr>
          <w:rFonts w:ascii="Times New Roman" w:eastAsia="Times New Roman" w:hAnsi="Times New Roman" w:cs="Times New Roman"/>
          <w:color w:val="000000" w:themeColor="text1"/>
          <w:lang w:val="en-GB" w:eastAsia="en-GB"/>
        </w:rPr>
      </w:pPr>
      <w:bookmarkStart w:id="0" w:name="_GoBack"/>
      <w:bookmarkEnd w:id="0"/>
    </w:p>
    <w:sectPr w:rsidR="00303F99" w:rsidRPr="00303F99">
      <w:footerReference w:type="default" r:id="rId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0519AD" w14:textId="77777777" w:rsidR="00862176" w:rsidRDefault="00862176">
      <w:pPr>
        <w:spacing w:after="0" w:line="240" w:lineRule="auto"/>
      </w:pPr>
      <w:r>
        <w:separator/>
      </w:r>
    </w:p>
  </w:endnote>
  <w:endnote w:type="continuationSeparator" w:id="0">
    <w:p w14:paraId="67950F68" w14:textId="77777777" w:rsidR="00862176" w:rsidRDefault="00862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6A0" w:firstRow="1" w:lastRow="0" w:firstColumn="1" w:lastColumn="0" w:noHBand="1" w:noVBand="1"/>
    </w:tblPr>
    <w:tblGrid>
      <w:gridCol w:w="3120"/>
      <w:gridCol w:w="3120"/>
      <w:gridCol w:w="3120"/>
    </w:tblGrid>
    <w:tr w:rsidR="4BF15A5B" w14:paraId="0351CE82" w14:textId="77777777" w:rsidTr="1E91B12B">
      <w:trPr>
        <w:trHeight w:val="300"/>
      </w:trPr>
      <w:tc>
        <w:tcPr>
          <w:tcW w:w="3120" w:type="dxa"/>
        </w:tcPr>
        <w:p w14:paraId="02967379" w14:textId="401F5807" w:rsidR="4BF15A5B" w:rsidRDefault="4BF15A5B" w:rsidP="4BF15A5B">
          <w:pPr>
            <w:pStyle w:val="Header"/>
            <w:ind w:left="-115"/>
          </w:pPr>
        </w:p>
      </w:tc>
      <w:tc>
        <w:tcPr>
          <w:tcW w:w="3120" w:type="dxa"/>
        </w:tcPr>
        <w:p w14:paraId="3CE04EC7" w14:textId="558BA468" w:rsidR="4BF15A5B" w:rsidRDefault="4BF15A5B" w:rsidP="4BF15A5B">
          <w:pPr>
            <w:pStyle w:val="Header"/>
            <w:jc w:val="center"/>
          </w:pPr>
        </w:p>
      </w:tc>
      <w:tc>
        <w:tcPr>
          <w:tcW w:w="3120" w:type="dxa"/>
        </w:tcPr>
        <w:p w14:paraId="1D315D5A" w14:textId="6F454A21" w:rsidR="4BF15A5B" w:rsidRDefault="4BF15A5B" w:rsidP="4BF15A5B">
          <w:pPr>
            <w:pStyle w:val="Header"/>
            <w:ind w:right="-115"/>
            <w:jc w:val="right"/>
          </w:pPr>
        </w:p>
      </w:tc>
    </w:tr>
  </w:tbl>
  <w:p w14:paraId="6041B8AC" w14:textId="40258F45" w:rsidR="4BF15A5B" w:rsidRDefault="4BF15A5B" w:rsidP="4BF15A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9F0347" w14:textId="77777777" w:rsidR="00862176" w:rsidRDefault="00862176">
      <w:pPr>
        <w:spacing w:after="0" w:line="240" w:lineRule="auto"/>
      </w:pPr>
      <w:r>
        <w:separator/>
      </w:r>
    </w:p>
  </w:footnote>
  <w:footnote w:type="continuationSeparator" w:id="0">
    <w:p w14:paraId="2890ADE9" w14:textId="77777777" w:rsidR="00862176" w:rsidRDefault="008621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774E"/>
    <w:multiLevelType w:val="multilevel"/>
    <w:tmpl w:val="8924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BF27E0"/>
    <w:multiLevelType w:val="multilevel"/>
    <w:tmpl w:val="EECC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2B57F2"/>
    <w:multiLevelType w:val="multilevel"/>
    <w:tmpl w:val="3566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263925"/>
    <w:multiLevelType w:val="multilevel"/>
    <w:tmpl w:val="1602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BBC5A1"/>
    <w:multiLevelType w:val="hybridMultilevel"/>
    <w:tmpl w:val="94F8960E"/>
    <w:lvl w:ilvl="0" w:tplc="438E24CE">
      <w:start w:val="1"/>
      <w:numFmt w:val="bullet"/>
      <w:lvlText w:val=""/>
      <w:lvlJc w:val="left"/>
      <w:pPr>
        <w:ind w:left="720" w:hanging="360"/>
      </w:pPr>
      <w:rPr>
        <w:rFonts w:ascii="Symbol" w:hAnsi="Symbol" w:hint="default"/>
      </w:rPr>
    </w:lvl>
    <w:lvl w:ilvl="1" w:tplc="594E83C2">
      <w:start w:val="1"/>
      <w:numFmt w:val="bullet"/>
      <w:lvlText w:val="o"/>
      <w:lvlJc w:val="left"/>
      <w:pPr>
        <w:ind w:left="1440" w:hanging="360"/>
      </w:pPr>
      <w:rPr>
        <w:rFonts w:ascii="Courier New" w:hAnsi="Courier New" w:hint="default"/>
      </w:rPr>
    </w:lvl>
    <w:lvl w:ilvl="2" w:tplc="50A6624A">
      <w:start w:val="1"/>
      <w:numFmt w:val="bullet"/>
      <w:lvlText w:val=""/>
      <w:lvlJc w:val="left"/>
      <w:pPr>
        <w:ind w:left="2160" w:hanging="360"/>
      </w:pPr>
      <w:rPr>
        <w:rFonts w:ascii="Wingdings" w:hAnsi="Wingdings" w:hint="default"/>
      </w:rPr>
    </w:lvl>
    <w:lvl w:ilvl="3" w:tplc="252A15A6">
      <w:start w:val="1"/>
      <w:numFmt w:val="bullet"/>
      <w:lvlText w:val=""/>
      <w:lvlJc w:val="left"/>
      <w:pPr>
        <w:ind w:left="2880" w:hanging="360"/>
      </w:pPr>
      <w:rPr>
        <w:rFonts w:ascii="Symbol" w:hAnsi="Symbol" w:hint="default"/>
      </w:rPr>
    </w:lvl>
    <w:lvl w:ilvl="4" w:tplc="CA5E2A2E">
      <w:start w:val="1"/>
      <w:numFmt w:val="bullet"/>
      <w:lvlText w:val="o"/>
      <w:lvlJc w:val="left"/>
      <w:pPr>
        <w:ind w:left="3600" w:hanging="360"/>
      </w:pPr>
      <w:rPr>
        <w:rFonts w:ascii="Courier New" w:hAnsi="Courier New" w:hint="default"/>
      </w:rPr>
    </w:lvl>
    <w:lvl w:ilvl="5" w:tplc="6CDE198E">
      <w:start w:val="1"/>
      <w:numFmt w:val="bullet"/>
      <w:lvlText w:val=""/>
      <w:lvlJc w:val="left"/>
      <w:pPr>
        <w:ind w:left="4320" w:hanging="360"/>
      </w:pPr>
      <w:rPr>
        <w:rFonts w:ascii="Wingdings" w:hAnsi="Wingdings" w:hint="default"/>
      </w:rPr>
    </w:lvl>
    <w:lvl w:ilvl="6" w:tplc="C0504D34">
      <w:start w:val="1"/>
      <w:numFmt w:val="bullet"/>
      <w:lvlText w:val=""/>
      <w:lvlJc w:val="left"/>
      <w:pPr>
        <w:ind w:left="5040" w:hanging="360"/>
      </w:pPr>
      <w:rPr>
        <w:rFonts w:ascii="Symbol" w:hAnsi="Symbol" w:hint="default"/>
      </w:rPr>
    </w:lvl>
    <w:lvl w:ilvl="7" w:tplc="2BD60530">
      <w:start w:val="1"/>
      <w:numFmt w:val="bullet"/>
      <w:lvlText w:val="o"/>
      <w:lvlJc w:val="left"/>
      <w:pPr>
        <w:ind w:left="5760" w:hanging="360"/>
      </w:pPr>
      <w:rPr>
        <w:rFonts w:ascii="Courier New" w:hAnsi="Courier New" w:hint="default"/>
      </w:rPr>
    </w:lvl>
    <w:lvl w:ilvl="8" w:tplc="6EA0901C">
      <w:start w:val="1"/>
      <w:numFmt w:val="bullet"/>
      <w:lvlText w:val=""/>
      <w:lvlJc w:val="left"/>
      <w:pPr>
        <w:ind w:left="6480" w:hanging="360"/>
      </w:pPr>
      <w:rPr>
        <w:rFonts w:ascii="Wingdings" w:hAnsi="Wingdings" w:hint="default"/>
      </w:rPr>
    </w:lvl>
  </w:abstractNum>
  <w:abstractNum w:abstractNumId="5">
    <w:nsid w:val="0CC0609D"/>
    <w:multiLevelType w:val="multilevel"/>
    <w:tmpl w:val="80A84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55104A"/>
    <w:multiLevelType w:val="multilevel"/>
    <w:tmpl w:val="3252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886270"/>
    <w:multiLevelType w:val="multilevel"/>
    <w:tmpl w:val="738E7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F45F9E"/>
    <w:multiLevelType w:val="multilevel"/>
    <w:tmpl w:val="1C38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CA3C8E"/>
    <w:multiLevelType w:val="multilevel"/>
    <w:tmpl w:val="C7FC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6F299D"/>
    <w:multiLevelType w:val="multilevel"/>
    <w:tmpl w:val="3FA2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C04F45"/>
    <w:multiLevelType w:val="multilevel"/>
    <w:tmpl w:val="9762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4700E7"/>
    <w:multiLevelType w:val="hybridMultilevel"/>
    <w:tmpl w:val="9F6C6FF2"/>
    <w:lvl w:ilvl="0" w:tplc="248C653C">
      <w:start w:val="1"/>
      <w:numFmt w:val="bullet"/>
      <w:lvlText w:val=""/>
      <w:lvlJc w:val="left"/>
      <w:pPr>
        <w:ind w:left="720" w:hanging="360"/>
      </w:pPr>
      <w:rPr>
        <w:rFonts w:ascii="Symbol" w:hAnsi="Symbol" w:hint="default"/>
      </w:rPr>
    </w:lvl>
    <w:lvl w:ilvl="1" w:tplc="1B641878">
      <w:start w:val="1"/>
      <w:numFmt w:val="bullet"/>
      <w:lvlText w:val="o"/>
      <w:lvlJc w:val="left"/>
      <w:pPr>
        <w:ind w:left="1440" w:hanging="360"/>
      </w:pPr>
      <w:rPr>
        <w:rFonts w:ascii="Courier New" w:hAnsi="Courier New" w:hint="default"/>
      </w:rPr>
    </w:lvl>
    <w:lvl w:ilvl="2" w:tplc="2EE8F140">
      <w:start w:val="1"/>
      <w:numFmt w:val="bullet"/>
      <w:lvlText w:val=""/>
      <w:lvlJc w:val="left"/>
      <w:pPr>
        <w:ind w:left="2160" w:hanging="360"/>
      </w:pPr>
      <w:rPr>
        <w:rFonts w:ascii="Wingdings" w:hAnsi="Wingdings" w:hint="default"/>
      </w:rPr>
    </w:lvl>
    <w:lvl w:ilvl="3" w:tplc="EEDE7D58">
      <w:start w:val="1"/>
      <w:numFmt w:val="bullet"/>
      <w:lvlText w:val=""/>
      <w:lvlJc w:val="left"/>
      <w:pPr>
        <w:ind w:left="2880" w:hanging="360"/>
      </w:pPr>
      <w:rPr>
        <w:rFonts w:ascii="Symbol" w:hAnsi="Symbol" w:hint="default"/>
      </w:rPr>
    </w:lvl>
    <w:lvl w:ilvl="4" w:tplc="3AD46770">
      <w:start w:val="1"/>
      <w:numFmt w:val="bullet"/>
      <w:lvlText w:val="o"/>
      <w:lvlJc w:val="left"/>
      <w:pPr>
        <w:ind w:left="3600" w:hanging="360"/>
      </w:pPr>
      <w:rPr>
        <w:rFonts w:ascii="Courier New" w:hAnsi="Courier New" w:hint="default"/>
      </w:rPr>
    </w:lvl>
    <w:lvl w:ilvl="5" w:tplc="8A985A3C">
      <w:start w:val="1"/>
      <w:numFmt w:val="bullet"/>
      <w:lvlText w:val=""/>
      <w:lvlJc w:val="left"/>
      <w:pPr>
        <w:ind w:left="4320" w:hanging="360"/>
      </w:pPr>
      <w:rPr>
        <w:rFonts w:ascii="Wingdings" w:hAnsi="Wingdings" w:hint="default"/>
      </w:rPr>
    </w:lvl>
    <w:lvl w:ilvl="6" w:tplc="38FEE27C">
      <w:start w:val="1"/>
      <w:numFmt w:val="bullet"/>
      <w:lvlText w:val=""/>
      <w:lvlJc w:val="left"/>
      <w:pPr>
        <w:ind w:left="5040" w:hanging="360"/>
      </w:pPr>
      <w:rPr>
        <w:rFonts w:ascii="Symbol" w:hAnsi="Symbol" w:hint="default"/>
      </w:rPr>
    </w:lvl>
    <w:lvl w:ilvl="7" w:tplc="50204014">
      <w:start w:val="1"/>
      <w:numFmt w:val="bullet"/>
      <w:lvlText w:val="o"/>
      <w:lvlJc w:val="left"/>
      <w:pPr>
        <w:ind w:left="5760" w:hanging="360"/>
      </w:pPr>
      <w:rPr>
        <w:rFonts w:ascii="Courier New" w:hAnsi="Courier New" w:hint="default"/>
      </w:rPr>
    </w:lvl>
    <w:lvl w:ilvl="8" w:tplc="89D078F4">
      <w:start w:val="1"/>
      <w:numFmt w:val="bullet"/>
      <w:lvlText w:val=""/>
      <w:lvlJc w:val="left"/>
      <w:pPr>
        <w:ind w:left="6480" w:hanging="360"/>
      </w:pPr>
      <w:rPr>
        <w:rFonts w:ascii="Wingdings" w:hAnsi="Wingdings" w:hint="default"/>
      </w:rPr>
    </w:lvl>
  </w:abstractNum>
  <w:abstractNum w:abstractNumId="13">
    <w:nsid w:val="34CE7D9A"/>
    <w:multiLevelType w:val="multilevel"/>
    <w:tmpl w:val="BB7AA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C18FEC"/>
    <w:multiLevelType w:val="hybridMultilevel"/>
    <w:tmpl w:val="C1043216"/>
    <w:lvl w:ilvl="0" w:tplc="EF0AFBB0">
      <w:start w:val="1"/>
      <w:numFmt w:val="bullet"/>
      <w:lvlText w:val=""/>
      <w:lvlJc w:val="left"/>
      <w:pPr>
        <w:ind w:left="720" w:hanging="360"/>
      </w:pPr>
      <w:rPr>
        <w:rFonts w:ascii="Symbol" w:hAnsi="Symbol" w:hint="default"/>
      </w:rPr>
    </w:lvl>
    <w:lvl w:ilvl="1" w:tplc="2C74B9F6">
      <w:start w:val="1"/>
      <w:numFmt w:val="bullet"/>
      <w:lvlText w:val="o"/>
      <w:lvlJc w:val="left"/>
      <w:pPr>
        <w:ind w:left="1440" w:hanging="360"/>
      </w:pPr>
      <w:rPr>
        <w:rFonts w:ascii="Courier New" w:hAnsi="Courier New" w:hint="default"/>
      </w:rPr>
    </w:lvl>
    <w:lvl w:ilvl="2" w:tplc="8320CD7E">
      <w:start w:val="1"/>
      <w:numFmt w:val="bullet"/>
      <w:lvlText w:val=""/>
      <w:lvlJc w:val="left"/>
      <w:pPr>
        <w:ind w:left="2160" w:hanging="360"/>
      </w:pPr>
      <w:rPr>
        <w:rFonts w:ascii="Wingdings" w:hAnsi="Wingdings" w:hint="default"/>
      </w:rPr>
    </w:lvl>
    <w:lvl w:ilvl="3" w:tplc="1946E8E8">
      <w:start w:val="1"/>
      <w:numFmt w:val="bullet"/>
      <w:lvlText w:val=""/>
      <w:lvlJc w:val="left"/>
      <w:pPr>
        <w:ind w:left="2880" w:hanging="360"/>
      </w:pPr>
      <w:rPr>
        <w:rFonts w:ascii="Symbol" w:hAnsi="Symbol" w:hint="default"/>
      </w:rPr>
    </w:lvl>
    <w:lvl w:ilvl="4" w:tplc="BDAE5728">
      <w:start w:val="1"/>
      <w:numFmt w:val="bullet"/>
      <w:lvlText w:val="o"/>
      <w:lvlJc w:val="left"/>
      <w:pPr>
        <w:ind w:left="3600" w:hanging="360"/>
      </w:pPr>
      <w:rPr>
        <w:rFonts w:ascii="Courier New" w:hAnsi="Courier New" w:hint="default"/>
      </w:rPr>
    </w:lvl>
    <w:lvl w:ilvl="5" w:tplc="3444809E">
      <w:start w:val="1"/>
      <w:numFmt w:val="bullet"/>
      <w:lvlText w:val=""/>
      <w:lvlJc w:val="left"/>
      <w:pPr>
        <w:ind w:left="4320" w:hanging="360"/>
      </w:pPr>
      <w:rPr>
        <w:rFonts w:ascii="Wingdings" w:hAnsi="Wingdings" w:hint="default"/>
      </w:rPr>
    </w:lvl>
    <w:lvl w:ilvl="6" w:tplc="AECC724C">
      <w:start w:val="1"/>
      <w:numFmt w:val="bullet"/>
      <w:lvlText w:val=""/>
      <w:lvlJc w:val="left"/>
      <w:pPr>
        <w:ind w:left="5040" w:hanging="360"/>
      </w:pPr>
      <w:rPr>
        <w:rFonts w:ascii="Symbol" w:hAnsi="Symbol" w:hint="default"/>
      </w:rPr>
    </w:lvl>
    <w:lvl w:ilvl="7" w:tplc="3BFCA4AC">
      <w:start w:val="1"/>
      <w:numFmt w:val="bullet"/>
      <w:lvlText w:val="o"/>
      <w:lvlJc w:val="left"/>
      <w:pPr>
        <w:ind w:left="5760" w:hanging="360"/>
      </w:pPr>
      <w:rPr>
        <w:rFonts w:ascii="Courier New" w:hAnsi="Courier New" w:hint="default"/>
      </w:rPr>
    </w:lvl>
    <w:lvl w:ilvl="8" w:tplc="06FA1E3E">
      <w:start w:val="1"/>
      <w:numFmt w:val="bullet"/>
      <w:lvlText w:val=""/>
      <w:lvlJc w:val="left"/>
      <w:pPr>
        <w:ind w:left="6480" w:hanging="360"/>
      </w:pPr>
      <w:rPr>
        <w:rFonts w:ascii="Wingdings" w:hAnsi="Wingdings" w:hint="default"/>
      </w:rPr>
    </w:lvl>
  </w:abstractNum>
  <w:abstractNum w:abstractNumId="15">
    <w:nsid w:val="36257517"/>
    <w:multiLevelType w:val="multilevel"/>
    <w:tmpl w:val="8744D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82E7D45"/>
    <w:multiLevelType w:val="multilevel"/>
    <w:tmpl w:val="4CBC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DC59FC"/>
    <w:multiLevelType w:val="multilevel"/>
    <w:tmpl w:val="E896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1D6783"/>
    <w:multiLevelType w:val="multilevel"/>
    <w:tmpl w:val="D22EBC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6B1AC3"/>
    <w:multiLevelType w:val="multilevel"/>
    <w:tmpl w:val="A864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8F2527"/>
    <w:multiLevelType w:val="multilevel"/>
    <w:tmpl w:val="1E40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D73AD3"/>
    <w:multiLevelType w:val="multilevel"/>
    <w:tmpl w:val="031A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431DA6"/>
    <w:multiLevelType w:val="multilevel"/>
    <w:tmpl w:val="549E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7A3C04"/>
    <w:multiLevelType w:val="multilevel"/>
    <w:tmpl w:val="5E28B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C172BC"/>
    <w:multiLevelType w:val="multilevel"/>
    <w:tmpl w:val="B08EA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C43360"/>
    <w:multiLevelType w:val="multilevel"/>
    <w:tmpl w:val="5420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9664DD"/>
    <w:multiLevelType w:val="multilevel"/>
    <w:tmpl w:val="60F2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476AAA"/>
    <w:multiLevelType w:val="multilevel"/>
    <w:tmpl w:val="A6DC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015FCD"/>
    <w:multiLevelType w:val="multilevel"/>
    <w:tmpl w:val="F7F2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1686D12"/>
    <w:multiLevelType w:val="multilevel"/>
    <w:tmpl w:val="3022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FD2C0C"/>
    <w:multiLevelType w:val="multilevel"/>
    <w:tmpl w:val="E93A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EC49F45"/>
    <w:multiLevelType w:val="hybridMultilevel"/>
    <w:tmpl w:val="2E700B7A"/>
    <w:lvl w:ilvl="0" w:tplc="B5B2F672">
      <w:start w:val="1"/>
      <w:numFmt w:val="decimal"/>
      <w:lvlText w:val="%1."/>
      <w:lvlJc w:val="left"/>
      <w:pPr>
        <w:ind w:left="720" w:hanging="360"/>
      </w:pPr>
    </w:lvl>
    <w:lvl w:ilvl="1" w:tplc="3BF0AE5C">
      <w:start w:val="1"/>
      <w:numFmt w:val="lowerLetter"/>
      <w:lvlText w:val="%2."/>
      <w:lvlJc w:val="left"/>
      <w:pPr>
        <w:ind w:left="1440" w:hanging="360"/>
      </w:pPr>
    </w:lvl>
    <w:lvl w:ilvl="2" w:tplc="76EA5818">
      <w:start w:val="1"/>
      <w:numFmt w:val="lowerRoman"/>
      <w:lvlText w:val="%3."/>
      <w:lvlJc w:val="right"/>
      <w:pPr>
        <w:ind w:left="2160" w:hanging="180"/>
      </w:pPr>
    </w:lvl>
    <w:lvl w:ilvl="3" w:tplc="277C49FC">
      <w:start w:val="1"/>
      <w:numFmt w:val="decimal"/>
      <w:lvlText w:val="%4."/>
      <w:lvlJc w:val="left"/>
      <w:pPr>
        <w:ind w:left="2880" w:hanging="360"/>
      </w:pPr>
    </w:lvl>
    <w:lvl w:ilvl="4" w:tplc="D3F03722">
      <w:start w:val="1"/>
      <w:numFmt w:val="lowerLetter"/>
      <w:lvlText w:val="%5."/>
      <w:lvlJc w:val="left"/>
      <w:pPr>
        <w:ind w:left="3600" w:hanging="360"/>
      </w:pPr>
    </w:lvl>
    <w:lvl w:ilvl="5" w:tplc="7570E5DC">
      <w:start w:val="1"/>
      <w:numFmt w:val="lowerRoman"/>
      <w:lvlText w:val="%6."/>
      <w:lvlJc w:val="right"/>
      <w:pPr>
        <w:ind w:left="4320" w:hanging="180"/>
      </w:pPr>
    </w:lvl>
    <w:lvl w:ilvl="6" w:tplc="D8D87F26">
      <w:start w:val="1"/>
      <w:numFmt w:val="decimal"/>
      <w:lvlText w:val="%7."/>
      <w:lvlJc w:val="left"/>
      <w:pPr>
        <w:ind w:left="5040" w:hanging="360"/>
      </w:pPr>
    </w:lvl>
    <w:lvl w:ilvl="7" w:tplc="54F6E42C">
      <w:start w:val="1"/>
      <w:numFmt w:val="lowerLetter"/>
      <w:lvlText w:val="%8."/>
      <w:lvlJc w:val="left"/>
      <w:pPr>
        <w:ind w:left="5760" w:hanging="360"/>
      </w:pPr>
    </w:lvl>
    <w:lvl w:ilvl="8" w:tplc="FC6EA830">
      <w:start w:val="1"/>
      <w:numFmt w:val="lowerRoman"/>
      <w:lvlText w:val="%9."/>
      <w:lvlJc w:val="right"/>
      <w:pPr>
        <w:ind w:left="6480" w:hanging="180"/>
      </w:pPr>
    </w:lvl>
  </w:abstractNum>
  <w:num w:numId="1">
    <w:abstractNumId w:val="14"/>
  </w:num>
  <w:num w:numId="2">
    <w:abstractNumId w:val="12"/>
  </w:num>
  <w:num w:numId="3">
    <w:abstractNumId w:val="4"/>
  </w:num>
  <w:num w:numId="4">
    <w:abstractNumId w:val="31"/>
  </w:num>
  <w:num w:numId="5">
    <w:abstractNumId w:val="24"/>
  </w:num>
  <w:num w:numId="6">
    <w:abstractNumId w:val="23"/>
  </w:num>
  <w:num w:numId="7">
    <w:abstractNumId w:val="30"/>
  </w:num>
  <w:num w:numId="8">
    <w:abstractNumId w:val="16"/>
  </w:num>
  <w:num w:numId="9">
    <w:abstractNumId w:val="27"/>
  </w:num>
  <w:num w:numId="10">
    <w:abstractNumId w:val="5"/>
  </w:num>
  <w:num w:numId="11">
    <w:abstractNumId w:val="9"/>
  </w:num>
  <w:num w:numId="12">
    <w:abstractNumId w:val="0"/>
  </w:num>
  <w:num w:numId="13">
    <w:abstractNumId w:val="3"/>
  </w:num>
  <w:num w:numId="14">
    <w:abstractNumId w:val="28"/>
  </w:num>
  <w:num w:numId="15">
    <w:abstractNumId w:val="11"/>
  </w:num>
  <w:num w:numId="16">
    <w:abstractNumId w:val="18"/>
  </w:num>
  <w:num w:numId="17">
    <w:abstractNumId w:val="17"/>
  </w:num>
  <w:num w:numId="18">
    <w:abstractNumId w:val="7"/>
  </w:num>
  <w:num w:numId="19">
    <w:abstractNumId w:val="8"/>
  </w:num>
  <w:num w:numId="20">
    <w:abstractNumId w:val="21"/>
  </w:num>
  <w:num w:numId="21">
    <w:abstractNumId w:val="22"/>
  </w:num>
  <w:num w:numId="22">
    <w:abstractNumId w:val="25"/>
  </w:num>
  <w:num w:numId="23">
    <w:abstractNumId w:val="6"/>
  </w:num>
  <w:num w:numId="24">
    <w:abstractNumId w:val="20"/>
  </w:num>
  <w:num w:numId="25">
    <w:abstractNumId w:val="19"/>
  </w:num>
  <w:num w:numId="26">
    <w:abstractNumId w:val="26"/>
  </w:num>
  <w:num w:numId="27">
    <w:abstractNumId w:val="13"/>
  </w:num>
  <w:num w:numId="28">
    <w:abstractNumId w:val="1"/>
  </w:num>
  <w:num w:numId="29">
    <w:abstractNumId w:val="10"/>
  </w:num>
  <w:num w:numId="30">
    <w:abstractNumId w:val="15"/>
  </w:num>
  <w:num w:numId="31">
    <w:abstractNumId w:val="2"/>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357"/>
    <w:rsid w:val="00014907"/>
    <w:rsid w:val="00102357"/>
    <w:rsid w:val="00273EC9"/>
    <w:rsid w:val="00303F99"/>
    <w:rsid w:val="00862176"/>
    <w:rsid w:val="00B92297"/>
    <w:rsid w:val="00C302AE"/>
    <w:rsid w:val="00C5B6E7"/>
    <w:rsid w:val="00CD54DA"/>
    <w:rsid w:val="00D57D02"/>
    <w:rsid w:val="00DD7C02"/>
    <w:rsid w:val="015DF000"/>
    <w:rsid w:val="0182E541"/>
    <w:rsid w:val="0283EEC0"/>
    <w:rsid w:val="0450E61B"/>
    <w:rsid w:val="0458AD09"/>
    <w:rsid w:val="05185028"/>
    <w:rsid w:val="058E3AF8"/>
    <w:rsid w:val="05C6AA47"/>
    <w:rsid w:val="0732A4E4"/>
    <w:rsid w:val="084ADDEA"/>
    <w:rsid w:val="086AB374"/>
    <w:rsid w:val="0907C124"/>
    <w:rsid w:val="0B0349F4"/>
    <w:rsid w:val="0BEF9989"/>
    <w:rsid w:val="0C57CAD8"/>
    <w:rsid w:val="0C5F092B"/>
    <w:rsid w:val="0CBF897F"/>
    <w:rsid w:val="0CF5764C"/>
    <w:rsid w:val="0D0431CB"/>
    <w:rsid w:val="0E2D5986"/>
    <w:rsid w:val="0E6F81E0"/>
    <w:rsid w:val="0EE2964C"/>
    <w:rsid w:val="0FCCC366"/>
    <w:rsid w:val="108A9E06"/>
    <w:rsid w:val="114E2AE3"/>
    <w:rsid w:val="1346E29A"/>
    <w:rsid w:val="142981EE"/>
    <w:rsid w:val="15DC8EF4"/>
    <w:rsid w:val="1634E3B4"/>
    <w:rsid w:val="1646B8F6"/>
    <w:rsid w:val="174C749B"/>
    <w:rsid w:val="17A455AE"/>
    <w:rsid w:val="1897A1FE"/>
    <w:rsid w:val="195F6F6B"/>
    <w:rsid w:val="19722232"/>
    <w:rsid w:val="1A40D0B6"/>
    <w:rsid w:val="1B8840BB"/>
    <w:rsid w:val="1C319FA5"/>
    <w:rsid w:val="1C6A7A26"/>
    <w:rsid w:val="1C97E71B"/>
    <w:rsid w:val="1C9C29D8"/>
    <w:rsid w:val="1D286A78"/>
    <w:rsid w:val="1D322E21"/>
    <w:rsid w:val="1E2FE6A5"/>
    <w:rsid w:val="1E91B12B"/>
    <w:rsid w:val="1EE0F633"/>
    <w:rsid w:val="1EE78D41"/>
    <w:rsid w:val="1F0F44BC"/>
    <w:rsid w:val="20B79E19"/>
    <w:rsid w:val="21D8665F"/>
    <w:rsid w:val="226996D6"/>
    <w:rsid w:val="2492EE19"/>
    <w:rsid w:val="24DB4224"/>
    <w:rsid w:val="257B244D"/>
    <w:rsid w:val="25E04F62"/>
    <w:rsid w:val="267007B0"/>
    <w:rsid w:val="27644653"/>
    <w:rsid w:val="27C215A8"/>
    <w:rsid w:val="296633B8"/>
    <w:rsid w:val="296F5E9D"/>
    <w:rsid w:val="2A69434D"/>
    <w:rsid w:val="2AF34341"/>
    <w:rsid w:val="2B51A5F0"/>
    <w:rsid w:val="2D09A9B4"/>
    <w:rsid w:val="2E6E717D"/>
    <w:rsid w:val="2EBCD3B1"/>
    <w:rsid w:val="2F6FEB48"/>
    <w:rsid w:val="2FC79F7F"/>
    <w:rsid w:val="2FCB8D1F"/>
    <w:rsid w:val="2FF543EA"/>
    <w:rsid w:val="30FCFA41"/>
    <w:rsid w:val="31657040"/>
    <w:rsid w:val="3228E187"/>
    <w:rsid w:val="328C1D5B"/>
    <w:rsid w:val="330FF759"/>
    <w:rsid w:val="336D69FF"/>
    <w:rsid w:val="3410F826"/>
    <w:rsid w:val="3537340F"/>
    <w:rsid w:val="36E6A14B"/>
    <w:rsid w:val="37C44076"/>
    <w:rsid w:val="37D72029"/>
    <w:rsid w:val="37E035CF"/>
    <w:rsid w:val="38C73D6F"/>
    <w:rsid w:val="399CED0E"/>
    <w:rsid w:val="399DDC8D"/>
    <w:rsid w:val="39ADF18A"/>
    <w:rsid w:val="3A322AA9"/>
    <w:rsid w:val="3B1F2DF0"/>
    <w:rsid w:val="3B821B25"/>
    <w:rsid w:val="3BB93682"/>
    <w:rsid w:val="3C367E76"/>
    <w:rsid w:val="3D41D3BD"/>
    <w:rsid w:val="3D4FCF90"/>
    <w:rsid w:val="3EDB48C2"/>
    <w:rsid w:val="3F6903A4"/>
    <w:rsid w:val="3F9B3CBD"/>
    <w:rsid w:val="40844870"/>
    <w:rsid w:val="40E85CAB"/>
    <w:rsid w:val="41643D9F"/>
    <w:rsid w:val="41F9C622"/>
    <w:rsid w:val="425A8E97"/>
    <w:rsid w:val="42900EED"/>
    <w:rsid w:val="429DE3C7"/>
    <w:rsid w:val="436FA0C7"/>
    <w:rsid w:val="44187BC5"/>
    <w:rsid w:val="44E71EBE"/>
    <w:rsid w:val="46C6B08A"/>
    <w:rsid w:val="470D42C0"/>
    <w:rsid w:val="479F908E"/>
    <w:rsid w:val="48489AA3"/>
    <w:rsid w:val="487A2796"/>
    <w:rsid w:val="487B00B3"/>
    <w:rsid w:val="48C28E43"/>
    <w:rsid w:val="48C6A0B9"/>
    <w:rsid w:val="48F529CF"/>
    <w:rsid w:val="48F7600D"/>
    <w:rsid w:val="4928D076"/>
    <w:rsid w:val="494B330A"/>
    <w:rsid w:val="49B0CE96"/>
    <w:rsid w:val="4A0CDADA"/>
    <w:rsid w:val="4A135048"/>
    <w:rsid w:val="4B130717"/>
    <w:rsid w:val="4BF15A5B"/>
    <w:rsid w:val="4C199551"/>
    <w:rsid w:val="4EDC563C"/>
    <w:rsid w:val="4F0CDBFC"/>
    <w:rsid w:val="51EE3F4C"/>
    <w:rsid w:val="53A12CE6"/>
    <w:rsid w:val="5407F617"/>
    <w:rsid w:val="5523EC37"/>
    <w:rsid w:val="56C059B8"/>
    <w:rsid w:val="581F414C"/>
    <w:rsid w:val="58F30EDC"/>
    <w:rsid w:val="5A746CAC"/>
    <w:rsid w:val="5C472204"/>
    <w:rsid w:val="5C4DC571"/>
    <w:rsid w:val="5D8F8A80"/>
    <w:rsid w:val="5DC1FF0E"/>
    <w:rsid w:val="5DC8FAC7"/>
    <w:rsid w:val="5E3EA2ED"/>
    <w:rsid w:val="5E6517DA"/>
    <w:rsid w:val="5EB7D73A"/>
    <w:rsid w:val="5F629E7C"/>
    <w:rsid w:val="5F9A01E5"/>
    <w:rsid w:val="5FE0426C"/>
    <w:rsid w:val="5FEDD6B4"/>
    <w:rsid w:val="601106B6"/>
    <w:rsid w:val="61A7007E"/>
    <w:rsid w:val="62EE0415"/>
    <w:rsid w:val="63396C08"/>
    <w:rsid w:val="63D82BA7"/>
    <w:rsid w:val="653B611B"/>
    <w:rsid w:val="65B16CB5"/>
    <w:rsid w:val="668347AF"/>
    <w:rsid w:val="67797A22"/>
    <w:rsid w:val="686F7655"/>
    <w:rsid w:val="688833CE"/>
    <w:rsid w:val="68A48A90"/>
    <w:rsid w:val="6A408470"/>
    <w:rsid w:val="6B51AE61"/>
    <w:rsid w:val="6C05F202"/>
    <w:rsid w:val="6C89C819"/>
    <w:rsid w:val="6E20DDE5"/>
    <w:rsid w:val="6F26E490"/>
    <w:rsid w:val="6F2857AD"/>
    <w:rsid w:val="704F863E"/>
    <w:rsid w:val="70508687"/>
    <w:rsid w:val="724E2E63"/>
    <w:rsid w:val="72A9854C"/>
    <w:rsid w:val="730F1C7E"/>
    <w:rsid w:val="73A4361A"/>
    <w:rsid w:val="73BAFD42"/>
    <w:rsid w:val="74B60A4D"/>
    <w:rsid w:val="7531283C"/>
    <w:rsid w:val="75A37512"/>
    <w:rsid w:val="763D1852"/>
    <w:rsid w:val="76679554"/>
    <w:rsid w:val="773C07C3"/>
    <w:rsid w:val="77A87F95"/>
    <w:rsid w:val="77D937DD"/>
    <w:rsid w:val="788858F2"/>
    <w:rsid w:val="7961A03E"/>
    <w:rsid w:val="7A18AF77"/>
    <w:rsid w:val="7AAD15BB"/>
    <w:rsid w:val="7B7E13B8"/>
    <w:rsid w:val="7BF6D1DB"/>
    <w:rsid w:val="7C507FC1"/>
    <w:rsid w:val="7D0DFDEB"/>
    <w:rsid w:val="7D264CCD"/>
    <w:rsid w:val="7D645322"/>
    <w:rsid w:val="7E0C98FD"/>
    <w:rsid w:val="7E5CE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27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1E91B1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BF15A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BF15A5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BF15A5B"/>
    <w:pPr>
      <w:tabs>
        <w:tab w:val="center" w:pos="4680"/>
        <w:tab w:val="right" w:pos="9360"/>
      </w:tabs>
      <w:spacing w:after="0" w:line="240" w:lineRule="auto"/>
    </w:pPr>
  </w:style>
  <w:style w:type="paragraph" w:styleId="Footer">
    <w:name w:val="footer"/>
    <w:basedOn w:val="Normal"/>
    <w:uiPriority w:val="99"/>
    <w:unhideWhenUsed/>
    <w:rsid w:val="4BF15A5B"/>
    <w:pPr>
      <w:tabs>
        <w:tab w:val="center" w:pos="4680"/>
        <w:tab w:val="right" w:pos="9360"/>
      </w:tabs>
      <w:spacing w:after="0" w:line="240" w:lineRule="auto"/>
    </w:pPr>
  </w:style>
  <w:style w:type="paragraph" w:styleId="ListParagraph">
    <w:name w:val="List Paragraph"/>
    <w:basedOn w:val="Normal"/>
    <w:uiPriority w:val="34"/>
    <w:qFormat/>
    <w:rsid w:val="4BF15A5B"/>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1E91B12B"/>
    <w:rPr>
      <w:color w:val="467886"/>
      <w:u w:val="single"/>
    </w:rPr>
  </w:style>
  <w:style w:type="paragraph" w:styleId="NormalWeb">
    <w:name w:val="Normal (Web)"/>
    <w:basedOn w:val="Normal"/>
    <w:uiPriority w:val="99"/>
    <w:semiHidden/>
    <w:unhideWhenUsed/>
    <w:rsid w:val="00303F99"/>
    <w:pPr>
      <w:spacing w:before="100" w:beforeAutospacing="1" w:after="100" w:afterAutospacing="1" w:line="240" w:lineRule="auto"/>
    </w:pPr>
    <w:rPr>
      <w:rFonts w:ascii="Times New Roman" w:eastAsia="Times New Roman" w:hAnsi="Times New Roman" w:cs="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1E91B1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BF15A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BF15A5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BF15A5B"/>
    <w:pPr>
      <w:tabs>
        <w:tab w:val="center" w:pos="4680"/>
        <w:tab w:val="right" w:pos="9360"/>
      </w:tabs>
      <w:spacing w:after="0" w:line="240" w:lineRule="auto"/>
    </w:pPr>
  </w:style>
  <w:style w:type="paragraph" w:styleId="Footer">
    <w:name w:val="footer"/>
    <w:basedOn w:val="Normal"/>
    <w:uiPriority w:val="99"/>
    <w:unhideWhenUsed/>
    <w:rsid w:val="4BF15A5B"/>
    <w:pPr>
      <w:tabs>
        <w:tab w:val="center" w:pos="4680"/>
        <w:tab w:val="right" w:pos="9360"/>
      </w:tabs>
      <w:spacing w:after="0" w:line="240" w:lineRule="auto"/>
    </w:pPr>
  </w:style>
  <w:style w:type="paragraph" w:styleId="ListParagraph">
    <w:name w:val="List Paragraph"/>
    <w:basedOn w:val="Normal"/>
    <w:uiPriority w:val="34"/>
    <w:qFormat/>
    <w:rsid w:val="4BF15A5B"/>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1E91B12B"/>
    <w:rPr>
      <w:color w:val="467886"/>
      <w:u w:val="single"/>
    </w:rPr>
  </w:style>
  <w:style w:type="paragraph" w:styleId="NormalWeb">
    <w:name w:val="Normal (Web)"/>
    <w:basedOn w:val="Normal"/>
    <w:uiPriority w:val="99"/>
    <w:semiHidden/>
    <w:unhideWhenUsed/>
    <w:rsid w:val="00303F99"/>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595774">
      <w:bodyDiv w:val="1"/>
      <w:marLeft w:val="0"/>
      <w:marRight w:val="0"/>
      <w:marTop w:val="0"/>
      <w:marBottom w:val="0"/>
      <w:divBdr>
        <w:top w:val="none" w:sz="0" w:space="0" w:color="auto"/>
        <w:left w:val="none" w:sz="0" w:space="0" w:color="auto"/>
        <w:bottom w:val="none" w:sz="0" w:space="0" w:color="auto"/>
        <w:right w:val="none" w:sz="0" w:space="0" w:color="auto"/>
      </w:divBdr>
    </w:div>
    <w:div w:id="704059009">
      <w:bodyDiv w:val="1"/>
      <w:marLeft w:val="0"/>
      <w:marRight w:val="0"/>
      <w:marTop w:val="0"/>
      <w:marBottom w:val="0"/>
      <w:divBdr>
        <w:top w:val="none" w:sz="0" w:space="0" w:color="auto"/>
        <w:left w:val="none" w:sz="0" w:space="0" w:color="auto"/>
        <w:bottom w:val="none" w:sz="0" w:space="0" w:color="auto"/>
        <w:right w:val="none" w:sz="0" w:space="0" w:color="auto"/>
      </w:divBdr>
      <w:divsChild>
        <w:div w:id="1402292685">
          <w:blockQuote w:val="1"/>
          <w:marLeft w:val="720"/>
          <w:marRight w:val="720"/>
          <w:marTop w:val="100"/>
          <w:marBottom w:val="100"/>
          <w:divBdr>
            <w:top w:val="none" w:sz="0" w:space="0" w:color="auto"/>
            <w:left w:val="none" w:sz="0" w:space="0" w:color="auto"/>
            <w:bottom w:val="none" w:sz="0" w:space="0" w:color="auto"/>
            <w:right w:val="none" w:sz="0" w:space="0" w:color="auto"/>
          </w:divBdr>
        </w:div>
        <w:div w:id="658582653">
          <w:marLeft w:val="0"/>
          <w:marRight w:val="0"/>
          <w:marTop w:val="0"/>
          <w:marBottom w:val="0"/>
          <w:divBdr>
            <w:top w:val="none" w:sz="0" w:space="0" w:color="auto"/>
            <w:left w:val="none" w:sz="0" w:space="0" w:color="auto"/>
            <w:bottom w:val="none" w:sz="0" w:space="0" w:color="auto"/>
            <w:right w:val="none" w:sz="0" w:space="0" w:color="auto"/>
          </w:divBdr>
          <w:divsChild>
            <w:div w:id="2020422617">
              <w:marLeft w:val="0"/>
              <w:marRight w:val="0"/>
              <w:marTop w:val="0"/>
              <w:marBottom w:val="0"/>
              <w:divBdr>
                <w:top w:val="none" w:sz="0" w:space="0" w:color="auto"/>
                <w:left w:val="none" w:sz="0" w:space="0" w:color="auto"/>
                <w:bottom w:val="none" w:sz="0" w:space="0" w:color="auto"/>
                <w:right w:val="none" w:sz="0" w:space="0" w:color="auto"/>
              </w:divBdr>
              <w:divsChild>
                <w:div w:id="106425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066078">
          <w:blockQuote w:val="1"/>
          <w:marLeft w:val="720"/>
          <w:marRight w:val="720"/>
          <w:marTop w:val="100"/>
          <w:marBottom w:val="100"/>
          <w:divBdr>
            <w:top w:val="none" w:sz="0" w:space="0" w:color="auto"/>
            <w:left w:val="none" w:sz="0" w:space="0" w:color="auto"/>
            <w:bottom w:val="none" w:sz="0" w:space="0" w:color="auto"/>
            <w:right w:val="none" w:sz="0" w:space="0" w:color="auto"/>
          </w:divBdr>
        </w:div>
        <w:div w:id="994139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631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7547403">
      <w:bodyDiv w:val="1"/>
      <w:marLeft w:val="0"/>
      <w:marRight w:val="0"/>
      <w:marTop w:val="0"/>
      <w:marBottom w:val="0"/>
      <w:divBdr>
        <w:top w:val="none" w:sz="0" w:space="0" w:color="auto"/>
        <w:left w:val="none" w:sz="0" w:space="0" w:color="auto"/>
        <w:bottom w:val="none" w:sz="0" w:space="0" w:color="auto"/>
        <w:right w:val="none" w:sz="0" w:space="0" w:color="auto"/>
      </w:divBdr>
    </w:div>
    <w:div w:id="791172120">
      <w:bodyDiv w:val="1"/>
      <w:marLeft w:val="0"/>
      <w:marRight w:val="0"/>
      <w:marTop w:val="0"/>
      <w:marBottom w:val="0"/>
      <w:divBdr>
        <w:top w:val="none" w:sz="0" w:space="0" w:color="auto"/>
        <w:left w:val="none" w:sz="0" w:space="0" w:color="auto"/>
        <w:bottom w:val="none" w:sz="0" w:space="0" w:color="auto"/>
        <w:right w:val="none" w:sz="0" w:space="0" w:color="auto"/>
      </w:divBdr>
    </w:div>
    <w:div w:id="1128619588">
      <w:bodyDiv w:val="1"/>
      <w:marLeft w:val="0"/>
      <w:marRight w:val="0"/>
      <w:marTop w:val="0"/>
      <w:marBottom w:val="0"/>
      <w:divBdr>
        <w:top w:val="none" w:sz="0" w:space="0" w:color="auto"/>
        <w:left w:val="none" w:sz="0" w:space="0" w:color="auto"/>
        <w:bottom w:val="none" w:sz="0" w:space="0" w:color="auto"/>
        <w:right w:val="none" w:sz="0" w:space="0" w:color="auto"/>
      </w:divBdr>
    </w:div>
    <w:div w:id="1544439387">
      <w:bodyDiv w:val="1"/>
      <w:marLeft w:val="0"/>
      <w:marRight w:val="0"/>
      <w:marTop w:val="0"/>
      <w:marBottom w:val="0"/>
      <w:divBdr>
        <w:top w:val="none" w:sz="0" w:space="0" w:color="auto"/>
        <w:left w:val="none" w:sz="0" w:space="0" w:color="auto"/>
        <w:bottom w:val="none" w:sz="0" w:space="0" w:color="auto"/>
        <w:right w:val="none" w:sz="0" w:space="0" w:color="auto"/>
      </w:divBdr>
    </w:div>
    <w:div w:id="1610813214">
      <w:bodyDiv w:val="1"/>
      <w:marLeft w:val="0"/>
      <w:marRight w:val="0"/>
      <w:marTop w:val="0"/>
      <w:marBottom w:val="0"/>
      <w:divBdr>
        <w:top w:val="none" w:sz="0" w:space="0" w:color="auto"/>
        <w:left w:val="none" w:sz="0" w:space="0" w:color="auto"/>
        <w:bottom w:val="none" w:sz="0" w:space="0" w:color="auto"/>
        <w:right w:val="none" w:sz="0" w:space="0" w:color="auto"/>
      </w:divBdr>
    </w:div>
    <w:div w:id="1665275760">
      <w:bodyDiv w:val="1"/>
      <w:marLeft w:val="0"/>
      <w:marRight w:val="0"/>
      <w:marTop w:val="0"/>
      <w:marBottom w:val="0"/>
      <w:divBdr>
        <w:top w:val="none" w:sz="0" w:space="0" w:color="auto"/>
        <w:left w:val="none" w:sz="0" w:space="0" w:color="auto"/>
        <w:bottom w:val="none" w:sz="0" w:space="0" w:color="auto"/>
        <w:right w:val="none" w:sz="0" w:space="0" w:color="auto"/>
      </w:divBdr>
    </w:div>
    <w:div w:id="1974865565">
      <w:bodyDiv w:val="1"/>
      <w:marLeft w:val="0"/>
      <w:marRight w:val="0"/>
      <w:marTop w:val="0"/>
      <w:marBottom w:val="0"/>
      <w:divBdr>
        <w:top w:val="none" w:sz="0" w:space="0" w:color="auto"/>
        <w:left w:val="none" w:sz="0" w:space="0" w:color="auto"/>
        <w:bottom w:val="none" w:sz="0" w:space="0" w:color="auto"/>
        <w:right w:val="none" w:sz="0" w:space="0" w:color="auto"/>
      </w:divBdr>
      <w:divsChild>
        <w:div w:id="224344180">
          <w:marLeft w:val="0"/>
          <w:marRight w:val="0"/>
          <w:marTop w:val="0"/>
          <w:marBottom w:val="0"/>
          <w:divBdr>
            <w:top w:val="none" w:sz="0" w:space="0" w:color="auto"/>
            <w:left w:val="none" w:sz="0" w:space="0" w:color="auto"/>
            <w:bottom w:val="none" w:sz="0" w:space="0" w:color="auto"/>
            <w:right w:val="none" w:sz="0" w:space="0" w:color="auto"/>
          </w:divBdr>
          <w:divsChild>
            <w:div w:id="1082338414">
              <w:marLeft w:val="0"/>
              <w:marRight w:val="0"/>
              <w:marTop w:val="0"/>
              <w:marBottom w:val="0"/>
              <w:divBdr>
                <w:top w:val="none" w:sz="0" w:space="0" w:color="auto"/>
                <w:left w:val="none" w:sz="0" w:space="0" w:color="auto"/>
                <w:bottom w:val="none" w:sz="0" w:space="0" w:color="auto"/>
                <w:right w:val="none" w:sz="0" w:space="0" w:color="auto"/>
              </w:divBdr>
              <w:divsChild>
                <w:div w:id="932713498">
                  <w:marLeft w:val="0"/>
                  <w:marRight w:val="0"/>
                  <w:marTop w:val="0"/>
                  <w:marBottom w:val="0"/>
                  <w:divBdr>
                    <w:top w:val="none" w:sz="0" w:space="0" w:color="auto"/>
                    <w:left w:val="none" w:sz="0" w:space="0" w:color="auto"/>
                    <w:bottom w:val="none" w:sz="0" w:space="0" w:color="auto"/>
                    <w:right w:val="none" w:sz="0" w:space="0" w:color="auto"/>
                  </w:divBdr>
                  <w:divsChild>
                    <w:div w:id="884413589">
                      <w:marLeft w:val="0"/>
                      <w:marRight w:val="0"/>
                      <w:marTop w:val="0"/>
                      <w:marBottom w:val="0"/>
                      <w:divBdr>
                        <w:top w:val="none" w:sz="0" w:space="0" w:color="auto"/>
                        <w:left w:val="none" w:sz="0" w:space="0" w:color="auto"/>
                        <w:bottom w:val="none" w:sz="0" w:space="0" w:color="auto"/>
                        <w:right w:val="none" w:sz="0" w:space="0" w:color="auto"/>
                      </w:divBdr>
                      <w:divsChild>
                        <w:div w:id="21562488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5441771">
                          <w:marLeft w:val="0"/>
                          <w:marRight w:val="0"/>
                          <w:marTop w:val="0"/>
                          <w:marBottom w:val="0"/>
                          <w:divBdr>
                            <w:top w:val="none" w:sz="0" w:space="0" w:color="auto"/>
                            <w:left w:val="none" w:sz="0" w:space="0" w:color="auto"/>
                            <w:bottom w:val="none" w:sz="0" w:space="0" w:color="auto"/>
                            <w:right w:val="none" w:sz="0" w:space="0" w:color="auto"/>
                          </w:divBdr>
                          <w:divsChild>
                            <w:div w:id="764036323">
                              <w:marLeft w:val="0"/>
                              <w:marRight w:val="0"/>
                              <w:marTop w:val="0"/>
                              <w:marBottom w:val="0"/>
                              <w:divBdr>
                                <w:top w:val="none" w:sz="0" w:space="0" w:color="auto"/>
                                <w:left w:val="none" w:sz="0" w:space="0" w:color="auto"/>
                                <w:bottom w:val="none" w:sz="0" w:space="0" w:color="auto"/>
                                <w:right w:val="none" w:sz="0" w:space="0" w:color="auto"/>
                              </w:divBdr>
                              <w:divsChild>
                                <w:div w:id="10418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622466200">
          <w:marLeft w:val="0"/>
          <w:marRight w:val="0"/>
          <w:marTop w:val="0"/>
          <w:marBottom w:val="0"/>
          <w:divBdr>
            <w:top w:val="none" w:sz="0" w:space="0" w:color="auto"/>
            <w:left w:val="none" w:sz="0" w:space="0" w:color="auto"/>
            <w:bottom w:val="none" w:sz="0" w:space="0" w:color="auto"/>
            <w:right w:val="none" w:sz="0" w:space="0" w:color="auto"/>
          </w:divBdr>
          <w:divsChild>
            <w:div w:id="2041781398">
              <w:marLeft w:val="0"/>
              <w:marRight w:val="0"/>
              <w:marTop w:val="0"/>
              <w:marBottom w:val="0"/>
              <w:divBdr>
                <w:top w:val="none" w:sz="0" w:space="0" w:color="auto"/>
                <w:left w:val="none" w:sz="0" w:space="0" w:color="auto"/>
                <w:bottom w:val="none" w:sz="0" w:space="0" w:color="auto"/>
                <w:right w:val="none" w:sz="0" w:space="0" w:color="auto"/>
              </w:divBdr>
              <w:divsChild>
                <w:div w:id="1168136875">
                  <w:marLeft w:val="0"/>
                  <w:marRight w:val="0"/>
                  <w:marTop w:val="0"/>
                  <w:marBottom w:val="0"/>
                  <w:divBdr>
                    <w:top w:val="none" w:sz="0" w:space="0" w:color="auto"/>
                    <w:left w:val="none" w:sz="0" w:space="0" w:color="auto"/>
                    <w:bottom w:val="none" w:sz="0" w:space="0" w:color="auto"/>
                    <w:right w:val="none" w:sz="0" w:space="0" w:color="auto"/>
                  </w:divBdr>
                  <w:divsChild>
                    <w:div w:id="202329499">
                      <w:marLeft w:val="0"/>
                      <w:marRight w:val="0"/>
                      <w:marTop w:val="0"/>
                      <w:marBottom w:val="0"/>
                      <w:divBdr>
                        <w:top w:val="none" w:sz="0" w:space="0" w:color="auto"/>
                        <w:left w:val="none" w:sz="0" w:space="0" w:color="auto"/>
                        <w:bottom w:val="none" w:sz="0" w:space="0" w:color="auto"/>
                        <w:right w:val="none" w:sz="0" w:space="0" w:color="auto"/>
                      </w:divBdr>
                      <w:divsChild>
                        <w:div w:id="1215045981">
                          <w:marLeft w:val="0"/>
                          <w:marRight w:val="0"/>
                          <w:marTop w:val="0"/>
                          <w:marBottom w:val="0"/>
                          <w:divBdr>
                            <w:top w:val="none" w:sz="0" w:space="0" w:color="auto"/>
                            <w:left w:val="none" w:sz="0" w:space="0" w:color="auto"/>
                            <w:bottom w:val="none" w:sz="0" w:space="0" w:color="auto"/>
                            <w:right w:val="none" w:sz="0" w:space="0" w:color="auto"/>
                          </w:divBdr>
                          <w:divsChild>
                            <w:div w:id="1995332449">
                              <w:marLeft w:val="0"/>
                              <w:marRight w:val="0"/>
                              <w:marTop w:val="0"/>
                              <w:marBottom w:val="0"/>
                              <w:divBdr>
                                <w:top w:val="none" w:sz="0" w:space="0" w:color="auto"/>
                                <w:left w:val="none" w:sz="0" w:space="0" w:color="auto"/>
                                <w:bottom w:val="none" w:sz="0" w:space="0" w:color="auto"/>
                                <w:right w:val="none" w:sz="0" w:space="0" w:color="auto"/>
                              </w:divBdr>
                              <w:divsChild>
                                <w:div w:id="19111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1232316">
          <w:marLeft w:val="0"/>
          <w:marRight w:val="0"/>
          <w:marTop w:val="0"/>
          <w:marBottom w:val="0"/>
          <w:divBdr>
            <w:top w:val="none" w:sz="0" w:space="0" w:color="auto"/>
            <w:left w:val="none" w:sz="0" w:space="0" w:color="auto"/>
            <w:bottom w:val="none" w:sz="0" w:space="0" w:color="auto"/>
            <w:right w:val="none" w:sz="0" w:space="0" w:color="auto"/>
          </w:divBdr>
          <w:divsChild>
            <w:div w:id="484901859">
              <w:marLeft w:val="0"/>
              <w:marRight w:val="0"/>
              <w:marTop w:val="0"/>
              <w:marBottom w:val="0"/>
              <w:divBdr>
                <w:top w:val="none" w:sz="0" w:space="0" w:color="auto"/>
                <w:left w:val="none" w:sz="0" w:space="0" w:color="auto"/>
                <w:bottom w:val="none" w:sz="0" w:space="0" w:color="auto"/>
                <w:right w:val="none" w:sz="0" w:space="0" w:color="auto"/>
              </w:divBdr>
              <w:divsChild>
                <w:div w:id="1024746437">
                  <w:marLeft w:val="0"/>
                  <w:marRight w:val="0"/>
                  <w:marTop w:val="0"/>
                  <w:marBottom w:val="0"/>
                  <w:divBdr>
                    <w:top w:val="none" w:sz="0" w:space="0" w:color="auto"/>
                    <w:left w:val="none" w:sz="0" w:space="0" w:color="auto"/>
                    <w:bottom w:val="none" w:sz="0" w:space="0" w:color="auto"/>
                    <w:right w:val="none" w:sz="0" w:space="0" w:color="auto"/>
                  </w:divBdr>
                  <w:divsChild>
                    <w:div w:id="19160736">
                      <w:marLeft w:val="0"/>
                      <w:marRight w:val="0"/>
                      <w:marTop w:val="0"/>
                      <w:marBottom w:val="0"/>
                      <w:divBdr>
                        <w:top w:val="none" w:sz="0" w:space="0" w:color="auto"/>
                        <w:left w:val="none" w:sz="0" w:space="0" w:color="auto"/>
                        <w:bottom w:val="none" w:sz="0" w:space="0" w:color="auto"/>
                        <w:right w:val="none" w:sz="0" w:space="0" w:color="auto"/>
                      </w:divBdr>
                      <w:divsChild>
                        <w:div w:id="1354570931">
                          <w:marLeft w:val="0"/>
                          <w:marRight w:val="0"/>
                          <w:marTop w:val="0"/>
                          <w:marBottom w:val="0"/>
                          <w:divBdr>
                            <w:top w:val="none" w:sz="0" w:space="0" w:color="auto"/>
                            <w:left w:val="none" w:sz="0" w:space="0" w:color="auto"/>
                            <w:bottom w:val="none" w:sz="0" w:space="0" w:color="auto"/>
                            <w:right w:val="none" w:sz="0" w:space="0" w:color="auto"/>
                          </w:divBdr>
                          <w:divsChild>
                            <w:div w:id="1683161945">
                              <w:marLeft w:val="0"/>
                              <w:marRight w:val="0"/>
                              <w:marTop w:val="0"/>
                              <w:marBottom w:val="0"/>
                              <w:divBdr>
                                <w:top w:val="none" w:sz="0" w:space="0" w:color="auto"/>
                                <w:left w:val="none" w:sz="0" w:space="0" w:color="auto"/>
                                <w:bottom w:val="none" w:sz="0" w:space="0" w:color="auto"/>
                                <w:right w:val="none" w:sz="0" w:space="0" w:color="auto"/>
                              </w:divBdr>
                              <w:divsChild>
                                <w:div w:id="401758313">
                                  <w:marLeft w:val="0"/>
                                  <w:marRight w:val="0"/>
                                  <w:marTop w:val="0"/>
                                  <w:marBottom w:val="0"/>
                                  <w:divBdr>
                                    <w:top w:val="none" w:sz="0" w:space="0" w:color="auto"/>
                                    <w:left w:val="none" w:sz="0" w:space="0" w:color="auto"/>
                                    <w:bottom w:val="none" w:sz="0" w:space="0" w:color="auto"/>
                                    <w:right w:val="none" w:sz="0" w:space="0" w:color="auto"/>
                                  </w:divBdr>
                                  <w:divsChild>
                                    <w:div w:id="84863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92183">
                              <w:marLeft w:val="0"/>
                              <w:marRight w:val="0"/>
                              <w:marTop w:val="0"/>
                              <w:marBottom w:val="0"/>
                              <w:divBdr>
                                <w:top w:val="none" w:sz="0" w:space="0" w:color="auto"/>
                                <w:left w:val="none" w:sz="0" w:space="0" w:color="auto"/>
                                <w:bottom w:val="none" w:sz="0" w:space="0" w:color="auto"/>
                                <w:right w:val="none" w:sz="0" w:space="0" w:color="auto"/>
                              </w:divBdr>
                              <w:divsChild>
                                <w:div w:id="205688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178704">
          <w:marLeft w:val="0"/>
          <w:marRight w:val="0"/>
          <w:marTop w:val="0"/>
          <w:marBottom w:val="0"/>
          <w:divBdr>
            <w:top w:val="none" w:sz="0" w:space="0" w:color="auto"/>
            <w:left w:val="none" w:sz="0" w:space="0" w:color="auto"/>
            <w:bottom w:val="none" w:sz="0" w:space="0" w:color="auto"/>
            <w:right w:val="none" w:sz="0" w:space="0" w:color="auto"/>
          </w:divBdr>
          <w:divsChild>
            <w:div w:id="1686637713">
              <w:marLeft w:val="0"/>
              <w:marRight w:val="0"/>
              <w:marTop w:val="0"/>
              <w:marBottom w:val="0"/>
              <w:divBdr>
                <w:top w:val="none" w:sz="0" w:space="0" w:color="auto"/>
                <w:left w:val="none" w:sz="0" w:space="0" w:color="auto"/>
                <w:bottom w:val="none" w:sz="0" w:space="0" w:color="auto"/>
                <w:right w:val="none" w:sz="0" w:space="0" w:color="auto"/>
              </w:divBdr>
              <w:divsChild>
                <w:div w:id="1517309430">
                  <w:marLeft w:val="0"/>
                  <w:marRight w:val="0"/>
                  <w:marTop w:val="0"/>
                  <w:marBottom w:val="0"/>
                  <w:divBdr>
                    <w:top w:val="none" w:sz="0" w:space="0" w:color="auto"/>
                    <w:left w:val="none" w:sz="0" w:space="0" w:color="auto"/>
                    <w:bottom w:val="none" w:sz="0" w:space="0" w:color="auto"/>
                    <w:right w:val="none" w:sz="0" w:space="0" w:color="auto"/>
                  </w:divBdr>
                  <w:divsChild>
                    <w:div w:id="1942176158">
                      <w:marLeft w:val="0"/>
                      <w:marRight w:val="0"/>
                      <w:marTop w:val="0"/>
                      <w:marBottom w:val="0"/>
                      <w:divBdr>
                        <w:top w:val="none" w:sz="0" w:space="0" w:color="auto"/>
                        <w:left w:val="none" w:sz="0" w:space="0" w:color="auto"/>
                        <w:bottom w:val="none" w:sz="0" w:space="0" w:color="auto"/>
                        <w:right w:val="none" w:sz="0" w:space="0" w:color="auto"/>
                      </w:divBdr>
                      <w:divsChild>
                        <w:div w:id="1954744263">
                          <w:marLeft w:val="0"/>
                          <w:marRight w:val="0"/>
                          <w:marTop w:val="0"/>
                          <w:marBottom w:val="0"/>
                          <w:divBdr>
                            <w:top w:val="none" w:sz="0" w:space="0" w:color="auto"/>
                            <w:left w:val="none" w:sz="0" w:space="0" w:color="auto"/>
                            <w:bottom w:val="none" w:sz="0" w:space="0" w:color="auto"/>
                            <w:right w:val="none" w:sz="0" w:space="0" w:color="auto"/>
                          </w:divBdr>
                          <w:divsChild>
                            <w:div w:id="819273119">
                              <w:marLeft w:val="0"/>
                              <w:marRight w:val="0"/>
                              <w:marTop w:val="0"/>
                              <w:marBottom w:val="0"/>
                              <w:divBdr>
                                <w:top w:val="none" w:sz="0" w:space="0" w:color="auto"/>
                                <w:left w:val="none" w:sz="0" w:space="0" w:color="auto"/>
                                <w:bottom w:val="none" w:sz="0" w:space="0" w:color="auto"/>
                                <w:right w:val="none" w:sz="0" w:space="0" w:color="auto"/>
                              </w:divBdr>
                              <w:divsChild>
                                <w:div w:id="192171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478330">
          <w:marLeft w:val="0"/>
          <w:marRight w:val="0"/>
          <w:marTop w:val="0"/>
          <w:marBottom w:val="0"/>
          <w:divBdr>
            <w:top w:val="none" w:sz="0" w:space="0" w:color="auto"/>
            <w:left w:val="none" w:sz="0" w:space="0" w:color="auto"/>
            <w:bottom w:val="none" w:sz="0" w:space="0" w:color="auto"/>
            <w:right w:val="none" w:sz="0" w:space="0" w:color="auto"/>
          </w:divBdr>
          <w:divsChild>
            <w:div w:id="2090039173">
              <w:marLeft w:val="0"/>
              <w:marRight w:val="0"/>
              <w:marTop w:val="0"/>
              <w:marBottom w:val="0"/>
              <w:divBdr>
                <w:top w:val="none" w:sz="0" w:space="0" w:color="auto"/>
                <w:left w:val="none" w:sz="0" w:space="0" w:color="auto"/>
                <w:bottom w:val="none" w:sz="0" w:space="0" w:color="auto"/>
                <w:right w:val="none" w:sz="0" w:space="0" w:color="auto"/>
              </w:divBdr>
              <w:divsChild>
                <w:div w:id="426192876">
                  <w:marLeft w:val="0"/>
                  <w:marRight w:val="0"/>
                  <w:marTop w:val="0"/>
                  <w:marBottom w:val="0"/>
                  <w:divBdr>
                    <w:top w:val="none" w:sz="0" w:space="0" w:color="auto"/>
                    <w:left w:val="none" w:sz="0" w:space="0" w:color="auto"/>
                    <w:bottom w:val="none" w:sz="0" w:space="0" w:color="auto"/>
                    <w:right w:val="none" w:sz="0" w:space="0" w:color="auto"/>
                  </w:divBdr>
                  <w:divsChild>
                    <w:div w:id="533660663">
                      <w:marLeft w:val="0"/>
                      <w:marRight w:val="0"/>
                      <w:marTop w:val="0"/>
                      <w:marBottom w:val="0"/>
                      <w:divBdr>
                        <w:top w:val="none" w:sz="0" w:space="0" w:color="auto"/>
                        <w:left w:val="none" w:sz="0" w:space="0" w:color="auto"/>
                        <w:bottom w:val="none" w:sz="0" w:space="0" w:color="auto"/>
                        <w:right w:val="none" w:sz="0" w:space="0" w:color="auto"/>
                      </w:divBdr>
                      <w:divsChild>
                        <w:div w:id="662007186">
                          <w:marLeft w:val="0"/>
                          <w:marRight w:val="0"/>
                          <w:marTop w:val="0"/>
                          <w:marBottom w:val="0"/>
                          <w:divBdr>
                            <w:top w:val="none" w:sz="0" w:space="0" w:color="auto"/>
                            <w:left w:val="none" w:sz="0" w:space="0" w:color="auto"/>
                            <w:bottom w:val="none" w:sz="0" w:space="0" w:color="auto"/>
                            <w:right w:val="none" w:sz="0" w:space="0" w:color="auto"/>
                          </w:divBdr>
                          <w:divsChild>
                            <w:div w:id="2071269021">
                              <w:marLeft w:val="0"/>
                              <w:marRight w:val="0"/>
                              <w:marTop w:val="0"/>
                              <w:marBottom w:val="0"/>
                              <w:divBdr>
                                <w:top w:val="none" w:sz="0" w:space="0" w:color="auto"/>
                                <w:left w:val="none" w:sz="0" w:space="0" w:color="auto"/>
                                <w:bottom w:val="none" w:sz="0" w:space="0" w:color="auto"/>
                                <w:right w:val="none" w:sz="0" w:space="0" w:color="auto"/>
                              </w:divBdr>
                              <w:divsChild>
                                <w:div w:id="101006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5530325">
          <w:marLeft w:val="0"/>
          <w:marRight w:val="0"/>
          <w:marTop w:val="0"/>
          <w:marBottom w:val="0"/>
          <w:divBdr>
            <w:top w:val="none" w:sz="0" w:space="0" w:color="auto"/>
            <w:left w:val="none" w:sz="0" w:space="0" w:color="auto"/>
            <w:bottom w:val="none" w:sz="0" w:space="0" w:color="auto"/>
            <w:right w:val="none" w:sz="0" w:space="0" w:color="auto"/>
          </w:divBdr>
          <w:divsChild>
            <w:div w:id="724454765">
              <w:marLeft w:val="0"/>
              <w:marRight w:val="0"/>
              <w:marTop w:val="0"/>
              <w:marBottom w:val="0"/>
              <w:divBdr>
                <w:top w:val="none" w:sz="0" w:space="0" w:color="auto"/>
                <w:left w:val="none" w:sz="0" w:space="0" w:color="auto"/>
                <w:bottom w:val="none" w:sz="0" w:space="0" w:color="auto"/>
                <w:right w:val="none" w:sz="0" w:space="0" w:color="auto"/>
              </w:divBdr>
              <w:divsChild>
                <w:div w:id="671226703">
                  <w:marLeft w:val="0"/>
                  <w:marRight w:val="0"/>
                  <w:marTop w:val="0"/>
                  <w:marBottom w:val="0"/>
                  <w:divBdr>
                    <w:top w:val="none" w:sz="0" w:space="0" w:color="auto"/>
                    <w:left w:val="none" w:sz="0" w:space="0" w:color="auto"/>
                    <w:bottom w:val="none" w:sz="0" w:space="0" w:color="auto"/>
                    <w:right w:val="none" w:sz="0" w:space="0" w:color="auto"/>
                  </w:divBdr>
                  <w:divsChild>
                    <w:div w:id="2081558567">
                      <w:marLeft w:val="0"/>
                      <w:marRight w:val="0"/>
                      <w:marTop w:val="0"/>
                      <w:marBottom w:val="0"/>
                      <w:divBdr>
                        <w:top w:val="none" w:sz="0" w:space="0" w:color="auto"/>
                        <w:left w:val="none" w:sz="0" w:space="0" w:color="auto"/>
                        <w:bottom w:val="none" w:sz="0" w:space="0" w:color="auto"/>
                        <w:right w:val="none" w:sz="0" w:space="0" w:color="auto"/>
                      </w:divBdr>
                      <w:divsChild>
                        <w:div w:id="2120054909">
                          <w:marLeft w:val="0"/>
                          <w:marRight w:val="0"/>
                          <w:marTop w:val="0"/>
                          <w:marBottom w:val="0"/>
                          <w:divBdr>
                            <w:top w:val="none" w:sz="0" w:space="0" w:color="auto"/>
                            <w:left w:val="none" w:sz="0" w:space="0" w:color="auto"/>
                            <w:bottom w:val="none" w:sz="0" w:space="0" w:color="auto"/>
                            <w:right w:val="none" w:sz="0" w:space="0" w:color="auto"/>
                          </w:divBdr>
                          <w:divsChild>
                            <w:div w:id="81420358">
                              <w:marLeft w:val="0"/>
                              <w:marRight w:val="0"/>
                              <w:marTop w:val="0"/>
                              <w:marBottom w:val="0"/>
                              <w:divBdr>
                                <w:top w:val="none" w:sz="0" w:space="0" w:color="auto"/>
                                <w:left w:val="none" w:sz="0" w:space="0" w:color="auto"/>
                                <w:bottom w:val="none" w:sz="0" w:space="0" w:color="auto"/>
                                <w:right w:val="none" w:sz="0" w:space="0" w:color="auto"/>
                              </w:divBdr>
                              <w:divsChild>
                                <w:div w:id="128792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292857">
          <w:marLeft w:val="0"/>
          <w:marRight w:val="0"/>
          <w:marTop w:val="0"/>
          <w:marBottom w:val="0"/>
          <w:divBdr>
            <w:top w:val="none" w:sz="0" w:space="0" w:color="auto"/>
            <w:left w:val="none" w:sz="0" w:space="0" w:color="auto"/>
            <w:bottom w:val="none" w:sz="0" w:space="0" w:color="auto"/>
            <w:right w:val="none" w:sz="0" w:space="0" w:color="auto"/>
          </w:divBdr>
          <w:divsChild>
            <w:div w:id="1813406626">
              <w:marLeft w:val="0"/>
              <w:marRight w:val="0"/>
              <w:marTop w:val="0"/>
              <w:marBottom w:val="0"/>
              <w:divBdr>
                <w:top w:val="none" w:sz="0" w:space="0" w:color="auto"/>
                <w:left w:val="none" w:sz="0" w:space="0" w:color="auto"/>
                <w:bottom w:val="none" w:sz="0" w:space="0" w:color="auto"/>
                <w:right w:val="none" w:sz="0" w:space="0" w:color="auto"/>
              </w:divBdr>
              <w:divsChild>
                <w:div w:id="785929792">
                  <w:marLeft w:val="0"/>
                  <w:marRight w:val="0"/>
                  <w:marTop w:val="0"/>
                  <w:marBottom w:val="0"/>
                  <w:divBdr>
                    <w:top w:val="none" w:sz="0" w:space="0" w:color="auto"/>
                    <w:left w:val="none" w:sz="0" w:space="0" w:color="auto"/>
                    <w:bottom w:val="none" w:sz="0" w:space="0" w:color="auto"/>
                    <w:right w:val="none" w:sz="0" w:space="0" w:color="auto"/>
                  </w:divBdr>
                  <w:divsChild>
                    <w:div w:id="2064984271">
                      <w:marLeft w:val="0"/>
                      <w:marRight w:val="0"/>
                      <w:marTop w:val="0"/>
                      <w:marBottom w:val="0"/>
                      <w:divBdr>
                        <w:top w:val="none" w:sz="0" w:space="0" w:color="auto"/>
                        <w:left w:val="none" w:sz="0" w:space="0" w:color="auto"/>
                        <w:bottom w:val="none" w:sz="0" w:space="0" w:color="auto"/>
                        <w:right w:val="none" w:sz="0" w:space="0" w:color="auto"/>
                      </w:divBdr>
                      <w:divsChild>
                        <w:div w:id="1062288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20643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684818138">
                          <w:blockQuote w:val="1"/>
                          <w:marLeft w:val="720"/>
                          <w:marRight w:val="720"/>
                          <w:marTop w:val="100"/>
                          <w:marBottom w:val="100"/>
                          <w:divBdr>
                            <w:top w:val="none" w:sz="0" w:space="0" w:color="auto"/>
                            <w:left w:val="none" w:sz="0" w:space="0" w:color="auto"/>
                            <w:bottom w:val="none" w:sz="0" w:space="0" w:color="auto"/>
                            <w:right w:val="none" w:sz="0" w:space="0" w:color="auto"/>
                          </w:divBdr>
                        </w:div>
                        <w:div w:id="1864392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34738298">
          <w:marLeft w:val="0"/>
          <w:marRight w:val="0"/>
          <w:marTop w:val="0"/>
          <w:marBottom w:val="0"/>
          <w:divBdr>
            <w:top w:val="none" w:sz="0" w:space="0" w:color="auto"/>
            <w:left w:val="none" w:sz="0" w:space="0" w:color="auto"/>
            <w:bottom w:val="none" w:sz="0" w:space="0" w:color="auto"/>
            <w:right w:val="none" w:sz="0" w:space="0" w:color="auto"/>
          </w:divBdr>
          <w:divsChild>
            <w:div w:id="2050179976">
              <w:marLeft w:val="0"/>
              <w:marRight w:val="0"/>
              <w:marTop w:val="0"/>
              <w:marBottom w:val="0"/>
              <w:divBdr>
                <w:top w:val="none" w:sz="0" w:space="0" w:color="auto"/>
                <w:left w:val="none" w:sz="0" w:space="0" w:color="auto"/>
                <w:bottom w:val="none" w:sz="0" w:space="0" w:color="auto"/>
                <w:right w:val="none" w:sz="0" w:space="0" w:color="auto"/>
              </w:divBdr>
            </w:div>
          </w:divsChild>
        </w:div>
        <w:div w:id="2011133160">
          <w:marLeft w:val="0"/>
          <w:marRight w:val="0"/>
          <w:marTop w:val="0"/>
          <w:marBottom w:val="0"/>
          <w:divBdr>
            <w:top w:val="none" w:sz="0" w:space="0" w:color="auto"/>
            <w:left w:val="none" w:sz="0" w:space="0" w:color="auto"/>
            <w:bottom w:val="none" w:sz="0" w:space="0" w:color="auto"/>
            <w:right w:val="none" w:sz="0" w:space="0" w:color="auto"/>
          </w:divBdr>
          <w:divsChild>
            <w:div w:id="184174860">
              <w:marLeft w:val="0"/>
              <w:marRight w:val="0"/>
              <w:marTop w:val="0"/>
              <w:marBottom w:val="0"/>
              <w:divBdr>
                <w:top w:val="none" w:sz="0" w:space="0" w:color="auto"/>
                <w:left w:val="none" w:sz="0" w:space="0" w:color="auto"/>
                <w:bottom w:val="none" w:sz="0" w:space="0" w:color="auto"/>
                <w:right w:val="none" w:sz="0" w:space="0" w:color="auto"/>
              </w:divBdr>
              <w:divsChild>
                <w:div w:id="429744939">
                  <w:marLeft w:val="0"/>
                  <w:marRight w:val="0"/>
                  <w:marTop w:val="0"/>
                  <w:marBottom w:val="0"/>
                  <w:divBdr>
                    <w:top w:val="none" w:sz="0" w:space="0" w:color="auto"/>
                    <w:left w:val="none" w:sz="0" w:space="0" w:color="auto"/>
                    <w:bottom w:val="none" w:sz="0" w:space="0" w:color="auto"/>
                    <w:right w:val="none" w:sz="0" w:space="0" w:color="auto"/>
                  </w:divBdr>
                  <w:divsChild>
                    <w:div w:id="661590678">
                      <w:marLeft w:val="0"/>
                      <w:marRight w:val="0"/>
                      <w:marTop w:val="0"/>
                      <w:marBottom w:val="0"/>
                      <w:divBdr>
                        <w:top w:val="none" w:sz="0" w:space="0" w:color="auto"/>
                        <w:left w:val="none" w:sz="0" w:space="0" w:color="auto"/>
                        <w:bottom w:val="none" w:sz="0" w:space="0" w:color="auto"/>
                        <w:right w:val="none" w:sz="0" w:space="0" w:color="auto"/>
                      </w:divBdr>
                      <w:divsChild>
                        <w:div w:id="1222524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9736674">
                          <w:blockQuote w:val="1"/>
                          <w:marLeft w:val="720"/>
                          <w:marRight w:val="720"/>
                          <w:marTop w:val="100"/>
                          <w:marBottom w:val="100"/>
                          <w:divBdr>
                            <w:top w:val="none" w:sz="0" w:space="0" w:color="auto"/>
                            <w:left w:val="none" w:sz="0" w:space="0" w:color="auto"/>
                            <w:bottom w:val="none" w:sz="0" w:space="0" w:color="auto"/>
                            <w:right w:val="none" w:sz="0" w:space="0" w:color="auto"/>
                          </w:divBdr>
                        </w:div>
                        <w:div w:id="2071228970">
                          <w:marLeft w:val="0"/>
                          <w:marRight w:val="0"/>
                          <w:marTop w:val="0"/>
                          <w:marBottom w:val="0"/>
                          <w:divBdr>
                            <w:top w:val="none" w:sz="0" w:space="0" w:color="auto"/>
                            <w:left w:val="none" w:sz="0" w:space="0" w:color="auto"/>
                            <w:bottom w:val="none" w:sz="0" w:space="0" w:color="auto"/>
                            <w:right w:val="none" w:sz="0" w:space="0" w:color="auto"/>
                          </w:divBdr>
                          <w:divsChild>
                            <w:div w:id="751663112">
                              <w:marLeft w:val="0"/>
                              <w:marRight w:val="0"/>
                              <w:marTop w:val="0"/>
                              <w:marBottom w:val="0"/>
                              <w:divBdr>
                                <w:top w:val="none" w:sz="0" w:space="0" w:color="auto"/>
                                <w:left w:val="none" w:sz="0" w:space="0" w:color="auto"/>
                                <w:bottom w:val="none" w:sz="0" w:space="0" w:color="auto"/>
                                <w:right w:val="none" w:sz="0" w:space="0" w:color="auto"/>
                              </w:divBdr>
                              <w:divsChild>
                                <w:div w:id="14221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14</Pages>
  <Words>3616</Words>
  <Characters>20614</Characters>
  <Application>Microsoft Office Word</Application>
  <DocSecurity>0</DocSecurity>
  <Lines>171</Lines>
  <Paragraphs>48</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
      <vt:lpstr/>
      <vt:lpstr>Contents</vt:lpstr>
      <vt:lpstr>Introduction</vt:lpstr>
      <vt:lpstr>        Review Question</vt:lpstr>
      <vt:lpstr>        Objectives</vt:lpstr>
      <vt:lpstr>Background</vt:lpstr>
      <vt:lpstr>        Legislative Context</vt:lpstr>
      <vt:lpstr>        National Policy</vt:lpstr>
      <vt:lpstr>        Professional Guidance</vt:lpstr>
      <vt:lpstr>        Digital Mental Health Landscape</vt:lpstr>
      <vt:lpstr>        Young-Onset Dementia Context</vt:lpstr>
      <vt:lpstr>Methods</vt:lpstr>
      <vt:lpstr>        PCC Framework</vt:lpstr>
      <vt:lpstr>        Search Strategy</vt:lpstr>
      <vt:lpstr>        Inclusion Criteria</vt:lpstr>
      <vt:lpstr>        Exclusion Criteria</vt:lpstr>
      <vt:lpstr>        Data Charting</vt:lpstr>
      <vt:lpstr>        Ethical Considerations</vt:lpstr>
      <vt:lpstr>        Methodological Reflection</vt:lpstr>
      <vt:lpstr>Results</vt:lpstr>
      <vt:lpstr>    Overview of Included Studies</vt:lpstr>
      <vt:lpstr>    Summary Table of Included Studies</vt:lpstr>
      <vt:lpstr>    Themes Identified</vt:lpstr>
      <vt:lpstr>        Theme 1: Digital Exclusion and Technology-Related Barriers</vt:lpstr>
      <vt:lpstr>        Theme 2: Socioeconomic and Structural Inequalities</vt:lpstr>
      <vt:lpstr>        Theme 3: Workforce and Service Delivery Challenges</vt:lpstr>
      <vt:lpstr>        Theme 4: Lack of Population-Specific Evidence</vt:lpstr>
      <vt:lpstr>Discussion</vt:lpstr>
      <vt:lpstr>        Digital Exclusion</vt:lpstr>
      <vt:lpstr>        Socioeconomic Barriers</vt:lpstr>
      <vt:lpstr>        Workforce Limitations</vt:lpstr>
      <vt:lpstr>        Methodological Gaps</vt:lpstr>
      <vt:lpstr>Conclusion</vt:lpstr>
      <vt:lpstr/>
      <vt:lpstr>Recommendations</vt:lpstr>
      <vt:lpstr>        For Research</vt:lpstr>
      <vt:lpstr>        For Policy</vt:lpstr>
      <vt:lpstr>        For Practice</vt:lpstr>
      <vt:lpstr>Reference List </vt:lpstr>
      <vt:lpstr>        Digital transformation &amp; NHS context</vt:lpstr>
      <vt:lpstr>        Digital inclusion &amp; inequalities</vt:lpstr>
      <vt:lpstr>        Young-onset dementia context</vt:lpstr>
      <vt:lpstr>        Digital mental health interventions</vt:lpstr>
      <vt:lpstr>        Telehealth &amp; accessibility</vt:lpstr>
      <vt:lpstr>        Workforce, training &amp; service delivery</vt:lpstr>
      <vt:lpstr>        Co-production &amp; digital design</vt:lpstr>
      <vt:lpstr>        Scoping review methodology</vt:lpstr>
      <vt:lpstr>        Levac, D., Colquhoun, H. and O’Brien, K. (2010) ‘Scoping studies: advancing the </vt:lpstr>
    </vt:vector>
  </TitlesOfParts>
  <Company/>
  <LinksUpToDate>false</LinksUpToDate>
  <CharactersWithSpaces>24182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Summiyah Kousar (2330601)</dc:creator>
  <cp:lastModifiedBy>Home</cp:lastModifiedBy>
  <cp:revision>1</cp:revision>
  <dcterms:created xsi:type="dcterms:W3CDTF">2026-07-10T08:28:00Z</dcterms:created>
  <dcterms:modified xsi:type="dcterms:W3CDTF">2026-07-20T11:24:00Z</dcterms:modified>
</cp:coreProperties>
</file>