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jc w:val="center"/>
        <w:rPr>
          <w:b/>
        </w:rPr>
      </w:pPr>
      <w:r>
        <w:rPr>
          <w:b/>
        </w:rPr>
        <w:t>CSR INITIATIVES AND UN SUSTAINABLE DEVELOPMENT GOALS</w:t>
      </w:r>
    </w:p>
    <w:p>
      <w:pPr>
        <w:ind w:firstLine="0"/>
        <w:jc w:val="center"/>
        <w:rPr>
          <w:b/>
          <w:lang w:val="en-GB"/>
        </w:rPr>
      </w:pPr>
    </w:p>
    <w:p>
      <w:pPr>
        <w:spacing w:after="160" w:line="259" w:lineRule="auto"/>
        <w:ind w:firstLine="0"/>
        <w:jc w:val="center"/>
        <w:rPr>
          <w:rFonts w:hint="default" w:eastAsia="宋体"/>
          <w:lang w:val="en-US" w:eastAsia="zh-CN"/>
        </w:rPr>
      </w:pPr>
      <w:r>
        <w:rPr>
          <w:lang w:val="en-GB"/>
        </w:rPr>
        <w:t>Student Name</w:t>
      </w:r>
      <w:r>
        <w:rPr>
          <w:rFonts w:hint="eastAsia" w:eastAsia="宋体"/>
          <w:lang w:val="en-US" w:eastAsia="zh-CN"/>
        </w:rPr>
        <w:t>:QinHao Meng</w:t>
      </w:r>
    </w:p>
    <w:p>
      <w:pPr>
        <w:spacing w:after="160" w:line="259" w:lineRule="auto"/>
        <w:ind w:firstLine="0"/>
        <w:jc w:val="center"/>
        <w:rPr>
          <w:rFonts w:hint="default" w:eastAsia="宋体"/>
          <w:lang w:val="en-US" w:eastAsia="zh-CN"/>
        </w:rPr>
      </w:pPr>
      <w:r>
        <w:rPr>
          <w:rFonts w:hint="eastAsia" w:eastAsia="宋体"/>
          <w:lang w:val="en-US" w:eastAsia="zh-CN"/>
        </w:rPr>
        <w:t>Student number:1900502</w:t>
      </w: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pStyle w:val="2"/>
        <w:jc w:val="both"/>
        <w:rPr>
          <w:lang w:val="en-GB"/>
        </w:rPr>
        <w:sectPr>
          <w:headerReference r:id="rId4" w:type="first"/>
          <w:headerReference r:id="rId3" w:type="default"/>
          <w:footerReference r:id="rId5" w:type="default"/>
          <w:pgSz w:w="11906" w:h="16838"/>
          <w:pgMar w:top="1440" w:right="1440" w:bottom="1440" w:left="1440" w:header="708" w:footer="708" w:gutter="0"/>
          <w:pgNumType w:fmt="decimal"/>
          <w:cols w:space="708" w:num="1"/>
          <w:titlePg/>
          <w:docGrid w:linePitch="360" w:charSpace="0"/>
        </w:sectPr>
      </w:pPr>
    </w:p>
    <w:p>
      <w:pPr>
        <w:pStyle w:val="2"/>
        <w:jc w:val="both"/>
        <w:rPr>
          <w:lang w:val="en-GB"/>
        </w:rPr>
      </w:pPr>
      <w:bookmarkStart w:id="0" w:name="_Toc20405"/>
      <w:r>
        <w:rPr>
          <w:lang w:val="en-GB"/>
        </w:rPr>
        <w:t>Abstract</w:t>
      </w:r>
      <w:bookmarkEnd w:id="0"/>
    </w:p>
    <w:p>
      <w:pPr>
        <w:ind w:firstLine="0"/>
        <w:rPr>
          <w:bCs/>
          <w:lang w:val="en-GB"/>
        </w:rPr>
      </w:pPr>
      <w:r>
        <w:rPr>
          <w:bCs/>
          <w:lang w:val="en-GB"/>
        </w:rPr>
        <w:t>Corporate social responsibility (CSR), is the activity of building relationships between corporate bodies and the society. Almost all businesses have their primary aim at profit making but having this only goal may not help businesses to sustain in the long run. Public sector is becoming increasingly aware of the impact of its activities on the society. Public sectors show growth in the levels of understanding towards the link between business and social responsibility. This research is a thematic analysis of the importance of the involvement of the public sector in CSR initiatives. The research focuses on sustainable consumption and production of resources which is the 12</w:t>
      </w:r>
      <w:r>
        <w:rPr>
          <w:bCs/>
          <w:vertAlign w:val="superscript"/>
          <w:lang w:val="en-GB"/>
        </w:rPr>
        <w:t>th</w:t>
      </w:r>
      <w:r>
        <w:rPr>
          <w:bCs/>
          <w:lang w:val="en-GB"/>
        </w:rPr>
        <w:t xml:space="preserve"> goal of the “Sustainable Development Goals” put forward by the UN. The initiatives taken by the public sector will be analysed. </w:t>
      </w:r>
    </w:p>
    <w:p>
      <w:pPr>
        <w:ind w:firstLine="0"/>
        <w:rPr>
          <w:bCs/>
          <w:lang w:val="en-GB"/>
        </w:rPr>
      </w:pPr>
    </w:p>
    <w:p>
      <w:pPr>
        <w:ind w:firstLine="0"/>
        <w:rPr>
          <w:bCs/>
          <w:lang w:val="en-GB"/>
        </w:rPr>
      </w:pPr>
    </w:p>
    <w:p>
      <w:pPr>
        <w:ind w:firstLine="0"/>
        <w:rPr>
          <w:bCs/>
          <w:lang w:val="en-GB"/>
        </w:rPr>
      </w:pPr>
    </w:p>
    <w:p>
      <w:pPr>
        <w:ind w:firstLine="0"/>
        <w:rPr>
          <w:bCs/>
          <w:lang w:val="en-GB"/>
        </w:rPr>
      </w:pPr>
    </w:p>
    <w:p>
      <w:pPr>
        <w:ind w:firstLine="0"/>
        <w:rPr>
          <w:bCs/>
          <w:lang w:val="en-GB"/>
        </w:rPr>
      </w:pPr>
    </w:p>
    <w:p>
      <w:pPr>
        <w:ind w:firstLine="0"/>
        <w:rPr>
          <w:bCs/>
          <w:lang w:val="en-GB"/>
        </w:rPr>
      </w:pPr>
    </w:p>
    <w:p>
      <w:pPr>
        <w:ind w:firstLine="0"/>
        <w:rPr>
          <w:bCs/>
          <w:lang w:val="en-GB"/>
        </w:rPr>
      </w:pPr>
    </w:p>
    <w:p>
      <w:pPr>
        <w:ind w:firstLine="0"/>
        <w:rPr>
          <w:bCs/>
          <w:lang w:val="en-GB"/>
        </w:rPr>
      </w:pPr>
    </w:p>
    <w:p>
      <w:pPr>
        <w:ind w:firstLine="0"/>
        <w:rPr>
          <w:bCs/>
          <w:lang w:val="en-GB"/>
        </w:rPr>
      </w:pPr>
    </w:p>
    <w:p>
      <w:pPr>
        <w:ind w:firstLine="0"/>
        <w:rPr>
          <w:bCs/>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ind w:firstLine="0"/>
        <w:rPr>
          <w:b/>
          <w:lang w:val="en-GB"/>
        </w:rPr>
      </w:pPr>
    </w:p>
    <w:p>
      <w:pPr>
        <w:pStyle w:val="22"/>
        <w:spacing w:line="360" w:lineRule="auto"/>
        <w:jc w:val="both"/>
        <w:rPr>
          <w:rFonts w:ascii="Times New Roman" w:hAnsi="Times New Roman" w:cs="Times New Roman" w:eastAsiaTheme="minorHAnsi"/>
          <w:b/>
          <w:color w:val="auto"/>
          <w:sz w:val="24"/>
          <w:szCs w:val="24"/>
          <w:lang w:val="en-GB"/>
        </w:rPr>
        <w:sectPr>
          <w:footerReference r:id="rId7" w:type="first"/>
          <w:footerReference r:id="rId6" w:type="default"/>
          <w:pgSz w:w="11906" w:h="16838"/>
          <w:pgMar w:top="1440" w:right="1440" w:bottom="1440" w:left="1440" w:header="708" w:footer="708" w:gutter="0"/>
          <w:pgNumType w:fmt="decimal" w:start="0"/>
          <w:cols w:space="708" w:num="1"/>
          <w:titlePg/>
          <w:docGrid w:linePitch="360" w:charSpace="0"/>
        </w:sectPr>
      </w:pPr>
    </w:p>
    <w:sdt>
      <w:sdtPr>
        <w:rPr>
          <w:rFonts w:ascii="Times New Roman" w:hAnsi="Times New Roman" w:cs="Times New Roman" w:eastAsiaTheme="minorHAnsi"/>
          <w:b/>
          <w:color w:val="auto"/>
          <w:sz w:val="24"/>
          <w:szCs w:val="24"/>
          <w:lang w:val="en-GB"/>
        </w:rPr>
        <w:id w:val="-425886182"/>
        <w:docPartObj>
          <w:docPartGallery w:val="Table of Contents"/>
          <w:docPartUnique/>
        </w:docPartObj>
      </w:sdtPr>
      <w:sdtEndPr>
        <w:rPr>
          <w:rFonts w:ascii="Times New Roman" w:hAnsi="Times New Roman" w:eastAsiaTheme="minorHAnsi" w:cstheme="minorBidi"/>
          <w:b/>
          <w:bCs/>
          <w:color w:val="auto"/>
          <w:sz w:val="24"/>
          <w:szCs w:val="22"/>
          <w:lang w:val="en-GB"/>
        </w:rPr>
      </w:sdtEndPr>
      <w:sdtContent>
        <w:p>
          <w:pPr>
            <w:pStyle w:val="22"/>
            <w:spacing w:line="360" w:lineRule="auto"/>
            <w:jc w:val="both"/>
            <w:rPr>
              <w:rFonts w:ascii="Times New Roman" w:hAnsi="Times New Roman" w:cs="Times New Roman"/>
              <w:b/>
              <w:sz w:val="24"/>
              <w:szCs w:val="24"/>
              <w:lang w:val="en-GB"/>
            </w:rPr>
          </w:pPr>
          <w:r>
            <w:rPr>
              <w:rFonts w:ascii="Times New Roman" w:hAnsi="Times New Roman" w:cs="Times New Roman"/>
              <w:b/>
              <w:color w:val="000000" w:themeColor="text1"/>
              <w:sz w:val="24"/>
              <w:szCs w:val="24"/>
              <w:lang w:val="en-GB"/>
              <w14:textFill>
                <w14:solidFill>
                  <w14:schemeClr w14:val="tx1"/>
                </w14:solidFill>
              </w14:textFill>
            </w:rPr>
            <w:t>TABLE OF CONTENTS</w:t>
          </w:r>
          <w:bookmarkStart w:id="11" w:name="_GoBack"/>
          <w:bookmarkEnd w:id="11"/>
        </w:p>
        <w:p>
          <w:pPr>
            <w:pStyle w:val="9"/>
            <w:tabs>
              <w:tab w:val="right" w:leader="dot" w:pos="9026"/>
            </w:tabs>
          </w:pPr>
          <w:r>
            <w:rPr>
              <w:lang w:val="en-GB"/>
            </w:rPr>
            <w:fldChar w:fldCharType="begin"/>
          </w:r>
          <w:r>
            <w:rPr>
              <w:lang w:val="en-GB"/>
            </w:rPr>
            <w:instrText xml:space="preserve"> TOC \o "1-3" \h \z \u </w:instrText>
          </w:r>
          <w:r>
            <w:rPr>
              <w:lang w:val="en-GB"/>
            </w:rPr>
            <w:fldChar w:fldCharType="separate"/>
          </w:r>
          <w:r>
            <w:rPr>
              <w:lang w:val="en-GB"/>
            </w:rPr>
            <w:fldChar w:fldCharType="begin"/>
          </w:r>
          <w:r>
            <w:rPr>
              <w:lang w:val="en-GB"/>
            </w:rPr>
            <w:instrText xml:space="preserve"> HYPERLINK \l _Toc20405 </w:instrText>
          </w:r>
          <w:r>
            <w:rPr>
              <w:lang w:val="en-GB"/>
            </w:rPr>
            <w:fldChar w:fldCharType="separate"/>
          </w:r>
          <w:r>
            <w:rPr>
              <w:lang w:val="en-GB"/>
            </w:rPr>
            <w:t>Abstract</w:t>
          </w:r>
          <w:r>
            <w:tab/>
          </w:r>
          <w:r>
            <w:fldChar w:fldCharType="begin"/>
          </w:r>
          <w:r>
            <w:instrText xml:space="preserve"> PAGEREF _Toc20405 </w:instrText>
          </w:r>
          <w:r>
            <w:fldChar w:fldCharType="separate"/>
          </w:r>
          <w:r>
            <w:t>0</w:t>
          </w:r>
          <w:r>
            <w:fldChar w:fldCharType="end"/>
          </w:r>
          <w:r>
            <w:rPr>
              <w:lang w:val="en-GB"/>
            </w:rPr>
            <w:fldChar w:fldCharType="end"/>
          </w:r>
        </w:p>
        <w:p>
          <w:pPr>
            <w:pStyle w:val="9"/>
            <w:tabs>
              <w:tab w:val="right" w:leader="dot" w:pos="9026"/>
            </w:tabs>
          </w:pPr>
          <w:r>
            <w:rPr>
              <w:bCs/>
              <w:lang w:val="en-GB"/>
            </w:rPr>
            <w:fldChar w:fldCharType="begin"/>
          </w:r>
          <w:r>
            <w:rPr>
              <w:bCs/>
              <w:lang w:val="en-GB"/>
            </w:rPr>
            <w:instrText xml:space="preserve"> HYPERLINK \l _Toc16857 </w:instrText>
          </w:r>
          <w:r>
            <w:rPr>
              <w:bCs/>
              <w:lang w:val="en-GB"/>
            </w:rPr>
            <w:fldChar w:fldCharType="separate"/>
          </w:r>
          <w:r>
            <w:rPr>
              <w:lang w:val="en-GB"/>
            </w:rPr>
            <w:t>1: INTRODUCTION</w:t>
          </w:r>
          <w:r>
            <w:tab/>
          </w:r>
          <w:r>
            <w:fldChar w:fldCharType="begin"/>
          </w:r>
          <w:r>
            <w:instrText xml:space="preserve"> PAGEREF _Toc16857 </w:instrText>
          </w:r>
          <w:r>
            <w:fldChar w:fldCharType="separate"/>
          </w:r>
          <w:r>
            <w:t>1</w:t>
          </w:r>
          <w:r>
            <w:fldChar w:fldCharType="end"/>
          </w:r>
          <w:r>
            <w:rPr>
              <w:bCs/>
              <w:lang w:val="en-GB"/>
            </w:rPr>
            <w:fldChar w:fldCharType="end"/>
          </w:r>
        </w:p>
        <w:p>
          <w:pPr>
            <w:pStyle w:val="9"/>
            <w:tabs>
              <w:tab w:val="right" w:leader="dot" w:pos="9026"/>
            </w:tabs>
          </w:pPr>
          <w:r>
            <w:rPr>
              <w:bCs/>
              <w:lang w:val="en-GB"/>
            </w:rPr>
            <w:fldChar w:fldCharType="begin"/>
          </w:r>
          <w:r>
            <w:rPr>
              <w:bCs/>
              <w:lang w:val="en-GB"/>
            </w:rPr>
            <w:instrText xml:space="preserve"> HYPERLINK \l _Toc27158 </w:instrText>
          </w:r>
          <w:r>
            <w:rPr>
              <w:bCs/>
              <w:lang w:val="en-GB"/>
            </w:rPr>
            <w:fldChar w:fldCharType="separate"/>
          </w:r>
          <w:r>
            <w:rPr>
              <w:lang w:val="en-GB"/>
            </w:rPr>
            <w:t>2: METHODS</w:t>
          </w:r>
          <w:r>
            <w:tab/>
          </w:r>
          <w:r>
            <w:fldChar w:fldCharType="begin"/>
          </w:r>
          <w:r>
            <w:instrText xml:space="preserve"> PAGEREF _Toc27158 </w:instrText>
          </w:r>
          <w:r>
            <w:fldChar w:fldCharType="separate"/>
          </w:r>
          <w:r>
            <w:t>1</w:t>
          </w:r>
          <w:r>
            <w:fldChar w:fldCharType="end"/>
          </w:r>
          <w:r>
            <w:rPr>
              <w:bCs/>
              <w:lang w:val="en-GB"/>
            </w:rPr>
            <w:fldChar w:fldCharType="end"/>
          </w:r>
        </w:p>
        <w:p>
          <w:pPr>
            <w:pStyle w:val="9"/>
            <w:tabs>
              <w:tab w:val="right" w:leader="dot" w:pos="9026"/>
            </w:tabs>
          </w:pPr>
          <w:r>
            <w:rPr>
              <w:bCs/>
              <w:lang w:val="en-GB"/>
            </w:rPr>
            <w:fldChar w:fldCharType="begin"/>
          </w:r>
          <w:r>
            <w:rPr>
              <w:bCs/>
              <w:lang w:val="en-GB"/>
            </w:rPr>
            <w:instrText xml:space="preserve"> HYPERLINK \l _Toc20883 </w:instrText>
          </w:r>
          <w:r>
            <w:rPr>
              <w:bCs/>
              <w:lang w:val="en-GB"/>
            </w:rPr>
            <w:fldChar w:fldCharType="separate"/>
          </w:r>
          <w:r>
            <w:rPr>
              <w:lang w:val="en-GB"/>
            </w:rPr>
            <w:t>3: FINDINGS AND RESEARCH</w:t>
          </w:r>
          <w:r>
            <w:tab/>
          </w:r>
          <w:r>
            <w:fldChar w:fldCharType="begin"/>
          </w:r>
          <w:r>
            <w:instrText xml:space="preserve"> PAGEREF _Toc20883 </w:instrText>
          </w:r>
          <w:r>
            <w:fldChar w:fldCharType="separate"/>
          </w:r>
          <w:r>
            <w:t>2</w:t>
          </w:r>
          <w:r>
            <w:fldChar w:fldCharType="end"/>
          </w:r>
          <w:r>
            <w:rPr>
              <w:bCs/>
              <w:lang w:val="en-GB"/>
            </w:rPr>
            <w:fldChar w:fldCharType="end"/>
          </w:r>
        </w:p>
        <w:p>
          <w:pPr>
            <w:pStyle w:val="10"/>
            <w:tabs>
              <w:tab w:val="right" w:leader="dot" w:pos="9026"/>
            </w:tabs>
          </w:pPr>
          <w:r>
            <w:rPr>
              <w:bCs/>
              <w:lang w:val="en-GB"/>
            </w:rPr>
            <w:fldChar w:fldCharType="begin"/>
          </w:r>
          <w:r>
            <w:rPr>
              <w:bCs/>
              <w:lang w:val="en-GB"/>
            </w:rPr>
            <w:instrText xml:space="preserve"> HYPERLINK \l _Toc9711 </w:instrText>
          </w:r>
          <w:r>
            <w:rPr>
              <w:bCs/>
              <w:lang w:val="en-GB"/>
            </w:rPr>
            <w:fldChar w:fldCharType="separate"/>
          </w:r>
          <w:r>
            <w:rPr>
              <w:lang w:val="en-GB"/>
            </w:rPr>
            <w:t>3.1: Corporate Social Responsibility</w:t>
          </w:r>
          <w:r>
            <w:tab/>
          </w:r>
          <w:r>
            <w:fldChar w:fldCharType="begin"/>
          </w:r>
          <w:r>
            <w:instrText xml:space="preserve"> PAGEREF _Toc9711 </w:instrText>
          </w:r>
          <w:r>
            <w:fldChar w:fldCharType="separate"/>
          </w:r>
          <w:r>
            <w:t>2</w:t>
          </w:r>
          <w:r>
            <w:fldChar w:fldCharType="end"/>
          </w:r>
          <w:r>
            <w:rPr>
              <w:bCs/>
              <w:lang w:val="en-GB"/>
            </w:rPr>
            <w:fldChar w:fldCharType="end"/>
          </w:r>
        </w:p>
        <w:p>
          <w:pPr>
            <w:pStyle w:val="5"/>
            <w:tabs>
              <w:tab w:val="right" w:leader="dot" w:pos="9026"/>
            </w:tabs>
          </w:pPr>
          <w:r>
            <w:rPr>
              <w:bCs/>
              <w:lang w:val="en-GB"/>
            </w:rPr>
            <w:fldChar w:fldCharType="begin"/>
          </w:r>
          <w:r>
            <w:rPr>
              <w:bCs/>
              <w:lang w:val="en-GB"/>
            </w:rPr>
            <w:instrText xml:space="preserve"> HYPERLINK \l _Toc17937 </w:instrText>
          </w:r>
          <w:r>
            <w:rPr>
              <w:bCs/>
              <w:lang w:val="en-GB"/>
            </w:rPr>
            <w:fldChar w:fldCharType="separate"/>
          </w:r>
          <w:r>
            <w:t>3.1.1: Sustainable consumption and production of resources</w:t>
          </w:r>
          <w:r>
            <w:tab/>
          </w:r>
          <w:r>
            <w:fldChar w:fldCharType="begin"/>
          </w:r>
          <w:r>
            <w:instrText xml:space="preserve"> PAGEREF _Toc17937 </w:instrText>
          </w:r>
          <w:r>
            <w:fldChar w:fldCharType="separate"/>
          </w:r>
          <w:r>
            <w:t>2</w:t>
          </w:r>
          <w:r>
            <w:fldChar w:fldCharType="end"/>
          </w:r>
          <w:r>
            <w:rPr>
              <w:bCs/>
              <w:lang w:val="en-GB"/>
            </w:rPr>
            <w:fldChar w:fldCharType="end"/>
          </w:r>
        </w:p>
        <w:p>
          <w:pPr>
            <w:pStyle w:val="10"/>
            <w:tabs>
              <w:tab w:val="right" w:leader="dot" w:pos="9026"/>
            </w:tabs>
          </w:pPr>
          <w:r>
            <w:rPr>
              <w:bCs/>
              <w:lang w:val="en-GB"/>
            </w:rPr>
            <w:fldChar w:fldCharType="begin"/>
          </w:r>
          <w:r>
            <w:rPr>
              <w:bCs/>
              <w:lang w:val="en-GB"/>
            </w:rPr>
            <w:instrText xml:space="preserve"> HYPERLINK \l _Toc5370 </w:instrText>
          </w:r>
          <w:r>
            <w:rPr>
              <w:bCs/>
              <w:lang w:val="en-GB"/>
            </w:rPr>
            <w:fldChar w:fldCharType="separate"/>
          </w:r>
          <w:r>
            <w:rPr>
              <w:lang w:val="en-GB"/>
            </w:rPr>
            <w:t>3.2: Public Sector</w:t>
          </w:r>
          <w:r>
            <w:tab/>
          </w:r>
          <w:r>
            <w:fldChar w:fldCharType="begin"/>
          </w:r>
          <w:r>
            <w:instrText xml:space="preserve"> PAGEREF _Toc5370 </w:instrText>
          </w:r>
          <w:r>
            <w:fldChar w:fldCharType="separate"/>
          </w:r>
          <w:r>
            <w:t>2</w:t>
          </w:r>
          <w:r>
            <w:fldChar w:fldCharType="end"/>
          </w:r>
          <w:r>
            <w:rPr>
              <w:bCs/>
              <w:lang w:val="en-GB"/>
            </w:rPr>
            <w:fldChar w:fldCharType="end"/>
          </w:r>
        </w:p>
        <w:p>
          <w:pPr>
            <w:pStyle w:val="9"/>
            <w:tabs>
              <w:tab w:val="right" w:leader="dot" w:pos="9026"/>
            </w:tabs>
          </w:pPr>
          <w:r>
            <w:rPr>
              <w:bCs/>
              <w:lang w:val="en-GB"/>
            </w:rPr>
            <w:fldChar w:fldCharType="begin"/>
          </w:r>
          <w:r>
            <w:rPr>
              <w:bCs/>
              <w:lang w:val="en-GB"/>
            </w:rPr>
            <w:instrText xml:space="preserve"> HYPERLINK \l _Toc17788 </w:instrText>
          </w:r>
          <w:r>
            <w:rPr>
              <w:bCs/>
              <w:lang w:val="en-GB"/>
            </w:rPr>
            <w:fldChar w:fldCharType="separate"/>
          </w:r>
          <w:r>
            <w:rPr>
              <w:rFonts w:hint="eastAsia"/>
              <w:lang w:val="en-US" w:eastAsia="zh-CN"/>
            </w:rPr>
            <w:t>4.</w:t>
          </w:r>
          <w:r>
            <w:rPr>
              <w:lang w:val="en-GB"/>
            </w:rPr>
            <w:t xml:space="preserve"> DISCUSSION</w:t>
          </w:r>
          <w:r>
            <w:tab/>
          </w:r>
          <w:r>
            <w:fldChar w:fldCharType="begin"/>
          </w:r>
          <w:r>
            <w:instrText xml:space="preserve"> PAGEREF _Toc17788 </w:instrText>
          </w:r>
          <w:r>
            <w:fldChar w:fldCharType="separate"/>
          </w:r>
          <w:r>
            <w:t>4</w:t>
          </w:r>
          <w:r>
            <w:fldChar w:fldCharType="end"/>
          </w:r>
          <w:r>
            <w:rPr>
              <w:bCs/>
              <w:lang w:val="en-GB"/>
            </w:rPr>
            <w:fldChar w:fldCharType="end"/>
          </w:r>
        </w:p>
        <w:p>
          <w:pPr>
            <w:pStyle w:val="9"/>
            <w:tabs>
              <w:tab w:val="right" w:leader="dot" w:pos="9026"/>
            </w:tabs>
          </w:pPr>
          <w:r>
            <w:rPr>
              <w:bCs/>
              <w:lang w:val="en-GB"/>
            </w:rPr>
            <w:fldChar w:fldCharType="begin"/>
          </w:r>
          <w:r>
            <w:rPr>
              <w:bCs/>
              <w:lang w:val="en-GB"/>
            </w:rPr>
            <w:instrText xml:space="preserve"> HYPERLINK \l _Toc6833 </w:instrText>
          </w:r>
          <w:r>
            <w:rPr>
              <w:bCs/>
              <w:lang w:val="en-GB"/>
            </w:rPr>
            <w:fldChar w:fldCharType="separate"/>
          </w:r>
          <w:r>
            <w:rPr>
              <w:rFonts w:hint="eastAsia"/>
              <w:lang w:val="en-US" w:eastAsia="zh-CN"/>
            </w:rPr>
            <w:t>5.</w:t>
          </w:r>
          <w:r>
            <w:rPr>
              <w:lang w:val="en-GB"/>
            </w:rPr>
            <w:t xml:space="preserve"> CONCLUSION</w:t>
          </w:r>
          <w:r>
            <w:tab/>
          </w:r>
          <w:r>
            <w:fldChar w:fldCharType="begin"/>
          </w:r>
          <w:r>
            <w:instrText xml:space="preserve"> PAGEREF _Toc6833 </w:instrText>
          </w:r>
          <w:r>
            <w:fldChar w:fldCharType="separate"/>
          </w:r>
          <w:r>
            <w:t>6</w:t>
          </w:r>
          <w:r>
            <w:fldChar w:fldCharType="end"/>
          </w:r>
          <w:r>
            <w:rPr>
              <w:bCs/>
              <w:lang w:val="en-GB"/>
            </w:rPr>
            <w:fldChar w:fldCharType="end"/>
          </w:r>
        </w:p>
        <w:p>
          <w:pPr>
            <w:pStyle w:val="10"/>
            <w:tabs>
              <w:tab w:val="right" w:leader="dot" w:pos="9026"/>
            </w:tabs>
          </w:pPr>
          <w:r>
            <w:rPr>
              <w:bCs/>
              <w:lang w:val="en-GB"/>
            </w:rPr>
            <w:fldChar w:fldCharType="begin"/>
          </w:r>
          <w:r>
            <w:rPr>
              <w:bCs/>
              <w:lang w:val="en-GB"/>
            </w:rPr>
            <w:instrText xml:space="preserve"> HYPERLINK \l _Toc27543 </w:instrText>
          </w:r>
          <w:r>
            <w:rPr>
              <w:bCs/>
              <w:lang w:val="en-GB"/>
            </w:rPr>
            <w:fldChar w:fldCharType="separate"/>
          </w:r>
          <w:r>
            <w:rPr>
              <w:rFonts w:hint="eastAsia"/>
              <w:lang w:val="en-US" w:eastAsia="zh-CN"/>
            </w:rPr>
            <w:t>5</w:t>
          </w:r>
          <w:r>
            <w:rPr>
              <w:lang w:val="en-GB"/>
            </w:rPr>
            <w:t>.1: Recommendation</w:t>
          </w:r>
          <w:r>
            <w:tab/>
          </w:r>
          <w:r>
            <w:fldChar w:fldCharType="begin"/>
          </w:r>
          <w:r>
            <w:instrText xml:space="preserve"> PAGEREF _Toc27543 </w:instrText>
          </w:r>
          <w:r>
            <w:fldChar w:fldCharType="separate"/>
          </w:r>
          <w:r>
            <w:t>7</w:t>
          </w:r>
          <w:r>
            <w:fldChar w:fldCharType="end"/>
          </w:r>
          <w:r>
            <w:rPr>
              <w:bCs/>
              <w:lang w:val="en-GB"/>
            </w:rPr>
            <w:fldChar w:fldCharType="end"/>
          </w:r>
        </w:p>
        <w:p>
          <w:pPr>
            <w:pStyle w:val="9"/>
            <w:tabs>
              <w:tab w:val="right" w:leader="dot" w:pos="9026"/>
            </w:tabs>
          </w:pPr>
          <w:r>
            <w:rPr>
              <w:bCs/>
              <w:lang w:val="en-GB"/>
            </w:rPr>
            <w:fldChar w:fldCharType="begin"/>
          </w:r>
          <w:r>
            <w:rPr>
              <w:bCs/>
              <w:lang w:val="en-GB"/>
            </w:rPr>
            <w:instrText xml:space="preserve"> HYPERLINK \l _Toc14665 </w:instrText>
          </w:r>
          <w:r>
            <w:rPr>
              <w:bCs/>
              <w:lang w:val="en-GB"/>
            </w:rPr>
            <w:fldChar w:fldCharType="separate"/>
          </w:r>
          <w:r>
            <w:rPr>
              <w:rFonts w:hint="eastAsia"/>
              <w:lang w:val="en-US" w:eastAsia="zh-CN"/>
            </w:rPr>
            <w:t>6.</w:t>
          </w:r>
          <w:r>
            <w:rPr>
              <w:lang w:val="en-GB"/>
            </w:rPr>
            <w:t>REFERENCES</w:t>
          </w:r>
          <w:r>
            <w:tab/>
          </w:r>
          <w:r>
            <w:fldChar w:fldCharType="begin"/>
          </w:r>
          <w:r>
            <w:instrText xml:space="preserve"> PAGEREF _Toc14665 </w:instrText>
          </w:r>
          <w:r>
            <w:fldChar w:fldCharType="separate"/>
          </w:r>
          <w:r>
            <w:t>8</w:t>
          </w:r>
          <w:r>
            <w:fldChar w:fldCharType="end"/>
          </w:r>
          <w:r>
            <w:rPr>
              <w:bCs/>
              <w:lang w:val="en-GB"/>
            </w:rPr>
            <w:fldChar w:fldCharType="end"/>
          </w:r>
        </w:p>
        <w:p>
          <w:pPr>
            <w:rPr>
              <w:lang w:val="en-GB"/>
            </w:rPr>
          </w:pPr>
          <w:r>
            <w:rPr>
              <w:bCs/>
              <w:lang w:val="en-GB"/>
            </w:rPr>
            <w:fldChar w:fldCharType="end"/>
          </w:r>
        </w:p>
      </w:sdtContent>
    </w:sdt>
    <w:p>
      <w:pPr>
        <w:spacing w:line="240" w:lineRule="auto"/>
        <w:rPr>
          <w:b/>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jc w:val="both"/>
        <w:rPr>
          <w:lang w:val="en-GB"/>
        </w:rPr>
        <w:sectPr>
          <w:footerReference r:id="rId9" w:type="first"/>
          <w:footerReference r:id="rId8" w:type="default"/>
          <w:pgSz w:w="11906" w:h="16838"/>
          <w:pgMar w:top="1440" w:right="1440" w:bottom="1440" w:left="1440" w:header="708" w:footer="708" w:gutter="0"/>
          <w:pgNumType w:fmt="decimal"/>
          <w:cols w:space="708" w:num="1"/>
          <w:docGrid w:linePitch="360" w:charSpace="0"/>
        </w:sectPr>
      </w:pPr>
    </w:p>
    <w:p>
      <w:pPr>
        <w:pStyle w:val="2"/>
        <w:jc w:val="both"/>
        <w:rPr>
          <w:lang w:val="en-GB"/>
        </w:rPr>
      </w:pPr>
      <w:bookmarkStart w:id="1" w:name="_Toc16857"/>
      <w:r>
        <w:rPr>
          <w:lang w:val="en-GB"/>
        </w:rPr>
        <w:t>1: INTRODUCTION</w:t>
      </w:r>
      <w:bookmarkEnd w:id="1"/>
      <w:r>
        <w:rPr>
          <w:lang w:val="en-GB"/>
        </w:rPr>
        <w:t xml:space="preserve"> </w:t>
      </w:r>
    </w:p>
    <w:p>
      <w:pPr>
        <w:rPr>
          <w:lang w:val="en-GB"/>
        </w:rPr>
      </w:pPr>
      <w:r>
        <w:rPr>
          <w:lang w:val="en-GB"/>
        </w:rPr>
        <w:t xml:space="preserve">The activities of private sectors have been having a significant impact on — customers, employees, communities, competitors, environment, investors, business partners, governments and several others entities (Guarini and Nidasio, 2002). Similar to the private sector, even the public sector is becoming increasingly aware of the impact of its activities on the society (Fox, Ward and Howard, 2002). Their actions have made it clear that organisations can work for their own growth and financial success while also caring for societal wealth by considering and monitoring their impact on the world. Public sectors show growth in the levels of understanding towards the link between business and social responsibility (Ward, 2004). They are beginning to view CSR activities as an integration of societal concerns into the business strategy as a part of good management. </w:t>
      </w:r>
    </w:p>
    <w:p>
      <w:pPr>
        <w:rPr>
          <w:lang w:val="en-GB"/>
        </w:rPr>
      </w:pPr>
      <w:r>
        <w:rPr>
          <w:lang w:val="en-GB"/>
        </w:rPr>
        <w:t>This research is a thematic analysis of the importance of the involvement of the public sector in CSR initiatives. The research focuses on sustainable consumption and production of resources which is the 12</w:t>
      </w:r>
      <w:r>
        <w:rPr>
          <w:vertAlign w:val="superscript"/>
          <w:lang w:val="en-GB"/>
        </w:rPr>
        <w:t>th</w:t>
      </w:r>
      <w:r>
        <w:rPr>
          <w:lang w:val="en-GB"/>
        </w:rPr>
        <w:t xml:space="preserve"> goal of the “Sustainable Development Goals” put forward by the UN. The initiatives taken by the public sector will be analysed. </w:t>
      </w:r>
    </w:p>
    <w:p>
      <w:pPr>
        <w:pStyle w:val="2"/>
        <w:jc w:val="both"/>
        <w:rPr>
          <w:lang w:val="en-GB"/>
        </w:rPr>
      </w:pPr>
      <w:bookmarkStart w:id="2" w:name="_Toc27158"/>
      <w:r>
        <w:rPr>
          <w:lang w:val="en-GB"/>
        </w:rPr>
        <w:t>2: METHODS</w:t>
      </w:r>
      <w:bookmarkEnd w:id="2"/>
      <w:r>
        <w:rPr>
          <w:lang w:val="en-GB"/>
        </w:rPr>
        <w:t xml:space="preserve"> </w:t>
      </w:r>
    </w:p>
    <w:p>
      <w:pPr>
        <w:rPr>
          <w:lang w:val="en-GB"/>
        </w:rPr>
      </w:pPr>
      <w:r>
        <w:rPr>
          <w:lang w:val="en-GB"/>
        </w:rPr>
        <w:t xml:space="preserve">Qualitative research is often associated with the philosophy of interpretation (Ormston et al., 2014). The main reason for this association is because researchers require the extraction of meaningful conclusions from socially constructed data (Willig, 2017). There are several different types of qualitative data analysis and thematic analysis is one of them (Castleberry and Nolen, 2018). Many researchers consider this method to be extremely useful for capturing data intricacies and drawing meaning from a constructed data set. This method is utilised for data analysis because it explores different forms and aspects of the undertaken research and helps in drawing valuable answers for the research questions. </w:t>
      </w:r>
    </w:p>
    <w:p>
      <w:pPr>
        <w:rPr>
          <w:lang w:val="en-GB"/>
        </w:rPr>
      </w:pPr>
      <w:r>
        <w:rPr>
          <w:lang w:val="en-GB"/>
        </w:rPr>
        <w:t xml:space="preserve">Thematic analysis is highly suitable for interpreting data and it is preferred for analysing predetermined and defined samples (Alhojailan, 2012). The model is very flexible in terms of analysing data anytime during the research. This study uses a thematic analysis for which a web-based research will be conducted to analyse the different initiatives taken up by public sector organisations in regards with sustainable consumption and production of resources. The analysis will be done considering the steps taken by different governments.  </w:t>
      </w:r>
    </w:p>
    <w:p>
      <w:pPr>
        <w:pStyle w:val="2"/>
        <w:jc w:val="both"/>
        <w:rPr>
          <w:lang w:val="en-GB"/>
        </w:rPr>
      </w:pPr>
      <w:bookmarkStart w:id="3" w:name="_Toc20883"/>
      <w:r>
        <w:rPr>
          <w:lang w:val="en-GB"/>
        </w:rPr>
        <w:t>3: FINDINGS AND RESEARCH</w:t>
      </w:r>
      <w:bookmarkEnd w:id="3"/>
      <w:r>
        <w:rPr>
          <w:lang w:val="en-GB"/>
        </w:rPr>
        <w:t xml:space="preserve"> </w:t>
      </w:r>
    </w:p>
    <w:p>
      <w:pPr>
        <w:pStyle w:val="3"/>
        <w:jc w:val="both"/>
        <w:rPr>
          <w:lang w:val="en-GB"/>
        </w:rPr>
      </w:pPr>
      <w:bookmarkStart w:id="4" w:name="_Toc9711"/>
      <w:r>
        <w:rPr>
          <w:lang w:val="en-GB"/>
        </w:rPr>
        <w:t>3.1: Corporate Social Responsibility</w:t>
      </w:r>
      <w:bookmarkEnd w:id="4"/>
      <w:r>
        <w:rPr>
          <w:lang w:val="en-GB"/>
        </w:rPr>
        <w:t xml:space="preserve"> </w:t>
      </w:r>
    </w:p>
    <w:p>
      <w:pPr>
        <w:rPr>
          <w:lang w:val="en-GB"/>
        </w:rPr>
      </w:pPr>
      <w:r>
        <w:rPr>
          <w:lang w:val="en-GB"/>
        </w:rPr>
        <w:t xml:space="preserve">It can be said that corporate social responsibility (CSR), is the activity of building relationships between corporate bodies and the society (Awis et al., 2018). Almost all businesses have their primary aim at profit making but having this only goal may not help businesses to sustain in the long run. It becomes difficult for businesses and organisations to grow and develop when the environment around them are suffering and depleting (Ben Youssef et al., 2018). Considering this reason, it is important for businesses to make sure that the entities around them are successful so that the business also be successful. Therefore, by keeping in mind, the continuously changing market scenario, it is very important for business companies to change and adapt their work culture according to the market demands and situations. This is the reason for the major shift of focus towards CSR. By embarrassing CSR, organisations are able to grow while also taking care of environment around them. Keeping in mind the importance of sustainability, the United Nations has come up with 17 sustainability goals to be achieved by 2030 (Griggs, 2018). By this achievement, people on earth will be able to contribute towards a better tomorrow. </w:t>
      </w:r>
    </w:p>
    <w:p>
      <w:pPr>
        <w:rPr>
          <w:lang w:val="en-GB"/>
        </w:rPr>
      </w:pPr>
      <w:r>
        <w:rPr>
          <w:lang w:val="en-GB"/>
        </w:rPr>
        <w:t xml:space="preserve">Considering the fact that businesses play an important role in resource utilisation – both human resources as well as other tangible resources – it is very important that they actively participate towards the achievement of these goals (SDGs.:. Sustainable Development Knowledge Platform, 2020). </w:t>
      </w:r>
    </w:p>
    <w:p>
      <w:pPr>
        <w:pStyle w:val="4"/>
        <w:jc w:val="both"/>
      </w:pPr>
      <w:bookmarkStart w:id="5" w:name="_Toc17937"/>
      <w:r>
        <w:t>3.1.1: Sustainable consumption and production of resources</w:t>
      </w:r>
      <w:bookmarkEnd w:id="5"/>
    </w:p>
    <w:p>
      <w:pPr>
        <w:rPr>
          <w:lang w:val="en-GB"/>
        </w:rPr>
      </w:pPr>
      <w:r>
        <w:rPr>
          <w:lang w:val="en-GB"/>
        </w:rPr>
        <w:t>This is the 12</w:t>
      </w:r>
      <w:r>
        <w:rPr>
          <w:vertAlign w:val="superscript"/>
          <w:lang w:val="en-GB"/>
        </w:rPr>
        <w:t>th</w:t>
      </w:r>
      <w:r>
        <w:rPr>
          <w:lang w:val="en-GB"/>
        </w:rPr>
        <w:t xml:space="preserve"> goal of the sustainable development goals put forward by the United Nations. The main aim behind this goal is to increase the efficiency of the resources as well as energy. Oslo Symposium in 1994 has described sustainable consumption and production as "the use of products and services, that fulfils the basic needs and allow for a better quality of life while reducing the utilisation of natural resources and toxic substances so the future generations are not jeopardize” (Xiao, 2019). In the recent years, it has been found that sustainable consumption and production is an essential requirement that leads to sustainable development in terms of economy as well as society on the whole (Lyytimäki et al., 2018). </w:t>
      </w:r>
    </w:p>
    <w:p>
      <w:pPr>
        <w:pStyle w:val="3"/>
        <w:jc w:val="both"/>
        <w:rPr>
          <w:lang w:val="en-GB"/>
        </w:rPr>
      </w:pPr>
      <w:bookmarkStart w:id="6" w:name="_Toc5370"/>
      <w:r>
        <w:rPr>
          <w:lang w:val="en-GB"/>
        </w:rPr>
        <w:t>3.2: Public Sector</w:t>
      </w:r>
      <w:bookmarkEnd w:id="6"/>
      <w:r>
        <w:rPr>
          <w:lang w:val="en-GB"/>
        </w:rPr>
        <w:t xml:space="preserve"> </w:t>
      </w:r>
    </w:p>
    <w:p>
      <w:pPr>
        <w:rPr>
          <w:lang w:val="en-GB"/>
        </w:rPr>
      </w:pPr>
      <w:r>
        <w:rPr>
          <w:lang w:val="en-GB"/>
        </w:rPr>
        <w:t xml:space="preserve">The public sector is an important part of an economy and it comprises of both public enterprises as well as public service companies (Christensen, Lægreid and Rovik, 2020). The sector includes government-run services and organisations such as military, state-run transportation services, law enforcement, public education, public hospitals and infrastructure. In terms of corporate social responsibility (CSR), the government tries to encourage its people to be more responsible and contribute to sustainable development through its initiatives through the public sector. The sole existence of public sector institutions is to serve the public and this means that they are socially responsible (Bason, 2018). For instance, governments promote reduced usage of resources such as electricity and water, municipalities make sure that the environment around is clean and traffic police departments promote turning down of vehicles in order to cut down fuel combustion (Moon and Knudsen, 2018). It is a very important fact to consider that the public sector across several countries is responsible for providing almost 40 per cent of the total resources utilised. </w:t>
      </w:r>
    </w:p>
    <w:p>
      <w:pPr>
        <w:rPr>
          <w:lang w:val="en-GB"/>
        </w:rPr>
      </w:pPr>
      <w:r>
        <w:rPr>
          <w:lang w:val="en-GB"/>
        </w:rPr>
        <w:t xml:space="preserve">3.3: Role of CSR in Selected Countries </w:t>
      </w:r>
    </w:p>
    <w:p>
      <w:pPr>
        <w:rPr>
          <w:lang w:val="en-GB"/>
        </w:rPr>
      </w:pPr>
      <w:r>
        <w:rPr>
          <w:lang w:val="en-GB"/>
        </w:rPr>
        <w:t xml:space="preserve">As a part of the CSR, the UN has also put forward certain goals to be achieved for the sustainable growth of the societies (Gaur, and Vazquez-Brust, 2019). While all the goals are very significant for a better society, the goal highlighting the responsible usage and consumption of resources has an overall impact on the environment. Public sectors such as the military, railways and other public transport, navy and other public institutions are allocated with a lot of resources (Berman et al., 2019). Considering the fact that the sustainable utilisation and production of resources comes with a lot of benefits for the public sector, public sector companies come up with innovative ways to revise their resource utilisation. </w:t>
      </w:r>
    </w:p>
    <w:p>
      <w:r>
        <w:rPr>
          <w:lang w:val="en-GB"/>
        </w:rPr>
        <w:t xml:space="preserve">In the year 2019, the UN identified Thailand’s “Self-reliant Solar Energy Community” initiative that focused on producing low cost solar energy to enhance environmental sustainability. Similarly, the Canadian government partners with governments from other countries to help them develop and implement policies for sustainable extraction of natural resources (Governance of the natural resource sector, 2017). According to the data from 2013, </w:t>
      </w:r>
      <w:r>
        <w:rPr>
          <w:lang w:val="en-US"/>
        </w:rPr>
        <w:t>18.39%  of  Poland’ss public  sector organisations  consider the environment  and  social criteria for public procurement tender policies (Hawrysz, 2013).</w:t>
      </w:r>
      <w:r>
        <w:rPr>
          <w:rFonts w:ascii="Arial" w:hAnsi="Arial" w:cs="Arial"/>
          <w:color w:val="000000"/>
          <w:sz w:val="20"/>
          <w:szCs w:val="20"/>
          <w:shd w:val="clear" w:color="auto" w:fill="FFFFFF"/>
          <w:lang w:val="en-GB"/>
        </w:rPr>
        <w:t xml:space="preserve"> </w:t>
      </w:r>
      <w:r>
        <w:rPr>
          <w:lang w:val="en-GB"/>
        </w:rPr>
        <w:t xml:space="preserve">The UN also worked on an SPP and Eco-labelling Project in Vietnam, Costa Rica, Brazil, Morocco, Mongolia, Peru, Ecuador, Colombia, Chile and Argentina from 2013 to 2017 (Mazijn, 2018). In India, the government body NITI Aayog understands that the usage of natural resources in abundance, from the point of extraction to the end-life utilisation, results not only in their depletion but it also impacts the environment through the harmful emissions resulting from their consumption. To handle the situation, the Indian Resource Panel (InRP) has advocated the use and encouragement of abiotic material resources </w:t>
      </w:r>
      <w:r>
        <w:t>(Strategy on Resource Efficiency, 2017)</w:t>
      </w:r>
      <w:r>
        <w:rPr>
          <w:lang w:val="en-GB"/>
        </w:rPr>
        <w:t xml:space="preserve">. </w:t>
      </w:r>
      <w:r>
        <w:t xml:space="preserve">An example of the UK leadership in handling unsustainable global consumption and production is the partnership between the UN and UK at the Global Industrial Symbiosis Programme designed to help different countries enhance their efforts to reduce emissions. The programme was conducted in is 2015. Further, the country is also making the effort to reach the UN SDG – “By 2030, achieve the sustainable management and efficient use of natural resources” (The UK’s global contribution to the Sustainable Development Goals, 2019). Public transportation is one of the sectors that uses a lot of resources, on the other hand, having low cost public transport at several places implies reduced usage of private automobiles. US adopts this thinking and encourages its people to use public transport by making it more convenient and safe (Mosaberpanah and Khales, 2013). </w:t>
      </w:r>
    </w:p>
    <w:p>
      <w:pPr>
        <w:rPr>
          <w:lang w:val="en-GB"/>
        </w:rPr>
      </w:pPr>
      <w:r>
        <w:t xml:space="preserve">Almost all countries around the world are cautious about their consumption and production of resources. For this, public sector institutions have been increasingly adopting the stakeholder approach. Both CSR and the stakeholder approach are concerned with the impact they have ad this is the common point that brings them together. </w:t>
      </w:r>
      <w:r>
        <w:rPr>
          <w:lang w:val="en-GB"/>
        </w:rPr>
        <w:t>From the analysis conducted to evaluate the sustainable consumption and production of resources by the public sector, the following has been understood –</w:t>
      </w:r>
    </w:p>
    <w:p>
      <w:pPr>
        <w:pStyle w:val="24"/>
        <w:numPr>
          <w:ilvl w:val="0"/>
          <w:numId w:val="1"/>
        </w:numPr>
      </w:pPr>
      <w:r>
        <w:t>Providing services to reduce the consumption of energy.</w:t>
      </w:r>
    </w:p>
    <w:p>
      <w:pPr>
        <w:pStyle w:val="24"/>
        <w:numPr>
          <w:ilvl w:val="0"/>
          <w:numId w:val="1"/>
        </w:numPr>
      </w:pPr>
      <w:r>
        <w:t>Encourage people to consume tap water by installing sparkling or chilled water taps.</w:t>
      </w:r>
    </w:p>
    <w:p>
      <w:pPr>
        <w:pStyle w:val="24"/>
        <w:numPr>
          <w:ilvl w:val="0"/>
          <w:numId w:val="1"/>
        </w:numPr>
      </w:pPr>
      <w:r>
        <w:t xml:space="preserve">Creation of green spaces and botanical gardens. </w:t>
      </w:r>
    </w:p>
    <w:p>
      <w:pPr>
        <w:pStyle w:val="24"/>
        <w:numPr>
          <w:ilvl w:val="0"/>
          <w:numId w:val="1"/>
        </w:numPr>
      </w:pPr>
      <w:r>
        <w:t>Encouraging limited consumption of resources through campaigns and policies.</w:t>
      </w:r>
    </w:p>
    <w:p>
      <w:pPr>
        <w:pStyle w:val="2"/>
        <w:jc w:val="both"/>
        <w:rPr>
          <w:lang w:val="en-GB"/>
        </w:rPr>
      </w:pPr>
      <w:bookmarkStart w:id="7" w:name="_Toc17788"/>
      <w:r>
        <w:rPr>
          <w:rFonts w:hint="eastAsia"/>
          <w:lang w:val="en-US" w:eastAsia="zh-CN"/>
        </w:rPr>
        <w:t>4.</w:t>
      </w:r>
      <w:r>
        <w:rPr>
          <w:lang w:val="en-GB"/>
        </w:rPr>
        <w:t xml:space="preserve"> DISCUSSION</w:t>
      </w:r>
      <w:bookmarkEnd w:id="7"/>
      <w:r>
        <w:rPr>
          <w:lang w:val="en-GB"/>
        </w:rPr>
        <w:t xml:space="preserve"> </w:t>
      </w:r>
    </w:p>
    <w:p>
      <w:pPr>
        <w:rPr>
          <w:lang w:val="en-GB"/>
        </w:rPr>
      </w:pPr>
      <w:r>
        <w:rPr>
          <w:lang w:val="en-GB"/>
        </w:rPr>
        <w:t>The Sustainable Development Goals set by the UN serve as a powerful framework for individuals as well as organisations (both private and public) to participate in corporate social responsibility. It is a fact to consider that governments across the world supply around 40 to 50 per cent of the goods and services in a country. From this, it can be understood that it is very important for the public sector institutions to be extremely careful about the usage of the resources. The governments in several countries make CSR an obligation that has to be implemented by organisation as a part of their core strategies. For instance, in India, the government has implemented the CSR policy under the Companies Act 2013 (Mishra and Banerjee, 2019). Similarly, the UK’s Public Sector Act of 2012 mandates all public institutions to consider how they conduct their operations in a way as to enhance the environmental and socioeconomic conditions (Bason, 2018). In several countries, there are restrictions on the levels of the spending of resources, food wastage, and activities to save water (Revilla and Salet, 2018). For instance, the railways in many countries are switching to electric modes to cut down the consumption of natural resources. Similar initiatives are taken up by public institutions across the world which makes the contribution undeniable.</w:t>
      </w:r>
    </w:p>
    <w:p>
      <w:pPr>
        <w:rPr>
          <w:lang w:val="en-GB"/>
        </w:rPr>
      </w:pPr>
      <w:r>
        <w:rPr>
          <w:lang w:val="en-GB"/>
        </w:rPr>
        <w:t>When it comes to sustainable consumption of resources, this 12</w:t>
      </w:r>
      <w:r>
        <w:rPr>
          <w:vertAlign w:val="superscript"/>
          <w:lang w:val="en-GB"/>
        </w:rPr>
        <w:t>th</w:t>
      </w:r>
      <w:r>
        <w:rPr>
          <w:lang w:val="en-GB"/>
        </w:rPr>
        <w:t xml:space="preserve"> goal put forward by the UN is extremely important for the future of the planet (Kanie and Biermann, 2017). This importance comes from the fact that human beings put a lot of pressure on Earth and its valuable resources such as water, food, air and soil. As the world population is growing steadily, consumption is also increasingly consistently. This is the major reason for working for sustainable consumption and production of resources (Tischner et al., 2017). From the research, it has been found that several countries around the world have been actively participating in activities to ensure sustainable utilisation of the resources. From activities like public procurement to public campaigns, and implementing policies, there are several ways in which public sector institutions contribute to CSR and SDGs (Lahiri, 2018). For instance, the irrigation departments associate with several NGOs and private organisations to run campaigns that talk about issues such as water conservation. Governments get actively involved in the construction of dams and reservoirs in order to encourage water storage and rain-water harvesting. Further, it may also be seen that in the current pandemic situation due to COVID19, there is a lockdown being imposed in several countries and in order to deal with this, the governments are investing in public procurement – the process of organizations meeting their operational needs and utilise them to attain value for money for the entire life-cycle so that it is beneficial to both the organization as well as the society. </w:t>
      </w:r>
    </w:p>
    <w:p>
      <w:pPr>
        <w:rPr>
          <w:lang w:val="en-GB"/>
        </w:rPr>
      </w:pPr>
      <w:r>
        <w:rPr>
          <w:lang w:val="en-GB"/>
        </w:rPr>
        <w:t>Corporate social responsibility of a company can be categorised into four types - economic, legal, medical and philanthropic (</w:t>
      </w:r>
      <w:r>
        <w:t>Yakovleva, 2017)</w:t>
      </w:r>
      <w:r>
        <w:rPr>
          <w:lang w:val="en-GB"/>
        </w:rPr>
        <w:t>. Sustainable consumption and production of resources in the public sector can be categorised as legal and ethical responsibilities (</w:t>
      </w:r>
      <w:r>
        <w:t>Charter et al., 2017)</w:t>
      </w:r>
      <w:r>
        <w:rPr>
          <w:lang w:val="en-GB"/>
        </w:rPr>
        <w:t>. The best way to analyse the CSR contribution of public sector organisations for sustainable consumption and production can be analysed using the stakeholder theory – the theory of identifying the people who would be impacted by the activities (Moneva and Hernández-Pajares, 2018). For this, the activities of CSR of a public enterprise can be segmented into - market, community, environment, and working environment. Based on these areas, the stakeholders can be identified.</w:t>
      </w:r>
    </w:p>
    <w:p>
      <w:pPr>
        <w:rPr>
          <w:lang w:val="en-GB"/>
        </w:rPr>
      </w:pPr>
      <w:r>
        <w:rPr>
          <w:lang w:val="en-GB"/>
        </w:rPr>
        <w:t>Table 1: CSR areas and stakeholders in public sector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7"/>
        <w:gridCol w:w="46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rPr>
                <w:lang w:val="en-GB"/>
              </w:rPr>
            </w:pPr>
            <w:r>
              <w:rPr>
                <w:lang w:val="en-GB"/>
              </w:rPr>
              <w:t xml:space="preserve">Clients </w:t>
            </w:r>
          </w:p>
        </w:tc>
        <w:tc>
          <w:tcPr>
            <w:tcW w:w="4788" w:type="dxa"/>
          </w:tcPr>
          <w:p>
            <w:pPr>
              <w:rPr>
                <w:lang w:val="en-GB"/>
              </w:rPr>
            </w:pPr>
            <w:r>
              <w:rPr>
                <w:lang w:val="en-GB"/>
              </w:rPr>
              <w:t>Providers</w:t>
            </w:r>
          </w:p>
          <w:p>
            <w:pPr>
              <w:rPr>
                <w:lang w:val="en-GB"/>
              </w:rPr>
            </w:pPr>
            <w:r>
              <w:rPr>
                <w:lang w:val="en-GB"/>
              </w:rPr>
              <w:t xml:space="preserve">Citizens </w:t>
            </w:r>
          </w:p>
          <w:p>
            <w:pPr>
              <w:rPr>
                <w:lang w:val="en-GB"/>
              </w:rPr>
            </w:pPr>
            <w:r>
              <w:rPr>
                <w:lang w:val="en-GB"/>
              </w:rPr>
              <w:t xml:space="preserve">Investors </w:t>
            </w:r>
          </w:p>
          <w:p>
            <w:pPr>
              <w:rPr>
                <w:lang w:val="en-GB"/>
              </w:rPr>
            </w:pPr>
            <w:r>
              <w:rPr>
                <w:lang w:val="en-GB"/>
              </w:rPr>
              <w:t xml:space="preserve">Partners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rPr>
                <w:lang w:val="en-GB"/>
              </w:rPr>
            </w:pPr>
            <w:r>
              <w:rPr>
                <w:lang w:val="en-GB"/>
              </w:rPr>
              <w:t>Place of work</w:t>
            </w:r>
          </w:p>
        </w:tc>
        <w:tc>
          <w:tcPr>
            <w:tcW w:w="4788" w:type="dxa"/>
          </w:tcPr>
          <w:p>
            <w:pPr>
              <w:rPr>
                <w:lang w:val="en-GB"/>
              </w:rPr>
            </w:pPr>
            <w:r>
              <w:rPr>
                <w:lang w:val="en-GB"/>
              </w:rPr>
              <w:t>Employees</w:t>
            </w:r>
          </w:p>
          <w:p>
            <w:pPr>
              <w:rPr>
                <w:lang w:val="en-GB"/>
              </w:rPr>
            </w:pPr>
            <w:r>
              <w:rPr>
                <w:lang w:val="en-GB"/>
              </w:rPr>
              <w:t>Public agencies</w:t>
            </w:r>
          </w:p>
          <w:p>
            <w:pPr>
              <w:rPr>
                <w:lang w:val="en-GB"/>
              </w:rPr>
            </w:pPr>
            <w:r>
              <w:rPr>
                <w:lang w:val="en-GB"/>
              </w:rPr>
              <w:t>Trade unions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rPr>
                <w:lang w:val="en-GB"/>
              </w:rPr>
            </w:pPr>
            <w:r>
              <w:rPr>
                <w:lang w:val="en-GB"/>
              </w:rPr>
              <w:t xml:space="preserve">Environment </w:t>
            </w:r>
          </w:p>
        </w:tc>
        <w:tc>
          <w:tcPr>
            <w:tcW w:w="4788" w:type="dxa"/>
          </w:tcPr>
          <w:p>
            <w:pPr>
              <w:rPr>
                <w:lang w:val="en-GB"/>
              </w:rPr>
            </w:pPr>
            <w:r>
              <w:rPr>
                <w:lang w:val="en-GB"/>
              </w:rPr>
              <w:t>Providers</w:t>
            </w:r>
          </w:p>
          <w:p>
            <w:pPr>
              <w:rPr>
                <w:lang w:val="en-GB"/>
              </w:rPr>
            </w:pPr>
            <w:r>
              <w:rPr>
                <w:lang w:val="en-GB"/>
              </w:rPr>
              <w:t xml:space="preserve">Citizens </w:t>
            </w:r>
          </w:p>
          <w:p>
            <w:pPr>
              <w:rPr>
                <w:lang w:val="en-GB"/>
              </w:rPr>
            </w:pPr>
            <w:r>
              <w:rPr>
                <w:lang w:val="en-GB"/>
              </w:rPr>
              <w:t xml:space="preserve">Partners </w:t>
            </w:r>
          </w:p>
        </w:tc>
      </w:tr>
    </w:tbl>
    <w:p>
      <w:pPr>
        <w:rPr>
          <w:lang w:val="en-GB"/>
        </w:rPr>
      </w:pPr>
    </w:p>
    <w:p>
      <w:pPr>
        <w:rPr>
          <w:lang w:val="en-GB"/>
        </w:rPr>
      </w:pPr>
      <w:r>
        <w:rPr>
          <w:lang w:val="en-GB"/>
        </w:rPr>
        <w:t xml:space="preserve">Based on the different types of stakeholders, the public sector proactively conducts required initiatives. For instance, at places of work, the public sector organisations utilise innovation and sustainable practices of resource utilisation. Similarly, for the users, the public sector departments put restrictions on water and current flows in order to cut the consumption. </w:t>
      </w:r>
    </w:p>
    <w:p>
      <w:pPr>
        <w:pStyle w:val="2"/>
        <w:jc w:val="both"/>
        <w:rPr>
          <w:lang w:val="en-GB"/>
        </w:rPr>
      </w:pPr>
      <w:bookmarkStart w:id="8" w:name="_Toc6833"/>
      <w:r>
        <w:rPr>
          <w:rFonts w:hint="eastAsia"/>
          <w:lang w:val="en-US" w:eastAsia="zh-CN"/>
        </w:rPr>
        <w:t>5.</w:t>
      </w:r>
      <w:r>
        <w:rPr>
          <w:lang w:val="en-GB"/>
        </w:rPr>
        <w:t xml:space="preserve"> CONCLUSION</w:t>
      </w:r>
      <w:bookmarkEnd w:id="8"/>
    </w:p>
    <w:p>
      <w:pPr>
        <w:rPr>
          <w:lang w:val="en-GB"/>
        </w:rPr>
      </w:pPr>
      <w:r>
        <w:rPr>
          <w:lang w:val="en-GB"/>
        </w:rPr>
        <w:t xml:space="preserve">Finally, it can be said that corporate social responsibility (CSR) is a concept in which companies integrate their business operations with the social and environmental issues, voluntarily. Corporate social responsibility is a very important element of the current and future social and organisational behaviours. Public sector plays an active role in delivering several services in the community and for the well-being of the environment. From the research, it can be said that the primary aim of public bodies is to provide dependable services. Therefore, it can be said that the very nature of public services reflects social responsibility in terms of transparency, accountability and respect to the stakeholders. As a part of accountability, there are several public service companies that make sure to consume resources sustainability in order to save them for the future generations. Public services such as the military and the hospitality industries utilise a lot of resources. However, these institutions keep proper track of their utilisation. This way, they try to reduce the level of consumption. The research conducted has highlighted the initiatives and efforts made by the public sector industry on a regulatory level. However, it is important for these institutions to increase their budgets so they can source better equipment that reduce the consumption and production of resources. </w:t>
      </w:r>
    </w:p>
    <w:p>
      <w:pPr>
        <w:pStyle w:val="3"/>
        <w:jc w:val="both"/>
        <w:rPr>
          <w:lang w:val="en-GB"/>
        </w:rPr>
      </w:pPr>
      <w:bookmarkStart w:id="9" w:name="_Toc27543"/>
      <w:r>
        <w:rPr>
          <w:rFonts w:hint="eastAsia"/>
          <w:lang w:val="en-US" w:eastAsia="zh-CN"/>
        </w:rPr>
        <w:t>5</w:t>
      </w:r>
      <w:r>
        <w:rPr>
          <w:lang w:val="en-GB"/>
        </w:rPr>
        <w:t>.1: Recommendation</w:t>
      </w:r>
      <w:bookmarkEnd w:id="9"/>
    </w:p>
    <w:p>
      <w:pPr>
        <w:rPr>
          <w:lang w:val="en-GB"/>
        </w:rPr>
      </w:pPr>
      <w:r>
        <w:rPr>
          <w:lang w:val="en-GB"/>
        </w:rPr>
        <w:t>Considering the efforts already being made by organisations in terms of monitoring resource consumptions, the following recommendations can be made –</w:t>
      </w:r>
    </w:p>
    <w:p>
      <w:pPr>
        <w:pStyle w:val="24"/>
        <w:numPr>
          <w:ilvl w:val="0"/>
          <w:numId w:val="2"/>
        </w:numPr>
        <w:rPr>
          <w:lang w:val="en-GB"/>
        </w:rPr>
      </w:pPr>
      <w:r>
        <w:rPr>
          <w:lang w:val="en-GB"/>
        </w:rPr>
        <w:t>Voluntary guidelines to guide companies to implement responsible practices for resource consumption.</w:t>
      </w:r>
    </w:p>
    <w:p>
      <w:pPr>
        <w:pStyle w:val="24"/>
        <w:numPr>
          <w:ilvl w:val="0"/>
          <w:numId w:val="2"/>
        </w:numPr>
        <w:rPr>
          <w:lang w:val="en-GB"/>
        </w:rPr>
      </w:pPr>
      <w:r>
        <w:rPr>
          <w:lang w:val="en-GB"/>
        </w:rPr>
        <w:t>National campaigns to increase awareness about the issues faced due to resource exploitation.</w:t>
      </w:r>
    </w:p>
    <w:p>
      <w:pPr>
        <w:pStyle w:val="24"/>
        <w:numPr>
          <w:ilvl w:val="0"/>
          <w:numId w:val="2"/>
        </w:numPr>
        <w:rPr>
          <w:lang w:val="en-GB"/>
        </w:rPr>
      </w:pPr>
      <w:r>
        <w:rPr>
          <w:lang w:val="en-GB"/>
        </w:rPr>
        <w:t>Offering government funds to the private sector to encourage their participation in CSR programs.</w:t>
      </w: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pStyle w:val="2"/>
        <w:jc w:val="both"/>
        <w:rPr>
          <w:lang w:val="en-GB"/>
        </w:rPr>
      </w:pPr>
      <w:bookmarkStart w:id="10" w:name="_Toc14665"/>
      <w:r>
        <w:rPr>
          <w:rFonts w:hint="eastAsia"/>
          <w:lang w:val="en-US" w:eastAsia="zh-CN"/>
        </w:rPr>
        <w:t>6.</w:t>
      </w:r>
      <w:r>
        <w:rPr>
          <w:lang w:val="en-GB"/>
        </w:rPr>
        <w:t>REFERENCES</w:t>
      </w:r>
      <w:bookmarkEnd w:id="10"/>
    </w:p>
    <w:p>
      <w:pPr>
        <w:ind w:firstLine="0"/>
        <w:jc w:val="left"/>
        <w:rPr>
          <w:lang w:val="en-GB"/>
        </w:rPr>
      </w:pPr>
      <w:r>
        <w:rPr>
          <w:lang w:val="en-GB"/>
        </w:rPr>
        <w:t>Awis, M.L., Abdullah, H.S.V., Lokman, N. and Said, R.(2018). Striving for Corporate Legitimacy through Corporate Social Responsibility (CSR): Insights from NGO’s Perspectives', Stakeholders, Governance and Responsibility (Developments in Corporate Governance and Responsibility, Volume 14).</w:t>
      </w:r>
    </w:p>
    <w:p>
      <w:pPr>
        <w:ind w:firstLine="0"/>
        <w:jc w:val="left"/>
        <w:rPr>
          <w:lang w:val="en-GB"/>
        </w:rPr>
      </w:pPr>
      <w:r>
        <w:rPr>
          <w:lang w:val="en-GB"/>
        </w:rPr>
        <w:t>Bason, C.(2018). </w:t>
      </w:r>
      <w:r>
        <w:rPr>
          <w:i/>
          <w:iCs/>
          <w:lang w:val="en-GB"/>
        </w:rPr>
        <w:t>Leading public sector innovation: Co-creating for a better society</w:t>
      </w:r>
      <w:r>
        <w:rPr>
          <w:lang w:val="en-GB"/>
        </w:rPr>
        <w:t>. Policy press.</w:t>
      </w:r>
    </w:p>
    <w:p>
      <w:pPr>
        <w:ind w:firstLine="0"/>
        <w:jc w:val="left"/>
        <w:rPr>
          <w:lang w:val="en-GB"/>
        </w:rPr>
      </w:pPr>
      <w:r>
        <w:rPr>
          <w:lang w:val="en-GB"/>
        </w:rPr>
        <w:t>Ben Youssef, K., Leicht, T., Pellicelli, M. and Kitchen, P.J.(2018). The importance of corporate social responsibility (CSR) for branding and business success in small and medium-sized enterprises (SME) in a business-to-distributor (B2D) context. </w:t>
      </w:r>
      <w:r>
        <w:rPr>
          <w:i/>
          <w:iCs/>
          <w:lang w:val="en-GB"/>
        </w:rPr>
        <w:t>Journal of Strategic Marketing</w:t>
      </w:r>
      <w:r>
        <w:rPr>
          <w:lang w:val="en-GB"/>
        </w:rPr>
        <w:t>, </w:t>
      </w:r>
      <w:r>
        <w:rPr>
          <w:i/>
          <w:iCs/>
          <w:lang w:val="en-GB"/>
        </w:rPr>
        <w:t>26</w:t>
      </w:r>
      <w:r>
        <w:rPr>
          <w:lang w:val="en-GB"/>
        </w:rPr>
        <w:t>(8), pp.723-739.</w:t>
      </w:r>
    </w:p>
    <w:p>
      <w:pPr>
        <w:ind w:firstLine="0"/>
        <w:jc w:val="left"/>
        <w:rPr>
          <w:lang w:val="en-GB"/>
        </w:rPr>
      </w:pPr>
      <w:r>
        <w:rPr>
          <w:lang w:val="en-GB"/>
        </w:rPr>
        <w:t>Berman, E.M., Bowman, J.S., West, J.P. and Van Wart, M.R. (2019). </w:t>
      </w:r>
      <w:r>
        <w:rPr>
          <w:i/>
          <w:iCs/>
          <w:lang w:val="en-GB"/>
        </w:rPr>
        <w:t>Human resource management in public service: Paradoxes, processes, and problems</w:t>
      </w:r>
      <w:r>
        <w:rPr>
          <w:lang w:val="en-GB"/>
        </w:rPr>
        <w:t>. CQ Press.</w:t>
      </w:r>
    </w:p>
    <w:p>
      <w:pPr>
        <w:ind w:firstLine="0"/>
        <w:jc w:val="left"/>
        <w:rPr>
          <w:lang w:val="en-GB"/>
        </w:rPr>
      </w:pPr>
      <w:r>
        <w:rPr>
          <w:lang w:val="en-GB"/>
        </w:rPr>
        <w:t>Bond.org.uk. (2020). </w:t>
      </w:r>
      <w:r>
        <w:rPr>
          <w:i/>
          <w:iCs/>
          <w:lang w:val="en-GB"/>
        </w:rPr>
        <w:t>The UK’S Global Contribution To The Sustainable Development Goals</w:t>
      </w:r>
      <w:r>
        <w:rPr>
          <w:lang w:val="en-GB"/>
        </w:rPr>
        <w:t>. [online] Available at: https://www.bond.org.uk/sites/default/files/bond_the_uks_global_contribution_to_the_sdgs_online_full_report.pdf [Accessed 28 April 2020].</w:t>
      </w:r>
    </w:p>
    <w:p>
      <w:pPr>
        <w:ind w:firstLine="0"/>
        <w:jc w:val="left"/>
        <w:rPr>
          <w:lang w:val="en-GB"/>
        </w:rPr>
      </w:pPr>
      <w:r>
        <w:rPr>
          <w:lang w:val="en-GB"/>
        </w:rPr>
        <w:t>Castleberry, A. and Nolen, A.(2018). Thematic analysis of qualitative research data: Is it as easy as it sounds?. </w:t>
      </w:r>
      <w:r>
        <w:rPr>
          <w:i/>
          <w:iCs/>
          <w:lang w:val="en-GB"/>
        </w:rPr>
        <w:t>Currents in Pharmacy Teaching and Learning</w:t>
      </w:r>
      <w:r>
        <w:rPr>
          <w:lang w:val="en-GB"/>
        </w:rPr>
        <w:t>, </w:t>
      </w:r>
      <w:r>
        <w:rPr>
          <w:i/>
          <w:iCs/>
          <w:lang w:val="en-GB"/>
        </w:rPr>
        <w:t>10</w:t>
      </w:r>
      <w:r>
        <w:rPr>
          <w:lang w:val="en-GB"/>
        </w:rPr>
        <w:t>(6), pp.807-815.</w:t>
      </w:r>
    </w:p>
    <w:p>
      <w:pPr>
        <w:ind w:firstLine="0"/>
        <w:jc w:val="left"/>
      </w:pPr>
      <w:r>
        <w:t>Charter, M., Gray, C., Clark, T. and Woolman, T.(2017). The role of business in realising sustainable consumption and production. In </w:t>
      </w:r>
      <w:r>
        <w:rPr>
          <w:i/>
          <w:iCs/>
        </w:rPr>
        <w:t>System Innovation for Sustainability 1</w:t>
      </w:r>
      <w:r>
        <w:t> (pp. 56-79). Routledge.</w:t>
      </w:r>
    </w:p>
    <w:p>
      <w:pPr>
        <w:ind w:firstLine="0"/>
        <w:jc w:val="left"/>
        <w:rPr>
          <w:lang w:val="en-GB"/>
        </w:rPr>
      </w:pPr>
      <w:r>
        <w:rPr>
          <w:lang w:val="en-GB"/>
        </w:rPr>
        <w:t>Christensen, T., Lægreid, P. and Rovik, K.A.(2020). </w:t>
      </w:r>
      <w:r>
        <w:rPr>
          <w:i/>
          <w:iCs/>
          <w:lang w:val="en-GB"/>
        </w:rPr>
        <w:t>Organization theory and the public sector: Instrument, culture and myth</w:t>
      </w:r>
      <w:r>
        <w:rPr>
          <w:lang w:val="en-GB"/>
        </w:rPr>
        <w:t>. Routledge.</w:t>
      </w:r>
    </w:p>
    <w:p>
      <w:pPr>
        <w:ind w:firstLine="0"/>
        <w:jc w:val="left"/>
        <w:rPr>
          <w:lang w:val="en-GB"/>
        </w:rPr>
      </w:pPr>
      <w:r>
        <w:rPr>
          <w:lang w:val="en-GB"/>
        </w:rPr>
        <w:t>Fox, T., Ward, H. and Howard, B.(2002). </w:t>
      </w:r>
      <w:r>
        <w:rPr>
          <w:i/>
          <w:iCs/>
          <w:lang w:val="en-GB"/>
        </w:rPr>
        <w:t>Public sector roles in strengthening corporate social responsibility: A baseline study</w:t>
      </w:r>
      <w:r>
        <w:rPr>
          <w:lang w:val="en-GB"/>
        </w:rPr>
        <w:t>. Washington, DC: World Bank.</w:t>
      </w:r>
    </w:p>
    <w:p>
      <w:pPr>
        <w:ind w:firstLine="0"/>
        <w:jc w:val="left"/>
        <w:rPr>
          <w:lang w:val="en-GB"/>
        </w:rPr>
      </w:pPr>
      <w:r>
        <w:rPr>
          <w:lang w:val="en-GB"/>
        </w:rPr>
        <w:t>GAC. (2017). </w:t>
      </w:r>
      <w:r>
        <w:rPr>
          <w:i/>
          <w:iCs/>
          <w:lang w:val="en-GB"/>
        </w:rPr>
        <w:t>Governance Of The Natural Resource Sector</w:t>
      </w:r>
      <w:r>
        <w:rPr>
          <w:lang w:val="en-GB"/>
        </w:rPr>
        <w:t>. [online] Available at: https://www.international.gc.ca/world-monde/issues_development-enjeux_developpement/human_rights-droits_homme/natural_resource-ressources_naturelles.aspx?lang=eng [Accessed 28 April 2020].</w:t>
      </w:r>
    </w:p>
    <w:p>
      <w:pPr>
        <w:ind w:firstLine="0"/>
        <w:jc w:val="left"/>
        <w:rPr>
          <w:lang w:val="en-GB"/>
        </w:rPr>
      </w:pPr>
      <w:r>
        <w:rPr>
          <w:lang w:val="en-GB"/>
        </w:rPr>
        <w:t>Gaur, A. and Vazquez-Brust, D.A. (2019). Sustainable Development Goals: Corporate Social Responsibility? A Critical Analysis of Interactions in the Construction Industry Supply Chains Using Externalities Theory. In </w:t>
      </w:r>
      <w:r>
        <w:rPr>
          <w:i/>
          <w:iCs/>
          <w:lang w:val="en-GB"/>
        </w:rPr>
        <w:t>Sustainable Development Goals and Sustainable Supply Chains in the Post-global Economy</w:t>
      </w:r>
      <w:r>
        <w:rPr>
          <w:lang w:val="en-GB"/>
        </w:rPr>
        <w:t> (pp. 133-157). Springer, Cham.</w:t>
      </w:r>
    </w:p>
    <w:p>
      <w:pPr>
        <w:ind w:firstLine="0"/>
        <w:jc w:val="left"/>
        <w:rPr>
          <w:lang w:val="en-GB"/>
        </w:rPr>
      </w:pPr>
      <w:r>
        <w:rPr>
          <w:lang w:val="en-GB"/>
        </w:rPr>
        <w:t>Griggs, D.(2018). The Sustainable Development Goals. In </w:t>
      </w:r>
      <w:r>
        <w:rPr>
          <w:i/>
          <w:iCs/>
          <w:lang w:val="en-GB"/>
        </w:rPr>
        <w:t>Companion to Environmental Studies</w:t>
      </w:r>
      <w:r>
        <w:rPr>
          <w:lang w:val="en-GB"/>
        </w:rPr>
        <w:t> (Vol. 725, No. 731, pp. 725-731). ROUTLEDGE in association with GSE Research.</w:t>
      </w:r>
    </w:p>
    <w:p>
      <w:pPr>
        <w:ind w:firstLine="0"/>
        <w:jc w:val="left"/>
        <w:rPr>
          <w:lang w:val="en-GB"/>
        </w:rPr>
      </w:pPr>
      <w:r>
        <w:rPr>
          <w:lang w:val="en-GB"/>
        </w:rPr>
        <w:t>Guarini, E. and Nidasio, C.(2002). CSR role in Public–Private partnerships: Models of governance. </w:t>
      </w:r>
      <w:r>
        <w:rPr>
          <w:i/>
          <w:iCs/>
          <w:lang w:val="en-GB"/>
        </w:rPr>
        <w:t>Available at SSRN 2379382</w:t>
      </w:r>
      <w:r>
        <w:rPr>
          <w:lang w:val="en-GB"/>
        </w:rPr>
        <w:t>.</w:t>
      </w:r>
    </w:p>
    <w:p>
      <w:pPr>
        <w:ind w:firstLine="0"/>
        <w:jc w:val="left"/>
        <w:rPr>
          <w:lang w:val="en-GB"/>
        </w:rPr>
      </w:pPr>
      <w:r>
        <w:rPr>
          <w:lang w:val="en-GB"/>
        </w:rPr>
        <w:t>Hawrysz, L. 2013. [online] Available at: https://www.researchgate.net/publication/273443094_THE_ROLE_OF_PUBLIC_SECTOR'S_ORGANISATION_IN_CSR [Accessed 28 April 2020].</w:t>
      </w:r>
    </w:p>
    <w:p>
      <w:pPr>
        <w:ind w:firstLine="0"/>
        <w:jc w:val="left"/>
        <w:rPr>
          <w:lang w:val="en-GB"/>
        </w:rPr>
      </w:pPr>
      <w:r>
        <w:rPr>
          <w:lang w:val="en-GB"/>
        </w:rPr>
        <w:t>Kanie, N. and Biermann, F., (2017). </w:t>
      </w:r>
      <w:r>
        <w:rPr>
          <w:i/>
          <w:iCs/>
          <w:lang w:val="en-GB"/>
        </w:rPr>
        <w:t>Governing through goals: Sustainable development goals as governance innovation</w:t>
      </w:r>
      <w:r>
        <w:rPr>
          <w:lang w:val="en-GB"/>
        </w:rPr>
        <w:t>. mit Press.</w:t>
      </w:r>
    </w:p>
    <w:p>
      <w:pPr>
        <w:ind w:firstLine="0"/>
        <w:jc w:val="left"/>
        <w:rPr>
          <w:lang w:val="en-GB"/>
        </w:rPr>
      </w:pPr>
      <w:r>
        <w:rPr>
          <w:lang w:val="en-GB"/>
        </w:rPr>
        <w:t>Lahiri, A.(2018). CSR &amp; SDGs: A match made in heaven. [online] Available at: http://dspace.jgu.edu.in:8080/xmlui/bitstream/handle/10739/3252/A%20Match%20Made%20In%20Heaven.pdf?sequence=1&amp;isAllowed=y [Accessed 27 April 2020].</w:t>
      </w:r>
    </w:p>
    <w:p>
      <w:pPr>
        <w:ind w:firstLine="0"/>
        <w:jc w:val="left"/>
        <w:rPr>
          <w:lang w:val="en-GB"/>
        </w:rPr>
      </w:pPr>
      <w:r>
        <w:rPr>
          <w:lang w:val="en-GB"/>
        </w:rPr>
        <w:t>Lyytimäki, J., Antikainen, R., Hokkanen, J., Koskela, S., Kurppa, S., Känkänen, R. and Seppälä, J. (2018). Developing key indicators of green growth. </w:t>
      </w:r>
      <w:r>
        <w:rPr>
          <w:i/>
          <w:iCs/>
          <w:lang w:val="en-GB"/>
        </w:rPr>
        <w:t>Sustainable Development</w:t>
      </w:r>
      <w:r>
        <w:rPr>
          <w:lang w:val="en-GB"/>
        </w:rPr>
        <w:t>, </w:t>
      </w:r>
      <w:r>
        <w:rPr>
          <w:i/>
          <w:iCs/>
          <w:lang w:val="en-GB"/>
        </w:rPr>
        <w:t>26</w:t>
      </w:r>
      <w:r>
        <w:rPr>
          <w:lang w:val="en-GB"/>
        </w:rPr>
        <w:t>(1), pp.51-64.</w:t>
      </w:r>
    </w:p>
    <w:p>
      <w:pPr>
        <w:ind w:firstLine="0"/>
        <w:jc w:val="left"/>
        <w:rPr>
          <w:lang w:val="en-GB"/>
        </w:rPr>
      </w:pPr>
      <w:r>
        <w:rPr>
          <w:lang w:val="en-GB"/>
        </w:rPr>
        <w:t>Mazijn, B.(2018). Life cycle assessment (LCA) in policies, with a focus on sustainable/green public procurement.</w:t>
      </w:r>
    </w:p>
    <w:p>
      <w:pPr>
        <w:ind w:firstLine="0"/>
        <w:jc w:val="left"/>
        <w:rPr>
          <w:lang w:val="en-GB"/>
        </w:rPr>
      </w:pPr>
      <w:r>
        <w:rPr>
          <w:lang w:val="en-GB"/>
        </w:rPr>
        <w:t>Mishra, S. and Banerjee, G.(2019). A Study on the Impact of Mandatory Provisions on CSR Strategies of Indian Companies. In </w:t>
      </w:r>
      <w:r>
        <w:rPr>
          <w:i/>
          <w:iCs/>
          <w:lang w:val="en-GB"/>
        </w:rPr>
        <w:t>Ethics, Social Responsibility and Sustainability in Marketing</w:t>
      </w:r>
      <w:r>
        <w:rPr>
          <w:lang w:val="en-GB"/>
        </w:rPr>
        <w:t> (pp. 145-154). Springer, Singapore.</w:t>
      </w:r>
    </w:p>
    <w:p>
      <w:pPr>
        <w:ind w:firstLine="0"/>
        <w:jc w:val="left"/>
        <w:rPr>
          <w:lang w:val="en-GB"/>
        </w:rPr>
      </w:pPr>
      <w:r>
        <w:rPr>
          <w:lang w:val="en-GB"/>
        </w:rPr>
        <w:t>Moneva, J.M. and Hernández-Pajares, J.(2018). Corporate social responsibility performance and sustainability reporting in SMEs: an analysis of owner-managers' perceptions. </w:t>
      </w:r>
      <w:r>
        <w:rPr>
          <w:i/>
          <w:iCs/>
          <w:lang w:val="en-GB"/>
        </w:rPr>
        <w:t>International Journal of Sustainable Economy</w:t>
      </w:r>
      <w:r>
        <w:rPr>
          <w:lang w:val="en-GB"/>
        </w:rPr>
        <w:t>, </w:t>
      </w:r>
      <w:r>
        <w:rPr>
          <w:i/>
          <w:iCs/>
          <w:lang w:val="en-GB"/>
        </w:rPr>
        <w:t>10</w:t>
      </w:r>
      <w:r>
        <w:rPr>
          <w:lang w:val="en-GB"/>
        </w:rPr>
        <w:t>(4), pp.405-420.</w:t>
      </w:r>
    </w:p>
    <w:p>
      <w:pPr>
        <w:ind w:firstLine="0"/>
        <w:jc w:val="left"/>
        <w:rPr>
          <w:lang w:val="en-GB"/>
        </w:rPr>
      </w:pPr>
      <w:r>
        <w:rPr>
          <w:lang w:val="en-GB"/>
        </w:rPr>
        <w:t>Moon, J. and Knudsen, J.S. (2018). Corporate social responsibility and government. In </w:t>
      </w:r>
      <w:r>
        <w:rPr>
          <w:i/>
          <w:iCs/>
          <w:lang w:val="en-GB"/>
        </w:rPr>
        <w:t>Academy of Management Proceedings</w:t>
      </w:r>
      <w:r>
        <w:rPr>
          <w:lang w:val="en-GB"/>
        </w:rPr>
        <w:t> (Vol. 2018, No. 1, p. 12777). Briarcliff Manor, NY 10510: Academy of Management.</w:t>
      </w:r>
    </w:p>
    <w:p>
      <w:pPr>
        <w:ind w:firstLine="0"/>
        <w:jc w:val="left"/>
        <w:rPr>
          <w:lang w:val="en-GB"/>
        </w:rPr>
      </w:pPr>
      <w:r>
        <w:rPr>
          <w:lang w:val="en-GB"/>
        </w:rPr>
        <w:t>Mosaberpanah, M. and Khales, S.(2013). </w:t>
      </w:r>
      <w:r>
        <w:rPr>
          <w:i/>
          <w:iCs/>
          <w:lang w:val="en-GB"/>
        </w:rPr>
        <w:t>The Role Of Transportation In Sustainable Development</w:t>
      </w:r>
      <w:r>
        <w:rPr>
          <w:lang w:val="en-GB"/>
        </w:rPr>
        <w:t>. [online] Available at: https://www.researchgate.net/publication/255991703_The_Role_of_Transportation_in_Sustainable_Development [Accessed 28 April 2020].</w:t>
      </w:r>
    </w:p>
    <w:p>
      <w:pPr>
        <w:ind w:firstLine="0"/>
        <w:jc w:val="left"/>
        <w:rPr>
          <w:lang w:val="en-GB"/>
        </w:rPr>
      </w:pPr>
      <w:r>
        <w:rPr>
          <w:lang w:val="en-GB"/>
        </w:rPr>
        <w:t>Niti.gov.in. (2017). </w:t>
      </w:r>
      <w:r>
        <w:rPr>
          <w:i/>
          <w:iCs/>
          <w:lang w:val="en-GB"/>
        </w:rPr>
        <w:t>Strategy On Resource Efficiency</w:t>
      </w:r>
      <w:r>
        <w:rPr>
          <w:lang w:val="en-GB"/>
        </w:rPr>
        <w:t>. [online] Available at: https://niti.gov.in/writereaddata/files/document_publication/StrategyOnResouceEfficiency_0.pdf [Accessed 28 April 2020].</w:t>
      </w:r>
    </w:p>
    <w:p>
      <w:pPr>
        <w:ind w:firstLine="0"/>
        <w:jc w:val="left"/>
        <w:rPr>
          <w:lang w:val="en-GB"/>
        </w:rPr>
      </w:pPr>
      <w:r>
        <w:rPr>
          <w:lang w:val="en-GB"/>
        </w:rPr>
        <w:t>Ormston, R.Spencer, L., Barnard, M. and Snape, D., (2014). The foundations of qualitative research. </w:t>
      </w:r>
      <w:r>
        <w:rPr>
          <w:i/>
          <w:iCs/>
          <w:lang w:val="en-GB"/>
        </w:rPr>
        <w:t>Qualitative research practice: A guide for social science students and researchers</w:t>
      </w:r>
      <w:r>
        <w:rPr>
          <w:lang w:val="en-GB"/>
        </w:rPr>
        <w:t>, </w:t>
      </w:r>
      <w:r>
        <w:rPr>
          <w:i/>
          <w:iCs/>
          <w:lang w:val="en-GB"/>
        </w:rPr>
        <w:t>2</w:t>
      </w:r>
      <w:r>
        <w:rPr>
          <w:lang w:val="en-GB"/>
        </w:rPr>
        <w:t>, pp.52-55.</w:t>
      </w:r>
    </w:p>
    <w:p>
      <w:pPr>
        <w:ind w:firstLine="0"/>
        <w:jc w:val="left"/>
        <w:rPr>
          <w:lang w:val="en-GB"/>
        </w:rPr>
      </w:pPr>
      <w:r>
        <w:rPr>
          <w:lang w:val="en-GB"/>
        </w:rPr>
        <w:t>Revilla, B.P. and Salet, W.(2018). The social meaning and function of household food rituals in preventing food waste. </w:t>
      </w:r>
      <w:r>
        <w:rPr>
          <w:i/>
          <w:iCs/>
          <w:lang w:val="en-GB"/>
        </w:rPr>
        <w:t>Journal of cleaner production</w:t>
      </w:r>
      <w:r>
        <w:rPr>
          <w:lang w:val="en-GB"/>
        </w:rPr>
        <w:t>, </w:t>
      </w:r>
      <w:r>
        <w:rPr>
          <w:i/>
          <w:iCs/>
          <w:lang w:val="en-GB"/>
        </w:rPr>
        <w:t>198</w:t>
      </w:r>
      <w:r>
        <w:rPr>
          <w:lang w:val="en-GB"/>
        </w:rPr>
        <w:t>, pp.320-332.</w:t>
      </w:r>
    </w:p>
    <w:p>
      <w:pPr>
        <w:ind w:firstLine="0"/>
        <w:jc w:val="left"/>
        <w:rPr>
          <w:lang w:val="en-GB"/>
        </w:rPr>
      </w:pPr>
      <w:r>
        <w:rPr>
          <w:lang w:val="en-GB"/>
        </w:rPr>
        <w:t>Sustainabledevelopment.un.org. 2020. </w:t>
      </w:r>
      <w:r>
        <w:rPr>
          <w:i/>
          <w:iCs/>
          <w:lang w:val="en-GB"/>
        </w:rPr>
        <w:t>Sdgs .:. Sustainable Development Knowledge Platform</w:t>
      </w:r>
      <w:r>
        <w:rPr>
          <w:lang w:val="en-GB"/>
        </w:rPr>
        <w:t>. [online] Available at: https://sustainabledevelopment.un.org/sdgs[Accessed 28 April 2020].</w:t>
      </w:r>
    </w:p>
    <w:p>
      <w:pPr>
        <w:ind w:firstLine="0"/>
        <w:jc w:val="left"/>
        <w:rPr>
          <w:lang w:val="en-GB"/>
        </w:rPr>
      </w:pPr>
      <w:r>
        <w:rPr>
          <w:lang w:val="en-GB"/>
        </w:rPr>
        <w:t>Tischner, U., Stø, E., Kjærnes, U. and Tukker, A.,(2017). </w:t>
      </w:r>
      <w:r>
        <w:rPr>
          <w:i/>
          <w:iCs/>
          <w:lang w:val="en-GB"/>
        </w:rPr>
        <w:t>System Innovation for Sustainability 3: Case Studies in Sustainable Consumption and Production—Food and Agriculture</w:t>
      </w:r>
      <w:r>
        <w:rPr>
          <w:lang w:val="en-GB"/>
        </w:rPr>
        <w:t>. Routledge.</w:t>
      </w:r>
    </w:p>
    <w:p>
      <w:pPr>
        <w:ind w:firstLine="0"/>
        <w:jc w:val="left"/>
        <w:rPr>
          <w:lang w:val="en-GB"/>
        </w:rPr>
      </w:pPr>
      <w:r>
        <w:rPr>
          <w:lang w:val="en-GB"/>
        </w:rPr>
        <w:t>Ward, H.(2004). </w:t>
      </w:r>
      <w:r>
        <w:rPr>
          <w:i/>
          <w:iCs/>
          <w:lang w:val="en-GB"/>
        </w:rPr>
        <w:t>Public sector roles in strengthening corporate social responsibility: taking stock</w:t>
      </w:r>
      <w:r>
        <w:rPr>
          <w:lang w:val="en-GB"/>
        </w:rPr>
        <w:t>. Washington, DC: World Bank.</w:t>
      </w:r>
    </w:p>
    <w:p>
      <w:pPr>
        <w:ind w:firstLine="0"/>
        <w:jc w:val="left"/>
        <w:rPr>
          <w:lang w:val="en-GB"/>
        </w:rPr>
      </w:pPr>
      <w:r>
        <w:rPr>
          <w:lang w:val="en-GB"/>
        </w:rPr>
        <w:t>Willig, C.(2017). Interpretation in qualitative research. </w:t>
      </w:r>
      <w:r>
        <w:rPr>
          <w:i/>
          <w:iCs/>
          <w:lang w:val="en-GB"/>
        </w:rPr>
        <w:t>The SAGE handbook of qualitative research in psychology</w:t>
      </w:r>
      <w:r>
        <w:rPr>
          <w:lang w:val="en-GB"/>
        </w:rPr>
        <w:t>, pp.274-288.</w:t>
      </w:r>
    </w:p>
    <w:p>
      <w:pPr>
        <w:ind w:firstLine="0"/>
        <w:jc w:val="left"/>
        <w:rPr>
          <w:lang w:val="en-GB"/>
        </w:rPr>
      </w:pPr>
      <w:r>
        <w:rPr>
          <w:lang w:val="en-GB"/>
        </w:rPr>
        <w:t>Xiao, J.J.(2019). Developing Action-Taking Programs in Sustainable Consumption Education: Applying the Transtheoretical Model of Behavior Change (TTM). </w:t>
      </w:r>
      <w:r>
        <w:rPr>
          <w:i/>
          <w:iCs/>
          <w:lang w:val="en-GB"/>
        </w:rPr>
        <w:t>Available at SSRN 3335887</w:t>
      </w:r>
      <w:r>
        <w:rPr>
          <w:lang w:val="en-GB"/>
        </w:rPr>
        <w:t>.</w:t>
      </w:r>
    </w:p>
    <w:p>
      <w:pPr>
        <w:ind w:firstLine="0"/>
        <w:jc w:val="left"/>
        <w:rPr>
          <w:lang w:val="en-GB"/>
        </w:rPr>
      </w:pPr>
      <w:r>
        <w:t>Yakovleva, N.(2017). </w:t>
      </w:r>
      <w:r>
        <w:rPr>
          <w:i/>
          <w:iCs/>
        </w:rPr>
        <w:t>Corporate social responsibility in the mining industries</w:t>
      </w:r>
      <w:r>
        <w:t>. Routledge.</w:t>
      </w:r>
    </w:p>
    <w:p>
      <w:pPr>
        <w:jc w:val="left"/>
        <w:rPr>
          <w:lang w:val="en-GB"/>
        </w:rPr>
      </w:pPr>
    </w:p>
    <w:sectPr>
      <w:footerReference r:id="rId10" w:type="default"/>
      <w:pgSz w:w="11906" w:h="16838"/>
      <w:pgMar w:top="1440" w:right="1440" w:bottom="1440" w:left="1440" w:header="708" w:footer="708" w:gutter="0"/>
      <w:pgNumType w:fmt="decimal"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Gautami">
    <w:altName w:val="Segoe UI Symbol"/>
    <w:panose1 w:val="020B0502040204020203"/>
    <w:charset w:val="00"/>
    <w:family w:val="swiss"/>
    <w:pitch w:val="default"/>
    <w:sig w:usb0="00000000" w:usb1="00000000" w:usb2="00000000" w:usb3="00000000" w:csb0="00000001" w:csb1="00000000"/>
  </w:font>
  <w:font w:name="Calibri">
    <w:panose1 w:val="020F0502020204030204"/>
    <w:charset w:val="86"/>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Segoe UI Symbol">
    <w:panose1 w:val="020B0502040204020203"/>
    <w:charset w:val="00"/>
    <w:family w:val="auto"/>
    <w:pitch w:val="default"/>
    <w:sig w:usb0="800001E3" w:usb1="1200FFEF" w:usb2="00040000" w:usb3="04000000" w:csb0="00000001" w:csb1="4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rPr>
        <w:sz w:val="24"/>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631314565"/>
                            <w:docPartObj>
                              <w:docPartGallery w:val="autotext"/>
                            </w:docPartObj>
                          </w:sdtPr>
                          <w:sdtContent>
                            <w:p>
                              <w:pPr>
                                <w:pStyle w:val="7"/>
                                <w:jc w:val="right"/>
                              </w:pPr>
                              <w:r>
                                <w:fldChar w:fldCharType="begin"/>
                              </w:r>
                              <w:r>
                                <w:instrText xml:space="preserve"> PAGE   \* MERGEFORMAT </w:instrText>
                              </w:r>
                              <w:r>
                                <w:fldChar w:fldCharType="separate"/>
                              </w:r>
                              <w:r>
                                <w:t>13</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sdt>
                    <w:sdtPr>
                      <w:id w:val="-1631314565"/>
                      <w:docPartObj>
                        <w:docPartGallery w:val="autotext"/>
                      </w:docPartObj>
                    </w:sdtPr>
                    <w:sdtContent>
                      <w:p>
                        <w:pPr>
                          <w:pStyle w:val="7"/>
                          <w:jc w:val="right"/>
                        </w:pPr>
                        <w:r>
                          <w:fldChar w:fldCharType="begin"/>
                        </w:r>
                        <w:r>
                          <w:instrText xml:space="preserve"> PAGE   \* MERGEFORMAT </w:instrText>
                        </w:r>
                        <w:r>
                          <w:fldChar w:fldCharType="separate"/>
                        </w:r>
                        <w:r>
                          <w:t>13</w:t>
                        </w:r>
                        <w:r>
                          <w:fldChar w:fldCharType="end"/>
                        </w:r>
                      </w:p>
                    </w:sdtContent>
                  </w:sdt>
                  <w:p/>
                </w:txbxContent>
              </v:textbox>
            </v:shape>
          </w:pict>
        </mc:Fallback>
      </mc:AlternateContent>
    </w:r>
  </w:p>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ufGT8ICAADWBQAADgAAAAAA&#10;AAABACAAAAAfAQAAZHJzL2Uyb0RvYy54bWxQSwUGAAAAAAYABgBZAQAAUwYAAAAA&#10;">
              <v:fill on="f" focussize="0,0"/>
              <v:stroke on="f" weight="0.5pt"/>
              <v:imagedata o:title=""/>
              <o:lock v:ext="edit" aspectratio="f"/>
              <v:textbox inset="0mm,0mm,0mm,0mm" style="mso-fit-shape-to-text:t;">
                <w:txbxContent>
                  <w:p>
                    <w:pPr>
                      <w:pStyle w:val="7"/>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CcNyfWwQIAANYFAAAOAAAAAAAA&#10;AAEAIAAAAB8BAABkcnMvZTJvRG9jLnhtbFBLBQYAAAAABgAGAFkBAABSBgAAAAA=&#10;">
              <v:fill on="f" focussize="0,0"/>
              <v:stroke on="f" weight="0.5pt"/>
              <v:imagedata o:title=""/>
              <o:lock v:ext="edit" aspectratio="f"/>
              <v:textbox inset="0mm,0mm,0mm,0mm" style="mso-fit-shape-to-text:t;">
                <w:txbxContent>
                  <w:p>
                    <w:pPr>
                      <w:pStyle w:val="7"/>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631314565"/>
                            <w:docPartObj>
                              <w:docPartGallery w:val="autotext"/>
                            </w:docPartObj>
                          </w:sdtPr>
                          <w:sdtContent>
                            <w:p>
                              <w:pPr>
                                <w:pStyle w:val="7"/>
                                <w:jc w:val="right"/>
                              </w:pPr>
                              <w:r>
                                <w:fldChar w:fldCharType="begin"/>
                              </w:r>
                              <w:r>
                                <w:instrText xml:space="preserve"> PAGE   \* MERGEFORMAT </w:instrText>
                              </w:r>
                              <w:r>
                                <w:fldChar w:fldCharType="separate"/>
                              </w:r>
                              <w:r>
                                <w:t>13</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DzzfY5wQIAANYFAAAOAAAAAAAA&#10;AAEAIAAAAB8BAABkcnMvZTJvRG9jLnhtbFBLBQYAAAAABgAGAFkBAABSBgAAAAA=&#10;">
              <v:fill on="f" focussize="0,0"/>
              <v:stroke on="f" weight="0.5pt"/>
              <v:imagedata o:title=""/>
              <o:lock v:ext="edit" aspectratio="f"/>
              <v:textbox inset="0mm,0mm,0mm,0mm" style="mso-fit-shape-to-text:t;">
                <w:txbxContent>
                  <w:sdt>
                    <w:sdtPr>
                      <w:id w:val="-1631314565"/>
                      <w:docPartObj>
                        <w:docPartGallery w:val="autotext"/>
                      </w:docPartObj>
                    </w:sdtPr>
                    <w:sdtContent>
                      <w:p>
                        <w:pPr>
                          <w:pStyle w:val="7"/>
                          <w:jc w:val="right"/>
                        </w:pPr>
                        <w:r>
                          <w:fldChar w:fldCharType="begin"/>
                        </w:r>
                        <w:r>
                          <w:instrText xml:space="preserve"> PAGE   \* MERGEFORMAT </w:instrText>
                        </w:r>
                        <w:r>
                          <w:fldChar w:fldCharType="separate"/>
                        </w:r>
                        <w:r>
                          <w:t>13</w:t>
                        </w:r>
                        <w:r>
                          <w:fldChar w:fldCharType="end"/>
                        </w:r>
                      </w:p>
                    </w:sdtContent>
                  </w:sdt>
                  <w:p/>
                </w:txbxContent>
              </v:textbox>
            </v:shape>
          </w:pict>
        </mc:Fallback>
      </mc:AlternateContent>
    </w:r>
  </w:p>
  <w:p>
    <w:pPr>
      <w:pStyle w:val="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t>CSR Initiatives and UN Sustainable Development Goals</w:t>
    </w:r>
  </w:p>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tabs>
        <w:tab w:val="clear" w:pos="9026"/>
      </w:tabs>
      <w:ind w:firstLine="0"/>
    </w:pPr>
    <w:r>
      <w:t>Running Head: CSR Initiatives and UN Sustainable Development Goals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66116F"/>
    <w:multiLevelType w:val="multilevel"/>
    <w:tmpl w:val="2166116F"/>
    <w:lvl w:ilvl="0" w:tentative="0">
      <w:start w:val="1"/>
      <w:numFmt w:val="decimal"/>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1">
    <w:nsid w:val="6CEE2F56"/>
    <w:multiLevelType w:val="multilevel"/>
    <w:tmpl w:val="6CEE2F56"/>
    <w:lvl w:ilvl="0" w:tentative="0">
      <w:start w:val="1"/>
      <w:numFmt w:val="decimal"/>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0E31"/>
    <w:rsid w:val="00013F61"/>
    <w:rsid w:val="00024169"/>
    <w:rsid w:val="00027054"/>
    <w:rsid w:val="00033480"/>
    <w:rsid w:val="00070945"/>
    <w:rsid w:val="00075B39"/>
    <w:rsid w:val="000A2E02"/>
    <w:rsid w:val="000A5569"/>
    <w:rsid w:val="000B47BE"/>
    <w:rsid w:val="000C0AD8"/>
    <w:rsid w:val="000D0EF2"/>
    <w:rsid w:val="000D1345"/>
    <w:rsid w:val="000E6503"/>
    <w:rsid w:val="000F14E4"/>
    <w:rsid w:val="000F578D"/>
    <w:rsid w:val="001269C6"/>
    <w:rsid w:val="00132292"/>
    <w:rsid w:val="0014066C"/>
    <w:rsid w:val="0014248C"/>
    <w:rsid w:val="00143165"/>
    <w:rsid w:val="001A4EBF"/>
    <w:rsid w:val="001B1ECE"/>
    <w:rsid w:val="001B2BFF"/>
    <w:rsid w:val="001C28B8"/>
    <w:rsid w:val="001F0459"/>
    <w:rsid w:val="001F0B3E"/>
    <w:rsid w:val="00204DFD"/>
    <w:rsid w:val="00212577"/>
    <w:rsid w:val="00222853"/>
    <w:rsid w:val="00222BEC"/>
    <w:rsid w:val="00235EF0"/>
    <w:rsid w:val="00247121"/>
    <w:rsid w:val="00267611"/>
    <w:rsid w:val="00283BCF"/>
    <w:rsid w:val="002A2538"/>
    <w:rsid w:val="002A2AB6"/>
    <w:rsid w:val="002B0303"/>
    <w:rsid w:val="002D229B"/>
    <w:rsid w:val="002E605A"/>
    <w:rsid w:val="00322A37"/>
    <w:rsid w:val="00361C45"/>
    <w:rsid w:val="003768AA"/>
    <w:rsid w:val="003835A6"/>
    <w:rsid w:val="003A0FE1"/>
    <w:rsid w:val="003B3B08"/>
    <w:rsid w:val="003C01C8"/>
    <w:rsid w:val="003C559F"/>
    <w:rsid w:val="003E432D"/>
    <w:rsid w:val="003E5DB6"/>
    <w:rsid w:val="003E72E3"/>
    <w:rsid w:val="003F47FB"/>
    <w:rsid w:val="003F5F62"/>
    <w:rsid w:val="00410D3B"/>
    <w:rsid w:val="004116F2"/>
    <w:rsid w:val="0041702B"/>
    <w:rsid w:val="0044443F"/>
    <w:rsid w:val="004607FE"/>
    <w:rsid w:val="004934AA"/>
    <w:rsid w:val="00494F2D"/>
    <w:rsid w:val="0049588C"/>
    <w:rsid w:val="004966E3"/>
    <w:rsid w:val="004A2235"/>
    <w:rsid w:val="004B6F15"/>
    <w:rsid w:val="004C126E"/>
    <w:rsid w:val="004C1353"/>
    <w:rsid w:val="004C5ACA"/>
    <w:rsid w:val="004E595E"/>
    <w:rsid w:val="00520E22"/>
    <w:rsid w:val="00523408"/>
    <w:rsid w:val="00533075"/>
    <w:rsid w:val="00537D16"/>
    <w:rsid w:val="005462B5"/>
    <w:rsid w:val="00552138"/>
    <w:rsid w:val="00564F82"/>
    <w:rsid w:val="00572BF0"/>
    <w:rsid w:val="00587DB5"/>
    <w:rsid w:val="005C15CD"/>
    <w:rsid w:val="005E408C"/>
    <w:rsid w:val="005E48D2"/>
    <w:rsid w:val="00601D7E"/>
    <w:rsid w:val="00602EF3"/>
    <w:rsid w:val="00616602"/>
    <w:rsid w:val="00617628"/>
    <w:rsid w:val="0062134B"/>
    <w:rsid w:val="00650F92"/>
    <w:rsid w:val="00682A14"/>
    <w:rsid w:val="0069489E"/>
    <w:rsid w:val="006A22E4"/>
    <w:rsid w:val="006A4E9E"/>
    <w:rsid w:val="006B2100"/>
    <w:rsid w:val="006F2512"/>
    <w:rsid w:val="0070729A"/>
    <w:rsid w:val="00720A5F"/>
    <w:rsid w:val="00726F28"/>
    <w:rsid w:val="00731141"/>
    <w:rsid w:val="00743024"/>
    <w:rsid w:val="00743375"/>
    <w:rsid w:val="00751F4A"/>
    <w:rsid w:val="0076356B"/>
    <w:rsid w:val="00771395"/>
    <w:rsid w:val="007920EF"/>
    <w:rsid w:val="007A6A4B"/>
    <w:rsid w:val="007B7FF8"/>
    <w:rsid w:val="007D2C65"/>
    <w:rsid w:val="007E0EE8"/>
    <w:rsid w:val="007F0E31"/>
    <w:rsid w:val="007F1233"/>
    <w:rsid w:val="007F2B81"/>
    <w:rsid w:val="00810B33"/>
    <w:rsid w:val="008230EF"/>
    <w:rsid w:val="0083177C"/>
    <w:rsid w:val="00841FFB"/>
    <w:rsid w:val="00847A1B"/>
    <w:rsid w:val="00850804"/>
    <w:rsid w:val="00863A22"/>
    <w:rsid w:val="00871BC7"/>
    <w:rsid w:val="00876365"/>
    <w:rsid w:val="008B15E0"/>
    <w:rsid w:val="008F7799"/>
    <w:rsid w:val="00912E75"/>
    <w:rsid w:val="00925D1F"/>
    <w:rsid w:val="00955D97"/>
    <w:rsid w:val="0096246F"/>
    <w:rsid w:val="009652D2"/>
    <w:rsid w:val="00983746"/>
    <w:rsid w:val="0099544E"/>
    <w:rsid w:val="009A3DB3"/>
    <w:rsid w:val="009B35F6"/>
    <w:rsid w:val="009D509B"/>
    <w:rsid w:val="009D6984"/>
    <w:rsid w:val="009E3CFC"/>
    <w:rsid w:val="009E445C"/>
    <w:rsid w:val="00A24FF2"/>
    <w:rsid w:val="00A271A6"/>
    <w:rsid w:val="00A64601"/>
    <w:rsid w:val="00A87EB4"/>
    <w:rsid w:val="00AA0177"/>
    <w:rsid w:val="00AA4FD2"/>
    <w:rsid w:val="00AB6A67"/>
    <w:rsid w:val="00AC6804"/>
    <w:rsid w:val="00B05FAE"/>
    <w:rsid w:val="00B13A54"/>
    <w:rsid w:val="00B23CE7"/>
    <w:rsid w:val="00B4386D"/>
    <w:rsid w:val="00B61ABE"/>
    <w:rsid w:val="00B62DB6"/>
    <w:rsid w:val="00B95591"/>
    <w:rsid w:val="00BB4010"/>
    <w:rsid w:val="00BD0326"/>
    <w:rsid w:val="00BE3155"/>
    <w:rsid w:val="00BF100E"/>
    <w:rsid w:val="00C1601B"/>
    <w:rsid w:val="00C45F65"/>
    <w:rsid w:val="00C50F41"/>
    <w:rsid w:val="00C51F30"/>
    <w:rsid w:val="00C53BBA"/>
    <w:rsid w:val="00C57F84"/>
    <w:rsid w:val="00C626EA"/>
    <w:rsid w:val="00C67857"/>
    <w:rsid w:val="00C707DD"/>
    <w:rsid w:val="00C745F3"/>
    <w:rsid w:val="00C748E5"/>
    <w:rsid w:val="00C8389E"/>
    <w:rsid w:val="00C86A96"/>
    <w:rsid w:val="00C93660"/>
    <w:rsid w:val="00CA1AD5"/>
    <w:rsid w:val="00CB02E5"/>
    <w:rsid w:val="00CB63D3"/>
    <w:rsid w:val="00CE0A7A"/>
    <w:rsid w:val="00CE13F5"/>
    <w:rsid w:val="00CE75C4"/>
    <w:rsid w:val="00D0642C"/>
    <w:rsid w:val="00D35F13"/>
    <w:rsid w:val="00D44A3D"/>
    <w:rsid w:val="00DB42FE"/>
    <w:rsid w:val="00DE187F"/>
    <w:rsid w:val="00DE47BB"/>
    <w:rsid w:val="00DE6C09"/>
    <w:rsid w:val="00DF42CF"/>
    <w:rsid w:val="00E00A24"/>
    <w:rsid w:val="00E30D90"/>
    <w:rsid w:val="00E34B3E"/>
    <w:rsid w:val="00E34DC4"/>
    <w:rsid w:val="00E35594"/>
    <w:rsid w:val="00E60DE6"/>
    <w:rsid w:val="00E83ABC"/>
    <w:rsid w:val="00E97D36"/>
    <w:rsid w:val="00EB0D5C"/>
    <w:rsid w:val="00EB48F5"/>
    <w:rsid w:val="00EC7387"/>
    <w:rsid w:val="00EE35B8"/>
    <w:rsid w:val="00EF1B97"/>
    <w:rsid w:val="00F105D0"/>
    <w:rsid w:val="00F10F0C"/>
    <w:rsid w:val="00F22141"/>
    <w:rsid w:val="00F63BEB"/>
    <w:rsid w:val="00F908B9"/>
    <w:rsid w:val="00F9369B"/>
    <w:rsid w:val="00F94BDE"/>
    <w:rsid w:val="00FA3E08"/>
    <w:rsid w:val="00FA4C24"/>
    <w:rsid w:val="00FE6754"/>
    <w:rsid w:val="00FF385E"/>
    <w:rsid w:val="078F07C4"/>
    <w:rsid w:val="161A0C71"/>
    <w:rsid w:val="1ED93833"/>
    <w:rsid w:val="2D9A0826"/>
    <w:rsid w:val="66D736C0"/>
    <w:rsid w:val="69F250D2"/>
    <w:rsid w:val="7B0B2D94"/>
  </w:rsids>
  <m:mathPr>
    <m:mathFont m:val="Cambria Math"/>
    <m:brkBin m:val="before"/>
    <m:brkBinSub m:val="--"/>
    <m:smallFrac m:val="0"/>
    <m:dispDef/>
    <m:lMargin m:val="0"/>
    <m:rMargin m:val="0"/>
    <m:defJc m:val="centerGroup"/>
    <m:wrapIndent m:val="1440"/>
    <m:intLim m:val="subSup"/>
    <m:naryLim m:val="undOvr"/>
  </m:mathPr>
  <w:themeFontLang w:val="en-IN" w:eastAsia="zh-CN" w:bidi="te-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ind w:firstLine="720"/>
      <w:jc w:val="both"/>
    </w:pPr>
    <w:rPr>
      <w:rFonts w:ascii="Times New Roman" w:hAnsi="Times New Roman" w:eastAsiaTheme="minorHAnsi" w:cstheme="minorBidi"/>
      <w:sz w:val="24"/>
      <w:szCs w:val="22"/>
      <w:lang w:val="en-IN" w:eastAsia="en-US" w:bidi="ar-SA"/>
    </w:rPr>
  </w:style>
  <w:style w:type="paragraph" w:styleId="2">
    <w:name w:val="heading 1"/>
    <w:basedOn w:val="1"/>
    <w:next w:val="1"/>
    <w:link w:val="15"/>
    <w:qFormat/>
    <w:uiPriority w:val="9"/>
    <w:pPr>
      <w:keepNext/>
      <w:keepLines/>
      <w:spacing w:before="240"/>
      <w:ind w:firstLine="0"/>
      <w:jc w:val="left"/>
      <w:outlineLvl w:val="0"/>
    </w:pPr>
    <w:rPr>
      <w:rFonts w:eastAsiaTheme="majorEastAsia" w:cstheme="majorBidi"/>
      <w:b/>
      <w:color w:val="000000" w:themeColor="text1"/>
      <w:szCs w:val="32"/>
      <w14:textFill>
        <w14:solidFill>
          <w14:schemeClr w14:val="tx1"/>
        </w14:solidFill>
      </w14:textFill>
    </w:rPr>
  </w:style>
  <w:style w:type="paragraph" w:styleId="3">
    <w:name w:val="heading 2"/>
    <w:basedOn w:val="1"/>
    <w:next w:val="1"/>
    <w:link w:val="16"/>
    <w:unhideWhenUsed/>
    <w:qFormat/>
    <w:uiPriority w:val="9"/>
    <w:pPr>
      <w:keepNext/>
      <w:keepLines/>
      <w:spacing w:before="40" w:after="0"/>
      <w:ind w:firstLine="0"/>
      <w:jc w:val="left"/>
      <w:outlineLvl w:val="1"/>
    </w:pPr>
    <w:rPr>
      <w:rFonts w:eastAsiaTheme="majorEastAsia" w:cstheme="majorBidi"/>
      <w:b/>
      <w:color w:val="000000" w:themeColor="text1"/>
      <w:szCs w:val="26"/>
      <w14:textFill>
        <w14:solidFill>
          <w14:schemeClr w14:val="tx1"/>
        </w14:solidFill>
      </w14:textFill>
    </w:rPr>
  </w:style>
  <w:style w:type="paragraph" w:styleId="4">
    <w:name w:val="heading 3"/>
    <w:basedOn w:val="1"/>
    <w:next w:val="1"/>
    <w:link w:val="18"/>
    <w:unhideWhenUsed/>
    <w:qFormat/>
    <w:uiPriority w:val="9"/>
    <w:pPr>
      <w:keepNext/>
      <w:keepLines/>
      <w:spacing w:after="0"/>
      <w:ind w:firstLine="360"/>
      <w:jc w:val="left"/>
      <w:outlineLvl w:val="2"/>
    </w:pPr>
    <w:rPr>
      <w:rFonts w:eastAsiaTheme="majorEastAsia" w:cstheme="majorBidi"/>
      <w:b/>
      <w:color w:val="000000" w:themeColor="text1"/>
      <w:szCs w:val="24"/>
      <w14:textFill>
        <w14:solidFill>
          <w14:schemeClr w14:val="tx1"/>
        </w14:solidFill>
      </w14:textFill>
    </w:rPr>
  </w:style>
  <w:style w:type="character" w:default="1" w:styleId="13">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uiPriority w:val="39"/>
    <w:pPr>
      <w:spacing w:after="100"/>
      <w:ind w:left="480"/>
    </w:pPr>
  </w:style>
  <w:style w:type="paragraph" w:styleId="6">
    <w:name w:val="Balloon Text"/>
    <w:basedOn w:val="1"/>
    <w:link w:val="23"/>
    <w:semiHidden/>
    <w:unhideWhenUsed/>
    <w:uiPriority w:val="99"/>
    <w:pPr>
      <w:spacing w:after="0" w:line="240" w:lineRule="auto"/>
    </w:pPr>
    <w:rPr>
      <w:rFonts w:ascii="Tahoma" w:hAnsi="Tahoma" w:cs="Tahoma"/>
      <w:sz w:val="16"/>
      <w:szCs w:val="16"/>
    </w:rPr>
  </w:style>
  <w:style w:type="paragraph" w:styleId="7">
    <w:name w:val="footer"/>
    <w:basedOn w:val="1"/>
    <w:link w:val="21"/>
    <w:unhideWhenUsed/>
    <w:uiPriority w:val="99"/>
    <w:pPr>
      <w:tabs>
        <w:tab w:val="center" w:pos="4513"/>
        <w:tab w:val="right" w:pos="9026"/>
      </w:tabs>
      <w:spacing w:after="0" w:line="240" w:lineRule="auto"/>
    </w:pPr>
  </w:style>
  <w:style w:type="paragraph" w:styleId="8">
    <w:name w:val="header"/>
    <w:basedOn w:val="1"/>
    <w:link w:val="20"/>
    <w:unhideWhenUsed/>
    <w:uiPriority w:val="99"/>
    <w:pPr>
      <w:tabs>
        <w:tab w:val="center" w:pos="4513"/>
        <w:tab w:val="right" w:pos="9026"/>
      </w:tabs>
      <w:spacing w:after="0" w:line="240" w:lineRule="auto"/>
    </w:pPr>
  </w:style>
  <w:style w:type="paragraph" w:styleId="9">
    <w:name w:val="toc 1"/>
    <w:basedOn w:val="1"/>
    <w:next w:val="1"/>
    <w:unhideWhenUsed/>
    <w:qFormat/>
    <w:uiPriority w:val="39"/>
    <w:pPr>
      <w:spacing w:after="100"/>
    </w:pPr>
  </w:style>
  <w:style w:type="paragraph" w:styleId="10">
    <w:name w:val="toc 2"/>
    <w:basedOn w:val="1"/>
    <w:next w:val="1"/>
    <w:unhideWhenUsed/>
    <w:uiPriority w:val="39"/>
    <w:pPr>
      <w:spacing w:after="100"/>
      <w:ind w:left="240"/>
    </w:pPr>
  </w:style>
  <w:style w:type="table" w:styleId="12">
    <w:name w:val="Table Grid"/>
    <w:basedOn w:val="11"/>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Hyperlink"/>
    <w:basedOn w:val="13"/>
    <w:unhideWhenUsed/>
    <w:uiPriority w:val="99"/>
    <w:rPr>
      <w:color w:val="0563C1" w:themeColor="hyperlink"/>
      <w:u w:val="single"/>
      <w14:textFill>
        <w14:solidFill>
          <w14:schemeClr w14:val="hlink"/>
        </w14:solidFill>
      </w14:textFill>
    </w:rPr>
  </w:style>
  <w:style w:type="character" w:customStyle="1" w:styleId="15">
    <w:name w:val="Heading 1 Char"/>
    <w:basedOn w:val="13"/>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character" w:customStyle="1" w:styleId="16">
    <w:name w:val="Heading 2 Char"/>
    <w:basedOn w:val="13"/>
    <w:link w:val="3"/>
    <w:uiPriority w:val="9"/>
    <w:rPr>
      <w:rFonts w:ascii="Times New Roman" w:hAnsi="Times New Roman" w:eastAsiaTheme="majorEastAsia" w:cstheme="majorBidi"/>
      <w:b/>
      <w:color w:val="000000" w:themeColor="text1"/>
      <w:sz w:val="24"/>
      <w:szCs w:val="26"/>
      <w14:textFill>
        <w14:solidFill>
          <w14:schemeClr w14:val="tx1"/>
        </w14:solidFill>
      </w14:textFill>
    </w:rPr>
  </w:style>
  <w:style w:type="paragraph" w:customStyle="1" w:styleId="17">
    <w:name w:val="Style1"/>
    <w:basedOn w:val="4"/>
    <w:link w:val="19"/>
    <w:qFormat/>
    <w:uiPriority w:val="0"/>
    <w:rPr>
      <w:b w:val="0"/>
    </w:rPr>
  </w:style>
  <w:style w:type="character" w:customStyle="1" w:styleId="18">
    <w:name w:val="Heading 3 Char"/>
    <w:basedOn w:val="13"/>
    <w:link w:val="4"/>
    <w:qFormat/>
    <w:uiPriority w:val="9"/>
    <w:rPr>
      <w:rFonts w:ascii="Times New Roman" w:hAnsi="Times New Roman" w:eastAsiaTheme="majorEastAsia" w:cstheme="majorBidi"/>
      <w:b/>
      <w:color w:val="000000" w:themeColor="text1"/>
      <w:sz w:val="24"/>
      <w:szCs w:val="24"/>
      <w14:textFill>
        <w14:solidFill>
          <w14:schemeClr w14:val="tx1"/>
        </w14:solidFill>
      </w14:textFill>
    </w:rPr>
  </w:style>
  <w:style w:type="character" w:customStyle="1" w:styleId="19">
    <w:name w:val="Style1 Char"/>
    <w:basedOn w:val="18"/>
    <w:link w:val="17"/>
    <w:uiPriority w:val="0"/>
    <w:rPr>
      <w:rFonts w:ascii="Times New Roman" w:hAnsi="Times New Roman" w:eastAsiaTheme="majorEastAsia" w:cstheme="majorBidi"/>
      <w:b w:val="0"/>
      <w:color w:val="000000" w:themeColor="text1"/>
      <w:sz w:val="24"/>
      <w:szCs w:val="24"/>
      <w14:textFill>
        <w14:solidFill>
          <w14:schemeClr w14:val="tx1"/>
        </w14:solidFill>
      </w14:textFill>
    </w:rPr>
  </w:style>
  <w:style w:type="character" w:customStyle="1" w:styleId="20">
    <w:name w:val="Header Char"/>
    <w:basedOn w:val="13"/>
    <w:link w:val="8"/>
    <w:uiPriority w:val="99"/>
    <w:rPr>
      <w:rFonts w:ascii="Times New Roman" w:hAnsi="Times New Roman"/>
      <w:sz w:val="24"/>
    </w:rPr>
  </w:style>
  <w:style w:type="character" w:customStyle="1" w:styleId="21">
    <w:name w:val="Footer Char"/>
    <w:basedOn w:val="13"/>
    <w:link w:val="7"/>
    <w:uiPriority w:val="99"/>
    <w:rPr>
      <w:rFonts w:ascii="Times New Roman" w:hAnsi="Times New Roman"/>
      <w:sz w:val="24"/>
    </w:rPr>
  </w:style>
  <w:style w:type="paragraph" w:customStyle="1" w:styleId="22">
    <w:name w:val="TOC Heading"/>
    <w:basedOn w:val="2"/>
    <w:next w:val="1"/>
    <w:unhideWhenUsed/>
    <w:qFormat/>
    <w:uiPriority w:val="39"/>
    <w:pPr>
      <w:spacing w:after="0" w:line="259" w:lineRule="auto"/>
      <w:outlineLvl w:val="9"/>
    </w:pPr>
    <w:rPr>
      <w:rFonts w:asciiTheme="majorHAnsi" w:hAnsiTheme="majorHAnsi"/>
      <w:b w:val="0"/>
      <w:color w:val="2E75B6" w:themeColor="accent1" w:themeShade="BF"/>
      <w:sz w:val="32"/>
      <w:lang w:val="en-US"/>
    </w:rPr>
  </w:style>
  <w:style w:type="character" w:customStyle="1" w:styleId="23">
    <w:name w:val="Balloon Text Char"/>
    <w:basedOn w:val="13"/>
    <w:link w:val="6"/>
    <w:semiHidden/>
    <w:uiPriority w:val="99"/>
    <w:rPr>
      <w:rFonts w:ascii="Tahoma" w:hAnsi="Tahoma" w:cs="Tahoma"/>
      <w:sz w:val="16"/>
      <w:szCs w:val="16"/>
    </w:rPr>
  </w:style>
  <w:style w:type="paragraph" w:styleId="24">
    <w:name w:val="List Paragraph"/>
    <w:basedOn w:val="1"/>
    <w:qFormat/>
    <w:uiPriority w:val="34"/>
    <w:pPr>
      <w:ind w:left="720"/>
      <w:contextualSpacing/>
    </w:pPr>
  </w:style>
  <w:style w:type="character" w:customStyle="1" w:styleId="25">
    <w:name w:val="_"/>
    <w:basedOn w:val="13"/>
    <w:uiPriority w:val="0"/>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theme" Target="theme/theme1.xml"/><Relationship Id="rId10" Type="http://schemas.openxmlformats.org/officeDocument/2006/relationships/footer" Target="footer6.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10CA209-DA08-424C-AA1C-9DFACB0C6252}">
  <ds:schemaRefs/>
</ds:datastoreItem>
</file>

<file path=docProps/app.xml><?xml version="1.0" encoding="utf-8"?>
<Properties xmlns="http://schemas.openxmlformats.org/officeDocument/2006/extended-properties" xmlns:vt="http://schemas.openxmlformats.org/officeDocument/2006/docPropsVTypes">
  <Template>Normal.dotm</Template>
  <Pages>13</Pages>
  <Words>3387</Words>
  <Characters>20261</Characters>
  <Lines>397</Lines>
  <Paragraphs>116</Paragraphs>
  <TotalTime>1</TotalTime>
  <ScaleCrop>false</ScaleCrop>
  <LinksUpToDate>false</LinksUpToDate>
  <CharactersWithSpaces>23532</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2020-04-29T19:26:00Z</dcterms:created>
  <dc:creator>Andy</dc:creator>
  <cp:lastModifiedBy>Andy</cp:lastModifiedBy>
  <dcterms:modified xsi:type="dcterms:W3CDTF">2020-05-14T17:21:39Z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