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50" w:type="dxa"/>
        <w:tblLook w:val="04A0" w:firstRow="1" w:lastRow="0" w:firstColumn="1" w:lastColumn="0" w:noHBand="0" w:noVBand="1"/>
      </w:tblPr>
      <w:tblGrid>
        <w:gridCol w:w="4643"/>
        <w:gridCol w:w="4643"/>
        <w:gridCol w:w="364"/>
      </w:tblGrid>
      <w:tr w:rsidR="000F3639" w14:paraId="2B6A3B68" w14:textId="77777777" w:rsidTr="000F3639">
        <w:trPr>
          <w:trHeight w:val="1203"/>
        </w:trPr>
        <w:tc>
          <w:tcPr>
            <w:tcW w:w="4643" w:type="dxa"/>
          </w:tcPr>
          <w:p w14:paraId="5E5FB7EB" w14:textId="7946E6BC" w:rsidR="000F3639" w:rsidRPr="000F3639" w:rsidRDefault="000F3639">
            <w:pPr>
              <w:rPr>
                <w:rFonts w:asciiTheme="minorHAnsi" w:hAnsiTheme="minorHAnsi" w:cstheme="minorHAnsi"/>
                <w:sz w:val="24"/>
                <w:szCs w:val="24"/>
              </w:rPr>
            </w:pPr>
            <w:r w:rsidRPr="000F3639">
              <w:rPr>
                <w:rFonts w:asciiTheme="minorHAnsi" w:hAnsiTheme="minorHAnsi" w:cstheme="minorHAnsi"/>
                <w:sz w:val="24"/>
                <w:szCs w:val="24"/>
              </w:rPr>
              <w:t xml:space="preserve">Target 1 </w:t>
            </w:r>
          </w:p>
        </w:tc>
        <w:tc>
          <w:tcPr>
            <w:tcW w:w="4643" w:type="dxa"/>
          </w:tcPr>
          <w:p w14:paraId="191F9B33" w14:textId="27AF9666" w:rsidR="000F3639" w:rsidRPr="000F3639" w:rsidRDefault="000F3639">
            <w:pPr>
              <w:rPr>
                <w:rFonts w:asciiTheme="minorHAnsi" w:hAnsiTheme="minorHAnsi" w:cstheme="minorHAnsi"/>
                <w:sz w:val="24"/>
                <w:szCs w:val="24"/>
              </w:rPr>
            </w:pPr>
            <w:r w:rsidRPr="000F3639">
              <w:rPr>
                <w:rFonts w:asciiTheme="minorHAnsi" w:hAnsiTheme="minorHAnsi" w:cstheme="minorHAnsi"/>
                <w:sz w:val="24"/>
                <w:szCs w:val="24"/>
              </w:rPr>
              <w:t xml:space="preserve">Ensure that you read and understand the question so that you can ensure that your response answers the question fully. </w:t>
            </w:r>
          </w:p>
        </w:tc>
        <w:tc>
          <w:tcPr>
            <w:tcW w:w="364" w:type="dxa"/>
          </w:tcPr>
          <w:p w14:paraId="6C91AB6C" w14:textId="77777777" w:rsidR="000F3639" w:rsidRDefault="000F3639">
            <w:pPr>
              <w:rPr>
                <w:rFonts w:cstheme="minorHAnsi"/>
              </w:rPr>
            </w:pPr>
          </w:p>
        </w:tc>
      </w:tr>
      <w:tr w:rsidR="000F3639" w14:paraId="4D64089D" w14:textId="77777777" w:rsidTr="000F3639">
        <w:trPr>
          <w:trHeight w:val="602"/>
        </w:trPr>
        <w:tc>
          <w:tcPr>
            <w:tcW w:w="4643" w:type="dxa"/>
          </w:tcPr>
          <w:p w14:paraId="2575D149" w14:textId="50EEB1CA" w:rsidR="000F3639" w:rsidRPr="000F3639" w:rsidRDefault="000F3639">
            <w:pPr>
              <w:rPr>
                <w:rFonts w:asciiTheme="minorHAnsi" w:hAnsiTheme="minorHAnsi" w:cstheme="minorHAnsi"/>
                <w:sz w:val="24"/>
                <w:szCs w:val="24"/>
              </w:rPr>
            </w:pPr>
            <w:r w:rsidRPr="000F3639">
              <w:rPr>
                <w:rFonts w:asciiTheme="minorHAnsi" w:hAnsiTheme="minorHAnsi" w:cstheme="minorHAnsi"/>
                <w:sz w:val="24"/>
                <w:szCs w:val="24"/>
              </w:rPr>
              <w:t>Target 2</w:t>
            </w:r>
          </w:p>
        </w:tc>
        <w:tc>
          <w:tcPr>
            <w:tcW w:w="4643" w:type="dxa"/>
          </w:tcPr>
          <w:p w14:paraId="33EAA274" w14:textId="1DC642C4" w:rsidR="000F3639" w:rsidRPr="000F3639" w:rsidRDefault="000F3639">
            <w:pPr>
              <w:rPr>
                <w:rFonts w:asciiTheme="minorHAnsi" w:hAnsiTheme="minorHAnsi" w:cstheme="minorHAnsi"/>
                <w:sz w:val="24"/>
                <w:szCs w:val="24"/>
              </w:rPr>
            </w:pPr>
            <w:r w:rsidRPr="000F3639">
              <w:rPr>
                <w:rFonts w:asciiTheme="minorHAnsi" w:hAnsiTheme="minorHAnsi" w:cstheme="minorHAnsi"/>
                <w:sz w:val="24"/>
                <w:szCs w:val="24"/>
              </w:rPr>
              <w:t>Check that all assertions are linked to appropriate reading.</w:t>
            </w:r>
          </w:p>
        </w:tc>
        <w:tc>
          <w:tcPr>
            <w:tcW w:w="364" w:type="dxa"/>
          </w:tcPr>
          <w:p w14:paraId="4B671A2D" w14:textId="77777777" w:rsidR="000F3639" w:rsidRDefault="000F3639">
            <w:pPr>
              <w:rPr>
                <w:rFonts w:cstheme="minorHAnsi"/>
              </w:rPr>
            </w:pPr>
          </w:p>
        </w:tc>
      </w:tr>
      <w:tr w:rsidR="000F3639" w14:paraId="61E84536" w14:textId="77777777" w:rsidTr="000F3639">
        <w:trPr>
          <w:trHeight w:val="1492"/>
        </w:trPr>
        <w:tc>
          <w:tcPr>
            <w:tcW w:w="4643" w:type="dxa"/>
          </w:tcPr>
          <w:p w14:paraId="11AB47D4" w14:textId="236309E9" w:rsidR="000F3639" w:rsidRPr="000F3639" w:rsidRDefault="000F3639">
            <w:pPr>
              <w:rPr>
                <w:rFonts w:asciiTheme="minorHAnsi" w:hAnsiTheme="minorHAnsi" w:cstheme="minorHAnsi"/>
                <w:sz w:val="24"/>
                <w:szCs w:val="24"/>
              </w:rPr>
            </w:pPr>
            <w:r w:rsidRPr="000F3639">
              <w:rPr>
                <w:rFonts w:asciiTheme="minorHAnsi" w:hAnsiTheme="minorHAnsi" w:cstheme="minorHAnsi"/>
                <w:sz w:val="24"/>
                <w:szCs w:val="24"/>
              </w:rPr>
              <w:t>Target 3</w:t>
            </w:r>
          </w:p>
        </w:tc>
        <w:tc>
          <w:tcPr>
            <w:tcW w:w="4643" w:type="dxa"/>
          </w:tcPr>
          <w:p w14:paraId="72EF4CDB" w14:textId="2A3219A2" w:rsidR="000F3639" w:rsidRPr="000F3639" w:rsidRDefault="000F3639">
            <w:pPr>
              <w:rPr>
                <w:rFonts w:asciiTheme="minorHAnsi" w:hAnsiTheme="minorHAnsi" w:cstheme="minorHAnsi"/>
                <w:sz w:val="24"/>
                <w:szCs w:val="24"/>
              </w:rPr>
            </w:pPr>
            <w:r w:rsidRPr="000F3639">
              <w:rPr>
                <w:rFonts w:asciiTheme="minorHAnsi" w:hAnsiTheme="minorHAnsi" w:cstheme="minorHAnsi"/>
                <w:sz w:val="24"/>
                <w:szCs w:val="24"/>
              </w:rPr>
              <w:t>To find further literature to support and argue a point of view and then engage with them purposefully within your response. Use module reading list to support</w:t>
            </w:r>
          </w:p>
        </w:tc>
        <w:tc>
          <w:tcPr>
            <w:tcW w:w="364" w:type="dxa"/>
          </w:tcPr>
          <w:p w14:paraId="61645A47" w14:textId="77777777" w:rsidR="000F3639" w:rsidRDefault="000F3639">
            <w:pPr>
              <w:rPr>
                <w:rFonts w:cstheme="minorHAnsi"/>
              </w:rPr>
            </w:pPr>
          </w:p>
        </w:tc>
      </w:tr>
    </w:tbl>
    <w:p w14:paraId="60245D45" w14:textId="77777777" w:rsidR="000F3639" w:rsidRDefault="000F3639">
      <w:pPr>
        <w:rPr>
          <w:rFonts w:cstheme="minorHAnsi"/>
        </w:rPr>
      </w:pPr>
    </w:p>
    <w:p w14:paraId="1D64DA46" w14:textId="77777777" w:rsidR="000F3639" w:rsidRDefault="000F3639">
      <w:pPr>
        <w:rPr>
          <w:rFonts w:cstheme="minorHAnsi"/>
        </w:rPr>
      </w:pPr>
    </w:p>
    <w:p w14:paraId="5789C9F7" w14:textId="6E1B0392" w:rsidR="00E273F9" w:rsidRPr="00E273F9" w:rsidRDefault="00E273F9">
      <w:pPr>
        <w:rPr>
          <w:rFonts w:cstheme="minorHAnsi"/>
        </w:rPr>
      </w:pPr>
      <w:r w:rsidRPr="00E273F9">
        <w:rPr>
          <w:rFonts w:cstheme="minorHAnsi"/>
        </w:rPr>
        <w:t>ECAD 4014</w:t>
      </w:r>
    </w:p>
    <w:p w14:paraId="552F50AE" w14:textId="77777777" w:rsidR="00E273F9" w:rsidRPr="00E273F9" w:rsidRDefault="00E273F9">
      <w:pPr>
        <w:rPr>
          <w:rFonts w:cstheme="minorHAnsi"/>
        </w:rPr>
      </w:pPr>
    </w:p>
    <w:p w14:paraId="58EA3C4F" w14:textId="77777777" w:rsidR="00E273F9" w:rsidRPr="00E273F9" w:rsidRDefault="00E273F9" w:rsidP="00E273F9">
      <w:pPr>
        <w:rPr>
          <w:rFonts w:eastAsia="Arial Nova" w:cstheme="minorHAnsi"/>
          <w:b/>
          <w:bCs/>
          <w:color w:val="000000" w:themeColor="text1"/>
          <w:u w:val="single"/>
        </w:rPr>
      </w:pPr>
      <w:r w:rsidRPr="00E273F9">
        <w:rPr>
          <w:rFonts w:eastAsia="Arial Nova" w:cstheme="minorHAnsi"/>
          <w:b/>
          <w:bCs/>
          <w:color w:val="000000" w:themeColor="text1"/>
          <w:u w:val="single"/>
          <w:lang w:val="en-US"/>
        </w:rPr>
        <w:t>Demonstrate how cross-curricular teaching and learning can influence in-depth skills and understanding. Underpin this with reference to relevant research, a detailed lesson plan and an enhanced provision material.</w:t>
      </w:r>
    </w:p>
    <w:p w14:paraId="404BC53F" w14:textId="77777777" w:rsidR="00E273F9" w:rsidRDefault="00E273F9"/>
    <w:p w14:paraId="27A76DB9" w14:textId="04923943" w:rsidR="00E273F9" w:rsidRDefault="00E273F9">
      <w:pPr>
        <w:rPr>
          <w:b/>
          <w:bCs/>
          <w:u w:val="single"/>
        </w:rPr>
      </w:pPr>
      <w:r>
        <w:rPr>
          <w:b/>
          <w:bCs/>
          <w:u w:val="single"/>
        </w:rPr>
        <w:t xml:space="preserve">Introduction </w:t>
      </w:r>
    </w:p>
    <w:p w14:paraId="5B26B3FE" w14:textId="3E7658F2" w:rsidR="00E273F9" w:rsidRDefault="00E273F9">
      <w:pPr>
        <w:rPr>
          <w:b/>
          <w:bCs/>
          <w:u w:val="single"/>
        </w:rPr>
      </w:pPr>
    </w:p>
    <w:p w14:paraId="23C3DCB1" w14:textId="0F9A8086" w:rsidR="00E92DB1" w:rsidRDefault="00E273F9">
      <w:r>
        <w:t xml:space="preserve">In this assignment the writer </w:t>
      </w:r>
      <w:r w:rsidR="00694FDB">
        <w:t>will outline the prospects and challenges that influence the education and cross curricular learning within the school using the applicable literature including reports from HWB</w:t>
      </w:r>
      <w:r w:rsidR="00E92DB1">
        <w:t xml:space="preserve">. </w:t>
      </w:r>
      <w:r w:rsidR="000F3639">
        <w:t xml:space="preserve">Cross-curricular learning consists of patterns of information between various academic subjects. This can allow learners to develop different knowledge, understanding and practical skills through interconnected topics. (Anon, 2022, Twinkl.co.uk) </w:t>
      </w:r>
      <w:r w:rsidR="009F5D6C">
        <w:t>Considering the weaknesses to cross curricular learning, there may be a lack of understanding between student teachers that can lead to inconsistency between the</w:t>
      </w:r>
      <w:r w:rsidR="00B8621A">
        <w:t>ir initial perception of the practice and their</w:t>
      </w:r>
      <w:r w:rsidR="00665EFB">
        <w:t xml:space="preserve"> direct</w:t>
      </w:r>
      <w:r w:rsidR="00B8621A">
        <w:t xml:space="preserve"> experience of it. Additional faults within the curriculum include changes </w:t>
      </w:r>
      <w:r w:rsidR="00665EFB">
        <w:t xml:space="preserve">in education policies and government urgencies may contribute to a negative effect on the application of cross-curricular approaches. (Anon, </w:t>
      </w:r>
      <w:proofErr w:type="spellStart"/>
      <w:r w:rsidR="00665EFB">
        <w:t>SciSpace</w:t>
      </w:r>
      <w:proofErr w:type="spellEnd"/>
      <w:r w:rsidR="00665EFB">
        <w:t xml:space="preserve">-Question) </w:t>
      </w:r>
      <w:r w:rsidR="00767845">
        <w:t xml:space="preserve">On the contrast </w:t>
      </w:r>
      <w:r w:rsidR="001E2FBE">
        <w:t xml:space="preserve">strengths that can be found in the new curriculum include </w:t>
      </w:r>
      <w:r w:rsidR="0036368B">
        <w:t>‘</w:t>
      </w:r>
      <w:r w:rsidR="001E2FBE">
        <w:t>broadening of learning, supporting settings and schools in being flexible in their teaching approaches</w:t>
      </w:r>
      <w:r w:rsidR="0036368B">
        <w:t xml:space="preserve"> and aims to provide educational learners and practitioner with greater agency, enabling them to be more innovative and creative.’ (Anon, 2019, curriculum for Wales) </w:t>
      </w:r>
      <w:r w:rsidR="002D1893">
        <w:t>The writer has chosen minibeasts as the topic</w:t>
      </w:r>
      <w:r w:rsidR="00E92DB1">
        <w:t xml:space="preserve"> </w:t>
      </w:r>
      <w:r w:rsidR="000F3639">
        <w:t xml:space="preserve">for this assignment which will include a range of predominantly outdoor activities with the learning objective being ‘To recognise and name mini </w:t>
      </w:r>
      <w:proofErr w:type="gramStart"/>
      <w:r w:rsidR="000F3639">
        <w:t>beasts’</w:t>
      </w:r>
      <w:proofErr w:type="gramEnd"/>
      <w:r w:rsidR="000F3639">
        <w:t xml:space="preserve">. The activity the writer has produced for the reception class is an outdoor session with a reception class that includes the use of a tally chart. The task includes a group of eight to ten children using magnifying glasses, a tally chart and pencil. To explain the task to the children, the writer will sit on the carpet and give a brief overview on what is expected of the children and how to complete the task. The writer will then model the task outside to give a visual explanation on the task for the children. The children will use the reception outdoor play area to go on a hunt for the different mini beasts in the yard either in pairs, all together or on their own, making a tally of the ones that they find. The tally chart will have a picture of the mini beasts that can be found in the yard to ensure the children are able to recognise where to put the correct tally when a discovery is found. The writer will </w:t>
      </w:r>
      <w:r w:rsidR="000F3639">
        <w:lastRenderedPageBreak/>
        <w:t xml:space="preserve">encourage the children to count as they go asking them which mini </w:t>
      </w:r>
      <w:proofErr w:type="gramStart"/>
      <w:r w:rsidR="000F3639">
        <w:t>beasts</w:t>
      </w:r>
      <w:proofErr w:type="gramEnd"/>
      <w:r w:rsidR="000F3639">
        <w:t xml:space="preserve"> we see the most of, and what ones do we see the least. This activity uses language, literacy and communication skills, along with maths and numeracy skills making this session an example of cross curricular learning. </w:t>
      </w:r>
      <w:r w:rsidR="00FD7BF3">
        <w:t xml:space="preserve">After discussing and reflecting on the </w:t>
      </w:r>
      <w:proofErr w:type="gramStart"/>
      <w:r w:rsidR="00FD7BF3">
        <w:t>writers</w:t>
      </w:r>
      <w:proofErr w:type="gramEnd"/>
      <w:r w:rsidR="00FD7BF3">
        <w:t xml:space="preserve"> lesson plan and how it uses cross curricular teaching, and looking at the advantages and disadvantages of cross curricular teaching, the writer will reveal two ways in which they will use the information in future practise. </w:t>
      </w:r>
    </w:p>
    <w:p w14:paraId="3231C1AE" w14:textId="77777777" w:rsidR="00D15D88" w:rsidRDefault="00D15D88"/>
    <w:p w14:paraId="6144F988" w14:textId="46695A89" w:rsidR="00D15D88" w:rsidRDefault="00D15D88">
      <w:pPr>
        <w:rPr>
          <w:b/>
          <w:bCs/>
          <w:u w:val="single"/>
        </w:rPr>
      </w:pPr>
      <w:r w:rsidRPr="00D15D88">
        <w:rPr>
          <w:b/>
          <w:bCs/>
          <w:u w:val="single"/>
        </w:rPr>
        <w:t xml:space="preserve">Main Body </w:t>
      </w:r>
    </w:p>
    <w:p w14:paraId="3C239CB2" w14:textId="77777777" w:rsidR="00FD7BF3" w:rsidRDefault="00FD7BF3"/>
    <w:p w14:paraId="55E58B1D" w14:textId="43917FBD" w:rsidR="000F3639" w:rsidRPr="000F3639" w:rsidRDefault="000F3639" w:rsidP="000F3639">
      <w:pPr>
        <w:rPr>
          <w:color w:val="000000" w:themeColor="text1"/>
        </w:rPr>
      </w:pPr>
      <w:r>
        <w:t xml:space="preserve">Delving into the advantages of cross curricular teaching, the writer looks at the motivational power that it has on children. This is due to the children being excited about a particular topic or theme, this is then linked to various subjects which promotes learning for the children. </w:t>
      </w:r>
      <w:r>
        <w:t xml:space="preserve">(Matt Watson, 2023, </w:t>
      </w:r>
      <w:proofErr w:type="spellStart"/>
      <w:r>
        <w:t>PlanBee</w:t>
      </w:r>
      <w:proofErr w:type="spellEnd"/>
      <w:r>
        <w:t>)</w:t>
      </w:r>
      <w:r>
        <w:t xml:space="preserve">. Reflecting on previous knowledge and experience the writer draws on their time in school X. In school X the writer was asked by the class teacher to take a group on 10 children outside on a walk and ask the children what different materials they could see around the different school yards. </w:t>
      </w:r>
      <w:r w:rsidR="00FD7BF3">
        <w:t xml:space="preserve">This was done using the app seesaw. The writer and another member of staff was needed in order to record the writer and the children on their findings. The writer </w:t>
      </w:r>
      <w:proofErr w:type="gramStart"/>
      <w:r w:rsidR="00FD7BF3">
        <w:t>prompt</w:t>
      </w:r>
      <w:proofErr w:type="gramEnd"/>
      <w:r w:rsidR="00FD7BF3">
        <w:t xml:space="preserve"> the children by asking ‘Can anyone see something that is made out of plastic?’ ‘Can someone tell me what material that pole is made out of?’ </w:t>
      </w:r>
      <w:r>
        <w:t xml:space="preserve">It was apparent that the children seemed excited about the task and using multiple different skills. Such as communication, languages and literacy, health and well-being and science and technology. Another benefit that can be found by participating in cross curricular learning is that integrating subjects </w:t>
      </w:r>
      <w:r w:rsidRPr="000F3639">
        <w:rPr>
          <w:color w:val="000000" w:themeColor="text1"/>
        </w:rPr>
        <w:t xml:space="preserve">creates a deeper level of learning. George Simens theory states that ‘Perspectives from a variety of sources deepen our understanding.’ (Connectivism Betsy Duke, Ginger Harper, Mark Johnston, 2013) </w:t>
      </w:r>
    </w:p>
    <w:p w14:paraId="09855CCE" w14:textId="5DA1CDC5" w:rsidR="000F3639" w:rsidRDefault="000F3639" w:rsidP="000F3639">
      <w:pPr>
        <w:rPr>
          <w:rFonts w:cstheme="minorHAnsi"/>
          <w:color w:val="000000" w:themeColor="text1"/>
          <w:shd w:val="clear" w:color="auto" w:fill="FFFFFF"/>
        </w:rPr>
      </w:pPr>
      <w:r w:rsidRPr="000F3639">
        <w:rPr>
          <w:color w:val="000000" w:themeColor="text1"/>
        </w:rPr>
        <w:t xml:space="preserve">A third benefit that can be found by using cross curricular techniques </w:t>
      </w:r>
      <w:r w:rsidRPr="000F3639">
        <w:rPr>
          <w:rFonts w:cstheme="minorHAnsi"/>
          <w:color w:val="000000" w:themeColor="text1"/>
        </w:rPr>
        <w:t>include</w:t>
      </w:r>
      <w:r>
        <w:rPr>
          <w:rFonts w:cstheme="minorHAnsi"/>
          <w:color w:val="000000" w:themeColor="text1"/>
        </w:rPr>
        <w:t xml:space="preserve"> Gardner’s’ </w:t>
      </w:r>
      <w:r w:rsidRPr="000F3639">
        <w:rPr>
          <w:rFonts w:cstheme="minorHAnsi"/>
          <w:color w:val="000000" w:themeColor="text1"/>
          <w:shd w:val="clear" w:color="auto" w:fill="FFFFFF"/>
        </w:rPr>
        <w:t xml:space="preserve">Theory of Multiple Intelligences, </w:t>
      </w:r>
      <w:r>
        <w:rPr>
          <w:rFonts w:cstheme="minorHAnsi"/>
          <w:color w:val="000000" w:themeColor="text1"/>
          <w:shd w:val="clear" w:color="auto" w:fill="FFFFFF"/>
        </w:rPr>
        <w:t xml:space="preserve">in which he </w:t>
      </w:r>
      <w:r w:rsidRPr="000F3639">
        <w:rPr>
          <w:rFonts w:cstheme="minorHAnsi"/>
          <w:color w:val="000000" w:themeColor="text1"/>
          <w:shd w:val="clear" w:color="auto" w:fill="FFFFFF"/>
        </w:rPr>
        <w:t>identified eight distinct intelligences. These intelligences include visual, musical, and logical. When subjects are taught as part of a cross-curricular approach, we can help all children learn through a wide range of learning styles.</w:t>
      </w:r>
      <w:r>
        <w:rPr>
          <w:rFonts w:cstheme="minorHAnsi"/>
          <w:color w:val="000000" w:themeColor="text1"/>
          <w:shd w:val="clear" w:color="auto" w:fill="FFFFFF"/>
        </w:rPr>
        <w:t xml:space="preserve"> Looking at an Ofsted report, the writer can see that they have gathered positive feedback when applying cross curricular teaching such as a stronger relevance and coherence of the curriculum, pupils applying the knowledge and skills learnt in one subject to others, reinforcing learning and increasing understanding and confidence within the child. It made good use of longer periods of time which enabled students to undertake sustained work on themes covering more than one subject. (Ofsted, 2002)</w:t>
      </w:r>
      <w:r w:rsidR="00FD7BF3">
        <w:rPr>
          <w:rFonts w:cstheme="minorHAnsi"/>
          <w:color w:val="000000" w:themeColor="text1"/>
          <w:shd w:val="clear" w:color="auto" w:fill="FFFFFF"/>
        </w:rPr>
        <w:t xml:space="preserve"> Cross curricular learning can help to develop critical thinking skills by integrating different subjects. This can do this by encourage children to critically think about how different concepts and ideas are related. </w:t>
      </w:r>
    </w:p>
    <w:p w14:paraId="7F371B28" w14:textId="62098326" w:rsidR="000F3639" w:rsidRDefault="000F3639" w:rsidP="000F3639">
      <w:pPr>
        <w:rPr>
          <w:rFonts w:cstheme="minorHAnsi"/>
          <w:color w:val="000000" w:themeColor="text1"/>
          <w:shd w:val="clear" w:color="auto" w:fill="FFFFFF"/>
        </w:rPr>
      </w:pPr>
      <w:r>
        <w:rPr>
          <w:rFonts w:cstheme="minorHAnsi"/>
          <w:color w:val="000000" w:themeColor="text1"/>
          <w:shd w:val="clear" w:color="auto" w:fill="FFFFFF"/>
        </w:rPr>
        <w:t xml:space="preserve">Disadvantages to cross curricular teaching may include that many teachers have little to no experience of cross-curricular work. This is due to the educator not being exposed to it whether that be as a pupil of during their teacher training. (Barnes and Shirley, 2007) Issues can also come into play with student teachers who are just grasping the understanding of the curriculum and teaching in general. </w:t>
      </w:r>
    </w:p>
    <w:p w14:paraId="3C417772" w14:textId="04051BAE" w:rsidR="000F3639" w:rsidRDefault="000F3639" w:rsidP="000F3639">
      <w:pPr>
        <w:rPr>
          <w:rFonts w:cstheme="minorHAnsi"/>
          <w:color w:val="000000" w:themeColor="text1"/>
          <w:shd w:val="clear" w:color="auto" w:fill="FFFFFF"/>
        </w:rPr>
      </w:pPr>
      <w:r>
        <w:rPr>
          <w:rFonts w:cstheme="minorHAnsi"/>
          <w:color w:val="000000" w:themeColor="text1"/>
          <w:shd w:val="clear" w:color="auto" w:fill="FFFFFF"/>
        </w:rPr>
        <w:t xml:space="preserve">Subject progression may be difficult to undertake when there is more than one subject involved. It can be hard to measure how much the child understands and in what sector. (Jodie Morris, 2015) </w:t>
      </w:r>
    </w:p>
    <w:p w14:paraId="25B06A3D" w14:textId="48A9D10F" w:rsidR="00FD7BF3" w:rsidRDefault="00FD7BF3" w:rsidP="000F3639">
      <w:pPr>
        <w:rPr>
          <w:rFonts w:cstheme="minorHAnsi"/>
          <w:color w:val="000000" w:themeColor="text1"/>
          <w:shd w:val="clear" w:color="auto" w:fill="FFFFFF"/>
        </w:rPr>
      </w:pPr>
      <w:r>
        <w:rPr>
          <w:rFonts w:cstheme="minorHAnsi"/>
          <w:color w:val="000000" w:themeColor="text1"/>
          <w:shd w:val="clear" w:color="auto" w:fill="FFFFFF"/>
        </w:rPr>
        <w:lastRenderedPageBreak/>
        <w:t>Another weak factor of cross curricular learning includes a teacher being expects to teach outside their standard subject knowledge. This may lead to a teacher feeling like they are under qualified in the task and not having confidence in their work. (Anon, nrich.maths.org)</w:t>
      </w:r>
    </w:p>
    <w:p w14:paraId="7BABCE4D" w14:textId="77777777" w:rsidR="00FD7BF3" w:rsidRDefault="000F3639" w:rsidP="000F3639">
      <w:pPr>
        <w:rPr>
          <w:rFonts w:cstheme="minorHAnsi"/>
          <w:color w:val="000000" w:themeColor="text1"/>
          <w:shd w:val="clear" w:color="auto" w:fill="FFFFFF"/>
        </w:rPr>
      </w:pPr>
      <w:r>
        <w:rPr>
          <w:rFonts w:cstheme="minorHAnsi"/>
          <w:color w:val="000000" w:themeColor="text1"/>
          <w:shd w:val="clear" w:color="auto" w:fill="FFFFFF"/>
        </w:rPr>
        <w:t xml:space="preserve">The literacy, numeracy and digital competence framework within the curriculum for Wales is designed to help teachers apply literacy and numeracy into all subjects. (Anon, cadleprimaryschool.co.uk) </w:t>
      </w:r>
    </w:p>
    <w:p w14:paraId="5F9C06F5" w14:textId="363072AB" w:rsidR="000F3639" w:rsidRDefault="000F3639" w:rsidP="000F3639">
      <w:pPr>
        <w:rPr>
          <w:rFonts w:cstheme="minorHAnsi"/>
          <w:color w:val="000000" w:themeColor="text1"/>
          <w:shd w:val="clear" w:color="auto" w:fill="FFFFFF"/>
        </w:rPr>
      </w:pPr>
      <w:r>
        <w:rPr>
          <w:rFonts w:cstheme="minorHAnsi"/>
          <w:color w:val="000000" w:themeColor="text1"/>
          <w:shd w:val="clear" w:color="auto" w:fill="FFFFFF"/>
        </w:rPr>
        <w:t xml:space="preserve">The digital competence framework identifies the key components in 5 areas which include, information and data literacy, to articulate information needs, to locate and retrieve data, information and content and to judge the relevance of the source and its content. (Anon, Joint-research-centre) This applies to pupils of a primary setting because it is skills set that will enable a person to be a confident digital person and able to interact and collaborate digitally. It also gives the student to right tool set to be able to have confidence in handling data and be able to problem solve. (Anon, 2018, Hwb) </w:t>
      </w:r>
    </w:p>
    <w:p w14:paraId="7A598090" w14:textId="2348B3BC" w:rsidR="000F3639" w:rsidRDefault="000F3639" w:rsidP="000F3639">
      <w:pPr>
        <w:rPr>
          <w:rFonts w:cstheme="minorHAnsi"/>
          <w:color w:val="000000" w:themeColor="text1"/>
          <w:shd w:val="clear" w:color="auto" w:fill="FFFFFF"/>
        </w:rPr>
      </w:pPr>
      <w:r>
        <w:rPr>
          <w:rFonts w:cstheme="minorHAnsi"/>
          <w:color w:val="000000" w:themeColor="text1"/>
          <w:shd w:val="clear" w:color="auto" w:fill="FFFFFF"/>
        </w:rPr>
        <w:t xml:space="preserve">As discussed above the writer will be carrying out a lesson on mini beasts with resources including a magnifying glass, a premade tally chart (made by the writer), a clip board and a pen. The tally chart made includes pictures of the mini beasts that need to be found in the yard as this task is aimed towards reception children. This task aims to challenge children on their ability to recognise mini beasts in the wild, their maths and numeracy skills and their language, communication and literacy skills. Maths and numeracy skills will be integrated within the task due to the questions asked by the writer which include, ‘How many worms did you find?’ ‘Which mini beast did we find the least of?’ and ‘Which mini beast did we find the most of?’ Literacy, language and communication will be used as the children have the opportunity to work in pairs or as a group which requires the use of these skills. Health and well-being are also included in this activity due to it being taking place outside and the multiple benefits that outdoor learning has on children and their well-being. Learning outdoors suggests that it boosts a child’s confidence, social skills, communication, motivation, physical skills, knowledge and understanding. It also enhances a child’s self-confidence and esteem. (Dan Harvey, 2022, Learning Through Landscapes) </w:t>
      </w:r>
    </w:p>
    <w:p w14:paraId="675EF78C" w14:textId="41AA5AC6" w:rsidR="000F3639" w:rsidRDefault="000F3639" w:rsidP="000F3639">
      <w:pPr>
        <w:rPr>
          <w:rFonts w:cstheme="minorHAnsi"/>
          <w:color w:val="000000" w:themeColor="text1"/>
          <w:shd w:val="clear" w:color="auto" w:fill="FFFFFF"/>
        </w:rPr>
      </w:pPr>
      <w:r>
        <w:rPr>
          <w:rFonts w:cstheme="minorHAnsi"/>
          <w:color w:val="000000" w:themeColor="text1"/>
          <w:shd w:val="clear" w:color="auto" w:fill="FFFFFF"/>
        </w:rPr>
        <w:t xml:space="preserve">The enhanced provision material that the writer has prepared includes a magnifying glass, printed and laminated pictures of various minibeast along with one work sheet. This worksheet does not need to be filled out but answered on seesaw via video. This work sheet will include a series of questions such as ‘what mini beast as 8 legs?’ ‘How many mini beasts has wings?’ and ‘How many legs does a bee and a spider have all together? This activity includes communication, literacy and language skills, science and technology skills and maths and numeracy skills. </w:t>
      </w:r>
    </w:p>
    <w:p w14:paraId="09AE338C" w14:textId="66FDEBA4" w:rsidR="00D15D88" w:rsidRPr="00FD7BF3" w:rsidRDefault="00D15D88" w:rsidP="00D15D88">
      <w:pPr>
        <w:pStyle w:val="NormalWeb"/>
        <w:rPr>
          <w:rFonts w:ascii="Calibri" w:hAnsi="Calibri" w:cs="Calibri"/>
          <w:b/>
          <w:bCs/>
          <w:u w:val="single"/>
        </w:rPr>
      </w:pPr>
      <w:r w:rsidRPr="00FD7BF3">
        <w:rPr>
          <w:rFonts w:ascii="Calibri" w:hAnsi="Calibri" w:cs="Calibri"/>
          <w:b/>
          <w:bCs/>
          <w:u w:val="single"/>
        </w:rPr>
        <w:t xml:space="preserve">Conclusion </w:t>
      </w:r>
    </w:p>
    <w:p w14:paraId="24675324" w14:textId="449F37CE" w:rsidR="00FD7BF3" w:rsidRDefault="000F3639" w:rsidP="00D15D88">
      <w:pPr>
        <w:pStyle w:val="NormalWeb"/>
        <w:rPr>
          <w:rFonts w:ascii="Calibri" w:hAnsi="Calibri" w:cs="Calibri"/>
        </w:rPr>
      </w:pPr>
      <w:r w:rsidRPr="000F3639">
        <w:rPr>
          <w:rFonts w:asciiTheme="minorHAnsi" w:hAnsiTheme="minorHAnsi" w:cstheme="minorHAnsi"/>
          <w:color w:val="000000"/>
        </w:rPr>
        <w:t>Cross-curricular teaching offers numerous benefits to children, including motivational power, deeper learning, and the integration of various subjects. It promotes learning through various perspectives, such as George Simens theory and Gardner's Theory of Multiple Intelligences. Cross-curricular teaching helps all children learn through a wide range of learning styles, increasing understanding and confidence. However, disadvantages include teachers having little to no experience in cross-curricular work, and subject progression may be difficult when there are multiple subjects involved.</w:t>
      </w:r>
      <w:r>
        <w:rPr>
          <w:rFonts w:asciiTheme="minorHAnsi" w:hAnsiTheme="minorHAnsi" w:cstheme="minorHAnsi"/>
          <w:color w:val="000000"/>
        </w:rPr>
        <w:t xml:space="preserve"> </w:t>
      </w:r>
      <w:r w:rsidRPr="000F3639">
        <w:rPr>
          <w:rFonts w:asciiTheme="minorHAnsi" w:hAnsiTheme="minorHAnsi" w:cstheme="minorHAnsi"/>
        </w:rPr>
        <w:t>The text also includes examples of how the writer plans on using cross curricular teaching in future practice and provides an example of a lesson on mini beasts that integrates various</w:t>
      </w:r>
      <w:r>
        <w:rPr>
          <w:rFonts w:ascii="Calibri" w:hAnsi="Calibri" w:cs="Calibri"/>
        </w:rPr>
        <w:t xml:space="preserve"> skills </w:t>
      </w:r>
      <w:r>
        <w:rPr>
          <w:rFonts w:ascii="Calibri" w:hAnsi="Calibri" w:cs="Calibri"/>
        </w:rPr>
        <w:lastRenderedPageBreak/>
        <w:t xml:space="preserve">within the new curriculum. </w:t>
      </w:r>
      <w:r w:rsidR="00FD7BF3">
        <w:rPr>
          <w:rFonts w:ascii="Calibri" w:hAnsi="Calibri" w:cs="Calibri"/>
        </w:rPr>
        <w:t xml:space="preserve">From previous experience the writer believes that cross curricular learning works well within a classroom setting as it allows the children to use more than one </w:t>
      </w:r>
      <w:proofErr w:type="gramStart"/>
      <w:r w:rsidR="00FD7BF3">
        <w:rPr>
          <w:rFonts w:ascii="Calibri" w:hAnsi="Calibri" w:cs="Calibri"/>
        </w:rPr>
        <w:t>skills</w:t>
      </w:r>
      <w:proofErr w:type="gramEnd"/>
      <w:r w:rsidR="00FD7BF3">
        <w:rPr>
          <w:rFonts w:ascii="Calibri" w:hAnsi="Calibri" w:cs="Calibri"/>
        </w:rPr>
        <w:t xml:space="preserve"> at once, giving them the opportunity to develop in more than one area in the session. </w:t>
      </w:r>
      <w:r>
        <w:rPr>
          <w:rFonts w:ascii="Calibri" w:hAnsi="Calibri" w:cs="Calibri"/>
        </w:rPr>
        <w:t xml:space="preserve">Cross curricular learning will influence how the writer approaches lesson planning by arranging and assessing learning situations that have two or more subject approaches that can be applied to a single and authentic experience. The writer identifies targets for use in future practise such as being able to adapt a task in order to include more cross curricular skills to fit more of the six areas of learning. Which include, Mathematics, Health and wellbeing, literacy, communication and language, humanities, expressive arts and science and technology. To be able to gage a child’s interest in the topic chosen, the writer will ensure that a pupil voice is set up to ask the children what they want to learn about the topic. This will allow the children to have a say in what they learn and spark an interest and given them a sense of control within the learning. </w:t>
      </w:r>
      <w:r w:rsidR="00FD7BF3">
        <w:rPr>
          <w:rFonts w:ascii="Calibri" w:hAnsi="Calibri" w:cs="Calibri"/>
        </w:rPr>
        <w:t>By including pupil voice, it can contribute to a school’s improvement as it pushes the school to involve pupils in self-evaluation, decision making and planning. By researching cross curricular teaching, it is apparent that outdoor learning has a massive part to play in it, which is why the writer will take this on board and try to incorporate outdoor learning where possible.</w:t>
      </w:r>
    </w:p>
    <w:p w14:paraId="2498D85F" w14:textId="77777777" w:rsidR="00E92DB1" w:rsidRPr="00694FDB" w:rsidRDefault="00E92DB1"/>
    <w:p w14:paraId="14F88726" w14:textId="1344E6A3" w:rsidR="00E273F9" w:rsidRPr="00FD7BF3" w:rsidRDefault="00665EFB">
      <w:pPr>
        <w:rPr>
          <w:b/>
          <w:bCs/>
          <w:u w:val="single"/>
        </w:rPr>
      </w:pPr>
      <w:r w:rsidRPr="00FD7BF3">
        <w:rPr>
          <w:b/>
          <w:bCs/>
          <w:u w:val="single"/>
        </w:rPr>
        <w:t xml:space="preserve">References </w:t>
      </w:r>
    </w:p>
    <w:p w14:paraId="058F9B73" w14:textId="77777777" w:rsidR="0036368B" w:rsidRDefault="0036368B"/>
    <w:p w14:paraId="6C02536A" w14:textId="3BEE1C7B" w:rsidR="0036368B" w:rsidRDefault="0036368B">
      <w:r>
        <w:t xml:space="preserve">Anon, Curriculum for Wales, 2019 </w:t>
      </w:r>
      <w:hyperlink r:id="rId5" w:history="1">
        <w:r w:rsidRPr="00B07B8D">
          <w:rPr>
            <w:rStyle w:val="Hyperlink"/>
          </w:rPr>
          <w:t>https://www.gov.wales/sites/default/files/consultations/2019-10/curriculum-wales-2022-feedback-analysis.pdf</w:t>
        </w:r>
      </w:hyperlink>
      <w:r>
        <w:t xml:space="preserve"> </w:t>
      </w:r>
    </w:p>
    <w:p w14:paraId="51C781A7" w14:textId="77777777" w:rsidR="000F3639" w:rsidRDefault="000F3639"/>
    <w:p w14:paraId="59DDE98A" w14:textId="003CC9FC" w:rsidR="000F3639" w:rsidRDefault="000F3639">
      <w:r>
        <w:t xml:space="preserve">Anon, Hwb, 2018 </w:t>
      </w:r>
      <w:hyperlink r:id="rId6" w:history="1">
        <w:r w:rsidRPr="00B07B8D">
          <w:rPr>
            <w:rStyle w:val="Hyperlink"/>
          </w:rPr>
          <w:t>https://hwb.gov.wales/storage/85f69bca-0134-426d-bff1-c46b4c1d067b/digital-competence-framework-your#:~:text=It%20is%20the%20skill%20set,computational%20thinking%20(problem%20solving)</w:t>
        </w:r>
      </w:hyperlink>
      <w:r w:rsidRPr="000F3639">
        <w:t>.</w:t>
      </w:r>
      <w:r>
        <w:t xml:space="preserve"> </w:t>
      </w:r>
    </w:p>
    <w:p w14:paraId="0BB4EA67" w14:textId="77777777" w:rsidR="000F3639" w:rsidRDefault="000F3639"/>
    <w:p w14:paraId="7BA57B50" w14:textId="2D202B60" w:rsidR="000F3639" w:rsidRDefault="000F3639">
      <w:r>
        <w:t xml:space="preserve">Anon, Joint-research-centre </w:t>
      </w:r>
      <w:hyperlink r:id="rId7" w:history="1">
        <w:r w:rsidRPr="00B07B8D">
          <w:rPr>
            <w:rStyle w:val="Hyperlink"/>
          </w:rPr>
          <w:t>https://joint-research-centre.ec.europa.eu/digcomp/digcomp-framework_en#:~:text=The%20DigComp%20framework%20identifies%20the,the%20source%20and%20its%20content</w:t>
        </w:r>
      </w:hyperlink>
      <w:r w:rsidRPr="000F3639">
        <w:t>.</w:t>
      </w:r>
      <w:r>
        <w:t xml:space="preserve"> </w:t>
      </w:r>
    </w:p>
    <w:p w14:paraId="16330C7B" w14:textId="77777777" w:rsidR="00665EFB" w:rsidRDefault="00665EFB"/>
    <w:p w14:paraId="27531193" w14:textId="697EC283" w:rsidR="00665EFB" w:rsidRDefault="00665EFB">
      <w:r>
        <w:t xml:space="preserve">Anon, </w:t>
      </w:r>
      <w:proofErr w:type="spellStart"/>
      <w:r>
        <w:t>SciSpace</w:t>
      </w:r>
      <w:proofErr w:type="spellEnd"/>
      <w:r>
        <w:t xml:space="preserve"> – Question </w:t>
      </w:r>
      <w:hyperlink r:id="rId8" w:history="1">
        <w:r w:rsidRPr="00B07B8D">
          <w:rPr>
            <w:rStyle w:val="Hyperlink"/>
          </w:rPr>
          <w:t>https://typeset.io/questions/what-are-the-challenges-of-cross-curricular-teaching-ei8hke81g6</w:t>
        </w:r>
      </w:hyperlink>
      <w:r>
        <w:t xml:space="preserve"> </w:t>
      </w:r>
      <w:r w:rsidR="000F3639">
        <w:t xml:space="preserve"> </w:t>
      </w:r>
    </w:p>
    <w:p w14:paraId="754A50D0" w14:textId="77777777" w:rsidR="000F3639" w:rsidRDefault="000F3639"/>
    <w:p w14:paraId="2AEFB7BF" w14:textId="726C9233" w:rsidR="000F3639" w:rsidRDefault="000F3639">
      <w:r>
        <w:t xml:space="preserve">Anon, 2022, Twinkl.co.uk </w:t>
      </w:r>
      <w:hyperlink r:id="rId9" w:history="1">
        <w:r w:rsidRPr="00B07B8D">
          <w:rPr>
            <w:rStyle w:val="Hyperlink"/>
          </w:rPr>
          <w:t>https://www.twinkl.co.uk/teaching-wiki/cross-curricular#:~:text=Cross%2Dcurricular%20learning%20involves%20establishing,a%20study%20of%20interconnected%20topics</w:t>
        </w:r>
      </w:hyperlink>
      <w:r w:rsidRPr="000F3639">
        <w:t>.</w:t>
      </w:r>
      <w:r>
        <w:t xml:space="preserve"> </w:t>
      </w:r>
    </w:p>
    <w:p w14:paraId="78342D00" w14:textId="77777777" w:rsidR="000F3639" w:rsidRDefault="000F3639"/>
    <w:p w14:paraId="56E6C716" w14:textId="3089E4E6" w:rsidR="000F3639" w:rsidRDefault="000F3639">
      <w:r>
        <w:t xml:space="preserve">Anon </w:t>
      </w:r>
      <w:hyperlink r:id="rId10" w:history="1">
        <w:r w:rsidRPr="00B07B8D">
          <w:rPr>
            <w:rStyle w:val="Hyperlink"/>
          </w:rPr>
          <w:t>https://www.cadleprimaryschool.co.uk/lnf-literacy-and-numeracy-framework/#:~:text=The%20LNF%20is%20designed%20to,oracy%20across%20the%20curriculum</w:t>
        </w:r>
      </w:hyperlink>
      <w:r>
        <w:t xml:space="preserve"> </w:t>
      </w:r>
    </w:p>
    <w:p w14:paraId="089E7A0D" w14:textId="77777777" w:rsidR="00FD7BF3" w:rsidRDefault="00FD7BF3"/>
    <w:p w14:paraId="65E6B592" w14:textId="1B375237" w:rsidR="00FD7BF3" w:rsidRDefault="00FD7BF3">
      <w:r>
        <w:t xml:space="preserve">Anon </w:t>
      </w:r>
      <w:hyperlink r:id="rId11" w:history="1">
        <w:r w:rsidRPr="00B07B8D">
          <w:rPr>
            <w:rStyle w:val="Hyperlink"/>
          </w:rPr>
          <w:t>https://nrich.maths.org/8453</w:t>
        </w:r>
      </w:hyperlink>
      <w:r>
        <w:t xml:space="preserve"> </w:t>
      </w:r>
    </w:p>
    <w:p w14:paraId="0CFB3C56" w14:textId="77777777" w:rsidR="000F3639" w:rsidRDefault="000F3639"/>
    <w:p w14:paraId="339BB81B" w14:textId="5795D1B0" w:rsidR="000F3639" w:rsidRDefault="000F3639">
      <w:r>
        <w:lastRenderedPageBreak/>
        <w:t>Connectivism Betsy Duke, Ginger Harper, Mark Johnston</w:t>
      </w:r>
      <w:r>
        <w:t xml:space="preserve">  </w:t>
      </w:r>
      <w:hyperlink r:id="rId12" w:history="1">
        <w:r w:rsidRPr="00B07B8D">
          <w:rPr>
            <w:rStyle w:val="Hyperlink"/>
          </w:rPr>
          <w:t>https://www.hetl.org/wp-content/uploads/2013/09/HETLReview2013SpecialIssueArticle1.pdf</w:t>
        </w:r>
      </w:hyperlink>
      <w:r>
        <w:t xml:space="preserve"> </w:t>
      </w:r>
    </w:p>
    <w:p w14:paraId="54F1D139" w14:textId="77777777" w:rsidR="000F3639" w:rsidRDefault="000F3639"/>
    <w:p w14:paraId="4622E274" w14:textId="18CE08B4" w:rsidR="000F3639" w:rsidRDefault="000F3639">
      <w:r>
        <w:t xml:space="preserve">Dan Harvey, 2022, Learning Through Landscapes </w:t>
      </w:r>
      <w:hyperlink r:id="rId13" w:history="1">
        <w:r w:rsidRPr="00B07B8D">
          <w:rPr>
            <w:rStyle w:val="Hyperlink"/>
          </w:rPr>
          <w:t>https://ltl.org.uk/news/5-key-benefits-of-outdoor-learning/#:~:text=Research%20has%20even%20suggested%20that,and%20positive%20attitude%20to%20learning</w:t>
        </w:r>
      </w:hyperlink>
      <w:r w:rsidRPr="000F3639">
        <w:t>.</w:t>
      </w:r>
      <w:r>
        <w:t xml:space="preserve"> </w:t>
      </w:r>
    </w:p>
    <w:p w14:paraId="4C9DA695" w14:textId="77777777" w:rsidR="000F3639" w:rsidRDefault="000F3639"/>
    <w:p w14:paraId="14F9CAE6" w14:textId="11854FF3" w:rsidR="000F3639" w:rsidRDefault="000F3639">
      <w:r>
        <w:t xml:space="preserve">Jodie Morris, 2015, Prezi.com </w:t>
      </w:r>
      <w:hyperlink r:id="rId14" w:history="1">
        <w:r w:rsidRPr="00B07B8D">
          <w:rPr>
            <w:rStyle w:val="Hyperlink"/>
          </w:rPr>
          <w:t>https://prezi.com/8euqyixvxrnw/advantages-and-disadvantages-of-cross-curricular-approaches-t/</w:t>
        </w:r>
      </w:hyperlink>
      <w:r>
        <w:t xml:space="preserve"> </w:t>
      </w:r>
    </w:p>
    <w:p w14:paraId="004976D8" w14:textId="77777777" w:rsidR="000F3639" w:rsidRDefault="000F3639"/>
    <w:p w14:paraId="29C27586" w14:textId="489FB282" w:rsidR="000F3639" w:rsidRDefault="000F3639">
      <w:r>
        <w:t xml:space="preserve">Matt Watson, 2023, </w:t>
      </w:r>
      <w:proofErr w:type="spellStart"/>
      <w:r>
        <w:t>PlanBee</w:t>
      </w:r>
      <w:proofErr w:type="spellEnd"/>
      <w:r>
        <w:t xml:space="preserve"> </w:t>
      </w:r>
      <w:hyperlink r:id="rId15" w:history="1">
        <w:r w:rsidRPr="00B07B8D">
          <w:rPr>
            <w:rStyle w:val="Hyperlink"/>
          </w:rPr>
          <w:t>https://planbee.c</w:t>
        </w:r>
        <w:r w:rsidRPr="00B07B8D">
          <w:rPr>
            <w:rStyle w:val="Hyperlink"/>
          </w:rPr>
          <w:t>o</w:t>
        </w:r>
        <w:r w:rsidRPr="00B07B8D">
          <w:rPr>
            <w:rStyle w:val="Hyperlink"/>
          </w:rPr>
          <w:t>m/pages/cross-curricular</w:t>
        </w:r>
      </w:hyperlink>
      <w:r>
        <w:t xml:space="preserve"> </w:t>
      </w:r>
    </w:p>
    <w:p w14:paraId="1108974C" w14:textId="77777777" w:rsidR="000F3639" w:rsidRDefault="000F3639"/>
    <w:p w14:paraId="1CB4937D" w14:textId="77777777" w:rsidR="00327A86" w:rsidRDefault="00327A86">
      <w:pPr>
        <w:rPr>
          <w:b/>
          <w:bCs/>
        </w:rPr>
      </w:pPr>
    </w:p>
    <w:p w14:paraId="2AB18F4E" w14:textId="77777777" w:rsidR="00327A86" w:rsidRDefault="00327A86">
      <w:pPr>
        <w:rPr>
          <w:b/>
          <w:bCs/>
        </w:rPr>
      </w:pPr>
    </w:p>
    <w:p w14:paraId="63E63F7C" w14:textId="77777777" w:rsidR="00327A86" w:rsidRDefault="00327A86">
      <w:pPr>
        <w:rPr>
          <w:b/>
          <w:bCs/>
        </w:rPr>
      </w:pPr>
    </w:p>
    <w:p w14:paraId="44870FFE" w14:textId="77777777" w:rsidR="00327A86" w:rsidRDefault="00327A86">
      <w:pPr>
        <w:rPr>
          <w:b/>
          <w:bCs/>
        </w:rPr>
      </w:pPr>
    </w:p>
    <w:p w14:paraId="3EE8D000" w14:textId="77777777" w:rsidR="00327A86" w:rsidRDefault="00327A86">
      <w:pPr>
        <w:rPr>
          <w:b/>
          <w:bCs/>
        </w:rPr>
      </w:pPr>
    </w:p>
    <w:p w14:paraId="4E690344" w14:textId="77777777" w:rsidR="00327A86" w:rsidRDefault="00327A86">
      <w:pPr>
        <w:rPr>
          <w:b/>
          <w:bCs/>
        </w:rPr>
      </w:pPr>
    </w:p>
    <w:p w14:paraId="6574332C" w14:textId="04807083" w:rsidR="000F3639" w:rsidRDefault="000F3639">
      <w:pPr>
        <w:rPr>
          <w:b/>
          <w:bCs/>
        </w:rPr>
      </w:pPr>
      <w:r w:rsidRPr="000F3639">
        <w:rPr>
          <w:b/>
          <w:bCs/>
        </w:rPr>
        <w:t xml:space="preserve">Appendices </w:t>
      </w:r>
    </w:p>
    <w:p w14:paraId="0AC19D6B" w14:textId="77777777" w:rsidR="00327A86" w:rsidRDefault="00327A86">
      <w:pPr>
        <w:rPr>
          <w:b/>
          <w:bCs/>
        </w:rPr>
      </w:pPr>
    </w:p>
    <w:tbl>
      <w:tblPr>
        <w:tblStyle w:val="TableGrid"/>
        <w:tblW w:w="8648" w:type="dxa"/>
        <w:tblLook w:val="04A0" w:firstRow="1" w:lastRow="0" w:firstColumn="1" w:lastColumn="0" w:noHBand="0" w:noVBand="1"/>
      </w:tblPr>
      <w:tblGrid>
        <w:gridCol w:w="2020"/>
        <w:gridCol w:w="6628"/>
      </w:tblGrid>
      <w:tr w:rsidR="00327A86" w14:paraId="7753403C" w14:textId="77777777" w:rsidTr="00327A86">
        <w:trPr>
          <w:trHeight w:val="866"/>
        </w:trPr>
        <w:tc>
          <w:tcPr>
            <w:tcW w:w="1998" w:type="dxa"/>
          </w:tcPr>
          <w:p w14:paraId="68F5298B" w14:textId="5A9E075B" w:rsidR="00327A86" w:rsidRPr="00327A86" w:rsidRDefault="00327A86">
            <w:pPr>
              <w:rPr>
                <w:rFonts w:asciiTheme="minorHAnsi" w:hAnsiTheme="minorHAnsi" w:cstheme="minorHAnsi"/>
                <w:sz w:val="32"/>
                <w:szCs w:val="32"/>
              </w:rPr>
            </w:pPr>
            <w:r>
              <w:rPr>
                <w:rFonts w:asciiTheme="minorHAnsi" w:hAnsiTheme="minorHAnsi" w:cstheme="minorHAnsi"/>
                <w:sz w:val="32"/>
                <w:szCs w:val="32"/>
              </w:rPr>
              <w:t>Minibeasts</w:t>
            </w:r>
          </w:p>
        </w:tc>
        <w:tc>
          <w:tcPr>
            <w:tcW w:w="6650" w:type="dxa"/>
          </w:tcPr>
          <w:p w14:paraId="2047A35F" w14:textId="28C3841E" w:rsidR="00327A86" w:rsidRPr="00327A86" w:rsidRDefault="00327A86">
            <w:pPr>
              <w:rPr>
                <w:rFonts w:asciiTheme="minorHAnsi" w:hAnsiTheme="minorHAnsi" w:cstheme="minorHAnsi"/>
                <w:b/>
                <w:bCs/>
                <w:sz w:val="32"/>
                <w:szCs w:val="32"/>
              </w:rPr>
            </w:pPr>
            <w:r>
              <w:rPr>
                <w:rFonts w:asciiTheme="minorHAnsi" w:hAnsiTheme="minorHAnsi" w:cstheme="minorHAnsi"/>
                <w:b/>
                <w:bCs/>
                <w:sz w:val="32"/>
                <w:szCs w:val="32"/>
              </w:rPr>
              <w:t>How Many Can You Find?</w:t>
            </w:r>
          </w:p>
        </w:tc>
      </w:tr>
      <w:tr w:rsidR="00327A86" w14:paraId="37CC724E" w14:textId="77777777" w:rsidTr="00327A86">
        <w:trPr>
          <w:trHeight w:val="1687"/>
        </w:trPr>
        <w:tc>
          <w:tcPr>
            <w:tcW w:w="1998" w:type="dxa"/>
          </w:tcPr>
          <w:p w14:paraId="5B8395E8" w14:textId="47D080F1" w:rsidR="00327A86" w:rsidRDefault="00327A86">
            <w:pPr>
              <w:rPr>
                <w:b/>
                <w:bCs/>
              </w:rPr>
            </w:pPr>
            <w:r>
              <w:fldChar w:fldCharType="begin"/>
            </w:r>
            <w:r>
              <w:instrText xml:space="preserve"> INCLUDEPICTURE "/Users/isobellongthorn/Library/Group Containers/UBF8T346G9.ms/WebArchiveCopyPasteTempFiles/com.microsoft.Word/cute-cartoon-smiling-worm-little-pink-earthworm-isolated-illustration-free-vector.jpg" \* MERGEFORMATINET </w:instrText>
            </w:r>
            <w:r>
              <w:fldChar w:fldCharType="separate"/>
            </w:r>
            <w:r>
              <w:rPr>
                <w:noProof/>
              </w:rPr>
              <w:drawing>
                <wp:inline distT="0" distB="0" distL="0" distR="0" wp14:anchorId="6390C0F7" wp14:editId="456B7CA6">
                  <wp:extent cx="1122744" cy="1122744"/>
                  <wp:effectExtent l="0" t="0" r="0" b="0"/>
                  <wp:docPr id="1840431533" name="Picture 1" descr="Cute cartoon smiling worm. Little pink earthworm isolated vector  illustration. 536218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cartoon smiling worm. Little pink earthworm isolated vector  illustration. 5362185 Vector Art at Vecteez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4739" cy="1144739"/>
                          </a:xfrm>
                          <a:prstGeom prst="rect">
                            <a:avLst/>
                          </a:prstGeom>
                          <a:noFill/>
                          <a:ln>
                            <a:noFill/>
                          </a:ln>
                        </pic:spPr>
                      </pic:pic>
                    </a:graphicData>
                  </a:graphic>
                </wp:inline>
              </w:drawing>
            </w:r>
            <w:r>
              <w:fldChar w:fldCharType="end"/>
            </w:r>
          </w:p>
        </w:tc>
        <w:tc>
          <w:tcPr>
            <w:tcW w:w="6650" w:type="dxa"/>
          </w:tcPr>
          <w:p w14:paraId="621AC38A" w14:textId="77777777" w:rsidR="00327A86" w:rsidRDefault="00327A86">
            <w:pPr>
              <w:rPr>
                <w:b/>
                <w:bCs/>
              </w:rPr>
            </w:pPr>
          </w:p>
        </w:tc>
      </w:tr>
      <w:tr w:rsidR="00327A86" w14:paraId="5D8172C7" w14:textId="77777777" w:rsidTr="00327A86">
        <w:trPr>
          <w:trHeight w:val="1687"/>
        </w:trPr>
        <w:tc>
          <w:tcPr>
            <w:tcW w:w="1998" w:type="dxa"/>
          </w:tcPr>
          <w:p w14:paraId="3949E6C3" w14:textId="5CC1377F" w:rsidR="00327A86" w:rsidRDefault="00327A86">
            <w:pPr>
              <w:rPr>
                <w:b/>
                <w:bCs/>
              </w:rPr>
            </w:pPr>
            <w:r>
              <w:fldChar w:fldCharType="begin"/>
            </w:r>
            <w:r>
              <w:instrText xml:space="preserve"> INCLUDEPICTURE "/Users/isobellongthorn/Library/Group Containers/UBF8T346G9.ms/WebArchiveCopyPasteTempFiles/com.microsoft.Word/1fcb3ac6dc33c42dbc4037abb2871e56.png" \* MERGEFORMATINET </w:instrText>
            </w:r>
            <w:r>
              <w:fldChar w:fldCharType="separate"/>
            </w:r>
            <w:r>
              <w:rPr>
                <w:noProof/>
              </w:rPr>
              <w:drawing>
                <wp:inline distT="0" distB="0" distL="0" distR="0" wp14:anchorId="2004DD72" wp14:editId="1E83BDB3">
                  <wp:extent cx="1122680" cy="1238250"/>
                  <wp:effectExtent l="0" t="0" r="0" b="6350"/>
                  <wp:docPr id="2068234848" name="Picture 2" descr="Cartoon Spider Pictures for Tattoo In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Spider Pictures for Tattoo Inspira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1669" cy="1281253"/>
                          </a:xfrm>
                          <a:prstGeom prst="rect">
                            <a:avLst/>
                          </a:prstGeom>
                          <a:noFill/>
                          <a:ln>
                            <a:noFill/>
                          </a:ln>
                        </pic:spPr>
                      </pic:pic>
                    </a:graphicData>
                  </a:graphic>
                </wp:inline>
              </w:drawing>
            </w:r>
            <w:r>
              <w:fldChar w:fldCharType="end"/>
            </w:r>
          </w:p>
        </w:tc>
        <w:tc>
          <w:tcPr>
            <w:tcW w:w="6650" w:type="dxa"/>
          </w:tcPr>
          <w:p w14:paraId="6326AB2B" w14:textId="77777777" w:rsidR="00327A86" w:rsidRDefault="00327A86">
            <w:pPr>
              <w:rPr>
                <w:b/>
                <w:bCs/>
              </w:rPr>
            </w:pPr>
          </w:p>
        </w:tc>
      </w:tr>
      <w:tr w:rsidR="00327A86" w14:paraId="7A394669" w14:textId="77777777" w:rsidTr="00327A86">
        <w:trPr>
          <w:trHeight w:val="1687"/>
        </w:trPr>
        <w:tc>
          <w:tcPr>
            <w:tcW w:w="1998" w:type="dxa"/>
          </w:tcPr>
          <w:p w14:paraId="4A1D142F" w14:textId="043F5509" w:rsidR="00327A86" w:rsidRDefault="00327A86">
            <w:pPr>
              <w:rPr>
                <w:b/>
                <w:bCs/>
              </w:rPr>
            </w:pPr>
            <w:r>
              <w:fldChar w:fldCharType="begin"/>
            </w:r>
            <w:r>
              <w:instrText xml:space="preserve"> INCLUDEPICTURE "/Users/isobellongthorn/Library/Group Containers/UBF8T346G9.ms/WebArchiveCopyPasteTempFiles/com.microsoft.Word/360_F_90985363_MVFx1czghxJechCp7HM85bKJv1vUQN2c.jpg" \* MERGEFORMATINET </w:instrText>
            </w:r>
            <w:r>
              <w:fldChar w:fldCharType="separate"/>
            </w:r>
            <w:r>
              <w:rPr>
                <w:noProof/>
              </w:rPr>
              <w:drawing>
                <wp:inline distT="0" distB="0" distL="0" distR="0" wp14:anchorId="0CADE821" wp14:editId="3FFC1983">
                  <wp:extent cx="1100890" cy="601883"/>
                  <wp:effectExtent l="0" t="0" r="4445" b="0"/>
                  <wp:docPr id="891318953" name="Picture 3" descr="Ant Cartoon Images – Browse 34,170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t Cartoon Images – Browse 34,170 Stock Photos, Vectors, and Video | Adobe  Stoc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82097" cy="646281"/>
                          </a:xfrm>
                          <a:prstGeom prst="rect">
                            <a:avLst/>
                          </a:prstGeom>
                          <a:noFill/>
                          <a:ln>
                            <a:noFill/>
                          </a:ln>
                        </pic:spPr>
                      </pic:pic>
                    </a:graphicData>
                  </a:graphic>
                </wp:inline>
              </w:drawing>
            </w:r>
            <w:r>
              <w:fldChar w:fldCharType="end"/>
            </w:r>
          </w:p>
        </w:tc>
        <w:tc>
          <w:tcPr>
            <w:tcW w:w="6650" w:type="dxa"/>
          </w:tcPr>
          <w:p w14:paraId="589C2B62" w14:textId="77777777" w:rsidR="00327A86" w:rsidRDefault="00327A86">
            <w:pPr>
              <w:rPr>
                <w:b/>
                <w:bCs/>
              </w:rPr>
            </w:pPr>
          </w:p>
        </w:tc>
      </w:tr>
      <w:tr w:rsidR="00327A86" w14:paraId="29439EEB" w14:textId="77777777" w:rsidTr="00327A86">
        <w:trPr>
          <w:trHeight w:val="1827"/>
        </w:trPr>
        <w:tc>
          <w:tcPr>
            <w:tcW w:w="1998" w:type="dxa"/>
          </w:tcPr>
          <w:p w14:paraId="024F14FF" w14:textId="1E327222" w:rsidR="00327A86" w:rsidRDefault="00327A86">
            <w:pPr>
              <w:rPr>
                <w:b/>
                <w:bCs/>
              </w:rPr>
            </w:pPr>
            <w:r>
              <w:lastRenderedPageBreak/>
              <w:fldChar w:fldCharType="begin"/>
            </w:r>
            <w:r>
              <w:instrText xml:space="preserve"> INCLUDEPICTURE "/Users/isobellongthorn/Library/Group Containers/UBF8T346G9.ms/WebArchiveCopyPasteTempFiles/com.microsoft.Word/360_F_522661292_IGRkZ8YUzpsq9uUZWDRF7XBncPMAgzr3.jpg" \* MERGEFORMATINET </w:instrText>
            </w:r>
            <w:r>
              <w:fldChar w:fldCharType="separate"/>
            </w:r>
            <w:r>
              <w:rPr>
                <w:noProof/>
              </w:rPr>
              <w:drawing>
                <wp:inline distT="0" distB="0" distL="0" distR="0" wp14:anchorId="241695C6" wp14:editId="52B68AEA">
                  <wp:extent cx="1099595" cy="1108059"/>
                  <wp:effectExtent l="0" t="0" r="5715" b="0"/>
                  <wp:docPr id="678519014" name="Picture 4" descr="Butterfly Cartoon Images – Browse 237,66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tterfly Cartoon Images – Browse 237,662 Stock Photos, Vectors, and Video  | Adobe Sto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30527" cy="1139229"/>
                          </a:xfrm>
                          <a:prstGeom prst="rect">
                            <a:avLst/>
                          </a:prstGeom>
                          <a:noFill/>
                          <a:ln>
                            <a:noFill/>
                          </a:ln>
                        </pic:spPr>
                      </pic:pic>
                    </a:graphicData>
                  </a:graphic>
                </wp:inline>
              </w:drawing>
            </w:r>
            <w:r>
              <w:fldChar w:fldCharType="end"/>
            </w:r>
          </w:p>
        </w:tc>
        <w:tc>
          <w:tcPr>
            <w:tcW w:w="6650" w:type="dxa"/>
          </w:tcPr>
          <w:p w14:paraId="2EE52EDD" w14:textId="77777777" w:rsidR="00327A86" w:rsidRDefault="00327A86">
            <w:pPr>
              <w:rPr>
                <w:b/>
                <w:bCs/>
              </w:rPr>
            </w:pPr>
          </w:p>
        </w:tc>
      </w:tr>
      <w:tr w:rsidR="00327A86" w14:paraId="29D60580" w14:textId="77777777" w:rsidTr="00327A86">
        <w:trPr>
          <w:trHeight w:val="1687"/>
        </w:trPr>
        <w:tc>
          <w:tcPr>
            <w:tcW w:w="1998" w:type="dxa"/>
          </w:tcPr>
          <w:p w14:paraId="2234648E" w14:textId="537FBD11" w:rsidR="00327A86" w:rsidRDefault="00327A86">
            <w:pPr>
              <w:rPr>
                <w:b/>
                <w:bCs/>
              </w:rPr>
            </w:pPr>
            <w:r>
              <w:fldChar w:fldCharType="begin"/>
            </w:r>
            <w:r>
              <w:instrText xml:space="preserve"> INCLUDEPICTURE "/Users/isobellongthorn/Library/Group Containers/UBF8T346G9.ms/WebArchiveCopyPasteTempFiles/com.microsoft.Word/360_F_450567358_zuMa9FvQ0akWaoEO8x3ld6LjacDioI0s.jpg" \* MERGEFORMATINET </w:instrText>
            </w:r>
            <w:r>
              <w:fldChar w:fldCharType="separate"/>
            </w:r>
            <w:r>
              <w:rPr>
                <w:noProof/>
              </w:rPr>
              <w:drawing>
                <wp:inline distT="0" distB="0" distL="0" distR="0" wp14:anchorId="042AECBF" wp14:editId="3D8281B3">
                  <wp:extent cx="1145893" cy="1145893"/>
                  <wp:effectExtent l="0" t="0" r="0" b="0"/>
                  <wp:docPr id="619906873" name="Picture 5" descr="Bee Cartoon&quot; Images – Browse 99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ee Cartoon&quot; Images – Browse 999 Stock Photos, Vectors, and Video | Adobe  Stoc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65937" cy="1165937"/>
                          </a:xfrm>
                          <a:prstGeom prst="rect">
                            <a:avLst/>
                          </a:prstGeom>
                          <a:noFill/>
                          <a:ln>
                            <a:noFill/>
                          </a:ln>
                        </pic:spPr>
                      </pic:pic>
                    </a:graphicData>
                  </a:graphic>
                </wp:inline>
              </w:drawing>
            </w:r>
            <w:r>
              <w:fldChar w:fldCharType="end"/>
            </w:r>
          </w:p>
        </w:tc>
        <w:tc>
          <w:tcPr>
            <w:tcW w:w="6650" w:type="dxa"/>
          </w:tcPr>
          <w:p w14:paraId="4F02647E" w14:textId="77777777" w:rsidR="00327A86" w:rsidRDefault="00327A86">
            <w:pPr>
              <w:rPr>
                <w:b/>
                <w:bCs/>
              </w:rPr>
            </w:pPr>
          </w:p>
        </w:tc>
      </w:tr>
      <w:tr w:rsidR="00327A86" w14:paraId="60B6E64B" w14:textId="77777777" w:rsidTr="00327A86">
        <w:trPr>
          <w:trHeight w:val="1687"/>
        </w:trPr>
        <w:tc>
          <w:tcPr>
            <w:tcW w:w="1998" w:type="dxa"/>
          </w:tcPr>
          <w:p w14:paraId="129DBD2B" w14:textId="53D85786" w:rsidR="00327A86" w:rsidRDefault="00327A86">
            <w:pPr>
              <w:rPr>
                <w:b/>
                <w:bCs/>
              </w:rPr>
            </w:pPr>
            <w:r>
              <w:fldChar w:fldCharType="begin"/>
            </w:r>
            <w:r>
              <w:instrText xml:space="preserve"> INCLUDEPICTURE "/Users/isobellongthorn/Library/Group Containers/UBF8T346G9.ms/WebArchiveCopyPasteTempFiles/com.microsoft.Word/cartoon-snail-isolated-on-white-background-free-vector.jpg" \* MERGEFORMATINET </w:instrText>
            </w:r>
            <w:r>
              <w:fldChar w:fldCharType="separate"/>
            </w:r>
            <w:r>
              <w:rPr>
                <w:noProof/>
              </w:rPr>
              <w:drawing>
                <wp:inline distT="0" distB="0" distL="0" distR="0" wp14:anchorId="79E8A86E" wp14:editId="4E05545E">
                  <wp:extent cx="1125134" cy="1030146"/>
                  <wp:effectExtent l="0" t="0" r="5715" b="0"/>
                  <wp:docPr id="2041555536" name="Picture 6" descr="Cartoon snail isolated on white background 1521974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artoon snail isolated on white background 15219746 Vector Art at Vecteez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72866" cy="1073849"/>
                          </a:xfrm>
                          <a:prstGeom prst="rect">
                            <a:avLst/>
                          </a:prstGeom>
                          <a:noFill/>
                          <a:ln>
                            <a:noFill/>
                          </a:ln>
                        </pic:spPr>
                      </pic:pic>
                    </a:graphicData>
                  </a:graphic>
                </wp:inline>
              </w:drawing>
            </w:r>
            <w:r>
              <w:fldChar w:fldCharType="end"/>
            </w:r>
          </w:p>
        </w:tc>
        <w:tc>
          <w:tcPr>
            <w:tcW w:w="6650" w:type="dxa"/>
          </w:tcPr>
          <w:p w14:paraId="486EE0E7" w14:textId="77777777" w:rsidR="00327A86" w:rsidRDefault="00327A86">
            <w:pPr>
              <w:rPr>
                <w:b/>
                <w:bCs/>
              </w:rPr>
            </w:pPr>
          </w:p>
        </w:tc>
      </w:tr>
    </w:tbl>
    <w:p w14:paraId="41763571" w14:textId="77777777" w:rsidR="00327A86" w:rsidRPr="000F3639" w:rsidRDefault="00327A86">
      <w:pPr>
        <w:rPr>
          <w:b/>
          <w:bCs/>
        </w:rPr>
      </w:pPr>
    </w:p>
    <w:sectPr w:rsidR="00327A86" w:rsidRPr="000F36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B261D"/>
    <w:multiLevelType w:val="multilevel"/>
    <w:tmpl w:val="CD9A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996110"/>
    <w:multiLevelType w:val="multilevel"/>
    <w:tmpl w:val="C880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1511146">
    <w:abstractNumId w:val="1"/>
  </w:num>
  <w:num w:numId="2" w16cid:durableId="1447193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3F9"/>
    <w:rsid w:val="000F3639"/>
    <w:rsid w:val="001E2FBE"/>
    <w:rsid w:val="002D1893"/>
    <w:rsid w:val="00327A86"/>
    <w:rsid w:val="0036368B"/>
    <w:rsid w:val="00665EFB"/>
    <w:rsid w:val="00694FDB"/>
    <w:rsid w:val="00767845"/>
    <w:rsid w:val="008F39FD"/>
    <w:rsid w:val="009F5D6C"/>
    <w:rsid w:val="00B8621A"/>
    <w:rsid w:val="00D15D88"/>
    <w:rsid w:val="00E273F9"/>
    <w:rsid w:val="00E92DB1"/>
    <w:rsid w:val="00FD7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9635B5"/>
  <w15:chartTrackingRefBased/>
  <w15:docId w15:val="{2EB4688C-9BEB-7349-BD8F-A14A1B81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73F9"/>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15D8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65EFB"/>
    <w:rPr>
      <w:color w:val="0563C1" w:themeColor="hyperlink"/>
      <w:u w:val="single"/>
    </w:rPr>
  </w:style>
  <w:style w:type="character" w:styleId="UnresolvedMention">
    <w:name w:val="Unresolved Mention"/>
    <w:basedOn w:val="DefaultParagraphFont"/>
    <w:uiPriority w:val="99"/>
    <w:semiHidden/>
    <w:unhideWhenUsed/>
    <w:rsid w:val="00665EFB"/>
    <w:rPr>
      <w:color w:val="605E5C"/>
      <w:shd w:val="clear" w:color="auto" w:fill="E1DFDD"/>
    </w:rPr>
  </w:style>
  <w:style w:type="character" w:styleId="FollowedHyperlink">
    <w:name w:val="FollowedHyperlink"/>
    <w:basedOn w:val="DefaultParagraphFont"/>
    <w:uiPriority w:val="99"/>
    <w:semiHidden/>
    <w:unhideWhenUsed/>
    <w:rsid w:val="000F36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25442">
      <w:bodyDiv w:val="1"/>
      <w:marLeft w:val="0"/>
      <w:marRight w:val="0"/>
      <w:marTop w:val="0"/>
      <w:marBottom w:val="0"/>
      <w:divBdr>
        <w:top w:val="none" w:sz="0" w:space="0" w:color="auto"/>
        <w:left w:val="none" w:sz="0" w:space="0" w:color="auto"/>
        <w:bottom w:val="none" w:sz="0" w:space="0" w:color="auto"/>
        <w:right w:val="none" w:sz="0" w:space="0" w:color="auto"/>
      </w:divBdr>
      <w:divsChild>
        <w:div w:id="678315046">
          <w:marLeft w:val="0"/>
          <w:marRight w:val="0"/>
          <w:marTop w:val="0"/>
          <w:marBottom w:val="0"/>
          <w:divBdr>
            <w:top w:val="none" w:sz="0" w:space="0" w:color="auto"/>
            <w:left w:val="none" w:sz="0" w:space="0" w:color="auto"/>
            <w:bottom w:val="none" w:sz="0" w:space="0" w:color="auto"/>
            <w:right w:val="none" w:sz="0" w:space="0" w:color="auto"/>
          </w:divBdr>
          <w:divsChild>
            <w:div w:id="128326479">
              <w:marLeft w:val="0"/>
              <w:marRight w:val="0"/>
              <w:marTop w:val="0"/>
              <w:marBottom w:val="0"/>
              <w:divBdr>
                <w:top w:val="none" w:sz="0" w:space="0" w:color="auto"/>
                <w:left w:val="none" w:sz="0" w:space="0" w:color="auto"/>
                <w:bottom w:val="none" w:sz="0" w:space="0" w:color="auto"/>
                <w:right w:val="none" w:sz="0" w:space="0" w:color="auto"/>
              </w:divBdr>
              <w:divsChild>
                <w:div w:id="86005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45037">
      <w:bodyDiv w:val="1"/>
      <w:marLeft w:val="0"/>
      <w:marRight w:val="0"/>
      <w:marTop w:val="0"/>
      <w:marBottom w:val="0"/>
      <w:divBdr>
        <w:top w:val="none" w:sz="0" w:space="0" w:color="auto"/>
        <w:left w:val="none" w:sz="0" w:space="0" w:color="auto"/>
        <w:bottom w:val="none" w:sz="0" w:space="0" w:color="auto"/>
        <w:right w:val="none" w:sz="0" w:space="0" w:color="auto"/>
      </w:divBdr>
      <w:divsChild>
        <w:div w:id="1399015060">
          <w:marLeft w:val="0"/>
          <w:marRight w:val="0"/>
          <w:marTop w:val="0"/>
          <w:marBottom w:val="0"/>
          <w:divBdr>
            <w:top w:val="none" w:sz="0" w:space="0" w:color="auto"/>
            <w:left w:val="none" w:sz="0" w:space="0" w:color="auto"/>
            <w:bottom w:val="none" w:sz="0" w:space="0" w:color="auto"/>
            <w:right w:val="none" w:sz="0" w:space="0" w:color="auto"/>
          </w:divBdr>
          <w:divsChild>
            <w:div w:id="409543204">
              <w:marLeft w:val="0"/>
              <w:marRight w:val="0"/>
              <w:marTop w:val="0"/>
              <w:marBottom w:val="0"/>
              <w:divBdr>
                <w:top w:val="none" w:sz="0" w:space="0" w:color="auto"/>
                <w:left w:val="none" w:sz="0" w:space="0" w:color="auto"/>
                <w:bottom w:val="none" w:sz="0" w:space="0" w:color="auto"/>
                <w:right w:val="none" w:sz="0" w:space="0" w:color="auto"/>
              </w:divBdr>
              <w:divsChild>
                <w:div w:id="1812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ypeset.io/questions/what-are-the-challenges-of-cross-curricular-teaching-ei8hke81g6" TargetMode="External"/><Relationship Id="rId13" Type="http://schemas.openxmlformats.org/officeDocument/2006/relationships/hyperlink" Target="https://ltl.org.uk/news/5-key-benefits-of-outdoor-learning/#:~:text=Research%20has%20even%20suggested%20that,and%20positive%20attitude%20to%20learning"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https://joint-research-centre.ec.europa.eu/digcomp/digcomp-framework_en#:~:text=The%20DigComp%20framework%20identifies%20the,the%20source%20and%20its%20content" TargetMode="External"/><Relationship Id="rId12" Type="http://schemas.openxmlformats.org/officeDocument/2006/relationships/hyperlink" Target="https://www.hetl.org/wp-content/uploads/2013/09/HETLReview2013SpecialIssueArticle1.pdf"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hwb.gov.wales/storage/85f69bca-0134-426d-bff1-c46b4c1d067b/digital-competence-framework-your#:~:text=It%20is%20the%20skill%20set,computational%20thinking%20(problem%20solving)" TargetMode="External"/><Relationship Id="rId11" Type="http://schemas.openxmlformats.org/officeDocument/2006/relationships/hyperlink" Target="https://nrich.maths.org/8453" TargetMode="External"/><Relationship Id="rId5" Type="http://schemas.openxmlformats.org/officeDocument/2006/relationships/hyperlink" Target="https://www.gov.wales/sites/default/files/consultations/2019-10/curriculum-wales-2022-feedback-analysis.pdf" TargetMode="External"/><Relationship Id="rId15" Type="http://schemas.openxmlformats.org/officeDocument/2006/relationships/hyperlink" Target="https://planbee.com/pages/cross-curricular" TargetMode="External"/><Relationship Id="rId23" Type="http://schemas.openxmlformats.org/officeDocument/2006/relationships/theme" Target="theme/theme1.xml"/><Relationship Id="rId10" Type="http://schemas.openxmlformats.org/officeDocument/2006/relationships/hyperlink" Target="https://www.cadleprimaryschool.co.uk/lnf-literacy-and-numeracy-framework/#:~:text=The%20LNF%20is%20designed%20to,oracy%20across%20the%20curriculum"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twinkl.co.uk/teaching-wiki/cross-curricular#:~:text=Cross%2Dcurricular%20learning%20involves%20establishing,a%20study%20of%20interconnected%20topics" TargetMode="External"/><Relationship Id="rId14" Type="http://schemas.openxmlformats.org/officeDocument/2006/relationships/hyperlink" Target="https://prezi.com/8euqyixvxrnw/advantages-and-disadvantages-of-cross-curricular-approaches-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2435</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Longthorn (2305314)</dc:creator>
  <cp:keywords/>
  <dc:description/>
  <cp:lastModifiedBy>Isobel Longthorn (2305314)</cp:lastModifiedBy>
  <cp:revision>2</cp:revision>
  <dcterms:created xsi:type="dcterms:W3CDTF">2024-04-15T21:16:00Z</dcterms:created>
  <dcterms:modified xsi:type="dcterms:W3CDTF">2024-04-15T21:16:00Z</dcterms:modified>
</cp:coreProperties>
</file>