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sz w:val="28"/>
          <w:szCs w:val="28"/>
        </w:rPr>
        <w:id w:val="852697042"/>
        <w:docPartObj>
          <w:docPartGallery w:val="Cover Pages"/>
          <w:docPartUnique/>
        </w:docPartObj>
      </w:sdtPr>
      <w:sdtEndPr>
        <w:rPr>
          <w:i/>
          <w:iCs/>
          <w:sz w:val="24"/>
          <w:szCs w:val="24"/>
        </w:rPr>
      </w:sdtEndPr>
      <w:sdtContent>
        <w:p w14:paraId="0CC9C733" w14:textId="77777777" w:rsidR="00813D7C" w:rsidRDefault="00813D7C">
          <w:pPr>
            <w:rPr>
              <w:sz w:val="28"/>
              <w:szCs w:val="28"/>
            </w:rPr>
          </w:pPr>
        </w:p>
        <w:p w14:paraId="71EA6E42" w14:textId="77777777" w:rsidR="00813D7C" w:rsidRDefault="00813D7C">
          <w:pPr>
            <w:rPr>
              <w:sz w:val="28"/>
              <w:szCs w:val="28"/>
            </w:rPr>
          </w:pPr>
        </w:p>
        <w:p w14:paraId="6ABD13E9" w14:textId="77777777" w:rsidR="00813D7C" w:rsidRDefault="00813D7C">
          <w:pPr>
            <w:rPr>
              <w:sz w:val="28"/>
              <w:szCs w:val="28"/>
            </w:rPr>
          </w:pPr>
        </w:p>
        <w:p w14:paraId="26909443" w14:textId="77777777" w:rsidR="00813D7C" w:rsidRDefault="00813D7C">
          <w:pPr>
            <w:rPr>
              <w:sz w:val="28"/>
              <w:szCs w:val="28"/>
            </w:rPr>
          </w:pPr>
        </w:p>
        <w:p w14:paraId="4613A044" w14:textId="77777777" w:rsidR="00813D7C" w:rsidRDefault="00813D7C">
          <w:pPr>
            <w:rPr>
              <w:sz w:val="28"/>
              <w:szCs w:val="28"/>
            </w:rPr>
          </w:pPr>
        </w:p>
        <w:p w14:paraId="41485F60" w14:textId="77777777" w:rsidR="00813D7C" w:rsidRDefault="00813D7C">
          <w:pPr>
            <w:rPr>
              <w:sz w:val="28"/>
              <w:szCs w:val="28"/>
            </w:rPr>
          </w:pPr>
        </w:p>
        <w:p w14:paraId="0E1EB5D9" w14:textId="77777777" w:rsidR="00813D7C" w:rsidRDefault="00813D7C">
          <w:pPr>
            <w:rPr>
              <w:sz w:val="28"/>
              <w:szCs w:val="28"/>
            </w:rPr>
          </w:pPr>
        </w:p>
        <w:p w14:paraId="281E536B" w14:textId="549BD90F" w:rsidR="000A378D" w:rsidRPr="00813D7C" w:rsidRDefault="00FC4881">
          <w:pPr>
            <w:rPr>
              <w:sz w:val="28"/>
              <w:szCs w:val="28"/>
            </w:rPr>
          </w:pPr>
          <w:r w:rsidRPr="00813D7C">
            <w:rPr>
              <w:rFonts w:ascii="Arial" w:eastAsiaTheme="majorEastAsia" w:hAnsi="Arial" w:cs="Arial"/>
              <w:caps/>
              <w:color w:val="0F243E" w:themeColor="text2" w:themeShade="80"/>
              <w:sz w:val="28"/>
              <w:szCs w:val="28"/>
              <w:lang w:val="en-GB"/>
            </w:rPr>
            <w:t>MODULE NAME:</w:t>
          </w:r>
          <w:r w:rsidR="000A378D" w:rsidRPr="00813D7C">
            <w:rPr>
              <w:rFonts w:ascii="Arial" w:eastAsiaTheme="majorEastAsia" w:hAnsi="Arial" w:cs="Arial"/>
              <w:caps/>
              <w:color w:val="0F243E" w:themeColor="text2" w:themeShade="80"/>
              <w:sz w:val="28"/>
              <w:szCs w:val="28"/>
              <w:lang w:val="en-GB"/>
            </w:rPr>
            <w:t xml:space="preserve"> international financial management</w:t>
          </w:r>
          <w:r w:rsidR="000A378D" w:rsidRPr="00813D7C">
            <w:rPr>
              <w:sz w:val="28"/>
              <w:szCs w:val="28"/>
            </w:rPr>
            <w:t xml:space="preserve"> </w:t>
          </w:r>
        </w:p>
        <w:p w14:paraId="0BF8376F" w14:textId="77777777" w:rsidR="000A378D" w:rsidRPr="00813D7C" w:rsidRDefault="000A378D">
          <w:pPr>
            <w:rPr>
              <w:sz w:val="28"/>
              <w:szCs w:val="28"/>
            </w:rPr>
          </w:pPr>
        </w:p>
        <w:p w14:paraId="7F9C1262" w14:textId="2BDBF0F1" w:rsidR="000A378D" w:rsidRPr="00813D7C" w:rsidRDefault="00FC4881">
          <w:pPr>
            <w:rPr>
              <w:rFonts w:ascii="Arial" w:eastAsiaTheme="majorEastAsia" w:hAnsi="Arial" w:cs="Arial"/>
              <w:caps/>
              <w:color w:val="0F243E" w:themeColor="text2" w:themeShade="80"/>
              <w:sz w:val="28"/>
              <w:szCs w:val="28"/>
              <w:lang w:val="en-GB"/>
            </w:rPr>
          </w:pPr>
          <w:r w:rsidRPr="00813D7C">
            <w:rPr>
              <w:rFonts w:ascii="Arial" w:eastAsiaTheme="majorEastAsia" w:hAnsi="Arial" w:cs="Arial"/>
              <w:caps/>
              <w:color w:val="0F243E" w:themeColor="text2" w:themeShade="80"/>
              <w:sz w:val="28"/>
              <w:szCs w:val="28"/>
              <w:lang w:val="en-GB"/>
            </w:rPr>
            <w:t>MODULE CODE: LCBB</w:t>
          </w:r>
          <w:r w:rsidR="000A378D" w:rsidRPr="00813D7C">
            <w:rPr>
              <w:rFonts w:ascii="Arial" w:eastAsiaTheme="majorEastAsia" w:hAnsi="Arial" w:cs="Arial"/>
              <w:caps/>
              <w:color w:val="0F243E" w:themeColor="text2" w:themeShade="80"/>
              <w:sz w:val="28"/>
              <w:szCs w:val="28"/>
              <w:lang w:val="en-GB"/>
            </w:rPr>
            <w:t>6002</w:t>
          </w:r>
          <w:r w:rsidRPr="00813D7C">
            <w:rPr>
              <w:rFonts w:ascii="Arial" w:eastAsiaTheme="majorEastAsia" w:hAnsi="Arial" w:cs="Arial"/>
              <w:caps/>
              <w:color w:val="0F243E" w:themeColor="text2" w:themeShade="80"/>
              <w:sz w:val="28"/>
              <w:szCs w:val="28"/>
              <w:lang w:val="en-GB"/>
            </w:rPr>
            <w:br/>
          </w:r>
        </w:p>
        <w:p w14:paraId="6667C3D8" w14:textId="20917773" w:rsidR="000A378D" w:rsidRPr="00813D7C" w:rsidRDefault="00FC4881">
          <w:pPr>
            <w:rPr>
              <w:rFonts w:ascii="Arial" w:eastAsiaTheme="majorEastAsia" w:hAnsi="Arial" w:cs="Arial"/>
              <w:caps/>
              <w:color w:val="0F243E" w:themeColor="text2" w:themeShade="80"/>
              <w:sz w:val="28"/>
              <w:szCs w:val="28"/>
              <w:lang w:val="en-GB"/>
            </w:rPr>
          </w:pPr>
          <w:r w:rsidRPr="00813D7C">
            <w:rPr>
              <w:rFonts w:ascii="Arial" w:eastAsiaTheme="majorEastAsia" w:hAnsi="Arial" w:cs="Arial"/>
              <w:caps/>
              <w:color w:val="0F243E" w:themeColor="text2" w:themeShade="80"/>
              <w:sz w:val="28"/>
              <w:szCs w:val="28"/>
              <w:lang w:val="en-GB"/>
            </w:rPr>
            <w:t xml:space="preserve">ASSIGNMENT TITLE: ASSESSMENT </w:t>
          </w:r>
          <w:r w:rsidR="000A378D" w:rsidRPr="00813D7C">
            <w:rPr>
              <w:rFonts w:ascii="Arial" w:eastAsiaTheme="majorEastAsia" w:hAnsi="Arial" w:cs="Arial"/>
              <w:caps/>
              <w:color w:val="0F243E" w:themeColor="text2" w:themeShade="80"/>
              <w:sz w:val="28"/>
              <w:szCs w:val="28"/>
              <w:lang w:val="en-GB"/>
            </w:rPr>
            <w:t>1</w:t>
          </w:r>
          <w:r w:rsidRPr="00813D7C">
            <w:rPr>
              <w:rFonts w:ascii="Arial" w:eastAsiaTheme="majorEastAsia" w:hAnsi="Arial" w:cs="Arial"/>
              <w:caps/>
              <w:color w:val="0F243E" w:themeColor="text2" w:themeShade="80"/>
              <w:sz w:val="28"/>
              <w:szCs w:val="28"/>
              <w:lang w:val="en-GB"/>
            </w:rPr>
            <w:br/>
          </w:r>
        </w:p>
        <w:p w14:paraId="32086711" w14:textId="77777777" w:rsidR="000A378D" w:rsidRPr="00813D7C" w:rsidRDefault="00FC4881">
          <w:pPr>
            <w:rPr>
              <w:rFonts w:ascii="Arial" w:eastAsiaTheme="majorEastAsia" w:hAnsi="Arial" w:cs="Arial"/>
              <w:caps/>
              <w:color w:val="0F243E" w:themeColor="text2" w:themeShade="80"/>
              <w:sz w:val="28"/>
              <w:szCs w:val="28"/>
              <w:lang w:val="en-GB"/>
            </w:rPr>
          </w:pPr>
          <w:r w:rsidRPr="00813D7C">
            <w:rPr>
              <w:rFonts w:ascii="Arial" w:eastAsiaTheme="majorEastAsia" w:hAnsi="Arial" w:cs="Arial"/>
              <w:caps/>
              <w:color w:val="0F243E" w:themeColor="text2" w:themeShade="80"/>
              <w:sz w:val="28"/>
              <w:szCs w:val="28"/>
              <w:lang w:val="en-GB"/>
            </w:rPr>
            <w:t>STUDENT NAME: ANDREEA EMILIA GRIGORAS</w:t>
          </w:r>
          <w:r w:rsidRPr="00813D7C">
            <w:rPr>
              <w:rFonts w:ascii="Arial" w:eastAsiaTheme="majorEastAsia" w:hAnsi="Arial" w:cs="Arial"/>
              <w:caps/>
              <w:color w:val="0F243E" w:themeColor="text2" w:themeShade="80"/>
              <w:sz w:val="28"/>
              <w:szCs w:val="28"/>
              <w:lang w:val="en-GB"/>
            </w:rPr>
            <w:br/>
          </w:r>
        </w:p>
        <w:p w14:paraId="10559626" w14:textId="40E67134" w:rsidR="00FC4881" w:rsidRPr="00FC4881" w:rsidRDefault="00FC4881">
          <w:r w:rsidRPr="00813D7C">
            <w:rPr>
              <w:rFonts w:ascii="Arial" w:eastAsiaTheme="majorEastAsia" w:hAnsi="Arial" w:cs="Arial"/>
              <w:caps/>
              <w:color w:val="0F243E" w:themeColor="text2" w:themeShade="80"/>
              <w:sz w:val="28"/>
              <w:szCs w:val="28"/>
              <w:lang w:val="en-GB"/>
            </w:rPr>
            <w:t>STUDENT NUMBER: 192155</w:t>
          </w:r>
          <w:r>
            <w:rPr>
              <w:noProof/>
            </w:rPr>
            <mc:AlternateContent>
              <mc:Choice Requires="wpg">
                <w:drawing>
                  <wp:anchor distT="0" distB="0" distL="114300" distR="114300" simplePos="0" relativeHeight="251653120" behindDoc="0" locked="0" layoutInCell="1" allowOverlap="1" wp14:anchorId="0738F24E" wp14:editId="6307CF9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E1EE05D" id="Group 114" o:spid="_x0000_s1026" style="position:absolute;margin-left:0;margin-top:0;width:18pt;height:10in;z-index:25165312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rsidR="0036541B">
            <w:rPr>
              <w:rFonts w:ascii="Arial" w:eastAsiaTheme="majorEastAsia" w:hAnsi="Arial" w:cs="Arial"/>
              <w:caps/>
              <w:color w:val="0F243E" w:themeColor="text2" w:themeShade="80"/>
              <w:sz w:val="28"/>
              <w:szCs w:val="28"/>
              <w:lang w:val="en-GB"/>
            </w:rPr>
            <w:t>3</w:t>
          </w:r>
        </w:p>
      </w:sdtContent>
    </w:sdt>
    <w:p w14:paraId="1BFD7D54" w14:textId="77777777" w:rsidR="00633CAC" w:rsidRDefault="00633CAC" w:rsidP="00633CAC">
      <w:pPr>
        <w:spacing w:line="360" w:lineRule="auto"/>
        <w:jc w:val="center"/>
        <w:rPr>
          <w:b/>
          <w:sz w:val="32"/>
          <w:lang w:val="en-GB"/>
        </w:rPr>
      </w:pPr>
    </w:p>
    <w:p w14:paraId="3E6DF770" w14:textId="77777777" w:rsidR="00633CAC" w:rsidRDefault="00633CAC" w:rsidP="00633CAC">
      <w:pPr>
        <w:spacing w:line="360" w:lineRule="auto"/>
        <w:jc w:val="center"/>
        <w:rPr>
          <w:b/>
          <w:sz w:val="32"/>
          <w:lang w:val="en-GB"/>
        </w:rPr>
      </w:pPr>
    </w:p>
    <w:p w14:paraId="1BBA500B" w14:textId="77777777" w:rsidR="00633CAC" w:rsidRDefault="00633CAC" w:rsidP="00633CAC">
      <w:pPr>
        <w:spacing w:line="360" w:lineRule="auto"/>
        <w:jc w:val="center"/>
        <w:rPr>
          <w:b/>
          <w:sz w:val="32"/>
          <w:lang w:val="en-GB"/>
        </w:rPr>
      </w:pPr>
    </w:p>
    <w:p w14:paraId="559D6CFE" w14:textId="77777777" w:rsidR="00633CAC" w:rsidRDefault="00633CAC" w:rsidP="00633CAC">
      <w:pPr>
        <w:spacing w:line="360" w:lineRule="auto"/>
        <w:jc w:val="center"/>
        <w:rPr>
          <w:b/>
          <w:sz w:val="32"/>
          <w:lang w:val="en-GB"/>
        </w:rPr>
      </w:pPr>
    </w:p>
    <w:p w14:paraId="136B328E" w14:textId="77777777" w:rsidR="00633CAC" w:rsidRDefault="00633CAC" w:rsidP="00633CAC">
      <w:pPr>
        <w:spacing w:line="360" w:lineRule="auto"/>
        <w:jc w:val="center"/>
        <w:rPr>
          <w:b/>
          <w:sz w:val="32"/>
          <w:lang w:val="en-GB"/>
        </w:rPr>
      </w:pPr>
    </w:p>
    <w:p w14:paraId="127F22BE" w14:textId="77777777" w:rsidR="00633CAC" w:rsidRDefault="00633CAC" w:rsidP="00633CAC">
      <w:pPr>
        <w:spacing w:line="360" w:lineRule="auto"/>
        <w:jc w:val="center"/>
        <w:rPr>
          <w:b/>
          <w:sz w:val="32"/>
          <w:lang w:val="en-GB"/>
        </w:rPr>
      </w:pPr>
    </w:p>
    <w:p w14:paraId="32648C7F" w14:textId="77777777" w:rsidR="00633CAC" w:rsidRDefault="00633CAC" w:rsidP="00633CAC">
      <w:pPr>
        <w:spacing w:line="360" w:lineRule="auto"/>
        <w:jc w:val="center"/>
        <w:rPr>
          <w:b/>
          <w:sz w:val="32"/>
          <w:lang w:val="en-GB"/>
        </w:rPr>
      </w:pPr>
    </w:p>
    <w:p w14:paraId="566EA3D3" w14:textId="77777777" w:rsidR="00633CAC" w:rsidRDefault="00633CAC" w:rsidP="00633CAC">
      <w:pPr>
        <w:spacing w:line="360" w:lineRule="auto"/>
        <w:jc w:val="center"/>
        <w:rPr>
          <w:b/>
          <w:sz w:val="32"/>
          <w:lang w:val="en-GB"/>
        </w:rPr>
      </w:pPr>
    </w:p>
    <w:p w14:paraId="6D8FBEA0" w14:textId="77777777" w:rsidR="00633CAC" w:rsidRDefault="00633CAC" w:rsidP="00633CAC">
      <w:pPr>
        <w:spacing w:line="360" w:lineRule="auto"/>
        <w:jc w:val="center"/>
        <w:rPr>
          <w:b/>
          <w:sz w:val="32"/>
          <w:lang w:val="en-GB"/>
        </w:rPr>
      </w:pPr>
    </w:p>
    <w:p w14:paraId="3E90EC52" w14:textId="77777777" w:rsidR="00633CAC" w:rsidRDefault="00633CAC" w:rsidP="00633CAC">
      <w:pPr>
        <w:spacing w:line="360" w:lineRule="auto"/>
        <w:jc w:val="center"/>
        <w:rPr>
          <w:b/>
          <w:sz w:val="32"/>
          <w:lang w:val="en-GB"/>
        </w:rPr>
      </w:pPr>
    </w:p>
    <w:p w14:paraId="58C6EAB7" w14:textId="77777777" w:rsidR="00633CAC" w:rsidRDefault="00633CAC" w:rsidP="00633CAC">
      <w:pPr>
        <w:spacing w:line="360" w:lineRule="auto"/>
        <w:jc w:val="center"/>
        <w:rPr>
          <w:b/>
          <w:sz w:val="32"/>
          <w:lang w:val="en-GB"/>
        </w:rPr>
      </w:pPr>
    </w:p>
    <w:p w14:paraId="62276205" w14:textId="77777777" w:rsidR="00633CAC" w:rsidRDefault="00633CAC" w:rsidP="00633CAC">
      <w:pPr>
        <w:spacing w:line="360" w:lineRule="auto"/>
        <w:jc w:val="center"/>
        <w:rPr>
          <w:b/>
          <w:sz w:val="32"/>
          <w:lang w:val="en-GB"/>
        </w:rPr>
      </w:pPr>
    </w:p>
    <w:p w14:paraId="78CAE6D7" w14:textId="08442A7C" w:rsidR="00633CAC" w:rsidRPr="00633CAC" w:rsidRDefault="00633CAC" w:rsidP="003331D7">
      <w:pPr>
        <w:pBdr>
          <w:bottom w:val="single" w:sz="4" w:space="1" w:color="auto"/>
        </w:pBdr>
        <w:spacing w:line="360" w:lineRule="auto"/>
        <w:rPr>
          <w:b/>
          <w:lang w:val="en-GB"/>
        </w:rPr>
      </w:pPr>
      <w:r w:rsidRPr="00633CAC">
        <w:rPr>
          <w:b/>
          <w:lang w:val="en-GB"/>
        </w:rPr>
        <w:br w:type="page"/>
      </w:r>
    </w:p>
    <w:sdt>
      <w:sdtPr>
        <w:rPr>
          <w:rFonts w:ascii="Times New Roman" w:eastAsia="Times New Roman" w:hAnsi="Times New Roman" w:cs="Times New Roman"/>
          <w:b w:val="0"/>
          <w:bCs w:val="0"/>
          <w:color w:val="auto"/>
          <w:sz w:val="24"/>
          <w:szCs w:val="24"/>
          <w:lang w:val="en-IN" w:eastAsia="en-IN"/>
        </w:rPr>
        <w:id w:val="-722212452"/>
        <w:docPartObj>
          <w:docPartGallery w:val="Table of Contents"/>
          <w:docPartUnique/>
        </w:docPartObj>
      </w:sdtPr>
      <w:sdtEndPr>
        <w:rPr>
          <w:noProof/>
        </w:rPr>
      </w:sdtEndPr>
      <w:sdtContent>
        <w:p w14:paraId="5E8DF845" w14:textId="77777777" w:rsidR="003331D7" w:rsidRDefault="003331D7" w:rsidP="00633CAC">
          <w:pPr>
            <w:pStyle w:val="TOCHeading"/>
            <w:jc w:val="center"/>
            <w:rPr>
              <w:rFonts w:ascii="Times New Roman" w:eastAsia="Times New Roman" w:hAnsi="Times New Roman" w:cs="Times New Roman"/>
              <w:b w:val="0"/>
              <w:bCs w:val="0"/>
              <w:color w:val="auto"/>
              <w:sz w:val="24"/>
              <w:szCs w:val="24"/>
              <w:lang w:val="en-IN" w:eastAsia="en-IN"/>
            </w:rPr>
          </w:pPr>
        </w:p>
        <w:p w14:paraId="3AE6A735" w14:textId="077A5C2A" w:rsidR="00633CAC" w:rsidRDefault="00633CAC" w:rsidP="00633CAC">
          <w:pPr>
            <w:pStyle w:val="TOCHeading"/>
            <w:jc w:val="center"/>
            <w:rPr>
              <w:rFonts w:ascii="Times New Roman" w:hAnsi="Times New Roman" w:cs="Times New Roman"/>
              <w:color w:val="000000" w:themeColor="text1"/>
            </w:rPr>
          </w:pPr>
          <w:r w:rsidRPr="00633CAC">
            <w:rPr>
              <w:rFonts w:ascii="Times New Roman" w:hAnsi="Times New Roman" w:cs="Times New Roman"/>
              <w:color w:val="000000" w:themeColor="text1"/>
            </w:rPr>
            <w:t>Table of Contents</w:t>
          </w:r>
        </w:p>
        <w:p w14:paraId="7C2E7CB7" w14:textId="77777777" w:rsidR="003331D7" w:rsidRPr="003331D7" w:rsidRDefault="003331D7" w:rsidP="003331D7">
          <w:pPr>
            <w:rPr>
              <w:lang w:val="en-US" w:eastAsia="ja-JP"/>
            </w:rPr>
          </w:pPr>
        </w:p>
        <w:p w14:paraId="773C3F9B" w14:textId="66FD21AD" w:rsidR="00633CAC" w:rsidRDefault="00633CAC">
          <w:pPr>
            <w:pStyle w:val="TOC1"/>
            <w:tabs>
              <w:tab w:val="right" w:leader="dot" w:pos="9016"/>
            </w:tabs>
            <w:rPr>
              <w:noProof/>
            </w:rPr>
          </w:pPr>
          <w:r>
            <w:fldChar w:fldCharType="begin"/>
          </w:r>
          <w:r>
            <w:instrText xml:space="preserve"> TOC \o "1-3" \h \z \u </w:instrText>
          </w:r>
          <w:r>
            <w:fldChar w:fldCharType="separate"/>
          </w:r>
          <w:hyperlink w:anchor="_Toc109399119" w:history="1">
            <w:r w:rsidRPr="006E31F2">
              <w:rPr>
                <w:rStyle w:val="Hyperlink"/>
                <w:noProof/>
              </w:rPr>
              <w:t>Introduction</w:t>
            </w:r>
            <w:r>
              <w:rPr>
                <w:noProof/>
                <w:webHidden/>
              </w:rPr>
              <w:tab/>
            </w:r>
            <w:r>
              <w:rPr>
                <w:noProof/>
                <w:webHidden/>
              </w:rPr>
              <w:fldChar w:fldCharType="begin"/>
            </w:r>
            <w:r>
              <w:rPr>
                <w:noProof/>
                <w:webHidden/>
              </w:rPr>
              <w:instrText xml:space="preserve"> PAGEREF _Toc109399119 \h </w:instrText>
            </w:r>
            <w:r>
              <w:rPr>
                <w:noProof/>
                <w:webHidden/>
              </w:rPr>
            </w:r>
            <w:r>
              <w:rPr>
                <w:noProof/>
                <w:webHidden/>
              </w:rPr>
              <w:fldChar w:fldCharType="separate"/>
            </w:r>
            <w:r w:rsidR="003331D7">
              <w:rPr>
                <w:noProof/>
                <w:webHidden/>
              </w:rPr>
              <w:t>2</w:t>
            </w:r>
            <w:r>
              <w:rPr>
                <w:noProof/>
                <w:webHidden/>
              </w:rPr>
              <w:fldChar w:fldCharType="end"/>
            </w:r>
          </w:hyperlink>
        </w:p>
        <w:p w14:paraId="5D610DA0" w14:textId="3776086A" w:rsidR="00633CAC" w:rsidRDefault="00000000">
          <w:pPr>
            <w:pStyle w:val="TOC1"/>
            <w:tabs>
              <w:tab w:val="right" w:leader="dot" w:pos="9016"/>
            </w:tabs>
            <w:rPr>
              <w:noProof/>
            </w:rPr>
          </w:pPr>
          <w:hyperlink w:anchor="_Toc109399120" w:history="1">
            <w:r w:rsidR="00633CAC" w:rsidRPr="006E31F2">
              <w:rPr>
                <w:rStyle w:val="Hyperlink"/>
                <w:noProof/>
              </w:rPr>
              <w:t>Discussions</w:t>
            </w:r>
            <w:r w:rsidR="00633CAC">
              <w:rPr>
                <w:noProof/>
                <w:webHidden/>
              </w:rPr>
              <w:tab/>
            </w:r>
            <w:r w:rsidR="00633CAC">
              <w:rPr>
                <w:noProof/>
                <w:webHidden/>
              </w:rPr>
              <w:fldChar w:fldCharType="begin"/>
            </w:r>
            <w:r w:rsidR="00633CAC">
              <w:rPr>
                <w:noProof/>
                <w:webHidden/>
              </w:rPr>
              <w:instrText xml:space="preserve"> PAGEREF _Toc109399120 \h </w:instrText>
            </w:r>
            <w:r w:rsidR="00633CAC">
              <w:rPr>
                <w:noProof/>
                <w:webHidden/>
              </w:rPr>
            </w:r>
            <w:r w:rsidR="00633CAC">
              <w:rPr>
                <w:noProof/>
                <w:webHidden/>
              </w:rPr>
              <w:fldChar w:fldCharType="separate"/>
            </w:r>
            <w:r w:rsidR="003331D7">
              <w:rPr>
                <w:noProof/>
                <w:webHidden/>
              </w:rPr>
              <w:t>2</w:t>
            </w:r>
            <w:r w:rsidR="00633CAC">
              <w:rPr>
                <w:noProof/>
                <w:webHidden/>
              </w:rPr>
              <w:fldChar w:fldCharType="end"/>
            </w:r>
          </w:hyperlink>
        </w:p>
        <w:p w14:paraId="6F5497C0" w14:textId="136B1E6C" w:rsidR="00633CAC" w:rsidRDefault="00000000">
          <w:pPr>
            <w:pStyle w:val="TOC1"/>
            <w:tabs>
              <w:tab w:val="right" w:leader="dot" w:pos="9016"/>
            </w:tabs>
            <w:rPr>
              <w:noProof/>
            </w:rPr>
          </w:pPr>
          <w:hyperlink w:anchor="_Toc109399121" w:history="1">
            <w:r w:rsidR="00633CAC" w:rsidRPr="006E31F2">
              <w:rPr>
                <w:rStyle w:val="Hyperlink"/>
                <w:noProof/>
              </w:rPr>
              <w:t>Conclusions</w:t>
            </w:r>
            <w:r w:rsidR="00633CAC">
              <w:rPr>
                <w:noProof/>
                <w:webHidden/>
              </w:rPr>
              <w:tab/>
            </w:r>
            <w:r w:rsidR="00633CAC">
              <w:rPr>
                <w:noProof/>
                <w:webHidden/>
              </w:rPr>
              <w:fldChar w:fldCharType="begin"/>
            </w:r>
            <w:r w:rsidR="00633CAC">
              <w:rPr>
                <w:noProof/>
                <w:webHidden/>
              </w:rPr>
              <w:instrText xml:space="preserve"> PAGEREF _Toc109399121 \h </w:instrText>
            </w:r>
            <w:r w:rsidR="00633CAC">
              <w:rPr>
                <w:noProof/>
                <w:webHidden/>
              </w:rPr>
            </w:r>
            <w:r w:rsidR="00633CAC">
              <w:rPr>
                <w:noProof/>
                <w:webHidden/>
              </w:rPr>
              <w:fldChar w:fldCharType="separate"/>
            </w:r>
            <w:r w:rsidR="003331D7">
              <w:rPr>
                <w:noProof/>
                <w:webHidden/>
              </w:rPr>
              <w:t>5</w:t>
            </w:r>
            <w:r w:rsidR="00633CAC">
              <w:rPr>
                <w:noProof/>
                <w:webHidden/>
              </w:rPr>
              <w:fldChar w:fldCharType="end"/>
            </w:r>
          </w:hyperlink>
        </w:p>
        <w:p w14:paraId="1B4E9EC8" w14:textId="344D1215" w:rsidR="00633CAC" w:rsidRDefault="00000000">
          <w:pPr>
            <w:pStyle w:val="TOC1"/>
            <w:tabs>
              <w:tab w:val="right" w:leader="dot" w:pos="9016"/>
            </w:tabs>
            <w:rPr>
              <w:noProof/>
            </w:rPr>
          </w:pPr>
          <w:hyperlink w:anchor="_Toc109399122" w:history="1">
            <w:r w:rsidR="00633CAC" w:rsidRPr="006E31F2">
              <w:rPr>
                <w:rStyle w:val="Hyperlink"/>
                <w:noProof/>
              </w:rPr>
              <w:t>References</w:t>
            </w:r>
            <w:r w:rsidR="00633CAC">
              <w:rPr>
                <w:noProof/>
                <w:webHidden/>
              </w:rPr>
              <w:tab/>
            </w:r>
            <w:r w:rsidR="00633CAC">
              <w:rPr>
                <w:noProof/>
                <w:webHidden/>
              </w:rPr>
              <w:fldChar w:fldCharType="begin"/>
            </w:r>
            <w:r w:rsidR="00633CAC">
              <w:rPr>
                <w:noProof/>
                <w:webHidden/>
              </w:rPr>
              <w:instrText xml:space="preserve"> PAGEREF _Toc109399122 \h </w:instrText>
            </w:r>
            <w:r w:rsidR="00633CAC">
              <w:rPr>
                <w:noProof/>
                <w:webHidden/>
              </w:rPr>
            </w:r>
            <w:r w:rsidR="00633CAC">
              <w:rPr>
                <w:noProof/>
                <w:webHidden/>
              </w:rPr>
              <w:fldChar w:fldCharType="separate"/>
            </w:r>
            <w:r w:rsidR="003331D7">
              <w:rPr>
                <w:noProof/>
                <w:webHidden/>
              </w:rPr>
              <w:t>6</w:t>
            </w:r>
            <w:r w:rsidR="00633CAC">
              <w:rPr>
                <w:noProof/>
                <w:webHidden/>
              </w:rPr>
              <w:fldChar w:fldCharType="end"/>
            </w:r>
          </w:hyperlink>
        </w:p>
        <w:p w14:paraId="3DA981A2" w14:textId="322E2637" w:rsidR="00633CAC" w:rsidRDefault="00633CAC">
          <w:r>
            <w:rPr>
              <w:b/>
              <w:bCs/>
              <w:noProof/>
            </w:rPr>
            <w:fldChar w:fldCharType="end"/>
          </w:r>
        </w:p>
      </w:sdtContent>
    </w:sdt>
    <w:p w14:paraId="6A0763A7" w14:textId="77777777" w:rsidR="00633CAC" w:rsidRDefault="00633CAC">
      <w:pPr>
        <w:rPr>
          <w:b/>
          <w:lang w:val="en-GB"/>
        </w:rPr>
      </w:pPr>
      <w:r>
        <w:rPr>
          <w:b/>
          <w:lang w:val="en-GB"/>
        </w:rPr>
        <w:br w:type="page"/>
      </w:r>
    </w:p>
    <w:p w14:paraId="00000001" w14:textId="1B06AC29" w:rsidR="001D5AB7" w:rsidRPr="00633CAC" w:rsidRDefault="00753CC0" w:rsidP="00633CAC">
      <w:pPr>
        <w:pStyle w:val="Heading1"/>
      </w:pPr>
      <w:bookmarkStart w:id="0" w:name="_Toc109399119"/>
      <w:r w:rsidRPr="00633CAC">
        <w:lastRenderedPageBreak/>
        <w:t>Introduction</w:t>
      </w:r>
      <w:bookmarkEnd w:id="0"/>
      <w:r w:rsidRPr="00633CAC">
        <w:t xml:space="preserve"> </w:t>
      </w:r>
    </w:p>
    <w:p w14:paraId="00000002" w14:textId="2D8FDDF4" w:rsidR="001D5AB7" w:rsidRPr="00633CAC" w:rsidRDefault="00753CC0">
      <w:pPr>
        <w:spacing w:line="360" w:lineRule="auto"/>
        <w:jc w:val="both"/>
        <w:rPr>
          <w:lang w:val="en-GB"/>
        </w:rPr>
      </w:pPr>
      <w:r w:rsidRPr="00633CAC">
        <w:rPr>
          <w:lang w:val="en-GB"/>
        </w:rPr>
        <w:t xml:space="preserve">An accounting analysis associated with individual business is initiated for presenting financial progress and operating development mainly. With the support of the “Management Accounting” concept, apart from accounting presentation, a supportive accounting analysis is also initiated that brings the standardised support of business in proper order. Positive </w:t>
      </w:r>
      <w:r w:rsidR="00633CAC" w:rsidRPr="00633CAC">
        <w:rPr>
          <w:lang w:val="en-GB"/>
        </w:rPr>
        <w:t>importance to financial factors along with non-financial measures is</w:t>
      </w:r>
      <w:r w:rsidRPr="00633CAC">
        <w:rPr>
          <w:lang w:val="en-GB"/>
        </w:rPr>
        <w:t xml:space="preserve"> initiated in individual businesses that bring sustainability support in a developing manner. The conceptual engagement regarding business financial processing with the managerial presence is also managed for operating support and strategic growth support that can be managed for business development in a convenient order. </w:t>
      </w:r>
    </w:p>
    <w:p w14:paraId="00000003" w14:textId="77777777" w:rsidR="001D5AB7" w:rsidRPr="00633CAC" w:rsidRDefault="00753CC0">
      <w:pPr>
        <w:spacing w:line="360" w:lineRule="auto"/>
        <w:jc w:val="both"/>
        <w:rPr>
          <w:lang w:val="en-GB"/>
        </w:rPr>
      </w:pPr>
      <w:r w:rsidRPr="00633CAC">
        <w:rPr>
          <w:lang w:val="en-GB"/>
        </w:rPr>
        <w:t xml:space="preserve">In this essay, a significant volume of importance over three different aspects related to the business of </w:t>
      </w:r>
      <w:r w:rsidRPr="00D767E7">
        <w:rPr>
          <w:bCs/>
          <w:lang w:val="en-GB"/>
        </w:rPr>
        <w:t>Tesco plc has been evaluated, including “dividend policies, market hypothesis theory and capital investment</w:t>
      </w:r>
      <w:r w:rsidRPr="00633CAC">
        <w:rPr>
          <w:lang w:val="en-GB"/>
        </w:rPr>
        <w:t xml:space="preserve"> appraisal processing” mainly. </w:t>
      </w:r>
    </w:p>
    <w:p w14:paraId="00000004" w14:textId="77777777" w:rsidR="001D5AB7" w:rsidRPr="00633CAC" w:rsidRDefault="00753CC0" w:rsidP="00633CAC">
      <w:pPr>
        <w:pStyle w:val="Heading1"/>
      </w:pPr>
      <w:bookmarkStart w:id="1" w:name="_Toc109399120"/>
      <w:r w:rsidRPr="00633CAC">
        <w:t>Discussions</w:t>
      </w:r>
      <w:bookmarkEnd w:id="1"/>
      <w:r w:rsidRPr="00633CAC">
        <w:t xml:space="preserve"> </w:t>
      </w:r>
    </w:p>
    <w:p w14:paraId="00000005" w14:textId="7D3CC8A9" w:rsidR="001D5AB7" w:rsidRPr="00633CAC" w:rsidRDefault="00753CC0">
      <w:pPr>
        <w:spacing w:line="360" w:lineRule="auto"/>
        <w:jc w:val="both"/>
        <w:rPr>
          <w:lang w:val="en-GB"/>
        </w:rPr>
      </w:pPr>
      <w:r w:rsidRPr="00633CAC">
        <w:rPr>
          <w:lang w:val="en-GB"/>
        </w:rPr>
        <w:t xml:space="preserve">According to the general conceptual presence, the concept of </w:t>
      </w:r>
      <w:r w:rsidRPr="00D767E7">
        <w:rPr>
          <w:bCs/>
          <w:lang w:val="en-GB"/>
        </w:rPr>
        <w:t xml:space="preserve">“Financial management” is generally recognised as the behavioural branch of accounting, which is engaged in “planning, organising, controlling and directing support” for financial activities that initiate regarding allocation and utilisation of financial resources in a sustainable order. Additionally, it also formulates the procurement of funding as well that brings accountability growth on a comprehensive basis. The primary presence of such accounting </w:t>
      </w:r>
      <w:r w:rsidR="00CC2E40">
        <w:rPr>
          <w:bCs/>
          <w:lang w:val="en-GB"/>
        </w:rPr>
        <w:t>principally gives</w:t>
      </w:r>
      <w:r w:rsidRPr="00D767E7">
        <w:rPr>
          <w:bCs/>
          <w:lang w:val="en-GB"/>
        </w:rPr>
        <w:t xml:space="preserve"> a positive development including return on investment processing mainly that manages the operating growth formulation on a supportive basis. On the contrary, the primary engagement regarding “International financial management” initiates the fina</w:t>
      </w:r>
      <w:r w:rsidRPr="00633CAC">
        <w:rPr>
          <w:lang w:val="en-GB"/>
        </w:rPr>
        <w:t xml:space="preserve">ncial investment and other associated trading presence that bring accountability and formulation support on a proper basis. It initiates managing the optimum support of interest processing that manages the level of financial formulation in a proper manner. </w:t>
      </w:r>
    </w:p>
    <w:p w14:paraId="00000006" w14:textId="7BC92DE8" w:rsidR="001D5AB7" w:rsidRPr="00633CAC" w:rsidRDefault="00753CC0">
      <w:pPr>
        <w:spacing w:line="360" w:lineRule="auto"/>
        <w:jc w:val="both"/>
        <w:rPr>
          <w:lang w:val="en-GB"/>
        </w:rPr>
      </w:pPr>
      <w:r w:rsidRPr="00633CAC">
        <w:rPr>
          <w:lang w:val="en-GB"/>
        </w:rPr>
        <w:t>On behalf of present operating and financial processing, Tesco plc is one of the most growing and third-largest retail businesses in the globe. The organisation was incorporated during th</w:t>
      </w:r>
      <w:r w:rsidR="00633CAC">
        <w:rPr>
          <w:lang w:val="en-GB"/>
        </w:rPr>
        <w:t>e period of 1919 and at present</w:t>
      </w:r>
      <w:r w:rsidRPr="00633CAC">
        <w:rPr>
          <w:lang w:val="en-GB"/>
        </w:rPr>
        <w:t xml:space="preserve"> </w:t>
      </w:r>
      <w:r w:rsidR="00633CAC" w:rsidRPr="00633CAC">
        <w:rPr>
          <w:lang w:val="en-GB"/>
        </w:rPr>
        <w:t>its headquartered</w:t>
      </w:r>
      <w:r w:rsidRPr="00633CAC">
        <w:rPr>
          <w:lang w:val="en-GB"/>
        </w:rPr>
        <w:t xml:space="preserve"> is situated in Hackney, United Kingdom. In the present situation, the organisation is operated with the support of 4673 different shops including 367,321 employees. During the period of 2017, the organisation merged with wholesaler Booker Group in order to form a systematic supply chain management processing purpose. In 2019, the organisation announced the cost-cutting approach for managing the financial and operating growth support on a formulated basis. In 2020, the organisation will </w:t>
      </w:r>
      <w:r w:rsidRPr="00633CAC">
        <w:rPr>
          <w:lang w:val="en-GB"/>
        </w:rPr>
        <w:lastRenderedPageBreak/>
        <w:t xml:space="preserve">provide importance to online trade engagement and also initiate supportive employment opportunities for 16000 different employees for an optimised standard of living support as a socio-economic influence </w:t>
      </w:r>
      <w:r w:rsidR="00807EF2">
        <w:rPr>
          <w:color w:val="000000"/>
          <w:shd w:val="clear" w:color="auto" w:fill="FFFFFF"/>
        </w:rPr>
        <w:t>(Butler, 2020).</w:t>
      </w:r>
      <w:r w:rsidRPr="00633CAC">
        <w:rPr>
          <w:lang w:val="en-GB"/>
        </w:rPr>
        <w:t xml:space="preserve"> </w:t>
      </w:r>
    </w:p>
    <w:p w14:paraId="00000007" w14:textId="08AF6C17" w:rsidR="001D5AB7" w:rsidRPr="00633CAC" w:rsidRDefault="00753CC0">
      <w:pPr>
        <w:spacing w:line="360" w:lineRule="auto"/>
        <w:jc w:val="both"/>
        <w:rPr>
          <w:lang w:val="en-GB"/>
        </w:rPr>
      </w:pPr>
      <w:r w:rsidRPr="00633CAC">
        <w:rPr>
          <w:lang w:val="en-GB"/>
        </w:rPr>
        <w:t xml:space="preserve">According to Surasmi </w:t>
      </w:r>
      <w:r w:rsidRPr="00633CAC">
        <w:rPr>
          <w:i/>
          <w:lang w:val="en-GB"/>
        </w:rPr>
        <w:t>et al.</w:t>
      </w:r>
      <w:r w:rsidRPr="00633CAC">
        <w:rPr>
          <w:lang w:val="en-GB"/>
        </w:rPr>
        <w:t xml:space="preserve"> (2020), the general conceptual presence regarding </w:t>
      </w:r>
      <w:r w:rsidR="00253092" w:rsidRPr="00253092">
        <w:rPr>
          <w:bCs/>
          <w:lang w:val="en-GB"/>
        </w:rPr>
        <w:t>d</w:t>
      </w:r>
      <w:r w:rsidRPr="00253092">
        <w:rPr>
          <w:bCs/>
          <w:lang w:val="en-GB"/>
        </w:rPr>
        <w:t>ividends is recognised as the presence of business profit that is distributed among the shareholders in support of capital contribution. On the contrary, the presence of dividend policies</w:t>
      </w:r>
      <w:r w:rsidRPr="00633CAC">
        <w:rPr>
          <w:b/>
          <w:lang w:val="en-GB"/>
        </w:rPr>
        <w:t xml:space="preserve"> </w:t>
      </w:r>
      <w:r w:rsidRPr="00633CAC">
        <w:rPr>
          <w:lang w:val="en-GB"/>
        </w:rPr>
        <w:t xml:space="preserve">is recognised as an engagement that is initiated for ascertaining significant amounts, which are generally distributed among shareholders with considering the pay-out and retained earnings recognition. It is recognised as the structural identification regarding dividend maintenance that brings the optimised performance initiatives on a sustainable basis. According to the present accounting formulation, the management of Tesco plc </w:t>
      </w:r>
      <w:r w:rsidR="00BC2200">
        <w:rPr>
          <w:lang w:val="en-GB"/>
        </w:rPr>
        <w:t>primarily addresses</w:t>
      </w:r>
      <w:r w:rsidRPr="00633CAC">
        <w:rPr>
          <w:lang w:val="en-GB"/>
        </w:rPr>
        <w:t xml:space="preserve"> progressive dividend policies including share buyback processing that mainly initiate sustainable financial growth on a supportive basis. In accordance with the present performance structure, the management of Tesco plc mainly focuses on the </w:t>
      </w:r>
      <w:r w:rsidRPr="00253092">
        <w:rPr>
          <w:bCs/>
          <w:lang w:val="en-GB"/>
        </w:rPr>
        <w:t>Stable Dividend Policy</w:t>
      </w:r>
      <w:r w:rsidRPr="00633CAC">
        <w:rPr>
          <w:b/>
          <w:lang w:val="en-GB"/>
        </w:rPr>
        <w:t xml:space="preserve"> </w:t>
      </w:r>
      <w:r w:rsidRPr="00633CAC">
        <w:rPr>
          <w:lang w:val="en-GB"/>
        </w:rPr>
        <w:t xml:space="preserve">that is initiated for managing the progressive formulation and operating development in an effective order.  According to Jabłoński (2019), primary engagement of such policy is initiated for maintaining the formulation support including an operating development approach also that can be managed for sustainable business processing in an effective order. However, in the same aspect Sawitri and Sulistyowati (2018), opined that such policy is unable for managing a progressive stock formulation approach mainly that is sustainable for financial development initiatives with marketing capital support. </w:t>
      </w:r>
    </w:p>
    <w:p w14:paraId="00000008" w14:textId="5B730F33" w:rsidR="001D5AB7" w:rsidRPr="00633CAC" w:rsidRDefault="00753CC0">
      <w:pPr>
        <w:spacing w:line="360" w:lineRule="auto"/>
        <w:jc w:val="both"/>
        <w:rPr>
          <w:lang w:val="en-GB"/>
        </w:rPr>
      </w:pPr>
      <w:r w:rsidRPr="00633CAC">
        <w:rPr>
          <w:lang w:val="en-GB"/>
        </w:rPr>
        <w:t xml:space="preserve">A proper presentation of such a stable dividend processing is initiated for developing marketing management including performance growth support that manages the shared processing on a proper basis. </w:t>
      </w:r>
      <w:r w:rsidR="006C26C9">
        <w:rPr>
          <w:lang w:val="en-GB"/>
        </w:rPr>
        <w:t>Moreover</w:t>
      </w:r>
      <w:r w:rsidRPr="00633CAC">
        <w:rPr>
          <w:lang w:val="en-GB"/>
        </w:rPr>
        <w:t xml:space="preserve">, it formulates the effective resource formulation for business operations that is comprehensive in order to develop the marketing growth in proper order. In the present accounting period, the organisation provides around 10.90p per share which indicates around a 19.1% growth structure compared to the previous period. Additionally, the presence of such a marketing approach related to the business is mainly indicating the progressive development including business share buyback processing support as well, which provides a level of opportunity regarding the business innovation approach mainly. </w:t>
      </w:r>
    </w:p>
    <w:p w14:paraId="00000009" w14:textId="3F59D6D2" w:rsidR="001D5AB7" w:rsidRPr="00633CAC" w:rsidRDefault="00753CC0">
      <w:pPr>
        <w:spacing w:line="360" w:lineRule="auto"/>
        <w:jc w:val="both"/>
        <w:rPr>
          <w:lang w:val="en-GB"/>
        </w:rPr>
      </w:pPr>
      <w:r w:rsidRPr="00633CAC">
        <w:rPr>
          <w:lang w:val="en-GB"/>
        </w:rPr>
        <w:t xml:space="preserve">According to the general conceptual </w:t>
      </w:r>
      <w:r w:rsidRPr="006C26C9">
        <w:rPr>
          <w:lang w:val="en-GB"/>
        </w:rPr>
        <w:t>approach “efficient market hypothesis theory”</w:t>
      </w:r>
      <w:r w:rsidRPr="00633CAC">
        <w:rPr>
          <w:b/>
          <w:lang w:val="en-GB"/>
        </w:rPr>
        <w:t xml:space="preserve"> </w:t>
      </w:r>
      <w:r w:rsidRPr="00633CAC">
        <w:rPr>
          <w:lang w:val="en-GB"/>
        </w:rPr>
        <w:t xml:space="preserve">is recognised as the theoretical engagement that initiates the share price of an individual organisation mainly reflecting all the necessary operating information of the business that is </w:t>
      </w:r>
      <w:r w:rsidRPr="00633CAC">
        <w:rPr>
          <w:lang w:val="en-GB"/>
        </w:rPr>
        <w:lastRenderedPageBreak/>
        <w:t xml:space="preserve">comprehensive for decision making and operating growth support. As per Bao </w:t>
      </w:r>
      <w:r w:rsidRPr="00633CAC">
        <w:rPr>
          <w:i/>
          <w:lang w:val="en-GB"/>
        </w:rPr>
        <w:t xml:space="preserve">et al. </w:t>
      </w:r>
      <w:r w:rsidRPr="00633CAC">
        <w:rPr>
          <w:lang w:val="en-GB"/>
        </w:rPr>
        <w:t xml:space="preserve">(2020), the primary concept regarding such theory initiates that hypotheses support that brings the systematic recognition regarding investors' benefits including operating growth processing on an effective basis. It allows cost-effective determination support regarding a progressive operating portfolio mainly, which is suitable for standardised marketing development on an effective basis. However, Jovanovic (2018), opined that the presence of such initiatives is unable to provide formulation support for individual investors while the market position is constantly fluctuating. It is unable to initiate formulation decision support as well that brings the operating growth processing on an effective basis. In the present situation, the market price for the business Tesco plc has resulted in 19.618 billion with a beta of 0.53 and a PE ratio of 1308.00 respectively </w:t>
      </w:r>
      <w:r w:rsidR="008C2E93" w:rsidRPr="008C2E93">
        <w:rPr>
          <w:lang w:val="en-GB"/>
        </w:rPr>
        <w:t>(Tesco PLC (TSCO.L) Stock Price, News, Quote &amp; History - Yahoo Finance, 2022)</w:t>
      </w:r>
      <w:r w:rsidR="00095BB3">
        <w:rPr>
          <w:lang w:val="en-GB"/>
        </w:rPr>
        <w:t xml:space="preserve">. </w:t>
      </w:r>
      <w:r w:rsidRPr="00633CAC">
        <w:rPr>
          <w:lang w:val="en-GB"/>
        </w:rPr>
        <w:t xml:space="preserve">At the present marketing position, the management of Amazon initiates the aggressive price matching scheme of Tesco plc supportively for maintaining the supply chain formulation on an effective basis. Apart from that, in the present situation, the level of financial processing of the business provides around 66.90% potentiality support that is initiated for strong financial optimised growth support on an effective basis (Edwards, 2022). Additionally, in the present post-covid position the management of Tesco plc also initiated the product price controlling support with maintaining the cost of living progress mainly that brings the operating optimised growth in an effective </w:t>
      </w:r>
      <w:r w:rsidR="00EA5198">
        <w:rPr>
          <w:color w:val="000000"/>
          <w:shd w:val="clear" w:color="auto" w:fill="FFFFFF"/>
        </w:rPr>
        <w:t>(</w:t>
      </w:r>
      <w:r w:rsidR="00EA5198">
        <w:rPr>
          <w:i/>
          <w:iCs/>
          <w:color w:val="000000"/>
        </w:rPr>
        <w:t>Tesco kicks off share buyback</w:t>
      </w:r>
      <w:r w:rsidR="00EA5198">
        <w:rPr>
          <w:color w:val="000000"/>
          <w:shd w:val="clear" w:color="auto" w:fill="FFFFFF"/>
        </w:rPr>
        <w:t>, 2022).</w:t>
      </w:r>
      <w:r w:rsidR="00EA5198" w:rsidRPr="00633CAC">
        <w:rPr>
          <w:lang w:val="en-GB"/>
        </w:rPr>
        <w:t xml:space="preserve"> </w:t>
      </w:r>
      <w:r w:rsidRPr="00633CAC">
        <w:rPr>
          <w:lang w:val="en-GB"/>
        </w:rPr>
        <w:t xml:space="preserve">With the support of present operating growth and six driver strategic initiatives, the management of Tesco also initiated the share buyback processing approach also that is initiated for managing the financial development including the marketing capital approach on an effective basis. </w:t>
      </w:r>
    </w:p>
    <w:p w14:paraId="0000000A" w14:textId="190B9C8C" w:rsidR="001D5AB7" w:rsidRPr="00633CAC" w:rsidRDefault="00753CC0">
      <w:pPr>
        <w:spacing w:line="360" w:lineRule="auto"/>
        <w:jc w:val="both"/>
        <w:rPr>
          <w:lang w:val="en-GB"/>
        </w:rPr>
      </w:pPr>
      <w:r w:rsidRPr="00633CAC">
        <w:rPr>
          <w:lang w:val="en-GB"/>
        </w:rPr>
        <w:t xml:space="preserve">The general conceptual approach regarding </w:t>
      </w:r>
      <w:r w:rsidRPr="0031405E">
        <w:rPr>
          <w:bCs/>
          <w:lang w:val="en-GB"/>
        </w:rPr>
        <w:t>“investment appraisal”</w:t>
      </w:r>
      <w:r w:rsidRPr="00633CAC">
        <w:rPr>
          <w:b/>
          <w:lang w:val="en-GB"/>
        </w:rPr>
        <w:t xml:space="preserve"> </w:t>
      </w:r>
      <w:r w:rsidRPr="00633CAC">
        <w:rPr>
          <w:lang w:val="en-GB"/>
        </w:rPr>
        <w:t>in financial management is considered as a progressive financial evaluation tool. The presence of such a tool is identified for maintaining and managing the accountability support including accounting growth as well, with the processing of such operating improvement of the individual project can be identified. According to Plaskova</w:t>
      </w:r>
      <w:r w:rsidRPr="00633CAC">
        <w:rPr>
          <w:i/>
          <w:lang w:val="en-GB"/>
        </w:rPr>
        <w:t xml:space="preserve"> et al. </w:t>
      </w:r>
      <w:r w:rsidRPr="00633CAC">
        <w:rPr>
          <w:lang w:val="en-GB"/>
        </w:rPr>
        <w:t xml:space="preserve">(2020), the primary presence of investment appraisal is identified for analysis the progressive measurement including accounting development is associated with individual business investment projects mainly. However, in the same context Musah </w:t>
      </w:r>
      <w:r w:rsidRPr="00633CAC">
        <w:rPr>
          <w:i/>
          <w:lang w:val="en-GB"/>
        </w:rPr>
        <w:t xml:space="preserve">et al. </w:t>
      </w:r>
      <w:r w:rsidRPr="00633CAC">
        <w:rPr>
          <w:lang w:val="en-GB"/>
        </w:rPr>
        <w:t xml:space="preserve">(2018), opined that such evaluation is unable to provide a sustainable business decision in case of more than one investment project presence. It is also unable to manage the sustainable progress regarding cash flow processing of business projects with an optimised growth presence. From that analysis support, it can be considered </w:t>
      </w:r>
      <w:r w:rsidRPr="00633CAC">
        <w:rPr>
          <w:lang w:val="en-GB"/>
        </w:rPr>
        <w:lastRenderedPageBreak/>
        <w:t xml:space="preserve">that the general engagement of an effective investment approach can effectively measure the progressive and formulated accounting support that brings the operating engagement of business on a developing basis. According to the present marketing demand including operating growth support, the management of Tesco has initiated a </w:t>
      </w:r>
      <w:r w:rsidRPr="0031405E">
        <w:rPr>
          <w:bCs/>
          <w:lang w:val="en-GB"/>
        </w:rPr>
        <w:t>major green power project</w:t>
      </w:r>
      <w:r w:rsidRPr="00633CAC">
        <w:rPr>
          <w:b/>
          <w:lang w:val="en-GB"/>
        </w:rPr>
        <w:t xml:space="preserve"> </w:t>
      </w:r>
      <w:r w:rsidRPr="00633CAC">
        <w:rPr>
          <w:lang w:val="en-GB"/>
        </w:rPr>
        <w:t>for managing and increasing the supply chain support of power in a developing order</w:t>
      </w:r>
      <w:r w:rsidR="009A5926" w:rsidRPr="009A5926">
        <w:rPr>
          <w:color w:val="000000"/>
          <w:shd w:val="clear" w:color="auto" w:fill="FFFFFF"/>
        </w:rPr>
        <w:t xml:space="preserve"> </w:t>
      </w:r>
      <w:r w:rsidR="009A5926">
        <w:rPr>
          <w:color w:val="000000"/>
          <w:shd w:val="clear" w:color="auto" w:fill="FFFFFF"/>
        </w:rPr>
        <w:t>(</w:t>
      </w:r>
      <w:r w:rsidR="009A5926">
        <w:rPr>
          <w:i/>
          <w:iCs/>
          <w:color w:val="000000"/>
        </w:rPr>
        <w:t>Tesco announces major green power project in the UK</w:t>
      </w:r>
      <w:r w:rsidR="009A5926">
        <w:rPr>
          <w:color w:val="000000"/>
          <w:shd w:val="clear" w:color="auto" w:fill="FFFFFF"/>
        </w:rPr>
        <w:t>, 2022)</w:t>
      </w:r>
      <w:r w:rsidRPr="00633CAC">
        <w:rPr>
          <w:lang w:val="en-GB"/>
        </w:rPr>
        <w:t xml:space="preserve">. In the case of this project, the primary presence of the Net present value concept associated with the investment appraisal approach is mainly noticed that is initiated for developing and maintaining the project evaluation in an effective order. With the presence of such project evaluation, the management can initiate the annual cash flow formulation including project development support, which brings the comprehensive accountability approach to progressive business development mainly (Khan </w:t>
      </w:r>
      <w:r w:rsidRPr="00633CAC">
        <w:rPr>
          <w:i/>
          <w:lang w:val="en-GB"/>
        </w:rPr>
        <w:t>et al.,</w:t>
      </w:r>
      <w:r w:rsidRPr="00633CAC">
        <w:rPr>
          <w:lang w:val="en-GB"/>
        </w:rPr>
        <w:t xml:space="preserve"> 2019). Though the presence of such analysis is unable to formulate the profit engagement support including measurement of business sunk cost mainly, however, such analysis provides a systematic operating engagement for performance development of such business projects. It applies to managing the accountability initiatives about marketing structure including external investors’ presence also that bring the opportunity of business development in a formulated basis. </w:t>
      </w:r>
    </w:p>
    <w:p w14:paraId="0000000B" w14:textId="77777777" w:rsidR="001D5AB7" w:rsidRPr="00633CAC" w:rsidRDefault="00753CC0" w:rsidP="00633CAC">
      <w:pPr>
        <w:pStyle w:val="Heading1"/>
      </w:pPr>
      <w:bookmarkStart w:id="2" w:name="_Toc109399121"/>
      <w:r w:rsidRPr="00633CAC">
        <w:t>Conclusions</w:t>
      </w:r>
      <w:bookmarkEnd w:id="2"/>
      <w:r w:rsidRPr="00633CAC">
        <w:t xml:space="preserve"> </w:t>
      </w:r>
    </w:p>
    <w:p w14:paraId="0000000C" w14:textId="43691982" w:rsidR="001D5AB7" w:rsidRDefault="00753CC0">
      <w:pPr>
        <w:spacing w:line="360" w:lineRule="auto"/>
        <w:jc w:val="both"/>
        <w:rPr>
          <w:lang w:val="en-GB"/>
        </w:rPr>
      </w:pPr>
      <w:r w:rsidRPr="00633CAC">
        <w:rPr>
          <w:lang w:val="en-GB"/>
        </w:rPr>
        <w:t xml:space="preserve">In conclusion, the presence of such engagement is initiated for operating development </w:t>
      </w:r>
      <w:r w:rsidR="00847725">
        <w:rPr>
          <w:lang w:val="en-GB"/>
        </w:rPr>
        <w:t>as well as</w:t>
      </w:r>
      <w:r w:rsidRPr="00633CAC">
        <w:rPr>
          <w:lang w:val="en-GB"/>
        </w:rPr>
        <w:t xml:space="preserve"> marketing growth support that brings opportunity for financial growth formulation mainly. It also provides the optimised growth support regarding business performance stability that can be initiated to manage the stakeholder's engagement as well. In accordance with the present financial processing of Tesco plc systematic stable dividend support including effective hypothetical engagement is initiated, which is managed for operating development support in a more convenient order. In addition, the present level of NPV approach under-investment appraisal support is also initiated for structural evaluation support regarding the individual projects for operating maintenance purposes. </w:t>
      </w:r>
    </w:p>
    <w:p w14:paraId="0AED867E" w14:textId="554D578E" w:rsidR="00633CAC" w:rsidRDefault="00633CAC">
      <w:pPr>
        <w:rPr>
          <w:lang w:val="en-GB"/>
        </w:rPr>
      </w:pPr>
      <w:r>
        <w:rPr>
          <w:lang w:val="en-GB"/>
        </w:rPr>
        <w:br w:type="page"/>
      </w:r>
    </w:p>
    <w:p w14:paraId="1324BCE1" w14:textId="66BAF2F2" w:rsidR="00633CAC" w:rsidRPr="00633CAC" w:rsidRDefault="00633CAC" w:rsidP="00633CAC">
      <w:pPr>
        <w:pStyle w:val="Heading1"/>
      </w:pPr>
      <w:bookmarkStart w:id="3" w:name="_Toc109399122"/>
      <w:r w:rsidRPr="00633CAC">
        <w:lastRenderedPageBreak/>
        <w:t>References</w:t>
      </w:r>
      <w:bookmarkEnd w:id="3"/>
    </w:p>
    <w:p w14:paraId="17F9E7F3" w14:textId="77777777" w:rsidR="00C96723" w:rsidRDefault="00C96723" w:rsidP="0031405E">
      <w:pPr>
        <w:pStyle w:val="ListParagraph"/>
        <w:numPr>
          <w:ilvl w:val="0"/>
          <w:numId w:val="1"/>
        </w:numPr>
        <w:spacing w:line="360" w:lineRule="auto"/>
        <w:jc w:val="both"/>
      </w:pPr>
      <w:r w:rsidRPr="00F56177">
        <w:t>Bao, S</w:t>
      </w:r>
      <w:r>
        <w:t xml:space="preserve">. </w:t>
      </w:r>
      <w:r w:rsidRPr="00601DF8">
        <w:rPr>
          <w:i/>
          <w:iCs/>
        </w:rPr>
        <w:t xml:space="preserve">et al. </w:t>
      </w:r>
      <w:r>
        <w:t>(</w:t>
      </w:r>
      <w:r w:rsidRPr="00F56177">
        <w:t>2020</w:t>
      </w:r>
      <w:r>
        <w:t>)</w:t>
      </w:r>
      <w:r w:rsidRPr="00F56177">
        <w:t xml:space="preserve"> </w:t>
      </w:r>
      <w:r w:rsidRPr="00601DF8">
        <w:rPr>
          <w:i/>
          <w:iCs/>
        </w:rPr>
        <w:t>Statistical arbitrage under the efficient market hypothesis</w:t>
      </w:r>
      <w:r w:rsidRPr="00F56177">
        <w:t>. </w:t>
      </w:r>
      <w:r w:rsidRPr="00601DF8">
        <w:t>Statistical Theory and Related Fields</w:t>
      </w:r>
      <w:r w:rsidRPr="00F56177">
        <w:t>, </w:t>
      </w:r>
      <w:r w:rsidRPr="0031405E">
        <w:rPr>
          <w:i/>
          <w:iCs/>
        </w:rPr>
        <w:t>4</w:t>
      </w:r>
      <w:r w:rsidRPr="00F56177">
        <w:t>(1), pp.84-96.</w:t>
      </w:r>
    </w:p>
    <w:p w14:paraId="6944175D" w14:textId="77777777" w:rsidR="00C96723" w:rsidRPr="00807EF2" w:rsidRDefault="00C96723" w:rsidP="00807EF2">
      <w:pPr>
        <w:pStyle w:val="NormalWeb"/>
        <w:numPr>
          <w:ilvl w:val="0"/>
          <w:numId w:val="1"/>
        </w:numPr>
        <w:spacing w:before="0" w:beforeAutospacing="0" w:after="240" w:afterAutospacing="0" w:line="360" w:lineRule="atLeast"/>
        <w:rPr>
          <w:color w:val="000000"/>
        </w:rPr>
      </w:pPr>
      <w:r>
        <w:rPr>
          <w:color w:val="000000"/>
        </w:rPr>
        <w:t>Butler, S. (2020) </w:t>
      </w:r>
      <w:r>
        <w:rPr>
          <w:i/>
          <w:iCs/>
          <w:color w:val="000000"/>
        </w:rPr>
        <w:t>Tesco gives permanent jobs to 16,000 staff taken on in Covid crisis</w:t>
      </w:r>
      <w:r>
        <w:rPr>
          <w:color w:val="000000"/>
        </w:rPr>
        <w:t>, </w:t>
      </w:r>
      <w:r>
        <w:rPr>
          <w:i/>
          <w:iCs/>
          <w:color w:val="000000"/>
        </w:rPr>
        <w:t>the Guardian</w:t>
      </w:r>
      <w:r>
        <w:rPr>
          <w:color w:val="000000"/>
        </w:rPr>
        <w:t>. The Guardian. Available at: https://www.theguardian.com/business/2020/aug/24/tesco-gives-permanent-jobs-to-16000-staff-taken-on-in-covid-crisis (Accessed: 21 July 2022).</w:t>
      </w:r>
    </w:p>
    <w:p w14:paraId="74412C90" w14:textId="77777777" w:rsidR="00C96723" w:rsidRPr="008C2E93" w:rsidRDefault="00C96723" w:rsidP="008C2E93">
      <w:pPr>
        <w:pStyle w:val="NormalWeb"/>
        <w:numPr>
          <w:ilvl w:val="0"/>
          <w:numId w:val="1"/>
        </w:numPr>
        <w:spacing w:before="0" w:beforeAutospacing="0" w:after="240" w:afterAutospacing="0" w:line="360" w:lineRule="atLeast"/>
        <w:rPr>
          <w:color w:val="000000"/>
        </w:rPr>
      </w:pPr>
      <w:r>
        <w:rPr>
          <w:color w:val="000000"/>
        </w:rPr>
        <w:t>Edwards, C. (2022) </w:t>
      </w:r>
      <w:r>
        <w:rPr>
          <w:i/>
          <w:iCs/>
          <w:color w:val="000000"/>
        </w:rPr>
        <w:t>Tesco PLC 66.9% potential upside indicated by Barclays</w:t>
      </w:r>
      <w:r>
        <w:rPr>
          <w:color w:val="000000"/>
        </w:rPr>
        <w:t>, </w:t>
      </w:r>
      <w:r>
        <w:rPr>
          <w:i/>
          <w:iCs/>
          <w:color w:val="000000"/>
        </w:rPr>
        <w:t>Directorstalkinterviews.com</w:t>
      </w:r>
      <w:r>
        <w:rPr>
          <w:color w:val="000000"/>
        </w:rPr>
        <w:t>. DirectorsTalk Interviews. Available at: https://www.directorstalkinterviews.com/tesco-plc-66.9-potential-upside-indicated-by-barclays/4121070691 (Accessed: 22 July 2022).</w:t>
      </w:r>
    </w:p>
    <w:p w14:paraId="03579218" w14:textId="77777777" w:rsidR="00C96723" w:rsidRDefault="00C96723" w:rsidP="0031405E">
      <w:pPr>
        <w:pStyle w:val="ListParagraph"/>
        <w:numPr>
          <w:ilvl w:val="0"/>
          <w:numId w:val="1"/>
        </w:numPr>
        <w:spacing w:line="360" w:lineRule="auto"/>
        <w:jc w:val="both"/>
      </w:pPr>
      <w:r w:rsidRPr="00943AE5">
        <w:t xml:space="preserve">Jabłoński, B. </w:t>
      </w:r>
      <w:r>
        <w:t>(</w:t>
      </w:r>
      <w:r w:rsidRPr="00943AE5">
        <w:t>2019</w:t>
      </w:r>
      <w:r>
        <w:t>)</w:t>
      </w:r>
      <w:r w:rsidRPr="00943AE5">
        <w:t xml:space="preserve">. </w:t>
      </w:r>
      <w:r w:rsidRPr="001D38D9">
        <w:rPr>
          <w:i/>
          <w:iCs/>
        </w:rPr>
        <w:t>Characteristics and realization of the dividend policy of companies quoted on the Warsaw Stock Exchange for the period 2008--2017</w:t>
      </w:r>
      <w:r w:rsidRPr="001D38D9">
        <w:t>. Financial Sciences. Nauki o Finansach, 24(3</w:t>
      </w:r>
      <w:r w:rsidRPr="00943AE5">
        <w:t>), pp.1-12.</w:t>
      </w:r>
    </w:p>
    <w:p w14:paraId="518C46E9" w14:textId="77777777" w:rsidR="00C96723" w:rsidRDefault="00C96723" w:rsidP="0031405E">
      <w:pPr>
        <w:pStyle w:val="ListParagraph"/>
        <w:numPr>
          <w:ilvl w:val="0"/>
          <w:numId w:val="1"/>
        </w:numPr>
        <w:spacing w:line="360" w:lineRule="auto"/>
        <w:jc w:val="both"/>
      </w:pPr>
      <w:r w:rsidRPr="00F56177">
        <w:t xml:space="preserve">Jovanovic, F. </w:t>
      </w:r>
      <w:r>
        <w:t>(</w:t>
      </w:r>
      <w:r w:rsidRPr="00F56177">
        <w:t>2018</w:t>
      </w:r>
      <w:r>
        <w:t>)</w:t>
      </w:r>
      <w:r w:rsidRPr="00F56177">
        <w:t xml:space="preserve">. </w:t>
      </w:r>
      <w:r w:rsidRPr="001D38D9">
        <w:rPr>
          <w:i/>
          <w:iCs/>
        </w:rPr>
        <w:t xml:space="preserve">Beyond performativity, how and why American courts should not have used Efficient market hypothesis. </w:t>
      </w:r>
      <w:r w:rsidRPr="001D38D9">
        <w:t>In The Making of Finance</w:t>
      </w:r>
      <w:r w:rsidRPr="00F56177">
        <w:t> (pp. 90-97). Routledge.</w:t>
      </w:r>
    </w:p>
    <w:p w14:paraId="0D892839" w14:textId="77777777" w:rsidR="00C96723" w:rsidRDefault="00C96723" w:rsidP="0031405E">
      <w:pPr>
        <w:pStyle w:val="ListParagraph"/>
        <w:numPr>
          <w:ilvl w:val="0"/>
          <w:numId w:val="1"/>
        </w:numPr>
        <w:spacing w:line="360" w:lineRule="auto"/>
        <w:jc w:val="both"/>
      </w:pPr>
      <w:r w:rsidRPr="00905671">
        <w:t>Khan, H.U.R</w:t>
      </w:r>
      <w:r>
        <w:t xml:space="preserve">. </w:t>
      </w:r>
      <w:r w:rsidRPr="001D38D9">
        <w:rPr>
          <w:i/>
          <w:iCs/>
        </w:rPr>
        <w:t>et al</w:t>
      </w:r>
      <w:r>
        <w:t>.</w:t>
      </w:r>
      <w:r w:rsidRPr="00905671">
        <w:t xml:space="preserve"> </w:t>
      </w:r>
      <w:r>
        <w:t>(</w:t>
      </w:r>
      <w:r w:rsidRPr="00905671">
        <w:t>2019</w:t>
      </w:r>
      <w:r>
        <w:t>)</w:t>
      </w:r>
      <w:r w:rsidRPr="00905671">
        <w:t xml:space="preserve">. </w:t>
      </w:r>
      <w:r w:rsidRPr="001D38D9">
        <w:rPr>
          <w:i/>
          <w:iCs/>
        </w:rPr>
        <w:t>Financial management of natural resource market: Long-run and inter-temporal (forecast) relationship</w:t>
      </w:r>
      <w:r w:rsidRPr="00905671">
        <w:t>. </w:t>
      </w:r>
      <w:r w:rsidRPr="001D38D9">
        <w:t>Resources Policy, 63, p</w:t>
      </w:r>
      <w:r w:rsidRPr="00905671">
        <w:t>.101452.</w:t>
      </w:r>
    </w:p>
    <w:p w14:paraId="61D8C26F" w14:textId="77777777" w:rsidR="00C96723" w:rsidRDefault="00C96723" w:rsidP="0031405E">
      <w:pPr>
        <w:pStyle w:val="ListParagraph"/>
        <w:numPr>
          <w:ilvl w:val="0"/>
          <w:numId w:val="1"/>
        </w:numPr>
        <w:spacing w:line="360" w:lineRule="auto"/>
        <w:jc w:val="both"/>
      </w:pPr>
      <w:r w:rsidRPr="00BD41CD">
        <w:t xml:space="preserve">Musah, A., Gakpetor, E.D. and Pomaa, P. </w:t>
      </w:r>
      <w:r>
        <w:t>(</w:t>
      </w:r>
      <w:r w:rsidRPr="00BD41CD">
        <w:t>2018</w:t>
      </w:r>
      <w:r>
        <w:t>)</w:t>
      </w:r>
      <w:r w:rsidRPr="00BD41CD">
        <w:t xml:space="preserve">. </w:t>
      </w:r>
      <w:r w:rsidRPr="001D38D9">
        <w:rPr>
          <w:i/>
          <w:iCs/>
        </w:rPr>
        <w:t>Financial management practices, firm growth and profitability of small and medium scale enterprises (SMEs</w:t>
      </w:r>
      <w:r w:rsidRPr="001D38D9">
        <w:t>). Information management and business review, 10(3), pp</w:t>
      </w:r>
      <w:r w:rsidRPr="00BD41CD">
        <w:t>.25-37.</w:t>
      </w:r>
    </w:p>
    <w:p w14:paraId="53A81136" w14:textId="77777777" w:rsidR="00C96723" w:rsidRPr="0049028C" w:rsidRDefault="00C96723" w:rsidP="0031405E">
      <w:pPr>
        <w:pStyle w:val="ListParagraph"/>
        <w:numPr>
          <w:ilvl w:val="0"/>
          <w:numId w:val="1"/>
        </w:numPr>
        <w:spacing w:line="360" w:lineRule="auto"/>
        <w:jc w:val="both"/>
      </w:pPr>
      <w:r w:rsidRPr="00BD41CD">
        <w:t xml:space="preserve">Plaskova, N.S., Prodanova, N.A. and Reshetov, K.Y. </w:t>
      </w:r>
      <w:r>
        <w:t>(</w:t>
      </w:r>
      <w:r w:rsidRPr="00BD41CD">
        <w:t>2020</w:t>
      </w:r>
      <w:r>
        <w:t>)</w:t>
      </w:r>
      <w:r w:rsidRPr="00BD41CD">
        <w:t xml:space="preserve">. </w:t>
      </w:r>
      <w:r w:rsidRPr="0049028C">
        <w:rPr>
          <w:i/>
          <w:iCs/>
        </w:rPr>
        <w:t>Dealing operations as a means of improving the efficiency of the financial management of a production company</w:t>
      </w:r>
      <w:r w:rsidRPr="00BD41CD">
        <w:t xml:space="preserve">. </w:t>
      </w:r>
      <w:r w:rsidRPr="0049028C">
        <w:t>In Complex Systems: Innovation and Sustainability in the Digital Age (pp. 61-70). Springer, Cham.</w:t>
      </w:r>
    </w:p>
    <w:p w14:paraId="71A92C3E" w14:textId="77777777" w:rsidR="00C96723" w:rsidRDefault="00C96723" w:rsidP="0031405E">
      <w:pPr>
        <w:pStyle w:val="ListParagraph"/>
        <w:numPr>
          <w:ilvl w:val="0"/>
          <w:numId w:val="1"/>
        </w:numPr>
        <w:spacing w:line="360" w:lineRule="auto"/>
        <w:jc w:val="both"/>
      </w:pPr>
      <w:r w:rsidRPr="00943AE5">
        <w:t xml:space="preserve">Sawitri, A.N. and Sulistyowati, C. </w:t>
      </w:r>
      <w:r>
        <w:t>(</w:t>
      </w:r>
      <w:r w:rsidRPr="00943AE5">
        <w:t>2018</w:t>
      </w:r>
      <w:r>
        <w:t>)</w:t>
      </w:r>
      <w:r w:rsidRPr="00943AE5">
        <w:t xml:space="preserve"> Stock liquidity and dividend policy. </w:t>
      </w:r>
      <w:r w:rsidRPr="0031405E">
        <w:rPr>
          <w:i/>
          <w:iCs/>
        </w:rPr>
        <w:t>KnE Social Sciences</w:t>
      </w:r>
      <w:r w:rsidRPr="00943AE5">
        <w:t>.</w:t>
      </w:r>
    </w:p>
    <w:p w14:paraId="02132862" w14:textId="77777777" w:rsidR="00C96723" w:rsidRDefault="00C96723" w:rsidP="0031405E">
      <w:pPr>
        <w:pStyle w:val="ListParagraph"/>
        <w:numPr>
          <w:ilvl w:val="0"/>
          <w:numId w:val="1"/>
        </w:numPr>
        <w:spacing w:line="360" w:lineRule="auto"/>
        <w:jc w:val="both"/>
      </w:pPr>
      <w:r w:rsidRPr="00943AE5">
        <w:t>Surasmi, I.A., Widari, D.A.P.N., Warmana, G.O. and Widnyana, I.W.</w:t>
      </w:r>
      <w:r>
        <w:t xml:space="preserve"> (</w:t>
      </w:r>
      <w:r w:rsidRPr="00943AE5">
        <w:t>2019</w:t>
      </w:r>
      <w:r>
        <w:t>)</w:t>
      </w:r>
      <w:r w:rsidRPr="00943AE5">
        <w:t xml:space="preserve"> </w:t>
      </w:r>
      <w:r w:rsidRPr="00D84B2C">
        <w:rPr>
          <w:i/>
          <w:iCs/>
        </w:rPr>
        <w:t>The Impact of Business Risk on Dividend Policy in Manufacturing Companies Listed on Indonesia Stock Exchange</w:t>
      </w:r>
      <w:r w:rsidRPr="00D84B2C">
        <w:t>. Academy of Social Science Journal, 4(11),</w:t>
      </w:r>
      <w:r w:rsidRPr="00943AE5">
        <w:t xml:space="preserve"> pp.1488-1493.</w:t>
      </w:r>
    </w:p>
    <w:p w14:paraId="3400F3C5" w14:textId="77777777" w:rsidR="00C96723" w:rsidRPr="001D538E" w:rsidRDefault="00C96723" w:rsidP="001D538E">
      <w:pPr>
        <w:pStyle w:val="NormalWeb"/>
        <w:numPr>
          <w:ilvl w:val="0"/>
          <w:numId w:val="1"/>
        </w:numPr>
        <w:spacing w:before="0" w:beforeAutospacing="0" w:after="240" w:afterAutospacing="0" w:line="360" w:lineRule="atLeast"/>
        <w:rPr>
          <w:color w:val="000000"/>
        </w:rPr>
      </w:pPr>
      <w:r>
        <w:rPr>
          <w:i/>
          <w:iCs/>
          <w:color w:val="000000"/>
        </w:rPr>
        <w:lastRenderedPageBreak/>
        <w:t>Tesco announces major green power project in the UK</w:t>
      </w:r>
      <w:r>
        <w:rPr>
          <w:color w:val="000000"/>
        </w:rPr>
        <w:t> (2022) </w:t>
      </w:r>
      <w:r>
        <w:rPr>
          <w:i/>
          <w:iCs/>
          <w:color w:val="000000"/>
        </w:rPr>
        <w:t>Tesco PLC</w:t>
      </w:r>
      <w:r>
        <w:rPr>
          <w:color w:val="000000"/>
        </w:rPr>
        <w:t>. Available at: https://www.tescoplc.com/news/2019/tesco-announces-major-green-power-project-in-the-uk (Accessed: 26 July 2022).</w:t>
      </w:r>
    </w:p>
    <w:p w14:paraId="2394A0F1" w14:textId="77777777" w:rsidR="00C96723" w:rsidRPr="00EA5198" w:rsidRDefault="00C96723" w:rsidP="00EA5198">
      <w:pPr>
        <w:pStyle w:val="NormalWeb"/>
        <w:numPr>
          <w:ilvl w:val="0"/>
          <w:numId w:val="1"/>
        </w:numPr>
        <w:spacing w:before="0" w:beforeAutospacing="0" w:after="240" w:afterAutospacing="0" w:line="360" w:lineRule="atLeast"/>
        <w:rPr>
          <w:color w:val="000000"/>
        </w:rPr>
      </w:pPr>
      <w:r>
        <w:rPr>
          <w:i/>
          <w:iCs/>
          <w:color w:val="000000"/>
        </w:rPr>
        <w:t>Tesco kicks off share buyback</w:t>
      </w:r>
      <w:r>
        <w:rPr>
          <w:color w:val="000000"/>
        </w:rPr>
        <w:t> (2022) </w:t>
      </w:r>
      <w:r>
        <w:rPr>
          <w:i/>
          <w:iCs/>
          <w:color w:val="000000"/>
        </w:rPr>
        <w:t>Proactiveinvestors UK</w:t>
      </w:r>
      <w:r>
        <w:rPr>
          <w:color w:val="000000"/>
        </w:rPr>
        <w:t>. Available at: https://www.proactiveinvestors.co.uk/companies/news/986502/tesco-kicks-off-share-buyback-986502.html (Accessed: 26 July 2022).</w:t>
      </w:r>
    </w:p>
    <w:p w14:paraId="17EEF5E6" w14:textId="77777777" w:rsidR="00C96723" w:rsidRPr="00807EF2" w:rsidRDefault="00C96723" w:rsidP="00807EF2">
      <w:pPr>
        <w:pStyle w:val="NormalWeb"/>
        <w:numPr>
          <w:ilvl w:val="0"/>
          <w:numId w:val="1"/>
        </w:numPr>
        <w:spacing w:before="0" w:beforeAutospacing="0" w:after="240" w:afterAutospacing="0" w:line="360" w:lineRule="atLeast"/>
        <w:rPr>
          <w:color w:val="000000"/>
        </w:rPr>
      </w:pPr>
      <w:r>
        <w:rPr>
          <w:i/>
          <w:iCs/>
          <w:color w:val="000000"/>
        </w:rPr>
        <w:t>Tesco PLC (TSCO.L) Stock Price, News, Quote &amp; History - Yahoo Finance</w:t>
      </w:r>
      <w:r>
        <w:rPr>
          <w:color w:val="000000"/>
        </w:rPr>
        <w:t> (2022) </w:t>
      </w:r>
      <w:r>
        <w:rPr>
          <w:i/>
          <w:iCs/>
          <w:color w:val="000000"/>
        </w:rPr>
        <w:t>@YahooFinance</w:t>
      </w:r>
      <w:r>
        <w:rPr>
          <w:color w:val="000000"/>
        </w:rPr>
        <w:t>. Available at: https://finance.yahoo.com/quote/TSCO.L?guccounter=1 (Accessed: 22 July 2022).</w:t>
      </w:r>
    </w:p>
    <w:p w14:paraId="0000000D" w14:textId="77777777" w:rsidR="001D5AB7" w:rsidRPr="00633CAC" w:rsidRDefault="001D5AB7">
      <w:pPr>
        <w:spacing w:line="360" w:lineRule="auto"/>
        <w:jc w:val="both"/>
        <w:rPr>
          <w:lang w:val="en-GB"/>
        </w:rPr>
      </w:pPr>
    </w:p>
    <w:p w14:paraId="0000000E" w14:textId="77777777" w:rsidR="001D5AB7" w:rsidRPr="00633CAC" w:rsidRDefault="001D5AB7">
      <w:pPr>
        <w:spacing w:line="360" w:lineRule="auto"/>
        <w:jc w:val="both"/>
        <w:rPr>
          <w:lang w:val="en-GB"/>
        </w:rPr>
      </w:pPr>
    </w:p>
    <w:p w14:paraId="0000000F" w14:textId="77777777" w:rsidR="001D5AB7" w:rsidRPr="00633CAC" w:rsidRDefault="001D5AB7">
      <w:pPr>
        <w:spacing w:line="360" w:lineRule="auto"/>
        <w:jc w:val="both"/>
        <w:rPr>
          <w:lang w:val="en-GB"/>
        </w:rPr>
      </w:pPr>
    </w:p>
    <w:p w14:paraId="00000010" w14:textId="77777777" w:rsidR="001D5AB7" w:rsidRPr="00633CAC" w:rsidRDefault="001D5AB7">
      <w:pPr>
        <w:spacing w:line="360" w:lineRule="auto"/>
        <w:jc w:val="both"/>
        <w:rPr>
          <w:lang w:val="en-GB"/>
        </w:rPr>
      </w:pPr>
    </w:p>
    <w:p w14:paraId="00000011" w14:textId="77777777" w:rsidR="001D5AB7" w:rsidRPr="00633CAC" w:rsidRDefault="001D5AB7">
      <w:pPr>
        <w:spacing w:line="360" w:lineRule="auto"/>
        <w:jc w:val="both"/>
        <w:rPr>
          <w:lang w:val="en-GB"/>
        </w:rPr>
      </w:pPr>
    </w:p>
    <w:p w14:paraId="00000012" w14:textId="77777777" w:rsidR="001D5AB7" w:rsidRPr="00633CAC" w:rsidRDefault="001D5AB7">
      <w:pPr>
        <w:spacing w:line="360" w:lineRule="auto"/>
        <w:jc w:val="both"/>
        <w:rPr>
          <w:b/>
          <w:lang w:val="en-GB"/>
        </w:rPr>
      </w:pPr>
    </w:p>
    <w:p w14:paraId="00000013" w14:textId="77777777" w:rsidR="001D5AB7" w:rsidRPr="00633CAC" w:rsidRDefault="001D5AB7">
      <w:pPr>
        <w:spacing w:line="360" w:lineRule="auto"/>
        <w:jc w:val="both"/>
        <w:rPr>
          <w:lang w:val="en-GB"/>
        </w:rPr>
      </w:pPr>
    </w:p>
    <w:sectPr w:rsidR="001D5AB7" w:rsidRPr="00633CAC" w:rsidSect="00FC4881">
      <w:footerReference w:type="default" r:id="rId8"/>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7AC41" w14:textId="77777777" w:rsidR="00A90035" w:rsidRDefault="00A90035">
      <w:pPr>
        <w:spacing w:line="240" w:lineRule="auto"/>
      </w:pPr>
      <w:r>
        <w:separator/>
      </w:r>
    </w:p>
  </w:endnote>
  <w:endnote w:type="continuationSeparator" w:id="0">
    <w:p w14:paraId="2C97F67D" w14:textId="77777777" w:rsidR="00A90035" w:rsidRDefault="00A90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153166"/>
      <w:docPartObj>
        <w:docPartGallery w:val="Page Numbers (Bottom of Page)"/>
        <w:docPartUnique/>
      </w:docPartObj>
    </w:sdtPr>
    <w:sdtEndPr>
      <w:rPr>
        <w:noProof/>
      </w:rPr>
    </w:sdtEndPr>
    <w:sdtContent>
      <w:p w14:paraId="4F48F264" w14:textId="424AFC1B" w:rsidR="00633CAC" w:rsidRDefault="00633CAC">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FAA5C6C" w14:textId="77777777" w:rsidR="00633CAC" w:rsidRDefault="00633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572D9" w14:textId="77777777" w:rsidR="00A90035" w:rsidRDefault="00A90035">
      <w:pPr>
        <w:spacing w:line="240" w:lineRule="auto"/>
      </w:pPr>
      <w:r>
        <w:separator/>
      </w:r>
    </w:p>
  </w:footnote>
  <w:footnote w:type="continuationSeparator" w:id="0">
    <w:p w14:paraId="553FA699" w14:textId="77777777" w:rsidR="00A90035" w:rsidRDefault="00A900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90729"/>
    <w:multiLevelType w:val="hybridMultilevel"/>
    <w:tmpl w:val="2B5822B2"/>
    <w:lvl w:ilvl="0" w:tplc="BECC3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9034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D5AB7"/>
    <w:rsid w:val="00095BB3"/>
    <w:rsid w:val="000A378D"/>
    <w:rsid w:val="001C39F2"/>
    <w:rsid w:val="001D38D9"/>
    <w:rsid w:val="001D538E"/>
    <w:rsid w:val="001D5AB7"/>
    <w:rsid w:val="00253092"/>
    <w:rsid w:val="00263F85"/>
    <w:rsid w:val="002C1C04"/>
    <w:rsid w:val="0031405E"/>
    <w:rsid w:val="003331D7"/>
    <w:rsid w:val="0036541B"/>
    <w:rsid w:val="0049028C"/>
    <w:rsid w:val="00497D74"/>
    <w:rsid w:val="00601DF8"/>
    <w:rsid w:val="00633CAC"/>
    <w:rsid w:val="00655468"/>
    <w:rsid w:val="006C26C9"/>
    <w:rsid w:val="006E66B4"/>
    <w:rsid w:val="00753CC0"/>
    <w:rsid w:val="00801C85"/>
    <w:rsid w:val="00807EF2"/>
    <w:rsid w:val="00813D7C"/>
    <w:rsid w:val="00847725"/>
    <w:rsid w:val="008C2E93"/>
    <w:rsid w:val="00993738"/>
    <w:rsid w:val="009A5926"/>
    <w:rsid w:val="00A90035"/>
    <w:rsid w:val="00BC2200"/>
    <w:rsid w:val="00C96723"/>
    <w:rsid w:val="00CC2E40"/>
    <w:rsid w:val="00D767E7"/>
    <w:rsid w:val="00D84B2C"/>
    <w:rsid w:val="00E13C5C"/>
    <w:rsid w:val="00EA5198"/>
    <w:rsid w:val="00F136FD"/>
    <w:rsid w:val="00F2100A"/>
    <w:rsid w:val="00FC48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2FE93"/>
  <w15:docId w15:val="{C77102A4-160E-4E82-B8D2-C443B598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33CAC"/>
    <w:pPr>
      <w:spacing w:line="360" w:lineRule="auto"/>
      <w:jc w:val="both"/>
      <w:outlineLvl w:val="0"/>
    </w:pPr>
    <w:rPr>
      <w:b/>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633CAC"/>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633CAC"/>
    <w:pPr>
      <w:spacing w:after="100"/>
    </w:pPr>
  </w:style>
  <w:style w:type="character" w:styleId="Hyperlink">
    <w:name w:val="Hyperlink"/>
    <w:basedOn w:val="DefaultParagraphFont"/>
    <w:uiPriority w:val="99"/>
    <w:unhideWhenUsed/>
    <w:rsid w:val="00633CAC"/>
    <w:rPr>
      <w:color w:val="0000FF" w:themeColor="hyperlink"/>
      <w:u w:val="single"/>
    </w:rPr>
  </w:style>
  <w:style w:type="paragraph" w:styleId="BalloonText">
    <w:name w:val="Balloon Text"/>
    <w:basedOn w:val="Normal"/>
    <w:link w:val="BalloonTextChar"/>
    <w:uiPriority w:val="99"/>
    <w:semiHidden/>
    <w:unhideWhenUsed/>
    <w:rsid w:val="00633C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CAC"/>
    <w:rPr>
      <w:rFonts w:ascii="Tahoma" w:hAnsi="Tahoma" w:cs="Tahoma"/>
      <w:sz w:val="16"/>
      <w:szCs w:val="16"/>
    </w:rPr>
  </w:style>
  <w:style w:type="paragraph" w:styleId="Header">
    <w:name w:val="header"/>
    <w:basedOn w:val="Normal"/>
    <w:link w:val="HeaderChar"/>
    <w:uiPriority w:val="99"/>
    <w:unhideWhenUsed/>
    <w:rsid w:val="00633CAC"/>
    <w:pPr>
      <w:tabs>
        <w:tab w:val="center" w:pos="4513"/>
        <w:tab w:val="right" w:pos="9026"/>
      </w:tabs>
      <w:spacing w:line="240" w:lineRule="auto"/>
    </w:pPr>
  </w:style>
  <w:style w:type="character" w:customStyle="1" w:styleId="HeaderChar">
    <w:name w:val="Header Char"/>
    <w:basedOn w:val="DefaultParagraphFont"/>
    <w:link w:val="Header"/>
    <w:uiPriority w:val="99"/>
    <w:rsid w:val="00633CAC"/>
  </w:style>
  <w:style w:type="paragraph" w:styleId="Footer">
    <w:name w:val="footer"/>
    <w:basedOn w:val="Normal"/>
    <w:link w:val="FooterChar"/>
    <w:uiPriority w:val="99"/>
    <w:unhideWhenUsed/>
    <w:rsid w:val="00633CAC"/>
    <w:pPr>
      <w:tabs>
        <w:tab w:val="center" w:pos="4513"/>
        <w:tab w:val="right" w:pos="9026"/>
      </w:tabs>
      <w:spacing w:line="240" w:lineRule="auto"/>
    </w:pPr>
  </w:style>
  <w:style w:type="character" w:customStyle="1" w:styleId="FooterChar">
    <w:name w:val="Footer Char"/>
    <w:basedOn w:val="DefaultParagraphFont"/>
    <w:link w:val="Footer"/>
    <w:uiPriority w:val="99"/>
    <w:rsid w:val="00633CAC"/>
  </w:style>
  <w:style w:type="paragraph" w:styleId="ListParagraph">
    <w:name w:val="List Paragraph"/>
    <w:basedOn w:val="Normal"/>
    <w:uiPriority w:val="34"/>
    <w:qFormat/>
    <w:rsid w:val="0031405E"/>
    <w:pPr>
      <w:ind w:left="720"/>
      <w:contextualSpacing/>
    </w:pPr>
  </w:style>
  <w:style w:type="paragraph" w:styleId="NormalWeb">
    <w:name w:val="Normal (Web)"/>
    <w:basedOn w:val="Normal"/>
    <w:uiPriority w:val="99"/>
    <w:unhideWhenUsed/>
    <w:rsid w:val="001D538E"/>
    <w:pPr>
      <w:spacing w:before="100" w:beforeAutospacing="1" w:after="100" w:afterAutospacing="1" w:line="240" w:lineRule="auto"/>
    </w:pPr>
    <w:rPr>
      <w:lang w:val="en-GB" w:eastAsia="en-GB"/>
    </w:rPr>
  </w:style>
  <w:style w:type="paragraph" w:styleId="NoSpacing">
    <w:name w:val="No Spacing"/>
    <w:link w:val="NoSpacingChar"/>
    <w:uiPriority w:val="1"/>
    <w:qFormat/>
    <w:rsid w:val="00FC4881"/>
    <w:pPr>
      <w:spacing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C4881"/>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451226">
      <w:bodyDiv w:val="1"/>
      <w:marLeft w:val="0"/>
      <w:marRight w:val="0"/>
      <w:marTop w:val="0"/>
      <w:marBottom w:val="0"/>
      <w:divBdr>
        <w:top w:val="none" w:sz="0" w:space="0" w:color="auto"/>
        <w:left w:val="none" w:sz="0" w:space="0" w:color="auto"/>
        <w:bottom w:val="none" w:sz="0" w:space="0" w:color="auto"/>
        <w:right w:val="none" w:sz="0" w:space="0" w:color="auto"/>
      </w:divBdr>
    </w:div>
    <w:div w:id="1443300828">
      <w:bodyDiv w:val="1"/>
      <w:marLeft w:val="0"/>
      <w:marRight w:val="0"/>
      <w:marTop w:val="0"/>
      <w:marBottom w:val="0"/>
      <w:divBdr>
        <w:top w:val="none" w:sz="0" w:space="0" w:color="auto"/>
        <w:left w:val="none" w:sz="0" w:space="0" w:color="auto"/>
        <w:bottom w:val="none" w:sz="0" w:space="0" w:color="auto"/>
        <w:right w:val="none" w:sz="0" w:space="0" w:color="auto"/>
      </w:divBdr>
    </w:div>
    <w:div w:id="1640067017">
      <w:bodyDiv w:val="1"/>
      <w:marLeft w:val="0"/>
      <w:marRight w:val="0"/>
      <w:marTop w:val="0"/>
      <w:marBottom w:val="0"/>
      <w:divBdr>
        <w:top w:val="none" w:sz="0" w:space="0" w:color="auto"/>
        <w:left w:val="none" w:sz="0" w:space="0" w:color="auto"/>
        <w:bottom w:val="none" w:sz="0" w:space="0" w:color="auto"/>
        <w:right w:val="none" w:sz="0" w:space="0" w:color="auto"/>
      </w:divBdr>
    </w:div>
    <w:div w:id="1935703534">
      <w:bodyDiv w:val="1"/>
      <w:marLeft w:val="0"/>
      <w:marRight w:val="0"/>
      <w:marTop w:val="0"/>
      <w:marBottom w:val="0"/>
      <w:divBdr>
        <w:top w:val="none" w:sz="0" w:space="0" w:color="auto"/>
        <w:left w:val="none" w:sz="0" w:space="0" w:color="auto"/>
        <w:bottom w:val="none" w:sz="0" w:space="0" w:color="auto"/>
        <w:right w:val="none" w:sz="0" w:space="0" w:color="auto"/>
      </w:divBdr>
    </w:div>
    <w:div w:id="203445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E022C-3B4F-486E-A77A-9E678B7FA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Grigoras Andreea</cp:lastModifiedBy>
  <cp:revision>25</cp:revision>
  <dcterms:created xsi:type="dcterms:W3CDTF">2022-07-22T10:45:00Z</dcterms:created>
  <dcterms:modified xsi:type="dcterms:W3CDTF">2022-07-26T19:03:00Z</dcterms:modified>
</cp:coreProperties>
</file>