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BCAD8" w14:textId="77777777" w:rsidR="004B5F29" w:rsidRPr="00046C51" w:rsidRDefault="004B5F29" w:rsidP="00046C51">
      <w:pPr>
        <w:spacing w:line="360" w:lineRule="auto"/>
        <w:jc w:val="center"/>
        <w:rPr>
          <w:rFonts w:ascii="Times New Roman" w:hAnsi="Times New Roman" w:cs="Times New Roman"/>
          <w:b/>
          <w:bCs/>
          <w:sz w:val="32"/>
          <w:szCs w:val="32"/>
        </w:rPr>
      </w:pPr>
      <w:r w:rsidRPr="00046C51">
        <w:rPr>
          <w:rFonts w:ascii="Times New Roman" w:hAnsi="Times New Roman" w:cs="Times New Roman"/>
          <w:b/>
          <w:bCs/>
          <w:sz w:val="32"/>
          <w:szCs w:val="32"/>
        </w:rPr>
        <w:t>Module code: BMIH5004</w:t>
      </w:r>
    </w:p>
    <w:p w14:paraId="7CA19DAD" w14:textId="77777777" w:rsidR="004B5F29" w:rsidRPr="00046C51" w:rsidRDefault="004B5F29" w:rsidP="00046C51">
      <w:pPr>
        <w:spacing w:line="360" w:lineRule="auto"/>
        <w:jc w:val="center"/>
        <w:rPr>
          <w:rFonts w:ascii="Times New Roman" w:hAnsi="Times New Roman" w:cs="Times New Roman"/>
          <w:b/>
          <w:bCs/>
          <w:sz w:val="32"/>
          <w:szCs w:val="32"/>
        </w:rPr>
      </w:pPr>
      <w:r w:rsidRPr="00046C51">
        <w:rPr>
          <w:rFonts w:ascii="Times New Roman" w:hAnsi="Times New Roman" w:cs="Times New Roman"/>
          <w:b/>
          <w:bCs/>
          <w:sz w:val="32"/>
          <w:szCs w:val="32"/>
        </w:rPr>
        <w:t>Programme: BA International Hotel Management</w:t>
      </w:r>
    </w:p>
    <w:p w14:paraId="5F2AF48D" w14:textId="77777777" w:rsidR="004B5F29" w:rsidRPr="00046C51" w:rsidRDefault="004B5F29" w:rsidP="00046C51">
      <w:pPr>
        <w:spacing w:line="360" w:lineRule="auto"/>
        <w:jc w:val="center"/>
        <w:rPr>
          <w:rFonts w:ascii="Times New Roman" w:hAnsi="Times New Roman" w:cs="Times New Roman"/>
          <w:b/>
          <w:bCs/>
          <w:sz w:val="32"/>
          <w:szCs w:val="32"/>
        </w:rPr>
      </w:pPr>
      <w:r w:rsidRPr="00046C51">
        <w:rPr>
          <w:rFonts w:ascii="Times New Roman" w:hAnsi="Times New Roman" w:cs="Times New Roman"/>
          <w:b/>
          <w:bCs/>
          <w:sz w:val="32"/>
          <w:szCs w:val="32"/>
        </w:rPr>
        <w:t>Module name: Management &amp; Organisational Behaviour</w:t>
      </w:r>
    </w:p>
    <w:p w14:paraId="72944A96" w14:textId="6E37E76B" w:rsidR="00F54446" w:rsidRPr="00046C51" w:rsidRDefault="004B5F29" w:rsidP="00046C51">
      <w:pPr>
        <w:spacing w:line="360" w:lineRule="auto"/>
        <w:jc w:val="center"/>
        <w:rPr>
          <w:rFonts w:ascii="Times New Roman" w:hAnsi="Times New Roman" w:cs="Times New Roman"/>
          <w:b/>
          <w:bCs/>
          <w:sz w:val="32"/>
          <w:szCs w:val="32"/>
          <w:lang w:val="en-US"/>
        </w:rPr>
      </w:pPr>
      <w:r w:rsidRPr="00046C51">
        <w:rPr>
          <w:rFonts w:ascii="Times New Roman" w:hAnsi="Times New Roman" w:cs="Times New Roman"/>
          <w:b/>
          <w:bCs/>
          <w:sz w:val="32"/>
          <w:szCs w:val="32"/>
          <w:lang w:val="en-US"/>
        </w:rPr>
        <w:t xml:space="preserve">Student name: </w:t>
      </w:r>
      <w:r w:rsidRPr="00046C51">
        <w:rPr>
          <w:rFonts w:ascii="Times New Roman" w:hAnsi="Times New Roman" w:cs="Times New Roman"/>
          <w:b/>
          <w:sz w:val="32"/>
          <w:szCs w:val="32"/>
          <w:lang w:val="en-US"/>
        </w:rPr>
        <w:t>Tudor Radu</w:t>
      </w:r>
    </w:p>
    <w:p w14:paraId="7D6CF023" w14:textId="28CD99DC" w:rsidR="004B5F29" w:rsidRPr="00046C51" w:rsidRDefault="004B5F29" w:rsidP="00046C51">
      <w:pPr>
        <w:spacing w:before="200" w:after="200" w:line="360" w:lineRule="auto"/>
        <w:jc w:val="center"/>
        <w:rPr>
          <w:rFonts w:ascii="Times New Roman" w:hAnsi="Times New Roman" w:cs="Times New Roman"/>
          <w:b/>
          <w:sz w:val="32"/>
          <w:szCs w:val="32"/>
          <w:lang w:val="en-US"/>
        </w:rPr>
      </w:pPr>
      <w:r w:rsidRPr="00046C51">
        <w:rPr>
          <w:rFonts w:ascii="Times New Roman" w:hAnsi="Times New Roman" w:cs="Times New Roman"/>
          <w:b/>
          <w:bCs/>
          <w:sz w:val="32"/>
          <w:szCs w:val="32"/>
          <w:lang w:val="en-US"/>
        </w:rPr>
        <w:t>Student ID:</w:t>
      </w:r>
      <w:r w:rsidRPr="00046C51">
        <w:rPr>
          <w:rFonts w:ascii="Times New Roman" w:hAnsi="Times New Roman" w:cs="Times New Roman"/>
          <w:b/>
          <w:sz w:val="32"/>
          <w:szCs w:val="32"/>
        </w:rPr>
        <w:t xml:space="preserve"> 2243696</w:t>
      </w:r>
    </w:p>
    <w:p w14:paraId="0805B85B" w14:textId="6B2C96EB" w:rsidR="004B5F29" w:rsidRPr="00046C51" w:rsidRDefault="004B5F29" w:rsidP="00046C51">
      <w:pPr>
        <w:spacing w:line="360" w:lineRule="auto"/>
        <w:jc w:val="center"/>
        <w:rPr>
          <w:rFonts w:ascii="Times New Roman" w:hAnsi="Times New Roman" w:cs="Times New Roman"/>
          <w:b/>
          <w:bCs/>
          <w:sz w:val="32"/>
          <w:szCs w:val="32"/>
        </w:rPr>
      </w:pPr>
      <w:r w:rsidRPr="00046C51">
        <w:rPr>
          <w:rFonts w:ascii="Times New Roman" w:hAnsi="Times New Roman" w:cs="Times New Roman"/>
          <w:b/>
          <w:bCs/>
          <w:sz w:val="32"/>
          <w:szCs w:val="32"/>
          <w:lang w:val="en-US"/>
        </w:rPr>
        <w:t xml:space="preserve">Lecturer Name: </w:t>
      </w:r>
      <w:r w:rsidRPr="00046C51">
        <w:rPr>
          <w:rFonts w:ascii="Times New Roman" w:hAnsi="Times New Roman" w:cs="Times New Roman"/>
          <w:b/>
          <w:sz w:val="32"/>
          <w:szCs w:val="32"/>
        </w:rPr>
        <w:t>Ben Chong</w:t>
      </w:r>
    </w:p>
    <w:p w14:paraId="1A41E736" w14:textId="76B49003" w:rsidR="004B5F29" w:rsidRPr="00046C51" w:rsidRDefault="004B5F29" w:rsidP="00046C51">
      <w:pPr>
        <w:spacing w:line="360" w:lineRule="auto"/>
        <w:jc w:val="center"/>
        <w:rPr>
          <w:rFonts w:ascii="Times New Roman" w:hAnsi="Times New Roman" w:cs="Times New Roman"/>
          <w:b/>
          <w:bCs/>
          <w:sz w:val="32"/>
          <w:szCs w:val="32"/>
        </w:rPr>
      </w:pPr>
      <w:r w:rsidRPr="00046C51">
        <w:rPr>
          <w:rFonts w:ascii="Times New Roman" w:hAnsi="Times New Roman" w:cs="Times New Roman"/>
          <w:b/>
          <w:bCs/>
          <w:sz w:val="32"/>
          <w:szCs w:val="32"/>
        </w:rPr>
        <w:t>Assessment Component 2: Written report</w:t>
      </w:r>
    </w:p>
    <w:p w14:paraId="50D762A8" w14:textId="77777777" w:rsidR="00DC2995" w:rsidRPr="00D31404" w:rsidRDefault="00DC2995" w:rsidP="00046C51">
      <w:pPr>
        <w:spacing w:before="200" w:after="200" w:line="360" w:lineRule="auto"/>
        <w:jc w:val="both"/>
        <w:rPr>
          <w:rFonts w:ascii="Times New Roman" w:hAnsi="Times New Roman" w:cs="Times New Roman"/>
          <w:b/>
          <w:sz w:val="32"/>
          <w:szCs w:val="32"/>
          <w:lang w:val="en-US"/>
        </w:rPr>
      </w:pPr>
      <w:bookmarkStart w:id="0" w:name="_heading=h.1fob9te"/>
      <w:bookmarkStart w:id="1" w:name="_heading=h.3znysh7"/>
      <w:bookmarkEnd w:id="0"/>
      <w:bookmarkEnd w:id="1"/>
    </w:p>
    <w:p w14:paraId="2919B5EC" w14:textId="77777777" w:rsidR="00D31404" w:rsidRPr="00D31404" w:rsidRDefault="00D31404" w:rsidP="00046C51">
      <w:pPr>
        <w:spacing w:before="200" w:after="200" w:line="360" w:lineRule="auto"/>
        <w:jc w:val="center"/>
        <w:rPr>
          <w:rFonts w:ascii="Times New Roman" w:eastAsia="Times New Roman" w:hAnsi="Times New Roman" w:cs="Times New Roman"/>
          <w:b/>
        </w:rPr>
      </w:pPr>
      <w:r w:rsidRPr="00D31404">
        <w:rPr>
          <w:rFonts w:ascii="Times New Roman" w:eastAsia="Times New Roman" w:hAnsi="Times New Roman" w:cs="Times New Roman"/>
          <w:b/>
        </w:rPr>
        <w:t>AI guidance acknowledgement</w:t>
      </w:r>
    </w:p>
    <w:p w14:paraId="5A64F2E1" w14:textId="77777777" w:rsidR="00D31404" w:rsidRPr="00D31404" w:rsidRDefault="00D31404" w:rsidP="00046C51">
      <w:pPr>
        <w:spacing w:before="200" w:after="200" w:line="360" w:lineRule="auto"/>
        <w:jc w:val="center"/>
        <w:rPr>
          <w:rFonts w:ascii="Times New Roman" w:eastAsia="Times New Roman" w:hAnsi="Times New Roman" w:cs="Times New Roman"/>
        </w:rPr>
      </w:pPr>
      <w:r w:rsidRPr="00D31404">
        <w:rPr>
          <w:rFonts w:ascii="Times New Roman" w:eastAsia="Times New Roman" w:hAnsi="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296CAB4D" w14:textId="77777777" w:rsidR="0022196D" w:rsidRDefault="0022196D" w:rsidP="00046C51">
      <w:pPr>
        <w:spacing w:line="360" w:lineRule="auto"/>
        <w:jc w:val="both"/>
        <w:rPr>
          <w:rFonts w:ascii="Times New Roman" w:hAnsi="Times New Roman" w:cs="Times New Roman"/>
        </w:rPr>
      </w:pPr>
    </w:p>
    <w:p w14:paraId="6E186E47" w14:textId="77777777" w:rsidR="00046C51" w:rsidRDefault="00046C51" w:rsidP="00046C51">
      <w:pPr>
        <w:spacing w:line="360" w:lineRule="auto"/>
        <w:jc w:val="both"/>
        <w:rPr>
          <w:rFonts w:ascii="Times New Roman" w:hAnsi="Times New Roman" w:cs="Times New Roman"/>
        </w:rPr>
      </w:pPr>
    </w:p>
    <w:p w14:paraId="7E6316B5" w14:textId="77777777" w:rsidR="00046C51" w:rsidRDefault="00046C51" w:rsidP="00046C51">
      <w:pPr>
        <w:spacing w:line="360" w:lineRule="auto"/>
        <w:jc w:val="both"/>
        <w:rPr>
          <w:rFonts w:ascii="Times New Roman" w:hAnsi="Times New Roman" w:cs="Times New Roman"/>
        </w:rPr>
      </w:pPr>
    </w:p>
    <w:p w14:paraId="3C491C3B" w14:textId="77777777" w:rsidR="00046C51" w:rsidRDefault="00046C51" w:rsidP="00046C51">
      <w:pPr>
        <w:spacing w:line="360" w:lineRule="auto"/>
        <w:jc w:val="both"/>
        <w:rPr>
          <w:rFonts w:ascii="Times New Roman" w:hAnsi="Times New Roman" w:cs="Times New Roman"/>
        </w:rPr>
      </w:pPr>
    </w:p>
    <w:p w14:paraId="753081C9" w14:textId="77777777" w:rsidR="007531F4" w:rsidRDefault="007531F4" w:rsidP="00046C51">
      <w:pPr>
        <w:spacing w:line="360" w:lineRule="auto"/>
        <w:jc w:val="both"/>
        <w:rPr>
          <w:rFonts w:ascii="Times New Roman" w:hAnsi="Times New Roman" w:cs="Times New Roman"/>
        </w:rPr>
      </w:pPr>
    </w:p>
    <w:p w14:paraId="6DF75321" w14:textId="77777777" w:rsidR="007531F4" w:rsidRDefault="007531F4" w:rsidP="00046C51">
      <w:pPr>
        <w:spacing w:line="360" w:lineRule="auto"/>
        <w:jc w:val="both"/>
        <w:rPr>
          <w:rFonts w:ascii="Times New Roman" w:hAnsi="Times New Roman" w:cs="Times New Roman"/>
        </w:rPr>
      </w:pPr>
    </w:p>
    <w:p w14:paraId="74CBB7B0" w14:textId="77777777" w:rsidR="007531F4" w:rsidRDefault="007531F4" w:rsidP="00046C51">
      <w:pPr>
        <w:spacing w:line="360" w:lineRule="auto"/>
        <w:jc w:val="both"/>
        <w:rPr>
          <w:rFonts w:ascii="Times New Roman" w:hAnsi="Times New Roman" w:cs="Times New Roman"/>
        </w:rPr>
      </w:pPr>
    </w:p>
    <w:p w14:paraId="59F05F07" w14:textId="77777777" w:rsidR="00046C51" w:rsidRDefault="00046C51" w:rsidP="00046C51">
      <w:pPr>
        <w:spacing w:line="360" w:lineRule="auto"/>
        <w:jc w:val="both"/>
        <w:rPr>
          <w:rFonts w:ascii="Times New Roman" w:hAnsi="Times New Roman" w:cs="Times New Roman"/>
        </w:rPr>
      </w:pPr>
    </w:p>
    <w:p w14:paraId="7603F0EF" w14:textId="77777777" w:rsidR="00046C51" w:rsidRDefault="00046C51" w:rsidP="00046C51">
      <w:pPr>
        <w:spacing w:line="360" w:lineRule="auto"/>
        <w:jc w:val="both"/>
        <w:rPr>
          <w:rFonts w:ascii="Times New Roman" w:hAnsi="Times New Roman" w:cs="Times New Roman"/>
        </w:rPr>
      </w:pPr>
    </w:p>
    <w:p w14:paraId="57DE6BEA" w14:textId="77777777" w:rsidR="00046C51" w:rsidRDefault="00046C51" w:rsidP="00046C51">
      <w:pPr>
        <w:spacing w:line="360" w:lineRule="auto"/>
        <w:jc w:val="both"/>
        <w:rPr>
          <w:rFonts w:ascii="Times New Roman" w:hAnsi="Times New Roman" w:cs="Times New Roman"/>
        </w:rPr>
      </w:pPr>
    </w:p>
    <w:p w14:paraId="232B5664" w14:textId="77777777" w:rsidR="00046C51" w:rsidRDefault="00046C51" w:rsidP="00046C51">
      <w:pPr>
        <w:spacing w:line="360" w:lineRule="auto"/>
        <w:jc w:val="both"/>
        <w:rPr>
          <w:rFonts w:ascii="Times New Roman" w:hAnsi="Times New Roman" w:cs="Times New Roman"/>
        </w:rPr>
      </w:pPr>
    </w:p>
    <w:p w14:paraId="56A19F08" w14:textId="77777777" w:rsidR="00046C51" w:rsidRDefault="00046C51" w:rsidP="00046C51">
      <w:pPr>
        <w:spacing w:line="360" w:lineRule="auto"/>
        <w:jc w:val="both"/>
        <w:rPr>
          <w:rFonts w:ascii="Times New Roman" w:hAnsi="Times New Roman" w:cs="Times New Roman"/>
        </w:rPr>
      </w:pPr>
    </w:p>
    <w:p w14:paraId="3D2519F0" w14:textId="77777777" w:rsidR="00B97198" w:rsidRPr="00B97198" w:rsidRDefault="00B97198" w:rsidP="00046C51">
      <w:pPr>
        <w:spacing w:line="360" w:lineRule="auto"/>
        <w:jc w:val="both"/>
        <w:rPr>
          <w:rFonts w:ascii="Times New Roman" w:hAnsi="Times New Roman" w:cs="Times New Roman"/>
          <w:b/>
          <w:bCs/>
        </w:rPr>
      </w:pPr>
      <w:r w:rsidRPr="00B97198">
        <w:rPr>
          <w:rFonts w:ascii="Times New Roman" w:hAnsi="Times New Roman" w:cs="Times New Roman"/>
          <w:b/>
          <w:bCs/>
        </w:rPr>
        <w:t>Executive Summary</w:t>
      </w:r>
    </w:p>
    <w:p w14:paraId="4551A424" w14:textId="3AE8EED0" w:rsidR="00B97198" w:rsidRPr="00B97198" w:rsidRDefault="00B97198" w:rsidP="00046C51">
      <w:pPr>
        <w:spacing w:line="360" w:lineRule="auto"/>
        <w:jc w:val="both"/>
        <w:rPr>
          <w:rFonts w:ascii="Times New Roman" w:hAnsi="Times New Roman" w:cs="Times New Roman"/>
        </w:rPr>
      </w:pPr>
      <w:r w:rsidRPr="00B97198">
        <w:rPr>
          <w:rFonts w:ascii="Times New Roman" w:hAnsi="Times New Roman" w:cs="Times New Roman"/>
        </w:rPr>
        <w:t xml:space="preserve">This report evaluates Marriott International, the world’s largest hotel group, through the lens of </w:t>
      </w:r>
      <w:r w:rsidR="00046C51">
        <w:rPr>
          <w:rFonts w:ascii="Times New Roman" w:hAnsi="Times New Roman" w:cs="Times New Roman"/>
        </w:rPr>
        <w:t>organizational</w:t>
      </w:r>
      <w:r w:rsidRPr="00B97198">
        <w:rPr>
          <w:rFonts w:ascii="Times New Roman" w:hAnsi="Times New Roman" w:cs="Times New Roman"/>
        </w:rPr>
        <w:t xml:space="preserve"> structure, corporate culture, and strategic direction. By applying theories such as Hofstede’s cultural dimensions, Kotter’s change management model, and Porter’s generic strategies, the analysis reveals how Marriott’s hybrid organisational structure balances global consistency with local adaptability. The company’s culture, rooted in employee welfare and customer-centricity, drives operational excellence, while its recent digital transformation and sustainability initiatives reflect agility in a post-pandemic landscape.</w:t>
      </w:r>
    </w:p>
    <w:p w14:paraId="6812CD98" w14:textId="213BA8E4" w:rsidR="00B97198" w:rsidRDefault="00B97198" w:rsidP="00046C51">
      <w:pPr>
        <w:spacing w:line="360" w:lineRule="auto"/>
        <w:jc w:val="both"/>
        <w:rPr>
          <w:rFonts w:ascii="Times New Roman" w:hAnsi="Times New Roman" w:cs="Times New Roman"/>
        </w:rPr>
      </w:pPr>
      <w:r w:rsidRPr="00B97198">
        <w:rPr>
          <w:rFonts w:ascii="Times New Roman" w:hAnsi="Times New Roman" w:cs="Times New Roman"/>
        </w:rPr>
        <w:t>Key findings highlight Marriott’s successful integration of Starwood Hotels, its resilience during COVID-19, and its commitment to net-zero emissions. However, challenges such as inconsistent sustainability adoption across franchises and employee retention gaps are identified. Recommendations include stricter ESG (Environmental, Social, Governance) compliance frameworks, enhanced employee wellness programs,</w:t>
      </w:r>
      <w:r w:rsidR="00445D07" w:rsidRPr="00445D07">
        <w:rPr>
          <w:rFonts w:ascii="Segoe UI" w:hAnsi="Segoe UI" w:cs="Segoe UI"/>
          <w:color w:val="404040"/>
        </w:rPr>
        <w:t xml:space="preserve"> </w:t>
      </w:r>
      <w:r w:rsidR="00445D07" w:rsidRPr="00445D07">
        <w:rPr>
          <w:rFonts w:ascii="Times New Roman" w:hAnsi="Times New Roman" w:cs="Times New Roman"/>
        </w:rPr>
        <w:t>and cybersecurity partnerships. This report concludes that Marriott’s strategic focus on diversification, technology, and sustainability will secure its leadership in the hospitality industry.</w:t>
      </w:r>
    </w:p>
    <w:p w14:paraId="7680FBDC" w14:textId="77777777" w:rsidR="00445D07" w:rsidRDefault="00445D07" w:rsidP="00046C51">
      <w:pPr>
        <w:spacing w:line="360" w:lineRule="auto"/>
        <w:jc w:val="both"/>
        <w:rPr>
          <w:rFonts w:ascii="Times New Roman" w:hAnsi="Times New Roman" w:cs="Times New Roman"/>
        </w:rPr>
      </w:pPr>
    </w:p>
    <w:sdt>
      <w:sdtPr>
        <w:id w:val="638469144"/>
        <w:docPartObj>
          <w:docPartGallery w:val="Table of Contents"/>
          <w:docPartUnique/>
        </w:docPartObj>
      </w:sdtPr>
      <w:sdtEndPr>
        <w:rPr>
          <w:rFonts w:ascii="Times New Roman" w:hAnsi="Times New Roman" w:cs="Times New Roman"/>
          <w:color w:val="auto"/>
          <w:sz w:val="24"/>
          <w:szCs w:val="24"/>
        </w:rPr>
      </w:sdtEndPr>
      <w:sdtContent>
        <w:p w14:paraId="216EA15D" w14:textId="77777777" w:rsidR="00F07E34" w:rsidRPr="00FC6133" w:rsidRDefault="00F07E34" w:rsidP="00046C51">
          <w:pPr>
            <w:pStyle w:val="TOCHeading"/>
            <w:spacing w:line="360" w:lineRule="auto"/>
            <w:jc w:val="both"/>
            <w:rPr>
              <w:rFonts w:ascii="Times New Roman" w:hAnsi="Times New Roman" w:cs="Times New Roman"/>
              <w:b/>
              <w:bCs/>
              <w:color w:val="auto"/>
              <w:sz w:val="24"/>
              <w:szCs w:val="24"/>
              <w:lang w:val="en-GB"/>
            </w:rPr>
          </w:pPr>
          <w:r w:rsidRPr="00FC6133">
            <w:rPr>
              <w:rFonts w:ascii="Times New Roman" w:hAnsi="Times New Roman" w:cs="Times New Roman"/>
              <w:b/>
              <w:bCs/>
              <w:color w:val="auto"/>
              <w:sz w:val="24"/>
              <w:szCs w:val="24"/>
              <w:lang w:val="en-GB"/>
            </w:rPr>
            <w:t>Table of Contents</w:t>
          </w:r>
        </w:p>
        <w:p w14:paraId="74A3D104" w14:textId="45554F29" w:rsidR="00F07E34" w:rsidRPr="00F07E34" w:rsidRDefault="00F07E34" w:rsidP="00046C51">
          <w:pPr>
            <w:pStyle w:val="TOCHeading"/>
            <w:numPr>
              <w:ilvl w:val="0"/>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b/>
              <w:bCs/>
              <w:color w:val="auto"/>
              <w:sz w:val="24"/>
              <w:szCs w:val="24"/>
              <w:lang w:val="en-GB"/>
            </w:rPr>
            <w:t>Introduction</w:t>
          </w:r>
          <w:r w:rsidRPr="00F07E34">
            <w:rPr>
              <w:rFonts w:ascii="Times New Roman" w:hAnsi="Times New Roman" w:cs="Times New Roman"/>
              <w:color w:val="auto"/>
              <w:sz w:val="24"/>
              <w:szCs w:val="24"/>
              <w:lang w:val="en-GB"/>
            </w:rPr>
            <w:t xml:space="preserve"> ................................................................................................... </w:t>
          </w:r>
          <w:r w:rsidR="003A3EA7">
            <w:rPr>
              <w:rFonts w:ascii="Times New Roman" w:hAnsi="Times New Roman" w:cs="Times New Roman"/>
              <w:color w:val="auto"/>
              <w:sz w:val="24"/>
              <w:szCs w:val="24"/>
              <w:lang w:val="en-GB"/>
            </w:rPr>
            <w:t>4</w:t>
          </w:r>
        </w:p>
        <w:p w14:paraId="4B96812F" w14:textId="1CEF238B" w:rsidR="00F07E34" w:rsidRPr="00F07E34" w:rsidRDefault="00F07E34" w:rsidP="00046C51">
          <w:pPr>
            <w:pStyle w:val="TOCHeading"/>
            <w:numPr>
              <w:ilvl w:val="0"/>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b/>
              <w:bCs/>
              <w:color w:val="auto"/>
              <w:sz w:val="24"/>
              <w:szCs w:val="24"/>
              <w:lang w:val="en-GB"/>
            </w:rPr>
            <w:t>Organisation Structure, Culture, and Goals</w:t>
          </w:r>
          <w:r w:rsidRPr="00F07E34">
            <w:rPr>
              <w:rFonts w:ascii="Times New Roman" w:hAnsi="Times New Roman" w:cs="Times New Roman"/>
              <w:color w:val="auto"/>
              <w:sz w:val="24"/>
              <w:szCs w:val="24"/>
              <w:lang w:val="en-GB"/>
            </w:rPr>
            <w:t xml:space="preserve"> ................................................. </w:t>
          </w:r>
          <w:r w:rsidR="003A3EA7">
            <w:rPr>
              <w:rFonts w:ascii="Times New Roman" w:hAnsi="Times New Roman" w:cs="Times New Roman"/>
              <w:color w:val="auto"/>
              <w:sz w:val="24"/>
              <w:szCs w:val="24"/>
              <w:lang w:val="en-GB"/>
            </w:rPr>
            <w:t>4</w:t>
          </w:r>
        </w:p>
        <w:p w14:paraId="67E6D64B" w14:textId="256AE7D4" w:rsidR="00F07E34" w:rsidRPr="00F07E34" w:rsidRDefault="00F07E34" w:rsidP="00046C51">
          <w:pPr>
            <w:pStyle w:val="TOCHeading"/>
            <w:numPr>
              <w:ilvl w:val="1"/>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color w:val="auto"/>
              <w:sz w:val="24"/>
              <w:szCs w:val="24"/>
              <w:lang w:val="en-GB"/>
            </w:rPr>
            <w:t xml:space="preserve">2.1 Organisational Structure ........................................................................... </w:t>
          </w:r>
          <w:r w:rsidR="003A3EA7">
            <w:rPr>
              <w:rFonts w:ascii="Times New Roman" w:hAnsi="Times New Roman" w:cs="Times New Roman"/>
              <w:color w:val="auto"/>
              <w:sz w:val="24"/>
              <w:szCs w:val="24"/>
              <w:lang w:val="en-GB"/>
            </w:rPr>
            <w:t>5</w:t>
          </w:r>
        </w:p>
        <w:p w14:paraId="1DB7DC81" w14:textId="3D90FB25" w:rsidR="00F07E34" w:rsidRPr="00F07E34" w:rsidRDefault="00F07E34" w:rsidP="00046C51">
          <w:pPr>
            <w:pStyle w:val="TOCHeading"/>
            <w:numPr>
              <w:ilvl w:val="1"/>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color w:val="auto"/>
              <w:sz w:val="24"/>
              <w:szCs w:val="24"/>
              <w:lang w:val="en-GB"/>
            </w:rPr>
            <w:t xml:space="preserve">2.2 Corporate Culture .................................................................................... </w:t>
          </w:r>
          <w:r w:rsidR="003A3EA7">
            <w:rPr>
              <w:rFonts w:ascii="Times New Roman" w:hAnsi="Times New Roman" w:cs="Times New Roman"/>
              <w:color w:val="auto"/>
              <w:sz w:val="24"/>
              <w:szCs w:val="24"/>
              <w:lang w:val="en-GB"/>
            </w:rPr>
            <w:t>5</w:t>
          </w:r>
        </w:p>
        <w:p w14:paraId="319311DD" w14:textId="5121DD3E" w:rsidR="00F07E34" w:rsidRPr="00F07E34" w:rsidRDefault="00F07E34" w:rsidP="00046C51">
          <w:pPr>
            <w:pStyle w:val="TOCHeading"/>
            <w:numPr>
              <w:ilvl w:val="1"/>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color w:val="auto"/>
              <w:sz w:val="24"/>
              <w:szCs w:val="24"/>
              <w:lang w:val="en-GB"/>
            </w:rPr>
            <w:t xml:space="preserve">2.3 Corporate and Unit-Level Goals ............................................................... </w:t>
          </w:r>
          <w:r w:rsidR="003A3EA7">
            <w:rPr>
              <w:rFonts w:ascii="Times New Roman" w:hAnsi="Times New Roman" w:cs="Times New Roman"/>
              <w:color w:val="auto"/>
              <w:sz w:val="24"/>
              <w:szCs w:val="24"/>
              <w:lang w:val="en-GB"/>
            </w:rPr>
            <w:t>5</w:t>
          </w:r>
        </w:p>
        <w:p w14:paraId="72210C52" w14:textId="629E3913" w:rsidR="00F07E34" w:rsidRPr="00F07E34" w:rsidRDefault="00F07E34" w:rsidP="00046C51">
          <w:pPr>
            <w:pStyle w:val="TOCHeading"/>
            <w:numPr>
              <w:ilvl w:val="0"/>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b/>
              <w:bCs/>
              <w:color w:val="auto"/>
              <w:sz w:val="24"/>
              <w:szCs w:val="24"/>
              <w:lang w:val="en-GB"/>
            </w:rPr>
            <w:t>Recent Change Initiatives</w:t>
          </w:r>
          <w:r w:rsidRPr="00F07E34">
            <w:rPr>
              <w:rFonts w:ascii="Times New Roman" w:hAnsi="Times New Roman" w:cs="Times New Roman"/>
              <w:color w:val="auto"/>
              <w:sz w:val="24"/>
              <w:szCs w:val="24"/>
              <w:lang w:val="en-GB"/>
            </w:rPr>
            <w:t xml:space="preserve"> .............................................................................. </w:t>
          </w:r>
          <w:r w:rsidR="003A3EA7">
            <w:rPr>
              <w:rFonts w:ascii="Times New Roman" w:hAnsi="Times New Roman" w:cs="Times New Roman"/>
              <w:color w:val="auto"/>
              <w:sz w:val="24"/>
              <w:szCs w:val="24"/>
              <w:lang w:val="en-GB"/>
            </w:rPr>
            <w:t>6</w:t>
          </w:r>
        </w:p>
        <w:p w14:paraId="78E2991A" w14:textId="46C00070" w:rsidR="00F07E34" w:rsidRPr="00F07E34" w:rsidRDefault="00F07E34" w:rsidP="00046C51">
          <w:pPr>
            <w:pStyle w:val="TOCHeading"/>
            <w:numPr>
              <w:ilvl w:val="1"/>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color w:val="auto"/>
              <w:sz w:val="24"/>
              <w:szCs w:val="24"/>
              <w:lang w:val="en-GB"/>
            </w:rPr>
            <w:t xml:space="preserve">3.1 Digital Transformation ............................................................................. </w:t>
          </w:r>
          <w:r w:rsidR="007531F4">
            <w:rPr>
              <w:rFonts w:ascii="Times New Roman" w:hAnsi="Times New Roman" w:cs="Times New Roman"/>
              <w:color w:val="auto"/>
              <w:sz w:val="24"/>
              <w:szCs w:val="24"/>
              <w:lang w:val="en-GB"/>
            </w:rPr>
            <w:t>7</w:t>
          </w:r>
        </w:p>
        <w:p w14:paraId="28186944" w14:textId="282F6107" w:rsidR="00F07E34" w:rsidRPr="00F07E34" w:rsidRDefault="00F07E34" w:rsidP="00046C51">
          <w:pPr>
            <w:pStyle w:val="TOCHeading"/>
            <w:numPr>
              <w:ilvl w:val="1"/>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color w:val="auto"/>
              <w:sz w:val="24"/>
              <w:szCs w:val="24"/>
              <w:lang w:val="en-GB"/>
            </w:rPr>
            <w:t xml:space="preserve">3.2 COVID-19 Response ................................................................................ </w:t>
          </w:r>
          <w:r w:rsidR="007531F4">
            <w:rPr>
              <w:rFonts w:ascii="Times New Roman" w:hAnsi="Times New Roman" w:cs="Times New Roman"/>
              <w:color w:val="auto"/>
              <w:sz w:val="24"/>
              <w:szCs w:val="24"/>
              <w:lang w:val="en-GB"/>
            </w:rPr>
            <w:t>8</w:t>
          </w:r>
        </w:p>
        <w:p w14:paraId="4B8B220E" w14:textId="0FD555FA" w:rsidR="00F07E34" w:rsidRPr="00F07E34" w:rsidRDefault="00F07E34" w:rsidP="00046C51">
          <w:pPr>
            <w:pStyle w:val="TOCHeading"/>
            <w:numPr>
              <w:ilvl w:val="1"/>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color w:val="auto"/>
              <w:sz w:val="24"/>
              <w:szCs w:val="24"/>
              <w:lang w:val="en-GB"/>
            </w:rPr>
            <w:t xml:space="preserve">3.3 Sustainability Efforts ................................................................................ </w:t>
          </w:r>
          <w:r w:rsidR="007531F4">
            <w:rPr>
              <w:rFonts w:ascii="Times New Roman" w:hAnsi="Times New Roman" w:cs="Times New Roman"/>
              <w:color w:val="auto"/>
              <w:sz w:val="24"/>
              <w:szCs w:val="24"/>
              <w:lang w:val="en-GB"/>
            </w:rPr>
            <w:t>8</w:t>
          </w:r>
        </w:p>
        <w:p w14:paraId="33A65073" w14:textId="4F04CDFD" w:rsidR="00F07E34" w:rsidRPr="00F07E34" w:rsidRDefault="00F07E34" w:rsidP="00046C51">
          <w:pPr>
            <w:pStyle w:val="TOCHeading"/>
            <w:numPr>
              <w:ilvl w:val="0"/>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b/>
              <w:bCs/>
              <w:color w:val="auto"/>
              <w:sz w:val="24"/>
              <w:szCs w:val="24"/>
              <w:lang w:val="en-GB"/>
            </w:rPr>
            <w:t>Strategic Direction</w:t>
          </w:r>
          <w:r w:rsidRPr="00F07E34">
            <w:rPr>
              <w:rFonts w:ascii="Times New Roman" w:hAnsi="Times New Roman" w:cs="Times New Roman"/>
              <w:color w:val="auto"/>
              <w:sz w:val="24"/>
              <w:szCs w:val="24"/>
              <w:lang w:val="en-GB"/>
            </w:rPr>
            <w:t xml:space="preserve"> ......................................................................................... </w:t>
          </w:r>
          <w:r w:rsidR="007531F4">
            <w:rPr>
              <w:rFonts w:ascii="Times New Roman" w:hAnsi="Times New Roman" w:cs="Times New Roman"/>
              <w:color w:val="auto"/>
              <w:sz w:val="24"/>
              <w:szCs w:val="24"/>
              <w:lang w:val="en-GB"/>
            </w:rPr>
            <w:t>9</w:t>
          </w:r>
        </w:p>
        <w:p w14:paraId="0E690BB2" w14:textId="187FA155" w:rsidR="00F07E34" w:rsidRPr="00F07E34" w:rsidRDefault="00F07E34" w:rsidP="00046C51">
          <w:pPr>
            <w:pStyle w:val="TOCHeading"/>
            <w:numPr>
              <w:ilvl w:val="1"/>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color w:val="auto"/>
              <w:sz w:val="24"/>
              <w:szCs w:val="24"/>
              <w:lang w:val="en-GB"/>
            </w:rPr>
            <w:t xml:space="preserve">4.1 Market Expansion .................................................................................... </w:t>
          </w:r>
          <w:r w:rsidR="007531F4">
            <w:rPr>
              <w:rFonts w:ascii="Times New Roman" w:hAnsi="Times New Roman" w:cs="Times New Roman"/>
              <w:color w:val="auto"/>
              <w:sz w:val="24"/>
              <w:szCs w:val="24"/>
              <w:lang w:val="en-GB"/>
            </w:rPr>
            <w:t>9</w:t>
          </w:r>
        </w:p>
        <w:p w14:paraId="6EF25CD1" w14:textId="0CFF267F" w:rsidR="00F07E34" w:rsidRPr="00F07E34" w:rsidRDefault="00F07E34" w:rsidP="00046C51">
          <w:pPr>
            <w:pStyle w:val="TOCHeading"/>
            <w:numPr>
              <w:ilvl w:val="1"/>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color w:val="auto"/>
              <w:sz w:val="24"/>
              <w:szCs w:val="24"/>
              <w:lang w:val="en-GB"/>
            </w:rPr>
            <w:t xml:space="preserve">4.2 Brand Diversification .............................................................................. </w:t>
          </w:r>
          <w:r w:rsidR="007531F4">
            <w:rPr>
              <w:rFonts w:ascii="Times New Roman" w:hAnsi="Times New Roman" w:cs="Times New Roman"/>
              <w:color w:val="auto"/>
              <w:sz w:val="24"/>
              <w:szCs w:val="24"/>
              <w:lang w:val="en-GB"/>
            </w:rPr>
            <w:t>10</w:t>
          </w:r>
        </w:p>
        <w:p w14:paraId="62DF9DC2" w14:textId="382B0D41" w:rsidR="00F07E34" w:rsidRPr="00F07E34" w:rsidRDefault="00F07E34" w:rsidP="00046C51">
          <w:pPr>
            <w:pStyle w:val="TOCHeading"/>
            <w:numPr>
              <w:ilvl w:val="1"/>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color w:val="auto"/>
              <w:sz w:val="24"/>
              <w:szCs w:val="24"/>
              <w:lang w:val="en-GB"/>
            </w:rPr>
            <w:t xml:space="preserve">4.3 Technology Integration ........................................................................... </w:t>
          </w:r>
          <w:r w:rsidR="007531F4">
            <w:rPr>
              <w:rFonts w:ascii="Times New Roman" w:hAnsi="Times New Roman" w:cs="Times New Roman"/>
              <w:color w:val="auto"/>
              <w:sz w:val="24"/>
              <w:szCs w:val="24"/>
              <w:lang w:val="en-GB"/>
            </w:rPr>
            <w:t>10</w:t>
          </w:r>
        </w:p>
        <w:p w14:paraId="37B4019B" w14:textId="5F9EADB1" w:rsidR="00F07E34" w:rsidRPr="00F07E34" w:rsidRDefault="003A3EA7" w:rsidP="00046C51">
          <w:pPr>
            <w:pStyle w:val="TOCHeading"/>
            <w:numPr>
              <w:ilvl w:val="0"/>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b/>
              <w:bCs/>
              <w:color w:val="auto"/>
              <w:sz w:val="24"/>
              <w:szCs w:val="24"/>
              <w:lang w:val="en-GB"/>
            </w:rPr>
            <w:t>Recommendations</w:t>
          </w:r>
          <w:r w:rsidRPr="00F07E34">
            <w:rPr>
              <w:rFonts w:ascii="Times New Roman" w:hAnsi="Times New Roman" w:cs="Times New Roman"/>
              <w:color w:val="auto"/>
              <w:sz w:val="24"/>
              <w:szCs w:val="24"/>
              <w:lang w:val="en-GB"/>
            </w:rPr>
            <w:t> </w:t>
          </w:r>
          <w:r w:rsidR="00F07E34" w:rsidRPr="00F07E34">
            <w:rPr>
              <w:rFonts w:ascii="Times New Roman" w:hAnsi="Times New Roman" w:cs="Times New Roman"/>
              <w:color w:val="auto"/>
              <w:sz w:val="24"/>
              <w:szCs w:val="24"/>
              <w:lang w:val="en-GB"/>
            </w:rPr>
            <w:t xml:space="preserve">................................................................................................... </w:t>
          </w:r>
          <w:r w:rsidR="007531F4">
            <w:rPr>
              <w:rFonts w:ascii="Times New Roman" w:hAnsi="Times New Roman" w:cs="Times New Roman"/>
              <w:color w:val="auto"/>
              <w:sz w:val="24"/>
              <w:szCs w:val="24"/>
              <w:lang w:val="en-GB"/>
            </w:rPr>
            <w:t>11</w:t>
          </w:r>
        </w:p>
        <w:p w14:paraId="0FAE60E4" w14:textId="5CC227F1" w:rsidR="00F07E34" w:rsidRPr="00F07E34" w:rsidRDefault="003A3EA7" w:rsidP="00046C51">
          <w:pPr>
            <w:pStyle w:val="TOCHeading"/>
            <w:numPr>
              <w:ilvl w:val="0"/>
              <w:numId w:val="2"/>
            </w:numPr>
            <w:spacing w:line="360" w:lineRule="auto"/>
            <w:jc w:val="both"/>
            <w:rPr>
              <w:rFonts w:ascii="Times New Roman" w:hAnsi="Times New Roman" w:cs="Times New Roman"/>
              <w:color w:val="auto"/>
              <w:sz w:val="24"/>
              <w:szCs w:val="24"/>
              <w:lang w:val="en-GB"/>
            </w:rPr>
          </w:pPr>
          <w:r>
            <w:rPr>
              <w:rFonts w:ascii="Times New Roman" w:hAnsi="Times New Roman" w:cs="Times New Roman"/>
              <w:b/>
              <w:bCs/>
              <w:color w:val="auto"/>
              <w:sz w:val="24"/>
              <w:szCs w:val="24"/>
              <w:lang w:val="en-GB"/>
            </w:rPr>
            <w:t>Conclusion</w:t>
          </w:r>
          <w:r w:rsidR="00F07E34" w:rsidRPr="00F07E34">
            <w:rPr>
              <w:rFonts w:ascii="Times New Roman" w:hAnsi="Times New Roman" w:cs="Times New Roman"/>
              <w:color w:val="auto"/>
              <w:sz w:val="24"/>
              <w:szCs w:val="24"/>
              <w:lang w:val="en-GB"/>
            </w:rPr>
            <w:t xml:space="preserve">....................................................................................... </w:t>
          </w:r>
          <w:r w:rsidR="007531F4">
            <w:rPr>
              <w:rFonts w:ascii="Times New Roman" w:hAnsi="Times New Roman" w:cs="Times New Roman"/>
              <w:color w:val="auto"/>
              <w:sz w:val="24"/>
              <w:szCs w:val="24"/>
              <w:lang w:val="en-GB"/>
            </w:rPr>
            <w:t>11</w:t>
          </w:r>
        </w:p>
        <w:p w14:paraId="2FC7CC8B" w14:textId="2F62208B" w:rsidR="00F07E34" w:rsidRPr="00F07E34" w:rsidRDefault="00F07E34" w:rsidP="00046C51">
          <w:pPr>
            <w:pStyle w:val="TOCHeading"/>
            <w:numPr>
              <w:ilvl w:val="0"/>
              <w:numId w:val="2"/>
            </w:numPr>
            <w:spacing w:line="360" w:lineRule="auto"/>
            <w:jc w:val="both"/>
            <w:rPr>
              <w:rFonts w:ascii="Times New Roman" w:hAnsi="Times New Roman" w:cs="Times New Roman"/>
              <w:color w:val="auto"/>
              <w:sz w:val="24"/>
              <w:szCs w:val="24"/>
              <w:lang w:val="en-GB"/>
            </w:rPr>
          </w:pPr>
          <w:r w:rsidRPr="00F07E34">
            <w:rPr>
              <w:rFonts w:ascii="Times New Roman" w:hAnsi="Times New Roman" w:cs="Times New Roman"/>
              <w:b/>
              <w:bCs/>
              <w:color w:val="auto"/>
              <w:sz w:val="24"/>
              <w:szCs w:val="24"/>
              <w:lang w:val="en-GB"/>
            </w:rPr>
            <w:t>Reference List</w:t>
          </w:r>
          <w:r w:rsidRPr="00F07E34">
            <w:rPr>
              <w:rFonts w:ascii="Times New Roman" w:hAnsi="Times New Roman" w:cs="Times New Roman"/>
              <w:color w:val="auto"/>
              <w:sz w:val="24"/>
              <w:szCs w:val="24"/>
              <w:lang w:val="en-GB"/>
            </w:rPr>
            <w:t xml:space="preserve"> .............................................................................................. </w:t>
          </w:r>
          <w:r w:rsidR="007531F4">
            <w:rPr>
              <w:rFonts w:ascii="Times New Roman" w:hAnsi="Times New Roman" w:cs="Times New Roman"/>
              <w:color w:val="auto"/>
              <w:sz w:val="24"/>
              <w:szCs w:val="24"/>
              <w:lang w:val="en-GB"/>
            </w:rPr>
            <w:t>12</w:t>
          </w:r>
        </w:p>
        <w:p w14:paraId="1D6B660B" w14:textId="1EFEAF70" w:rsidR="00AC795D" w:rsidRDefault="00000000" w:rsidP="00046C51">
          <w:pPr>
            <w:pStyle w:val="TOCHeading"/>
            <w:spacing w:line="360" w:lineRule="auto"/>
            <w:jc w:val="both"/>
          </w:pPr>
        </w:p>
      </w:sdtContent>
    </w:sdt>
    <w:p w14:paraId="44BB2987" w14:textId="77777777" w:rsidR="003A3EA7" w:rsidRDefault="003A3EA7" w:rsidP="00046C51">
      <w:pPr>
        <w:spacing w:line="360" w:lineRule="auto"/>
        <w:jc w:val="both"/>
        <w:rPr>
          <w:rFonts w:ascii="Times New Roman" w:hAnsi="Times New Roman" w:cs="Times New Roman"/>
          <w:b/>
          <w:bCs/>
        </w:rPr>
      </w:pPr>
    </w:p>
    <w:p w14:paraId="1B20F33E" w14:textId="77777777" w:rsidR="003A3EA7" w:rsidRDefault="003A3EA7" w:rsidP="00046C51">
      <w:pPr>
        <w:spacing w:line="360" w:lineRule="auto"/>
        <w:jc w:val="both"/>
        <w:rPr>
          <w:rFonts w:ascii="Times New Roman" w:hAnsi="Times New Roman" w:cs="Times New Roman"/>
          <w:b/>
          <w:bCs/>
        </w:rPr>
      </w:pPr>
    </w:p>
    <w:p w14:paraId="26D256D5" w14:textId="77777777" w:rsidR="003A3EA7" w:rsidRDefault="003A3EA7" w:rsidP="00046C51">
      <w:pPr>
        <w:spacing w:line="360" w:lineRule="auto"/>
        <w:jc w:val="both"/>
        <w:rPr>
          <w:rFonts w:ascii="Times New Roman" w:hAnsi="Times New Roman" w:cs="Times New Roman"/>
          <w:b/>
          <w:bCs/>
        </w:rPr>
      </w:pPr>
    </w:p>
    <w:p w14:paraId="0BC4C957" w14:textId="77777777" w:rsidR="003A3EA7" w:rsidRDefault="003A3EA7" w:rsidP="00046C51">
      <w:pPr>
        <w:spacing w:line="360" w:lineRule="auto"/>
        <w:jc w:val="both"/>
        <w:rPr>
          <w:rFonts w:ascii="Times New Roman" w:hAnsi="Times New Roman" w:cs="Times New Roman"/>
          <w:b/>
          <w:bCs/>
        </w:rPr>
      </w:pPr>
    </w:p>
    <w:p w14:paraId="31479B02" w14:textId="6E59F2CE" w:rsidR="003C145C" w:rsidRPr="003C145C" w:rsidRDefault="003C145C" w:rsidP="00046C51">
      <w:pPr>
        <w:spacing w:line="360" w:lineRule="auto"/>
        <w:jc w:val="both"/>
        <w:rPr>
          <w:rFonts w:ascii="Times New Roman" w:hAnsi="Times New Roman" w:cs="Times New Roman"/>
          <w:b/>
          <w:bCs/>
        </w:rPr>
      </w:pPr>
      <w:r w:rsidRPr="003C145C">
        <w:rPr>
          <w:rFonts w:ascii="Times New Roman" w:hAnsi="Times New Roman" w:cs="Times New Roman"/>
          <w:b/>
          <w:bCs/>
        </w:rPr>
        <w:lastRenderedPageBreak/>
        <w:t>Introduction</w:t>
      </w:r>
    </w:p>
    <w:p w14:paraId="4D8E4D3B" w14:textId="77777777" w:rsidR="00066E2F" w:rsidRDefault="00066E2F" w:rsidP="00046C51">
      <w:pPr>
        <w:spacing w:line="360" w:lineRule="auto"/>
        <w:jc w:val="both"/>
        <w:rPr>
          <w:rFonts w:ascii="Times New Roman" w:hAnsi="Times New Roman" w:cs="Times New Roman"/>
        </w:rPr>
      </w:pPr>
      <w:r>
        <w:rPr>
          <w:rFonts w:ascii="Times New Roman" w:hAnsi="Times New Roman" w:cs="Times New Roman"/>
        </w:rPr>
        <w:t>Marriott International, established in 1927 by J. Willard and Alice Marriott, began as a modest root beer stand and has since evolved into the largest hotel chain in the world. The company operates over 8,800 properties across 139 countries and encompasses 30 distinct brands, which range from luxury options like Ritz-Carlton and St. Regis to premium brands such as Sheraton and Westin, along with budget-friendly choices like Courtyard and Fairfield Inn. Each year, Marriott welcomes approximately 180 million guests (Marriott International, 2023).</w:t>
      </w:r>
    </w:p>
    <w:p w14:paraId="0C5905F2" w14:textId="77777777" w:rsidR="00066E2F" w:rsidRDefault="00066E2F" w:rsidP="00046C51">
      <w:pPr>
        <w:spacing w:line="360" w:lineRule="auto"/>
        <w:jc w:val="both"/>
        <w:rPr>
          <w:rFonts w:ascii="Times New Roman" w:hAnsi="Times New Roman" w:cs="Times New Roman"/>
        </w:rPr>
      </w:pPr>
      <w:r>
        <w:rPr>
          <w:rFonts w:ascii="Times New Roman" w:hAnsi="Times New Roman" w:cs="Times New Roman"/>
        </w:rPr>
        <w:t>The company's ascent to industry leadership can be largely attributed to strategic mergers, particularly the $13 billion acquisition of Starwood Hotels in 2016, which expanded Marriott's portfolio by adding 1,300 properties and 11 additional brands, including W Hotels and Sheraton.</w:t>
      </w:r>
    </w:p>
    <w:p w14:paraId="231262FC" w14:textId="7EC59955" w:rsidR="003C145C" w:rsidRPr="003C145C" w:rsidRDefault="00066E2F" w:rsidP="00046C51">
      <w:pPr>
        <w:spacing w:line="360" w:lineRule="auto"/>
        <w:jc w:val="both"/>
        <w:rPr>
          <w:rFonts w:ascii="Times New Roman" w:hAnsi="Times New Roman" w:cs="Times New Roman"/>
        </w:rPr>
      </w:pPr>
      <w:r>
        <w:rPr>
          <w:rFonts w:ascii="Times New Roman" w:hAnsi="Times New Roman" w:cs="Times New Roman"/>
        </w:rPr>
        <w:t>This report provides a critical evaluation of Marriott’s organizational structure, corporate culture, change initiatives, and strategic direction. It utilizes theoretical frameworks such as Hofstede’s cultural dimensions, Kotter’s change management model, and Porter’s generic strategies. Through an analysis of Marriott’s operational agility and the challenges it faces, the report concludes with actionable recommendations focused on enhancing sustainability, improving employee retention, and bolstering technological resilience.</w:t>
      </w:r>
    </w:p>
    <w:p w14:paraId="136C2D6C" w14:textId="77777777" w:rsidR="003C145C" w:rsidRPr="003C145C" w:rsidRDefault="00000000" w:rsidP="00046C51">
      <w:pPr>
        <w:spacing w:line="360" w:lineRule="auto"/>
        <w:jc w:val="both"/>
        <w:rPr>
          <w:rFonts w:ascii="Times New Roman" w:hAnsi="Times New Roman" w:cs="Times New Roman"/>
        </w:rPr>
      </w:pPr>
      <w:r>
        <w:rPr>
          <w:rFonts w:ascii="Times New Roman" w:hAnsi="Times New Roman" w:cs="Times New Roman"/>
        </w:rPr>
        <w:pict w14:anchorId="7B8BB74B">
          <v:rect id="_x0000_i1025" style="width:0;height:.75pt" o:hralign="center" o:hrstd="t" o:hrnoshade="t" o:hr="t" fillcolor="#404040" stroked="f"/>
        </w:pict>
      </w:r>
    </w:p>
    <w:p w14:paraId="1BE301F2"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2. Organisation Structure, Culture, and Goals</w:t>
      </w:r>
    </w:p>
    <w:p w14:paraId="6ECE5D3B"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2.1 Organisational Structure</w:t>
      </w:r>
    </w:p>
    <w:p w14:paraId="147731B5" w14:textId="77777777" w:rsidR="001B203A" w:rsidRDefault="001B203A" w:rsidP="003C4F8B">
      <w:pPr>
        <w:spacing w:line="360" w:lineRule="auto"/>
        <w:jc w:val="both"/>
        <w:rPr>
          <w:rFonts w:ascii="Times New Roman" w:hAnsi="Times New Roman" w:cs="Times New Roman"/>
        </w:rPr>
      </w:pPr>
      <w:r>
        <w:rPr>
          <w:rFonts w:ascii="Times New Roman" w:hAnsi="Times New Roman" w:cs="Times New Roman"/>
        </w:rPr>
        <w:t>Marriott’s hybrid organizational structure effectively addresses the complexities of global operations. At the corporate level, its hierarchical aspect ensures uniformity in brand standards, financial oversight, and risk management. For example, Marriott’s Global Design Strategies team sets architectural guidelines that all properties must follow, maintaining a consistent aesthetic even for budget brands like Fairfield Inn. This centralized control is vital for preserving brand equity, especially after mergers like the acquisition of Starwood in 2016, which required rapid integration of IT systems and employee training.</w:t>
      </w:r>
    </w:p>
    <w:p w14:paraId="7DA3FA2A" w14:textId="4DF76BE8" w:rsidR="008037DF" w:rsidRDefault="008037DF" w:rsidP="003C4F8B">
      <w:pPr>
        <w:spacing w:line="360" w:lineRule="auto"/>
        <w:jc w:val="both"/>
        <w:rPr>
          <w:rFonts w:ascii="Times New Roman" w:hAnsi="Times New Roman" w:cs="Times New Roman"/>
        </w:rPr>
      </w:pPr>
      <w:r w:rsidRPr="008037DF">
        <w:rPr>
          <w:rFonts w:ascii="Times New Roman" w:hAnsi="Times New Roman" w:cs="Times New Roman"/>
        </w:rPr>
        <w:lastRenderedPageBreak/>
        <w:drawing>
          <wp:inline distT="0" distB="0" distL="0" distR="0" wp14:anchorId="27F38CA2" wp14:editId="4566E52A">
            <wp:extent cx="4572638" cy="2667372"/>
            <wp:effectExtent l="0" t="0" r="0" b="0"/>
            <wp:docPr id="609690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690832" name=""/>
                    <pic:cNvPicPr/>
                  </pic:nvPicPr>
                  <pic:blipFill>
                    <a:blip r:embed="rId7"/>
                    <a:stretch>
                      <a:fillRect/>
                    </a:stretch>
                  </pic:blipFill>
                  <pic:spPr>
                    <a:xfrm>
                      <a:off x="0" y="0"/>
                      <a:ext cx="4572638" cy="2667372"/>
                    </a:xfrm>
                    <a:prstGeom prst="rect">
                      <a:avLst/>
                    </a:prstGeom>
                  </pic:spPr>
                </pic:pic>
              </a:graphicData>
            </a:graphic>
          </wp:inline>
        </w:drawing>
      </w:r>
    </w:p>
    <w:p w14:paraId="16F0BF2E" w14:textId="46BF28A3" w:rsidR="008037DF" w:rsidRDefault="008D7264" w:rsidP="003C4F8B">
      <w:pPr>
        <w:spacing w:line="360" w:lineRule="auto"/>
        <w:jc w:val="both"/>
        <w:rPr>
          <w:rFonts w:ascii="Times New Roman" w:hAnsi="Times New Roman" w:cs="Times New Roman"/>
        </w:rPr>
      </w:pPr>
      <w:r>
        <w:rPr>
          <w:rFonts w:ascii="Times New Roman" w:hAnsi="Times New Roman" w:cs="Times New Roman"/>
        </w:rPr>
        <w:t xml:space="preserve">Source - </w:t>
      </w:r>
      <w:hyperlink r:id="rId8" w:history="1">
        <w:proofErr w:type="spellStart"/>
        <w:proofErr w:type="gramStart"/>
        <w:r w:rsidRPr="008D7264">
          <w:rPr>
            <w:rStyle w:val="Hyperlink"/>
            <w:rFonts w:ascii="Times New Roman" w:hAnsi="Times New Roman" w:cs="Times New Roman"/>
          </w:rPr>
          <w:t>fity.club</w:t>
        </w:r>
        <w:proofErr w:type="spellEnd"/>
        <w:proofErr w:type="gramEnd"/>
      </w:hyperlink>
      <w:r w:rsidR="007E6EB4" w:rsidRPr="007E6EB4">
        <w:t xml:space="preserve"> </w:t>
      </w:r>
      <w:r w:rsidR="007E6EB4" w:rsidRPr="007E6EB4">
        <w:rPr>
          <w:rFonts w:ascii="Times New Roman" w:hAnsi="Times New Roman" w:cs="Times New Roman"/>
        </w:rPr>
        <w:t>/</w:t>
      </w:r>
      <w:proofErr w:type="spellStart"/>
      <w:r w:rsidR="007E6EB4" w:rsidRPr="007E6EB4">
        <w:rPr>
          <w:rFonts w:ascii="Times New Roman" w:hAnsi="Times New Roman" w:cs="Times New Roman"/>
        </w:rPr>
        <w:t>intr</w:t>
      </w:r>
      <w:proofErr w:type="spellEnd"/>
      <w:r w:rsidR="007E6EB4" w:rsidRPr="007E6EB4">
        <w:rPr>
          <w:rFonts w:ascii="Times New Roman" w:hAnsi="Times New Roman" w:cs="Times New Roman"/>
        </w:rPr>
        <w:t>-of-</w:t>
      </w:r>
      <w:proofErr w:type="spellStart"/>
      <w:r w:rsidR="007E6EB4" w:rsidRPr="007E6EB4">
        <w:rPr>
          <w:rFonts w:ascii="Times New Roman" w:hAnsi="Times New Roman" w:cs="Times New Roman"/>
        </w:rPr>
        <w:t>marriott</w:t>
      </w:r>
      <w:proofErr w:type="spellEnd"/>
      <w:r w:rsidR="007E6EB4" w:rsidRPr="007E6EB4">
        <w:rPr>
          <w:rFonts w:ascii="Times New Roman" w:hAnsi="Times New Roman" w:cs="Times New Roman"/>
        </w:rPr>
        <w:t>-brands</w:t>
      </w:r>
    </w:p>
    <w:p w14:paraId="4CA3DF39" w14:textId="77777777" w:rsidR="007E6EB4" w:rsidRDefault="007E6EB4" w:rsidP="003C4F8B">
      <w:pPr>
        <w:spacing w:line="360" w:lineRule="auto"/>
        <w:jc w:val="both"/>
        <w:rPr>
          <w:rFonts w:ascii="Times New Roman" w:hAnsi="Times New Roman" w:cs="Times New Roman"/>
        </w:rPr>
      </w:pPr>
    </w:p>
    <w:p w14:paraId="3DAC97BA" w14:textId="01CA657B" w:rsidR="001B203A" w:rsidRDefault="001B203A" w:rsidP="003C4F8B">
      <w:pPr>
        <w:spacing w:line="360" w:lineRule="auto"/>
        <w:jc w:val="both"/>
        <w:rPr>
          <w:rFonts w:ascii="Times New Roman" w:hAnsi="Times New Roman" w:cs="Times New Roman"/>
        </w:rPr>
      </w:pPr>
      <w:r>
        <w:rPr>
          <w:rFonts w:ascii="Times New Roman" w:hAnsi="Times New Roman" w:cs="Times New Roman"/>
        </w:rPr>
        <w:t>The centralized decision-making also standardizes operational procedures across various brands, ensuring consistent customer experiences regardless of location. However, the matrix aspect of Marriott’s structure allows regional managers flexibility to innovate. Initiatives like Europe’s “</w:t>
      </w:r>
      <w:proofErr w:type="spellStart"/>
      <w:r>
        <w:rPr>
          <w:rFonts w:ascii="Times New Roman" w:hAnsi="Times New Roman" w:cs="Times New Roman"/>
        </w:rPr>
        <w:t>LocaliQ</w:t>
      </w:r>
      <w:proofErr w:type="spellEnd"/>
      <w:r>
        <w:rPr>
          <w:rFonts w:ascii="Times New Roman" w:hAnsi="Times New Roman" w:cs="Times New Roman"/>
        </w:rPr>
        <w:t xml:space="preserve">,” which partners with local businesses, and collaborations with Alibaba’s </w:t>
      </w:r>
      <w:proofErr w:type="spellStart"/>
      <w:r>
        <w:rPr>
          <w:rFonts w:ascii="Times New Roman" w:hAnsi="Times New Roman" w:cs="Times New Roman"/>
        </w:rPr>
        <w:t>Fliggy</w:t>
      </w:r>
      <w:proofErr w:type="spellEnd"/>
      <w:r>
        <w:rPr>
          <w:rFonts w:ascii="Times New Roman" w:hAnsi="Times New Roman" w:cs="Times New Roman"/>
        </w:rPr>
        <w:t xml:space="preserve"> platform in Asia show Marriott's responsiveness to local markets while maintaining global oversight.</w:t>
      </w:r>
    </w:p>
    <w:p w14:paraId="05FC4A94" w14:textId="77777777" w:rsidR="001B203A" w:rsidRDefault="001B203A" w:rsidP="003C4F8B">
      <w:pPr>
        <w:spacing w:line="360" w:lineRule="auto"/>
        <w:jc w:val="both"/>
        <w:rPr>
          <w:rFonts w:ascii="Times New Roman" w:hAnsi="Times New Roman" w:cs="Times New Roman"/>
        </w:rPr>
      </w:pPr>
    </w:p>
    <w:p w14:paraId="05BAC696" w14:textId="55A7D415" w:rsidR="003C4F8B" w:rsidRPr="003C4F8B" w:rsidRDefault="001B203A" w:rsidP="003C4F8B">
      <w:pPr>
        <w:spacing w:line="360" w:lineRule="auto"/>
        <w:jc w:val="both"/>
        <w:rPr>
          <w:rFonts w:ascii="Times New Roman" w:hAnsi="Times New Roman" w:cs="Times New Roman"/>
        </w:rPr>
      </w:pPr>
      <w:r>
        <w:rPr>
          <w:rFonts w:ascii="Times New Roman" w:hAnsi="Times New Roman" w:cs="Times New Roman"/>
        </w:rPr>
        <w:t>However, the hybrid model has its challenges. During the 2020 pandemic, corporate cost-cutting measures sometimes conflicted with regional needs for safety spending, leading to criticism of reduced staffing in European hotels. These tensions highlight the need for a balance between consistency and local responsiveness, as emphasized in Lawrence and Lorsch’s contingency theory. Marriott's pandemic response stresses the importance of communication between corporate and regional leadership to address conflicts effectively.</w:t>
      </w:r>
    </w:p>
    <w:p w14:paraId="6961282E"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2.2 Corporate Culture</w:t>
      </w:r>
    </w:p>
    <w:p w14:paraId="4F4F55AF"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 xml:space="preserve">“The Marriott Way” is not merely a slogan; it serves as a foundational principle integrated into daily operations. For instance, the “Spirit to Serve” program encourages employees to volunteer 15 hours annually in their local communities, promoting a culture of social responsibility. This initiative has played a significant role in Marriott's recognition as one of </w:t>
      </w:r>
      <w:r w:rsidRPr="003C4F8B">
        <w:rPr>
          <w:rFonts w:ascii="Times New Roman" w:hAnsi="Times New Roman" w:cs="Times New Roman"/>
        </w:rPr>
        <w:lastRenderedPageBreak/>
        <w:t>Fortune’s “World’s Most Admired Companies” in 2023. Marriott’s culture of service extends beyond just customer interactions; it is deeply embedded in the company's approach to social responsibility and employee engagement. By encouraging employees to volunteer in their communities, Marriott reinforces its core values of care and compassion, which directly translate into higher employee morale and better guest experiences.</w:t>
      </w:r>
    </w:p>
    <w:p w14:paraId="319706C6"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The company’s dedication to inclusivity is reflected in its Diversity, Equity, and Inclusion (DEI) metrics: 65% of managers are women, and 45% of U.S. executives belong to underrepresented groups (Marriott Annual Report, 2023). These initiatives align with Schein’s cultural model, wherein artifacts (such as diversity reports) and espoused values (like “Take Care of Associates”) reinforce the organization’s identity. Marriott’s commitment to diversity and inclusivity is not limited to its hiring practices; it is also evident in how the company structures its leadership team and implements programs aimed at fostering an inclusive workplace. These initiatives are integral to attracting and retaining top talent from diverse backgrounds, ensuring that Marriott stays ahead of competitors in terms of innovation and creativity.</w:t>
      </w:r>
    </w:p>
    <w:p w14:paraId="09EB9880"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However, the turnover spike in 2022 highlighted gaps in translating these values into actionable practices. Frontline staff in high-cost cities, such as New York, reported stagnant wages despite rising living expenses, which contradicts Maslow’s concept of “safety needs” (Maslow, 1943). Marriott’s challenge lies in aligning its cultural values of care and inclusivity with the practical needs of its frontline workers, particularly in markets where the cost of living is high. While Marriott has introduced programs to support employee mental health and well-being, addressing compensation concerns remains a critical factor in reducing turnover and enhancing employee loyalty.</w:t>
      </w:r>
    </w:p>
    <w:p w14:paraId="2E460D50"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In response to these challenges, Marriott launched “</w:t>
      </w:r>
      <w:proofErr w:type="spellStart"/>
      <w:r w:rsidRPr="003C4F8B">
        <w:rPr>
          <w:rFonts w:ascii="Times New Roman" w:hAnsi="Times New Roman" w:cs="Times New Roman"/>
        </w:rPr>
        <w:t>Thrive@Marriott</w:t>
      </w:r>
      <w:proofErr w:type="spellEnd"/>
      <w:r w:rsidRPr="003C4F8B">
        <w:rPr>
          <w:rFonts w:ascii="Times New Roman" w:hAnsi="Times New Roman" w:cs="Times New Roman"/>
        </w:rPr>
        <w:t xml:space="preserve">,” a mental health platform that provides </w:t>
      </w:r>
      <w:proofErr w:type="spellStart"/>
      <w:r w:rsidRPr="003C4F8B">
        <w:rPr>
          <w:rFonts w:ascii="Times New Roman" w:hAnsi="Times New Roman" w:cs="Times New Roman"/>
        </w:rPr>
        <w:t>counseling</w:t>
      </w:r>
      <w:proofErr w:type="spellEnd"/>
      <w:r w:rsidRPr="003C4F8B">
        <w:rPr>
          <w:rFonts w:ascii="Times New Roman" w:hAnsi="Times New Roman" w:cs="Times New Roman"/>
        </w:rPr>
        <w:t xml:space="preserve"> and financial planning tools. Initial data reflect a 10% reduction in turnover among participants, suggesting that cultural initiatives must adapt to meet evolving employee expectations in the post-pandemic environment. As Marriott navigates these challenges, it is essential for the company to not only focus on mental health and well-being but also address the financial pressures faced by employees in high-cost areas.</w:t>
      </w:r>
    </w:p>
    <w:p w14:paraId="50799359" w14:textId="211F2AEF"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2.</w:t>
      </w:r>
      <w:r w:rsidRPr="003C4F8B">
        <w:rPr>
          <w:rFonts w:ascii="Times New Roman" w:hAnsi="Times New Roman" w:cs="Times New Roman"/>
          <w:b/>
          <w:bCs/>
        </w:rPr>
        <w:t xml:space="preserve">3 </w:t>
      </w:r>
      <w:r w:rsidRPr="003C4F8B">
        <w:rPr>
          <w:rFonts w:ascii="Times New Roman" w:hAnsi="Times New Roman" w:cs="Times New Roman"/>
          <w:b/>
          <w:bCs/>
        </w:rPr>
        <w:t>Corporate and Unit-Level Goals</w:t>
      </w:r>
    </w:p>
    <w:p w14:paraId="74D3749F" w14:textId="47B06593" w:rsidR="001344C8" w:rsidRPr="00D166AA" w:rsidRDefault="001344C8" w:rsidP="00D166AA">
      <w:pPr>
        <w:pStyle w:val="ListParagraph"/>
        <w:numPr>
          <w:ilvl w:val="0"/>
          <w:numId w:val="16"/>
        </w:numPr>
        <w:spacing w:line="360" w:lineRule="auto"/>
        <w:jc w:val="both"/>
        <w:rPr>
          <w:rFonts w:ascii="Times New Roman" w:hAnsi="Times New Roman" w:cs="Times New Roman"/>
        </w:rPr>
      </w:pPr>
      <w:r w:rsidRPr="00D166AA">
        <w:rPr>
          <w:rFonts w:ascii="Times New Roman" w:hAnsi="Times New Roman" w:cs="Times New Roman"/>
        </w:rPr>
        <w:t xml:space="preserve">Corporate </w:t>
      </w:r>
      <w:proofErr w:type="gramStart"/>
      <w:r w:rsidRPr="00D166AA">
        <w:rPr>
          <w:rFonts w:ascii="Times New Roman" w:hAnsi="Times New Roman" w:cs="Times New Roman"/>
        </w:rPr>
        <w:t>Goals:*</w:t>
      </w:r>
      <w:proofErr w:type="gramEnd"/>
      <w:r w:rsidRPr="00D166AA">
        <w:rPr>
          <w:rFonts w:ascii="Times New Roman" w:hAnsi="Times New Roman" w:cs="Times New Roman"/>
        </w:rPr>
        <w:t xml:space="preserve">* Marriott aims to expand to 1.5 million rooms by 2025, achieving a 10% compound annual growth rate (CAGR). The company also targets net-zero </w:t>
      </w:r>
      <w:r w:rsidRPr="00D166AA">
        <w:rPr>
          <w:rFonts w:ascii="Times New Roman" w:hAnsi="Times New Roman" w:cs="Times New Roman"/>
        </w:rPr>
        <w:lastRenderedPageBreak/>
        <w:t xml:space="preserve">emissions by 2050 and plans to use artificial intelligence (AI) for personalized guest experiences. While this aligns with the Paris Agreement, </w:t>
      </w:r>
      <w:proofErr w:type="spellStart"/>
      <w:r w:rsidRPr="00D166AA">
        <w:rPr>
          <w:rFonts w:ascii="Times New Roman" w:hAnsi="Times New Roman" w:cs="Times New Roman"/>
        </w:rPr>
        <w:t>skepticism</w:t>
      </w:r>
      <w:proofErr w:type="spellEnd"/>
      <w:r w:rsidRPr="00D166AA">
        <w:rPr>
          <w:rFonts w:ascii="Times New Roman" w:hAnsi="Times New Roman" w:cs="Times New Roman"/>
        </w:rPr>
        <w:t xml:space="preserve"> remains due to reliance on carbon offsets instead of direct reductions. These goals emphasize growth, sustainability, and innovation, but balancing environmental impact with operational efficiency will be essential.</w:t>
      </w:r>
    </w:p>
    <w:p w14:paraId="4F0504A2" w14:textId="77777777" w:rsidR="001344C8" w:rsidRDefault="001344C8" w:rsidP="001344C8">
      <w:pPr>
        <w:spacing w:line="360" w:lineRule="auto"/>
        <w:jc w:val="both"/>
        <w:rPr>
          <w:rFonts w:ascii="Times New Roman" w:hAnsi="Times New Roman" w:cs="Times New Roman"/>
        </w:rPr>
      </w:pPr>
    </w:p>
    <w:p w14:paraId="0ECC971A" w14:textId="5347BAF8" w:rsidR="001344C8" w:rsidRPr="00D166AA" w:rsidRDefault="001344C8" w:rsidP="00D166AA">
      <w:pPr>
        <w:pStyle w:val="ListParagraph"/>
        <w:numPr>
          <w:ilvl w:val="0"/>
          <w:numId w:val="15"/>
        </w:numPr>
        <w:spacing w:line="360" w:lineRule="auto"/>
        <w:jc w:val="both"/>
        <w:rPr>
          <w:rFonts w:ascii="Times New Roman" w:hAnsi="Times New Roman" w:cs="Times New Roman"/>
        </w:rPr>
      </w:pPr>
      <w:r w:rsidRPr="00D166AA">
        <w:rPr>
          <w:rFonts w:ascii="Times New Roman" w:hAnsi="Times New Roman" w:cs="Times New Roman"/>
        </w:rPr>
        <w:t xml:space="preserve">Unit-Level </w:t>
      </w:r>
      <w:proofErr w:type="gramStart"/>
      <w:r w:rsidRPr="00D166AA">
        <w:rPr>
          <w:rFonts w:ascii="Times New Roman" w:hAnsi="Times New Roman" w:cs="Times New Roman"/>
        </w:rPr>
        <w:t>Goals:*</w:t>
      </w:r>
      <w:proofErr w:type="gramEnd"/>
      <w:r w:rsidRPr="00D166AA">
        <w:rPr>
          <w:rFonts w:ascii="Times New Roman" w:hAnsi="Times New Roman" w:cs="Times New Roman"/>
        </w:rPr>
        <w:t xml:space="preserve">* Individual hotels concentrate on RevPAR (Revenue per Available Room), which increased by 25% year-over-year in 2023, and aim for a 15% annual reduction in energy consumption. However, aggressive expansion can strain resources, leading to a decline in service quality, as evidenced by a 10% drop in TripAdvisor ratings for new Moxy Hotels in 2023. </w:t>
      </w:r>
    </w:p>
    <w:p w14:paraId="390D601B" w14:textId="77777777" w:rsidR="001344C8" w:rsidRDefault="001344C8" w:rsidP="001344C8">
      <w:pPr>
        <w:spacing w:line="360" w:lineRule="auto"/>
        <w:jc w:val="both"/>
        <w:rPr>
          <w:rFonts w:ascii="Times New Roman" w:hAnsi="Times New Roman" w:cs="Times New Roman"/>
        </w:rPr>
      </w:pPr>
    </w:p>
    <w:p w14:paraId="05BF6E6A" w14:textId="3DE96001" w:rsidR="003C4F8B" w:rsidRPr="00D166AA" w:rsidRDefault="001344C8" w:rsidP="00D166AA">
      <w:pPr>
        <w:pStyle w:val="ListParagraph"/>
        <w:numPr>
          <w:ilvl w:val="0"/>
          <w:numId w:val="15"/>
        </w:numPr>
        <w:spacing w:line="360" w:lineRule="auto"/>
        <w:jc w:val="both"/>
        <w:rPr>
          <w:rFonts w:ascii="Times New Roman" w:hAnsi="Times New Roman" w:cs="Times New Roman"/>
          <w:b/>
          <w:bCs/>
        </w:rPr>
      </w:pPr>
      <w:r w:rsidRPr="00D166AA">
        <w:rPr>
          <w:rFonts w:ascii="Times New Roman" w:hAnsi="Times New Roman" w:cs="Times New Roman"/>
        </w:rPr>
        <w:t>To achieve both corporate and unit-level goals, Marriott needs to ensure sustainable growth and maintain guest satisfaction, requiring robust support for hotel managers and ongoing training for staff.</w:t>
      </w:r>
    </w:p>
    <w:p w14:paraId="1BFB974D"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3. Recent Change Initiatives</w:t>
      </w:r>
    </w:p>
    <w:p w14:paraId="1DE820B1"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3.1 Transformation</w:t>
      </w:r>
    </w:p>
    <w:p w14:paraId="6D3AF739"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The "Travel Brilliantly" platform signifies Marriott's transition to a technology-focused hospitality model. Notable features include:</w:t>
      </w:r>
    </w:p>
    <w:p w14:paraId="0A2B2625"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 IoT Rooms: Smart thermostats and voice-controlled lighting in 50,000 rooms, reducing energy costs by 12% (Marriott Sustainability Report, 2022). • AI Concierge: A chatbot handling 30% of guest inquiries, freeing staff for complex tasks.</w:t>
      </w:r>
    </w:p>
    <w:p w14:paraId="3463043A"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 xml:space="preserve">Marriott’s focus on technological innovation not only enhances the guest experience but also contributes to sustainability goals. By leveraging IoT devices, Marriott has been able to reduce energy consumption and streamline operations, which in turn lowers costs and improves profitability. The AI Concierge, on the other hand, helps Marriott address </w:t>
      </w:r>
      <w:proofErr w:type="spellStart"/>
      <w:r w:rsidRPr="003C4F8B">
        <w:rPr>
          <w:rFonts w:ascii="Times New Roman" w:hAnsi="Times New Roman" w:cs="Times New Roman"/>
        </w:rPr>
        <w:t>labor</w:t>
      </w:r>
      <w:proofErr w:type="spellEnd"/>
      <w:r w:rsidRPr="003C4F8B">
        <w:rPr>
          <w:rFonts w:ascii="Times New Roman" w:hAnsi="Times New Roman" w:cs="Times New Roman"/>
        </w:rPr>
        <w:t xml:space="preserve"> shortages while still providing guests with personalized service, ensuring that the brand maintains its reputation for excellence even during periods of operational challenges.</w:t>
      </w:r>
    </w:p>
    <w:p w14:paraId="55A5F40B"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 xml:space="preserve">Despite these advancements, integration presented challenges. Legacy Property Management Systems (PMS) at older properties, such as the New York Marriott Marquis, struggled to </w:t>
      </w:r>
      <w:r w:rsidRPr="003C4F8B">
        <w:rPr>
          <w:rFonts w:ascii="Times New Roman" w:hAnsi="Times New Roman" w:cs="Times New Roman"/>
        </w:rPr>
        <w:lastRenderedPageBreak/>
        <w:t>synchronize with the new IoT devices, leading to an 18-month delay in rollouts. This situation is consistent with Lewin’s change theory, which suggests that resistance can emerge during the “unfreezing” phase due to technological inertia. The delay in IoT device implementation highlights the difficulties faced by large organizations when trying to integrate new technologies into existing systems. These challenges are particularly pronounced in older properties that may not have been designed with modern technologies in mind.</w:t>
      </w:r>
    </w:p>
    <w:p w14:paraId="5A903511"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rPr>
        <w:t>The integration of new technologies requires careful planning and coordination between various departments, including IT, operations, and management. Marriott’s experience with this integration process underscores the importance of conducting thorough assessments and pilot programs before full-scale implementation.</w:t>
      </w:r>
    </w:p>
    <w:p w14:paraId="6950BCAB"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3.2 COVID-19 Response</w:t>
      </w:r>
    </w:p>
    <w:p w14:paraId="5962D0C0"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Marriott’s crisis playbook included three phases:</w:t>
      </w:r>
    </w:p>
    <w:p w14:paraId="3EEF2D6B" w14:textId="77777777" w:rsidR="003C4F8B" w:rsidRPr="003C4F8B" w:rsidRDefault="003C4F8B" w:rsidP="003C4F8B">
      <w:pPr>
        <w:numPr>
          <w:ilvl w:val="0"/>
          <w:numId w:val="11"/>
        </w:numPr>
        <w:spacing w:line="360" w:lineRule="auto"/>
        <w:jc w:val="both"/>
        <w:rPr>
          <w:rFonts w:ascii="Times New Roman" w:hAnsi="Times New Roman" w:cs="Times New Roman"/>
        </w:rPr>
      </w:pPr>
      <w:r w:rsidRPr="003C4F8B">
        <w:rPr>
          <w:rFonts w:ascii="Times New Roman" w:hAnsi="Times New Roman" w:cs="Times New Roman"/>
        </w:rPr>
        <w:t>Survival (2020): This phase focused on implementing furloughs, resulting in $500 million in savings, deferring renovations, and renegotiating vendor contracts.</w:t>
      </w:r>
    </w:p>
    <w:p w14:paraId="78AE2946" w14:textId="77777777" w:rsidR="003C4F8B" w:rsidRPr="003C4F8B" w:rsidRDefault="003C4F8B" w:rsidP="003C4F8B">
      <w:pPr>
        <w:numPr>
          <w:ilvl w:val="0"/>
          <w:numId w:val="11"/>
        </w:numPr>
        <w:spacing w:line="360" w:lineRule="auto"/>
        <w:jc w:val="both"/>
        <w:rPr>
          <w:rFonts w:ascii="Times New Roman" w:hAnsi="Times New Roman" w:cs="Times New Roman"/>
        </w:rPr>
      </w:pPr>
      <w:r w:rsidRPr="003C4F8B">
        <w:rPr>
          <w:rFonts w:ascii="Times New Roman" w:hAnsi="Times New Roman" w:cs="Times New Roman"/>
        </w:rPr>
        <w:t>Recovery (2021–2022): To stimulate demand, Marriott introduced “Book Now, Pay Later” options and enhanced the Bonvoy loyalty program with point bonuses.</w:t>
      </w:r>
    </w:p>
    <w:p w14:paraId="4C72669A" w14:textId="77777777" w:rsidR="003C4F8B" w:rsidRPr="003C4F8B" w:rsidRDefault="003C4F8B" w:rsidP="003C4F8B">
      <w:pPr>
        <w:numPr>
          <w:ilvl w:val="0"/>
          <w:numId w:val="11"/>
        </w:numPr>
        <w:spacing w:line="360" w:lineRule="auto"/>
        <w:jc w:val="both"/>
        <w:rPr>
          <w:rFonts w:ascii="Times New Roman" w:hAnsi="Times New Roman" w:cs="Times New Roman"/>
        </w:rPr>
      </w:pPr>
      <w:r w:rsidRPr="003C4F8B">
        <w:rPr>
          <w:rFonts w:ascii="Times New Roman" w:hAnsi="Times New Roman" w:cs="Times New Roman"/>
        </w:rPr>
        <w:t>Growth (2023–present): The emphasis shifted to strategic investments in luxury and all-inclusive resorts.</w:t>
      </w:r>
    </w:p>
    <w:p w14:paraId="5BD70BAB"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The transition from survival to growth illustrates Marriott’s resilience and ability to adapt to shifting market conditions. By focusing on luxury and all-inclusive resorts during the growth phase, Marriott capitalized on emerging consumer preferences for high-end, experience-driven travel. The company’s agility in responding to market trends allowed it to not only recover from the crisis but also position itself for future success.</w:t>
      </w:r>
    </w:p>
    <w:p w14:paraId="63E78446"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Throughout the pandemic, the loyalty program successfully retained 85% of its members, exemplifying effective crisis management. This reflects crisis management theory, which posits that trust-building measures, such as clear hygiene protocols, can mitigate the risk of brand erosion (Coombs, 2014). Marriott’s commitment to maintaining customer trust during the pandemic was evident in its transparent communication regarding hygiene measures, which helped retain guest loyalty even in uncertain times.</w:t>
      </w:r>
    </w:p>
    <w:p w14:paraId="43CA5383"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3.3 Sustainability Efforts</w:t>
      </w:r>
    </w:p>
    <w:p w14:paraId="43F29983"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lastRenderedPageBreak/>
        <w:t>Marriott’s 2022 “Net-Zero Value Chain” initiative reduced emissions by 30% through renewable energy partnerships, such as solar-powered resorts in the Maldives. Yet, inconsistent adoption among franchisees—particularly in budget segments like Fairfield Inn—highlights institutional theory gaps, where external pressures (regulatory demands) outweigh internal cultural norms (DiMaggio &amp; Powell, 1983). For example, only 40% of franchised properties met 2023 recycling targets, compared to 90% of corporate-managed hotels.</w:t>
      </w:r>
    </w:p>
    <w:p w14:paraId="4CF81706"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Marriott’s sustainability efforts reflect a commitment to reducing its environmental impact, but achieving consistency across its global portfolio remains a challenge. The gap in sustainability practices between corporate-managed and franchised properties underscores the difficulty of enforcing uniform sustainability standards across diverse ownership structures. While corporate-managed hotels have more control over operations, franchised hotels often lack the same level of oversight and adherence to company-wide initiatives.</w:t>
      </w:r>
    </w:p>
    <w:p w14:paraId="64981240"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pict w14:anchorId="089D76CB">
          <v:rect id="_x0000_i1239" style="width:0;height:1.5pt" o:hralign="center" o:hrstd="t" o:hr="t" fillcolor="#a0a0a0" stroked="f"/>
        </w:pict>
      </w:r>
    </w:p>
    <w:p w14:paraId="39010F9F"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4. Strategic Direction</w:t>
      </w:r>
    </w:p>
    <w:p w14:paraId="78C10F97"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4.1 Market Expansion</w:t>
      </w:r>
    </w:p>
    <w:p w14:paraId="218002FA" w14:textId="77777777" w:rsid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Marriott employs Porter’s differentiation strategy in luxury markets (Ritz-Carlton) and cost leadership in budget segments (Moxy). Emerging markets like India (150+ hotels) and Africa (20% growth since 2020) exemplify the Ansoff Matrix’s market development strategy, though geopolitical risks in Nigeria (e.g., currency instability) necessitate localized risk assessments (Ansoff, 1965).</w:t>
      </w:r>
    </w:p>
    <w:p w14:paraId="0D5D4FFA" w14:textId="7B0F152A" w:rsidR="00FF6E6C" w:rsidRDefault="00FF6E6C" w:rsidP="003C4F8B">
      <w:pPr>
        <w:spacing w:line="360" w:lineRule="auto"/>
        <w:jc w:val="both"/>
        <w:rPr>
          <w:rFonts w:ascii="Times New Roman" w:hAnsi="Times New Roman" w:cs="Times New Roman"/>
        </w:rPr>
      </w:pPr>
      <w:r w:rsidRPr="00FF6E6C">
        <w:rPr>
          <w:rFonts w:ascii="Times New Roman" w:hAnsi="Times New Roman" w:cs="Times New Roman"/>
        </w:rPr>
        <w:lastRenderedPageBreak/>
        <w:drawing>
          <wp:inline distT="0" distB="0" distL="0" distR="0" wp14:anchorId="0CABE280" wp14:editId="6F59EC3F">
            <wp:extent cx="4933950" cy="3429000"/>
            <wp:effectExtent l="0" t="0" r="0" b="0"/>
            <wp:docPr id="165748468" name="Picture 1" descr="A pie chart of hotels and res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48468" name="Picture 1" descr="A pie chart of hotels and resorts"/>
                    <pic:cNvPicPr/>
                  </pic:nvPicPr>
                  <pic:blipFill>
                    <a:blip r:embed="rId9"/>
                    <a:stretch>
                      <a:fillRect/>
                    </a:stretch>
                  </pic:blipFill>
                  <pic:spPr>
                    <a:xfrm>
                      <a:off x="0" y="0"/>
                      <a:ext cx="4934641" cy="3429480"/>
                    </a:xfrm>
                    <a:prstGeom prst="rect">
                      <a:avLst/>
                    </a:prstGeom>
                  </pic:spPr>
                </pic:pic>
              </a:graphicData>
            </a:graphic>
          </wp:inline>
        </w:drawing>
      </w:r>
    </w:p>
    <w:p w14:paraId="1D85D27B" w14:textId="784AAEEC" w:rsidR="00753C96" w:rsidRPr="003C4F8B" w:rsidRDefault="00FF6E6C" w:rsidP="003C4F8B">
      <w:pPr>
        <w:spacing w:line="360" w:lineRule="auto"/>
        <w:jc w:val="both"/>
        <w:rPr>
          <w:rFonts w:ascii="Times New Roman" w:hAnsi="Times New Roman" w:cs="Times New Roman"/>
        </w:rPr>
      </w:pPr>
      <w:r>
        <w:rPr>
          <w:rFonts w:ascii="Times New Roman" w:hAnsi="Times New Roman" w:cs="Times New Roman"/>
        </w:rPr>
        <w:t xml:space="preserve">Source Marriott International </w:t>
      </w:r>
      <w:r w:rsidR="005D71C4">
        <w:rPr>
          <w:rFonts w:ascii="Times New Roman" w:hAnsi="Times New Roman" w:cs="Times New Roman"/>
        </w:rPr>
        <w:t xml:space="preserve">image </w:t>
      </w:r>
      <w:r w:rsidR="0044647A">
        <w:rPr>
          <w:rFonts w:ascii="Times New Roman" w:hAnsi="Times New Roman" w:cs="Times New Roman"/>
        </w:rPr>
        <w:t>-</w:t>
      </w:r>
      <w:r w:rsidR="005D71C4" w:rsidRPr="005D71C4">
        <w:rPr>
          <w:rFonts w:ascii="Times New Roman" w:hAnsi="Times New Roman" w:cs="Times New Roman"/>
        </w:rPr>
        <w:t>https://www.wsj.com/</w:t>
      </w:r>
    </w:p>
    <w:p w14:paraId="46FEF2AF"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 xml:space="preserve">Marriott’s strategic expansion into emerging markets demonstrates its commitment to global growth. In markets like India and Africa, Marriott has tailored its offerings to meet local preferences and demand for affordable luxury, making its properties accessible to a broader range of </w:t>
      </w:r>
      <w:proofErr w:type="spellStart"/>
      <w:r w:rsidRPr="003C4F8B">
        <w:rPr>
          <w:rFonts w:ascii="Times New Roman" w:hAnsi="Times New Roman" w:cs="Times New Roman"/>
        </w:rPr>
        <w:t>travelers</w:t>
      </w:r>
      <w:proofErr w:type="spellEnd"/>
      <w:r w:rsidRPr="003C4F8B">
        <w:rPr>
          <w:rFonts w:ascii="Times New Roman" w:hAnsi="Times New Roman" w:cs="Times New Roman"/>
        </w:rPr>
        <w:t>. However, the company must also navigate regional risks, including economic instability and regulatory challenges, to ensure sustainable growth.</w:t>
      </w:r>
    </w:p>
    <w:p w14:paraId="3DB0F073"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4.2 Brand Diversification</w:t>
      </w:r>
    </w:p>
    <w:p w14:paraId="4805538E"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Acquisitions like Starwood and new brands (Homes &amp; Villas) cater to niche markets, echoing Bowman’s strategy clock premium positioning (Bowman &amp; Faulkner, 1997). However, post-merger integration challenges—such as inconsistent service standards at former Starwood properties—risk brand dilution.</w:t>
      </w:r>
    </w:p>
    <w:p w14:paraId="0F633805"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 xml:space="preserve">Marriott’s brand diversification strategy allows the company to tap into a wide range of customer segments, from budget-conscious </w:t>
      </w:r>
      <w:proofErr w:type="spellStart"/>
      <w:r w:rsidRPr="003C4F8B">
        <w:rPr>
          <w:rFonts w:ascii="Times New Roman" w:hAnsi="Times New Roman" w:cs="Times New Roman"/>
        </w:rPr>
        <w:t>travelers</w:t>
      </w:r>
      <w:proofErr w:type="spellEnd"/>
      <w:r w:rsidRPr="003C4F8B">
        <w:rPr>
          <w:rFonts w:ascii="Times New Roman" w:hAnsi="Times New Roman" w:cs="Times New Roman"/>
        </w:rPr>
        <w:t xml:space="preserve"> to luxury seekers. However, the challenge of maintaining consistent service quality across its diverse portfolio remains a critical issue for Marriott to address.</w:t>
      </w:r>
    </w:p>
    <w:p w14:paraId="6C68CB97" w14:textId="77777777" w:rsidR="003C4F8B" w:rsidRPr="003C4F8B" w:rsidRDefault="003C4F8B" w:rsidP="003C4F8B">
      <w:pPr>
        <w:spacing w:line="360" w:lineRule="auto"/>
        <w:jc w:val="both"/>
        <w:rPr>
          <w:rFonts w:ascii="Times New Roman" w:hAnsi="Times New Roman" w:cs="Times New Roman"/>
          <w:b/>
          <w:bCs/>
        </w:rPr>
      </w:pPr>
      <w:r w:rsidRPr="003C4F8B">
        <w:rPr>
          <w:rFonts w:ascii="Times New Roman" w:hAnsi="Times New Roman" w:cs="Times New Roman"/>
          <w:b/>
          <w:bCs/>
        </w:rPr>
        <w:t>4.3 Technology Integration</w:t>
      </w:r>
    </w:p>
    <w:p w14:paraId="0B574D67"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lastRenderedPageBreak/>
        <w:t>AI-driven personalization via the Bonvoy app boosts guest loyalty, while blockchain secures bookings. However, a 2022 data breach exposing 5 million guest records underscores vulnerabilities, necessitating partnerships akin to Hyatt’s IBM-backed threat detection (Whitbread, 2022).</w:t>
      </w:r>
    </w:p>
    <w:p w14:paraId="2F413179" w14:textId="77777777" w:rsidR="003C4F8B" w:rsidRPr="003C4F8B" w:rsidRDefault="003C4F8B" w:rsidP="003C4F8B">
      <w:pPr>
        <w:spacing w:line="360" w:lineRule="auto"/>
        <w:jc w:val="both"/>
        <w:rPr>
          <w:rFonts w:ascii="Times New Roman" w:hAnsi="Times New Roman" w:cs="Times New Roman"/>
        </w:rPr>
      </w:pPr>
      <w:r w:rsidRPr="003C4F8B">
        <w:rPr>
          <w:rFonts w:ascii="Times New Roman" w:hAnsi="Times New Roman" w:cs="Times New Roman"/>
        </w:rPr>
        <w:t>Technology integration plays a key role in Marriott’s ability to enhance the customer experience and streamline operations. However, security concerns, such as the data breach in 2022, highlight the importance of robust cybersecurity measures. Partnerships with tech companies to enhance security are essential to maintaining customer trust and protecting sensitive information.</w:t>
      </w:r>
    </w:p>
    <w:p w14:paraId="663C7C87" w14:textId="77777777" w:rsidR="003C145C" w:rsidRPr="003C145C" w:rsidRDefault="00000000" w:rsidP="00046C51">
      <w:pPr>
        <w:spacing w:line="360" w:lineRule="auto"/>
        <w:jc w:val="both"/>
        <w:rPr>
          <w:rFonts w:ascii="Times New Roman" w:hAnsi="Times New Roman" w:cs="Times New Roman"/>
        </w:rPr>
      </w:pPr>
      <w:r>
        <w:rPr>
          <w:rFonts w:ascii="Times New Roman" w:hAnsi="Times New Roman" w:cs="Times New Roman"/>
        </w:rPr>
        <w:pict w14:anchorId="4BB2A21E">
          <v:rect id="_x0000_i1181" style="width:0;height:.75pt" o:hralign="center" o:hrstd="t" o:hrnoshade="t" o:hr="t" fillcolor="#404040" stroked="f"/>
        </w:pict>
      </w:r>
    </w:p>
    <w:p w14:paraId="476E18E6" w14:textId="6D51216D" w:rsidR="001E5363" w:rsidRPr="004D290C" w:rsidRDefault="004D290C" w:rsidP="004D290C">
      <w:pPr>
        <w:spacing w:line="360" w:lineRule="auto"/>
        <w:rPr>
          <w:rFonts w:ascii="Times New Roman" w:hAnsi="Times New Roman" w:cs="Times New Roman"/>
        </w:rPr>
      </w:pPr>
      <w:r>
        <w:rPr>
          <w:rFonts w:ascii="Times New Roman" w:hAnsi="Times New Roman" w:cs="Times New Roman"/>
          <w:b/>
          <w:bCs/>
        </w:rPr>
        <w:t>5.</w:t>
      </w:r>
      <w:r w:rsidR="005B0AEC">
        <w:rPr>
          <w:rFonts w:ascii="Times New Roman" w:hAnsi="Times New Roman" w:cs="Times New Roman"/>
          <w:b/>
          <w:bCs/>
        </w:rPr>
        <w:t xml:space="preserve"> </w:t>
      </w:r>
      <w:r w:rsidR="001E5363" w:rsidRPr="004D290C">
        <w:rPr>
          <w:rFonts w:ascii="Times New Roman" w:hAnsi="Times New Roman" w:cs="Times New Roman"/>
          <w:b/>
          <w:bCs/>
        </w:rPr>
        <w:t xml:space="preserve"> Recommendations</w:t>
      </w:r>
      <w:r w:rsidR="001E5363" w:rsidRPr="004D290C">
        <w:rPr>
          <w:rFonts w:ascii="Times New Roman" w:hAnsi="Times New Roman" w:cs="Times New Roman"/>
          <w:b/>
          <w:bCs/>
        </w:rPr>
        <w:br/>
      </w:r>
      <w:r w:rsidR="001E5363" w:rsidRPr="004D290C">
        <w:rPr>
          <w:rFonts w:ascii="Times New Roman" w:hAnsi="Times New Roman" w:cs="Times New Roman"/>
        </w:rPr>
        <w:t>Marriott's global success stems from its flexible organizational structure and commitment to innovation. While its strategic vision—encompassing market expansion, digital transformation, and sustainability—is commendable, execution gaps in franchise sustainability, employee welfare, and cybersecurity must be addressed to ensure long-term resilience.</w:t>
      </w:r>
    </w:p>
    <w:p w14:paraId="65BE1BF9" w14:textId="77777777" w:rsidR="001E5363" w:rsidRPr="001E5363" w:rsidRDefault="001E5363" w:rsidP="001E5363">
      <w:pPr>
        <w:spacing w:line="360" w:lineRule="auto"/>
        <w:jc w:val="both"/>
        <w:rPr>
          <w:rFonts w:ascii="Times New Roman" w:hAnsi="Times New Roman" w:cs="Times New Roman"/>
        </w:rPr>
      </w:pPr>
      <w:r w:rsidRPr="001E5363">
        <w:rPr>
          <w:rFonts w:ascii="Times New Roman" w:hAnsi="Times New Roman" w:cs="Times New Roman"/>
        </w:rPr>
        <w:t>To strengthen its market position, Marriott should prioritize:</w:t>
      </w:r>
    </w:p>
    <w:p w14:paraId="4944194A" w14:textId="77777777" w:rsidR="001E5363" w:rsidRPr="001E5363" w:rsidRDefault="001E5363" w:rsidP="001E5363">
      <w:pPr>
        <w:numPr>
          <w:ilvl w:val="0"/>
          <w:numId w:val="10"/>
        </w:numPr>
        <w:spacing w:line="360" w:lineRule="auto"/>
        <w:jc w:val="both"/>
        <w:rPr>
          <w:rFonts w:ascii="Times New Roman" w:hAnsi="Times New Roman" w:cs="Times New Roman"/>
        </w:rPr>
      </w:pPr>
      <w:r w:rsidRPr="001E5363">
        <w:rPr>
          <w:rFonts w:ascii="Times New Roman" w:hAnsi="Times New Roman" w:cs="Times New Roman"/>
        </w:rPr>
        <w:t>Enhancing ESG Compliance: Expand sustainability initiatives by integrating stricter environmental policies across all properties, incentivizing green certifications, and leveraging AI-driven sustainability tracking.</w:t>
      </w:r>
    </w:p>
    <w:p w14:paraId="548B130F" w14:textId="77777777" w:rsidR="001E5363" w:rsidRPr="001E5363" w:rsidRDefault="001E5363" w:rsidP="001E5363">
      <w:pPr>
        <w:numPr>
          <w:ilvl w:val="0"/>
          <w:numId w:val="10"/>
        </w:numPr>
        <w:spacing w:line="360" w:lineRule="auto"/>
        <w:jc w:val="both"/>
        <w:rPr>
          <w:rFonts w:ascii="Times New Roman" w:hAnsi="Times New Roman" w:cs="Times New Roman"/>
        </w:rPr>
      </w:pPr>
      <w:r w:rsidRPr="001E5363">
        <w:rPr>
          <w:rFonts w:ascii="Times New Roman" w:hAnsi="Times New Roman" w:cs="Times New Roman"/>
        </w:rPr>
        <w:t xml:space="preserve">Advancing Employee Well-Being: Extend wellness programs beyond </w:t>
      </w:r>
      <w:proofErr w:type="spellStart"/>
      <w:r w:rsidRPr="001E5363">
        <w:rPr>
          <w:rFonts w:ascii="Times New Roman" w:hAnsi="Times New Roman" w:cs="Times New Roman"/>
        </w:rPr>
        <w:t>counseling</w:t>
      </w:r>
      <w:proofErr w:type="spellEnd"/>
      <w:r w:rsidRPr="001E5363">
        <w:rPr>
          <w:rFonts w:ascii="Times New Roman" w:hAnsi="Times New Roman" w:cs="Times New Roman"/>
        </w:rPr>
        <w:t xml:space="preserve"> and childcare by incorporating financial wellness initiatives and career development opportunities to improve retention.</w:t>
      </w:r>
    </w:p>
    <w:p w14:paraId="766704DB" w14:textId="77777777" w:rsidR="001E5363" w:rsidRPr="001E5363" w:rsidRDefault="001E5363" w:rsidP="001E5363">
      <w:pPr>
        <w:numPr>
          <w:ilvl w:val="0"/>
          <w:numId w:val="10"/>
        </w:numPr>
        <w:spacing w:line="360" w:lineRule="auto"/>
        <w:jc w:val="both"/>
        <w:rPr>
          <w:rFonts w:ascii="Times New Roman" w:hAnsi="Times New Roman" w:cs="Times New Roman"/>
        </w:rPr>
      </w:pPr>
      <w:r w:rsidRPr="001E5363">
        <w:rPr>
          <w:rFonts w:ascii="Times New Roman" w:hAnsi="Times New Roman" w:cs="Times New Roman"/>
        </w:rPr>
        <w:t>Fortifying Cybersecurity: Invest in predictive analytics and blockchain technology to enhance data protection and ensure guest privacy in an increasingly digital landscape.</w:t>
      </w:r>
    </w:p>
    <w:p w14:paraId="693240AA" w14:textId="77777777" w:rsidR="001E5363" w:rsidRDefault="001E5363" w:rsidP="001E5363">
      <w:pPr>
        <w:spacing w:line="360" w:lineRule="auto"/>
        <w:jc w:val="both"/>
        <w:rPr>
          <w:rFonts w:ascii="Times New Roman" w:hAnsi="Times New Roman" w:cs="Times New Roman"/>
        </w:rPr>
      </w:pPr>
      <w:r w:rsidRPr="001E5363">
        <w:rPr>
          <w:rFonts w:ascii="Times New Roman" w:hAnsi="Times New Roman" w:cs="Times New Roman"/>
        </w:rPr>
        <w:t xml:space="preserve">Future research should explore AI-driven personalization in hospitality and </w:t>
      </w:r>
      <w:proofErr w:type="spellStart"/>
      <w:r w:rsidRPr="001E5363">
        <w:rPr>
          <w:rFonts w:ascii="Times New Roman" w:hAnsi="Times New Roman" w:cs="Times New Roman"/>
        </w:rPr>
        <w:t>analyze</w:t>
      </w:r>
      <w:proofErr w:type="spellEnd"/>
      <w:r w:rsidRPr="001E5363">
        <w:rPr>
          <w:rFonts w:ascii="Times New Roman" w:hAnsi="Times New Roman" w:cs="Times New Roman"/>
        </w:rPr>
        <w:t xml:space="preserve"> the impact of geopolitical shifts on expansion strategies in emerging markets. By aligning operational execution with corporate objectives, Marriott can sustain its leadership and drive innovation in the evolving hospitality industry.</w:t>
      </w:r>
    </w:p>
    <w:p w14:paraId="5F34B5CF" w14:textId="29DE89C1" w:rsidR="000B5942" w:rsidRPr="003A3EA7" w:rsidRDefault="003A3EA7" w:rsidP="003A3EA7">
      <w:pPr>
        <w:spacing w:line="360" w:lineRule="auto"/>
        <w:jc w:val="both"/>
        <w:rPr>
          <w:rFonts w:ascii="Times New Roman" w:hAnsi="Times New Roman" w:cs="Times New Roman"/>
        </w:rPr>
      </w:pPr>
      <w:r>
        <w:rPr>
          <w:rFonts w:ascii="Times New Roman" w:hAnsi="Times New Roman" w:cs="Times New Roman"/>
          <w:b/>
          <w:bCs/>
        </w:rPr>
        <w:lastRenderedPageBreak/>
        <w:t>6.</w:t>
      </w:r>
      <w:r w:rsidR="004B5EE0" w:rsidRPr="003A3EA7">
        <w:rPr>
          <w:rFonts w:ascii="Times New Roman" w:hAnsi="Times New Roman" w:cs="Times New Roman"/>
          <w:b/>
          <w:bCs/>
        </w:rPr>
        <w:t xml:space="preserve">Conclusion </w:t>
      </w:r>
      <w:r w:rsidR="000B5942" w:rsidRPr="000B5942">
        <w:br/>
      </w:r>
      <w:r w:rsidR="00412074" w:rsidRPr="003A3EA7">
        <w:rPr>
          <w:rFonts w:ascii="Times New Roman" w:hAnsi="Times New Roman" w:cs="Times New Roman"/>
        </w:rPr>
        <w:t>Marriott International's success in the hospitality industry stems from its hybrid organizational structure, which balances centralized control with localized innovation and prioritizes employee welfare and customer service. Using frameworks like Hofstede’s cultural dimensions and Kotter’s change management model, Marriott maintains global consistency while responding to regional needs, as shown by its partnership with Alibaba in Asia.</w:t>
      </w:r>
      <w:r w:rsidR="001317F4" w:rsidRPr="003A3EA7">
        <w:rPr>
          <w:rFonts w:ascii="Times New Roman" w:hAnsi="Times New Roman" w:cs="Times New Roman"/>
        </w:rPr>
        <w:t xml:space="preserve"> </w:t>
      </w:r>
      <w:r w:rsidR="00412074" w:rsidRPr="003A3EA7">
        <w:rPr>
          <w:rFonts w:ascii="Times New Roman" w:hAnsi="Times New Roman" w:cs="Times New Roman"/>
        </w:rPr>
        <w:t>Despite its strengths, Marriott faces challenges such as inconsistent sustainability practices, employee retention issues amid rising living costs, and cybersecurity vulnerabilities. These concerns highlight a gap between the company's stated values—like diversity, equity, and inclusion—and the experiences of frontline employees.</w:t>
      </w:r>
      <w:r w:rsidR="001317F4" w:rsidRPr="003A3EA7">
        <w:rPr>
          <w:rFonts w:ascii="Times New Roman" w:hAnsi="Times New Roman" w:cs="Times New Roman"/>
        </w:rPr>
        <w:t xml:space="preserve"> </w:t>
      </w:r>
      <w:r w:rsidR="00412074" w:rsidRPr="003A3EA7">
        <w:rPr>
          <w:rFonts w:ascii="Times New Roman" w:hAnsi="Times New Roman" w:cs="Times New Roman"/>
        </w:rPr>
        <w:t>Looking ahead, Marriott's focus on market diversification, technological innovation, and adherence to environmental, social, and governance (ESG) standards will help it maintain leadership in the industry. By strengthening sustainability initiatives, employee wellness programs, and cybersecurity measures, Marriott can effectively tackle these challenges and remain resilient in the global hospitality landscape.</w:t>
      </w:r>
    </w:p>
    <w:p w14:paraId="2A702AC7" w14:textId="77777777" w:rsidR="00615539" w:rsidRDefault="00615539" w:rsidP="004364DF">
      <w:pPr>
        <w:spacing w:line="360" w:lineRule="auto"/>
        <w:jc w:val="both"/>
        <w:rPr>
          <w:rFonts w:ascii="Times New Roman" w:hAnsi="Times New Roman" w:cs="Times New Roman"/>
        </w:rPr>
      </w:pPr>
    </w:p>
    <w:p w14:paraId="1022A125" w14:textId="25117988" w:rsidR="003F1E8E" w:rsidRPr="003F1E8E" w:rsidRDefault="003F1E8E" w:rsidP="00046C51">
      <w:pPr>
        <w:spacing w:line="360" w:lineRule="auto"/>
        <w:jc w:val="both"/>
        <w:rPr>
          <w:rFonts w:ascii="Times New Roman" w:hAnsi="Times New Roman" w:cs="Times New Roman"/>
        </w:rPr>
      </w:pPr>
      <w:r w:rsidRPr="003F1E8E">
        <w:rPr>
          <w:rFonts w:ascii="Times New Roman" w:hAnsi="Times New Roman" w:cs="Times New Roman"/>
          <w:b/>
          <w:bCs/>
        </w:rPr>
        <w:t>Reference List</w:t>
      </w:r>
    </w:p>
    <w:p w14:paraId="5407E3D7" w14:textId="01B2B4EE" w:rsidR="00504AAA" w:rsidRPr="00026447" w:rsidRDefault="00504AAA" w:rsidP="00026447">
      <w:pPr>
        <w:pBdr>
          <w:top w:val="nil"/>
          <w:left w:val="nil"/>
          <w:bottom w:val="nil"/>
          <w:right w:val="nil"/>
          <w:between w:val="nil"/>
        </w:pBdr>
        <w:spacing w:after="240"/>
        <w:ind w:left="360"/>
        <w:rPr>
          <w:rFonts w:eastAsia="Times New Roman" w:cs="Times New Roman"/>
          <w:highlight w:val="white"/>
        </w:rPr>
      </w:pPr>
      <w:r w:rsidRPr="00026447">
        <w:rPr>
          <w:rFonts w:eastAsia="Times New Roman" w:cs="Times New Roman"/>
          <w:b/>
          <w:bCs/>
          <w:highlight w:val="white"/>
        </w:rPr>
        <w:t xml:space="preserve">Marriott (2025a). </w:t>
      </w:r>
      <w:r w:rsidRPr="00026447">
        <w:rPr>
          <w:rFonts w:eastAsia="Times New Roman" w:cs="Times New Roman"/>
          <w:highlight w:val="white"/>
        </w:rPr>
        <w:t xml:space="preserve">Diversity and inclusion, Available at: </w:t>
      </w:r>
      <w:hyperlink r:id="rId10">
        <w:r w:rsidRPr="00026447">
          <w:rPr>
            <w:rFonts w:eastAsia="Times New Roman" w:cs="Times New Roman"/>
            <w:highlight w:val="white"/>
            <w:u w:val="single"/>
          </w:rPr>
          <w:t>https://www.marriott.com/diversity/diversity-and-inclusion.mi</w:t>
        </w:r>
      </w:hyperlink>
      <w:r w:rsidRPr="00026447">
        <w:rPr>
          <w:rFonts w:eastAsia="Times New Roman" w:cs="Times New Roman"/>
          <w:highlight w:val="white"/>
        </w:rPr>
        <w:t xml:space="preserve"> [Accessed on: </w:t>
      </w:r>
      <w:r w:rsidR="00BC63FC" w:rsidRPr="00026447">
        <w:rPr>
          <w:rFonts w:eastAsia="Times New Roman" w:cs="Times New Roman"/>
          <w:highlight w:val="white"/>
        </w:rPr>
        <w:t>25th</w:t>
      </w:r>
      <w:r w:rsidRPr="00026447">
        <w:rPr>
          <w:rFonts w:eastAsia="Times New Roman" w:cs="Times New Roman"/>
          <w:highlight w:val="white"/>
        </w:rPr>
        <w:t xml:space="preserve"> February 2025]</w:t>
      </w:r>
    </w:p>
    <w:p w14:paraId="64BCFF79" w14:textId="77777777" w:rsidR="00664CAA" w:rsidRPr="00664CAA" w:rsidRDefault="00664CAA" w:rsidP="00026447">
      <w:pPr>
        <w:spacing w:line="360" w:lineRule="auto"/>
        <w:ind w:left="360"/>
        <w:jc w:val="both"/>
        <w:rPr>
          <w:rFonts w:ascii="Times New Roman" w:hAnsi="Times New Roman" w:cs="Times New Roman"/>
        </w:rPr>
      </w:pPr>
      <w:r>
        <w:rPr>
          <w:rFonts w:eastAsia="Times New Roman" w:cs="Times New Roman"/>
          <w:highlight w:val="white"/>
        </w:rPr>
        <w:t xml:space="preserve">Marriott International (2025d). </w:t>
      </w:r>
      <w:r>
        <w:rPr>
          <w:rFonts w:eastAsia="Times New Roman" w:cs="Times New Roman"/>
          <w:i/>
          <w:highlight w:val="white"/>
        </w:rPr>
        <w:t>We are Marriott International,</w:t>
      </w:r>
      <w:r>
        <w:rPr>
          <w:rFonts w:eastAsia="Times New Roman" w:cs="Times New Roman"/>
          <w:highlight w:val="white"/>
        </w:rPr>
        <w:t xml:space="preserve"> Available at: </w:t>
      </w:r>
      <w:hyperlink r:id="rId11">
        <w:r>
          <w:rPr>
            <w:rFonts w:eastAsia="Times New Roman" w:cs="Times New Roman"/>
            <w:highlight w:val="white"/>
            <w:u w:val="single"/>
          </w:rPr>
          <w:t>https://www.marriott.com/marriott/aboutmarriott.mi</w:t>
        </w:r>
      </w:hyperlink>
    </w:p>
    <w:p w14:paraId="13FD5642" w14:textId="5256BDD2"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Christensen, C. M.</w:t>
      </w:r>
      <w:r w:rsidRPr="003F1E8E">
        <w:rPr>
          <w:rFonts w:ascii="Times New Roman" w:hAnsi="Times New Roman" w:cs="Times New Roman"/>
        </w:rPr>
        <w:t> (1997). </w:t>
      </w:r>
      <w:r w:rsidRPr="003F1E8E">
        <w:rPr>
          <w:rFonts w:ascii="Times New Roman" w:hAnsi="Times New Roman" w:cs="Times New Roman"/>
          <w:i/>
          <w:iCs/>
        </w:rPr>
        <w:t>The Innovator's Dilemma: When New Technologies Cause Great Firms to Fail</w:t>
      </w:r>
      <w:r w:rsidRPr="003F1E8E">
        <w:rPr>
          <w:rFonts w:ascii="Times New Roman" w:hAnsi="Times New Roman" w:cs="Times New Roman"/>
        </w:rPr>
        <w:t>. Harvard Business Review Press.</w:t>
      </w:r>
    </w:p>
    <w:p w14:paraId="78E2E3AF"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Coombs, W. T.</w:t>
      </w:r>
      <w:r w:rsidRPr="003F1E8E">
        <w:rPr>
          <w:rFonts w:ascii="Times New Roman" w:hAnsi="Times New Roman" w:cs="Times New Roman"/>
        </w:rPr>
        <w:t> (2014). </w:t>
      </w:r>
      <w:r w:rsidRPr="003F1E8E">
        <w:rPr>
          <w:rFonts w:ascii="Times New Roman" w:hAnsi="Times New Roman" w:cs="Times New Roman"/>
          <w:i/>
          <w:iCs/>
        </w:rPr>
        <w:t>Ongoing Crisis Communication: Planning, Managing, and Responding</w:t>
      </w:r>
      <w:r w:rsidRPr="003F1E8E">
        <w:rPr>
          <w:rFonts w:ascii="Times New Roman" w:hAnsi="Times New Roman" w:cs="Times New Roman"/>
        </w:rPr>
        <w:t> (4th ed.). SAGE Publications.</w:t>
      </w:r>
    </w:p>
    <w:p w14:paraId="3345BC3E"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DiMaggio, P. J., &amp; Powell, W. W.</w:t>
      </w:r>
      <w:r w:rsidRPr="003F1E8E">
        <w:rPr>
          <w:rFonts w:ascii="Times New Roman" w:hAnsi="Times New Roman" w:cs="Times New Roman"/>
        </w:rPr>
        <w:t> (1983). The Iron Cage Revisited: Institutional Isomorphism and Collective Rationality in Organizational Fields. </w:t>
      </w:r>
      <w:r w:rsidRPr="003F1E8E">
        <w:rPr>
          <w:rFonts w:ascii="Times New Roman" w:hAnsi="Times New Roman" w:cs="Times New Roman"/>
          <w:i/>
          <w:iCs/>
        </w:rPr>
        <w:t>American Sociological Review, 48</w:t>
      </w:r>
      <w:r w:rsidRPr="003F1E8E">
        <w:rPr>
          <w:rFonts w:ascii="Times New Roman" w:hAnsi="Times New Roman" w:cs="Times New Roman"/>
        </w:rPr>
        <w:t>(2), 147–160. </w:t>
      </w:r>
      <w:hyperlink r:id="rId12" w:tgtFrame="_blank" w:history="1">
        <w:r w:rsidRPr="003F1E8E">
          <w:rPr>
            <w:rStyle w:val="Hyperlink"/>
            <w:rFonts w:ascii="Times New Roman" w:hAnsi="Times New Roman" w:cs="Times New Roman"/>
          </w:rPr>
          <w:t>https://doi.org/10.2307/2095101</w:t>
        </w:r>
      </w:hyperlink>
    </w:p>
    <w:p w14:paraId="1553602E"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Hofstede, G.</w:t>
      </w:r>
      <w:r w:rsidRPr="003F1E8E">
        <w:rPr>
          <w:rFonts w:ascii="Times New Roman" w:hAnsi="Times New Roman" w:cs="Times New Roman"/>
        </w:rPr>
        <w:t> (2001). </w:t>
      </w:r>
      <w:r w:rsidRPr="003F1E8E">
        <w:rPr>
          <w:rFonts w:ascii="Times New Roman" w:hAnsi="Times New Roman" w:cs="Times New Roman"/>
          <w:i/>
          <w:iCs/>
        </w:rPr>
        <w:t xml:space="preserve">Culture's Consequences: Comparing Values, </w:t>
      </w:r>
      <w:proofErr w:type="spellStart"/>
      <w:r w:rsidRPr="003F1E8E">
        <w:rPr>
          <w:rFonts w:ascii="Times New Roman" w:hAnsi="Times New Roman" w:cs="Times New Roman"/>
          <w:i/>
          <w:iCs/>
        </w:rPr>
        <w:t>Behaviors</w:t>
      </w:r>
      <w:proofErr w:type="spellEnd"/>
      <w:r w:rsidRPr="003F1E8E">
        <w:rPr>
          <w:rFonts w:ascii="Times New Roman" w:hAnsi="Times New Roman" w:cs="Times New Roman"/>
          <w:i/>
          <w:iCs/>
        </w:rPr>
        <w:t>, Institutions, and Organizations Across Nations</w:t>
      </w:r>
      <w:r w:rsidRPr="003F1E8E">
        <w:rPr>
          <w:rFonts w:ascii="Times New Roman" w:hAnsi="Times New Roman" w:cs="Times New Roman"/>
        </w:rPr>
        <w:t> (2nd ed.). SAGE Publications.</w:t>
      </w:r>
    </w:p>
    <w:p w14:paraId="3A9D8D64"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lastRenderedPageBreak/>
        <w:t>IBISWorld.</w:t>
      </w:r>
      <w:r w:rsidRPr="003F1E8E">
        <w:rPr>
          <w:rFonts w:ascii="Times New Roman" w:hAnsi="Times New Roman" w:cs="Times New Roman"/>
        </w:rPr>
        <w:t> (2023). </w:t>
      </w:r>
      <w:r w:rsidRPr="003F1E8E">
        <w:rPr>
          <w:rFonts w:ascii="Times New Roman" w:hAnsi="Times New Roman" w:cs="Times New Roman"/>
          <w:i/>
          <w:iCs/>
        </w:rPr>
        <w:t>Global Hotels &amp; Resorts Industry Report</w:t>
      </w:r>
      <w:r w:rsidRPr="003F1E8E">
        <w:rPr>
          <w:rFonts w:ascii="Times New Roman" w:hAnsi="Times New Roman" w:cs="Times New Roman"/>
        </w:rPr>
        <w:t>. </w:t>
      </w:r>
      <w:hyperlink r:id="rId13" w:tgtFrame="_blank" w:history="1">
        <w:r w:rsidRPr="003F1E8E">
          <w:rPr>
            <w:rStyle w:val="Hyperlink"/>
            <w:rFonts w:ascii="Times New Roman" w:hAnsi="Times New Roman" w:cs="Times New Roman"/>
          </w:rPr>
          <w:t>https://www.ibisworld.com</w:t>
        </w:r>
      </w:hyperlink>
    </w:p>
    <w:p w14:paraId="49461683"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Kotter, J. P.</w:t>
      </w:r>
      <w:r w:rsidRPr="003F1E8E">
        <w:rPr>
          <w:rFonts w:ascii="Times New Roman" w:hAnsi="Times New Roman" w:cs="Times New Roman"/>
        </w:rPr>
        <w:t> (1996). </w:t>
      </w:r>
      <w:r w:rsidRPr="003F1E8E">
        <w:rPr>
          <w:rFonts w:ascii="Times New Roman" w:hAnsi="Times New Roman" w:cs="Times New Roman"/>
          <w:i/>
          <w:iCs/>
        </w:rPr>
        <w:t>Leading Change</w:t>
      </w:r>
      <w:r w:rsidRPr="003F1E8E">
        <w:rPr>
          <w:rFonts w:ascii="Times New Roman" w:hAnsi="Times New Roman" w:cs="Times New Roman"/>
        </w:rPr>
        <w:t>. Harvard Business Review Press.</w:t>
      </w:r>
    </w:p>
    <w:p w14:paraId="20DA699F"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Lawrence, P. R., &amp; Lorsch, J. W.</w:t>
      </w:r>
      <w:r w:rsidRPr="003F1E8E">
        <w:rPr>
          <w:rFonts w:ascii="Times New Roman" w:hAnsi="Times New Roman" w:cs="Times New Roman"/>
        </w:rPr>
        <w:t> (1967). </w:t>
      </w:r>
      <w:r w:rsidRPr="003F1E8E">
        <w:rPr>
          <w:rFonts w:ascii="Times New Roman" w:hAnsi="Times New Roman" w:cs="Times New Roman"/>
          <w:i/>
          <w:iCs/>
        </w:rPr>
        <w:t>Organization and Environment: Managing Differentiation and Integration</w:t>
      </w:r>
      <w:r w:rsidRPr="003F1E8E">
        <w:rPr>
          <w:rFonts w:ascii="Times New Roman" w:hAnsi="Times New Roman" w:cs="Times New Roman"/>
        </w:rPr>
        <w:t>. Harvard Business School Press.</w:t>
      </w:r>
    </w:p>
    <w:p w14:paraId="7612BDEB"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Lewin, K.</w:t>
      </w:r>
      <w:r w:rsidRPr="003F1E8E">
        <w:rPr>
          <w:rFonts w:ascii="Times New Roman" w:hAnsi="Times New Roman" w:cs="Times New Roman"/>
        </w:rPr>
        <w:t> (1947). Frontiers in Group Dynamics: Concept, Method and Reality in Social Science. </w:t>
      </w:r>
      <w:r w:rsidRPr="003F1E8E">
        <w:rPr>
          <w:rFonts w:ascii="Times New Roman" w:hAnsi="Times New Roman" w:cs="Times New Roman"/>
          <w:i/>
          <w:iCs/>
        </w:rPr>
        <w:t>Human Relations, 1</w:t>
      </w:r>
      <w:r w:rsidRPr="003F1E8E">
        <w:rPr>
          <w:rFonts w:ascii="Times New Roman" w:hAnsi="Times New Roman" w:cs="Times New Roman"/>
        </w:rPr>
        <w:t>(1), 5–41. </w:t>
      </w:r>
      <w:hyperlink r:id="rId14" w:tgtFrame="_blank" w:history="1">
        <w:r w:rsidRPr="003F1E8E">
          <w:rPr>
            <w:rStyle w:val="Hyperlink"/>
            <w:rFonts w:ascii="Times New Roman" w:hAnsi="Times New Roman" w:cs="Times New Roman"/>
          </w:rPr>
          <w:t>https://doi.org/10.1177/001872674700100103</w:t>
        </w:r>
      </w:hyperlink>
    </w:p>
    <w:p w14:paraId="480CD350"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Marriott International.</w:t>
      </w:r>
      <w:r w:rsidRPr="003F1E8E">
        <w:rPr>
          <w:rFonts w:ascii="Times New Roman" w:hAnsi="Times New Roman" w:cs="Times New Roman"/>
        </w:rPr>
        <w:t> (2023). </w:t>
      </w:r>
      <w:r w:rsidRPr="003F1E8E">
        <w:rPr>
          <w:rFonts w:ascii="Times New Roman" w:hAnsi="Times New Roman" w:cs="Times New Roman"/>
          <w:i/>
          <w:iCs/>
        </w:rPr>
        <w:t>2022 Annual Report</w:t>
      </w:r>
      <w:r w:rsidRPr="003F1E8E">
        <w:rPr>
          <w:rFonts w:ascii="Times New Roman" w:hAnsi="Times New Roman" w:cs="Times New Roman"/>
        </w:rPr>
        <w:t>. </w:t>
      </w:r>
      <w:hyperlink r:id="rId15" w:tgtFrame="_blank" w:history="1">
        <w:r w:rsidRPr="003F1E8E">
          <w:rPr>
            <w:rStyle w:val="Hyperlink"/>
            <w:rFonts w:ascii="Times New Roman" w:hAnsi="Times New Roman" w:cs="Times New Roman"/>
          </w:rPr>
          <w:t>https://marriott.gcs-web.com/financial-information/annual-reports</w:t>
        </w:r>
      </w:hyperlink>
    </w:p>
    <w:p w14:paraId="2F13701E"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Marriott International.</w:t>
      </w:r>
      <w:r w:rsidRPr="003F1E8E">
        <w:rPr>
          <w:rFonts w:ascii="Times New Roman" w:hAnsi="Times New Roman" w:cs="Times New Roman"/>
        </w:rPr>
        <w:t> (2022). </w:t>
      </w:r>
      <w:r w:rsidRPr="003F1E8E">
        <w:rPr>
          <w:rFonts w:ascii="Times New Roman" w:hAnsi="Times New Roman" w:cs="Times New Roman"/>
          <w:i/>
          <w:iCs/>
        </w:rPr>
        <w:t>Serve 360: 2022 Sustainability Report</w:t>
      </w:r>
      <w:r w:rsidRPr="003F1E8E">
        <w:rPr>
          <w:rFonts w:ascii="Times New Roman" w:hAnsi="Times New Roman" w:cs="Times New Roman"/>
        </w:rPr>
        <w:t>. </w:t>
      </w:r>
      <w:hyperlink r:id="rId16" w:tgtFrame="_blank" w:history="1">
        <w:r w:rsidRPr="003F1E8E">
          <w:rPr>
            <w:rStyle w:val="Hyperlink"/>
            <w:rFonts w:ascii="Times New Roman" w:hAnsi="Times New Roman" w:cs="Times New Roman"/>
          </w:rPr>
          <w:t>https://www.marriott.com/social-responsibility/serve-360.mi</w:t>
        </w:r>
      </w:hyperlink>
    </w:p>
    <w:p w14:paraId="17C0F063"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 xml:space="preserve">Marriott News </w:t>
      </w:r>
      <w:proofErr w:type="spellStart"/>
      <w:r w:rsidRPr="003F1E8E">
        <w:rPr>
          <w:rFonts w:ascii="Times New Roman" w:hAnsi="Times New Roman" w:cs="Times New Roman"/>
          <w:b/>
          <w:bCs/>
        </w:rPr>
        <w:t>Center</w:t>
      </w:r>
      <w:proofErr w:type="spellEnd"/>
      <w:r w:rsidRPr="003F1E8E">
        <w:rPr>
          <w:rFonts w:ascii="Times New Roman" w:hAnsi="Times New Roman" w:cs="Times New Roman"/>
          <w:b/>
          <w:bCs/>
        </w:rPr>
        <w:t>.</w:t>
      </w:r>
      <w:r w:rsidRPr="003F1E8E">
        <w:rPr>
          <w:rFonts w:ascii="Times New Roman" w:hAnsi="Times New Roman" w:cs="Times New Roman"/>
        </w:rPr>
        <w:t> (2021). Marriott International Launches “Travel Brilliantly” Platform. </w:t>
      </w:r>
      <w:hyperlink r:id="rId17" w:tgtFrame="_blank" w:history="1">
        <w:r w:rsidRPr="003F1E8E">
          <w:rPr>
            <w:rStyle w:val="Hyperlink"/>
            <w:rFonts w:ascii="Times New Roman" w:hAnsi="Times New Roman" w:cs="Times New Roman"/>
          </w:rPr>
          <w:t>https://news.marriott.com/news/2021/06/15/marriott-international-launches-travel-brilliantly-platform</w:t>
        </w:r>
      </w:hyperlink>
    </w:p>
    <w:p w14:paraId="5FD2D65C"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Maslow, A. H.</w:t>
      </w:r>
      <w:r w:rsidRPr="003F1E8E">
        <w:rPr>
          <w:rFonts w:ascii="Times New Roman" w:hAnsi="Times New Roman" w:cs="Times New Roman"/>
        </w:rPr>
        <w:t> (1943). A Theory of Human Motivation. </w:t>
      </w:r>
      <w:r w:rsidRPr="003F1E8E">
        <w:rPr>
          <w:rFonts w:ascii="Times New Roman" w:hAnsi="Times New Roman" w:cs="Times New Roman"/>
          <w:i/>
          <w:iCs/>
        </w:rPr>
        <w:t>Psychological Review, 50</w:t>
      </w:r>
      <w:r w:rsidRPr="003F1E8E">
        <w:rPr>
          <w:rFonts w:ascii="Times New Roman" w:hAnsi="Times New Roman" w:cs="Times New Roman"/>
        </w:rPr>
        <w:t>(4), 370–396. </w:t>
      </w:r>
      <w:hyperlink r:id="rId18" w:tgtFrame="_blank" w:history="1">
        <w:r w:rsidRPr="003F1E8E">
          <w:rPr>
            <w:rStyle w:val="Hyperlink"/>
            <w:rFonts w:ascii="Times New Roman" w:hAnsi="Times New Roman" w:cs="Times New Roman"/>
          </w:rPr>
          <w:t>https://doi.org/10.1037/h0054346</w:t>
        </w:r>
      </w:hyperlink>
    </w:p>
    <w:p w14:paraId="367683CE"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Porter, M. E.</w:t>
      </w:r>
      <w:r w:rsidRPr="003F1E8E">
        <w:rPr>
          <w:rFonts w:ascii="Times New Roman" w:hAnsi="Times New Roman" w:cs="Times New Roman"/>
        </w:rPr>
        <w:t> (1980). </w:t>
      </w:r>
      <w:r w:rsidRPr="003F1E8E">
        <w:rPr>
          <w:rFonts w:ascii="Times New Roman" w:hAnsi="Times New Roman" w:cs="Times New Roman"/>
          <w:i/>
          <w:iCs/>
        </w:rPr>
        <w:t xml:space="preserve">Competitive Strategy: Techniques for </w:t>
      </w:r>
      <w:proofErr w:type="spellStart"/>
      <w:r w:rsidRPr="003F1E8E">
        <w:rPr>
          <w:rFonts w:ascii="Times New Roman" w:hAnsi="Times New Roman" w:cs="Times New Roman"/>
          <w:i/>
          <w:iCs/>
        </w:rPr>
        <w:t>Analyzing</w:t>
      </w:r>
      <w:proofErr w:type="spellEnd"/>
      <w:r w:rsidRPr="003F1E8E">
        <w:rPr>
          <w:rFonts w:ascii="Times New Roman" w:hAnsi="Times New Roman" w:cs="Times New Roman"/>
          <w:i/>
          <w:iCs/>
        </w:rPr>
        <w:t xml:space="preserve"> Industries and Competitors</w:t>
      </w:r>
      <w:r w:rsidRPr="003F1E8E">
        <w:rPr>
          <w:rFonts w:ascii="Times New Roman" w:hAnsi="Times New Roman" w:cs="Times New Roman"/>
        </w:rPr>
        <w:t>. Free Press.</w:t>
      </w:r>
    </w:p>
    <w:p w14:paraId="7BAB3D64"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Schein, E. H.</w:t>
      </w:r>
      <w:r w:rsidRPr="003F1E8E">
        <w:rPr>
          <w:rFonts w:ascii="Times New Roman" w:hAnsi="Times New Roman" w:cs="Times New Roman"/>
        </w:rPr>
        <w:t> (2010). </w:t>
      </w:r>
      <w:r w:rsidRPr="003F1E8E">
        <w:rPr>
          <w:rFonts w:ascii="Times New Roman" w:hAnsi="Times New Roman" w:cs="Times New Roman"/>
          <w:i/>
          <w:iCs/>
        </w:rPr>
        <w:t>Organizational Culture and Leadership</w:t>
      </w:r>
      <w:r w:rsidRPr="003F1E8E">
        <w:rPr>
          <w:rFonts w:ascii="Times New Roman" w:hAnsi="Times New Roman" w:cs="Times New Roman"/>
        </w:rPr>
        <w:t> (4th ed.). Jossey-Bass.</w:t>
      </w:r>
    </w:p>
    <w:p w14:paraId="735F1112"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Statista.</w:t>
      </w:r>
      <w:r w:rsidRPr="003F1E8E">
        <w:rPr>
          <w:rFonts w:ascii="Times New Roman" w:hAnsi="Times New Roman" w:cs="Times New Roman"/>
        </w:rPr>
        <w:t> (2023). Global Hotel Industry Market Size 2023. </w:t>
      </w:r>
      <w:hyperlink r:id="rId19" w:tgtFrame="_blank" w:history="1">
        <w:r w:rsidRPr="003F1E8E">
          <w:rPr>
            <w:rStyle w:val="Hyperlink"/>
            <w:rFonts w:ascii="Times New Roman" w:hAnsi="Times New Roman" w:cs="Times New Roman"/>
          </w:rPr>
          <w:t>https://www.statista.com/topics/1102/hotel-industry</w:t>
        </w:r>
      </w:hyperlink>
    </w:p>
    <w:p w14:paraId="211EE789"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The Wall Street Journal.</w:t>
      </w:r>
      <w:r w:rsidRPr="003F1E8E">
        <w:rPr>
          <w:rFonts w:ascii="Times New Roman" w:hAnsi="Times New Roman" w:cs="Times New Roman"/>
        </w:rPr>
        <w:t> (2020). Marriott’s Pandemic Response: Furloughs and Cost-Cutting. </w:t>
      </w:r>
      <w:hyperlink r:id="rId20" w:tgtFrame="_blank" w:history="1">
        <w:r w:rsidRPr="003F1E8E">
          <w:rPr>
            <w:rStyle w:val="Hyperlink"/>
            <w:rFonts w:ascii="Times New Roman" w:hAnsi="Times New Roman" w:cs="Times New Roman"/>
          </w:rPr>
          <w:t>https://www.wsj.com/articles/marriott-furloughs-employees-11585728000</w:t>
        </w:r>
      </w:hyperlink>
    </w:p>
    <w:p w14:paraId="39A54052"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U.S. Bureau of Labor Statistics.</w:t>
      </w:r>
      <w:r w:rsidRPr="003F1E8E">
        <w:rPr>
          <w:rFonts w:ascii="Times New Roman" w:hAnsi="Times New Roman" w:cs="Times New Roman"/>
        </w:rPr>
        <w:t> (2023). Hospitality Sector Employment Trends. </w:t>
      </w:r>
      <w:hyperlink r:id="rId21" w:tgtFrame="_blank" w:history="1">
        <w:r w:rsidRPr="003F1E8E">
          <w:rPr>
            <w:rStyle w:val="Hyperlink"/>
            <w:rFonts w:ascii="Times New Roman" w:hAnsi="Times New Roman" w:cs="Times New Roman"/>
          </w:rPr>
          <w:t>https://www.bls.gov</w:t>
        </w:r>
      </w:hyperlink>
    </w:p>
    <w:p w14:paraId="13A1638E" w14:textId="77777777" w:rsidR="003F1E8E" w:rsidRPr="003F1E8E" w:rsidRDefault="003F1E8E" w:rsidP="00026447">
      <w:pPr>
        <w:spacing w:line="360" w:lineRule="auto"/>
        <w:ind w:left="360"/>
        <w:jc w:val="both"/>
        <w:rPr>
          <w:rFonts w:ascii="Times New Roman" w:hAnsi="Times New Roman" w:cs="Times New Roman"/>
        </w:rPr>
      </w:pPr>
      <w:r w:rsidRPr="003F1E8E">
        <w:rPr>
          <w:rFonts w:ascii="Times New Roman" w:hAnsi="Times New Roman" w:cs="Times New Roman"/>
          <w:b/>
          <w:bCs/>
        </w:rPr>
        <w:t>Whitbread, P.</w:t>
      </w:r>
      <w:r w:rsidRPr="003F1E8E">
        <w:rPr>
          <w:rFonts w:ascii="Times New Roman" w:hAnsi="Times New Roman" w:cs="Times New Roman"/>
        </w:rPr>
        <w:t> (2022). </w:t>
      </w:r>
      <w:r w:rsidRPr="003F1E8E">
        <w:rPr>
          <w:rFonts w:ascii="Times New Roman" w:hAnsi="Times New Roman" w:cs="Times New Roman"/>
          <w:i/>
          <w:iCs/>
        </w:rPr>
        <w:t>Strategic Management in the Hospitality Industry</w:t>
      </w:r>
      <w:r w:rsidRPr="003F1E8E">
        <w:rPr>
          <w:rFonts w:ascii="Times New Roman" w:hAnsi="Times New Roman" w:cs="Times New Roman"/>
        </w:rPr>
        <w:t>. Routledge.</w:t>
      </w:r>
    </w:p>
    <w:p w14:paraId="16D95157" w14:textId="77777777" w:rsidR="00B97198" w:rsidRPr="00D31404" w:rsidRDefault="00B97198" w:rsidP="00046C51">
      <w:pPr>
        <w:spacing w:line="360" w:lineRule="auto"/>
        <w:jc w:val="both"/>
        <w:rPr>
          <w:rFonts w:ascii="Times New Roman" w:hAnsi="Times New Roman" w:cs="Times New Roman"/>
        </w:rPr>
      </w:pPr>
    </w:p>
    <w:sectPr w:rsidR="00B97198" w:rsidRPr="00D3140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61AA5" w14:textId="77777777" w:rsidR="00F111AD" w:rsidRDefault="00F111AD" w:rsidP="00BD7EDC">
      <w:pPr>
        <w:spacing w:after="0" w:line="240" w:lineRule="auto"/>
      </w:pPr>
      <w:r>
        <w:separator/>
      </w:r>
    </w:p>
  </w:endnote>
  <w:endnote w:type="continuationSeparator" w:id="0">
    <w:p w14:paraId="22D6CBF5" w14:textId="77777777" w:rsidR="00F111AD" w:rsidRDefault="00F111AD" w:rsidP="00BD7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3280237"/>
      <w:docPartObj>
        <w:docPartGallery w:val="Page Numbers (Bottom of Page)"/>
        <w:docPartUnique/>
      </w:docPartObj>
    </w:sdtPr>
    <w:sdtEndPr>
      <w:rPr>
        <w:noProof/>
      </w:rPr>
    </w:sdtEndPr>
    <w:sdtContent>
      <w:p w14:paraId="26DDDA1C" w14:textId="44B258E9" w:rsidR="00BD7EDC" w:rsidRDefault="00BD7E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A8DC13" w14:textId="77777777" w:rsidR="00BD7EDC" w:rsidRDefault="00BD7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4DE88" w14:textId="77777777" w:rsidR="00F111AD" w:rsidRDefault="00F111AD" w:rsidP="00BD7EDC">
      <w:pPr>
        <w:spacing w:after="0" w:line="240" w:lineRule="auto"/>
      </w:pPr>
      <w:r>
        <w:separator/>
      </w:r>
    </w:p>
  </w:footnote>
  <w:footnote w:type="continuationSeparator" w:id="0">
    <w:p w14:paraId="1F9E7F0B" w14:textId="77777777" w:rsidR="00F111AD" w:rsidRDefault="00F111AD" w:rsidP="00BD7E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540F9"/>
    <w:multiLevelType w:val="multilevel"/>
    <w:tmpl w:val="86F29D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AE58E7"/>
    <w:multiLevelType w:val="multilevel"/>
    <w:tmpl w:val="C698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87339A"/>
    <w:multiLevelType w:val="multilevel"/>
    <w:tmpl w:val="A3683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E61325"/>
    <w:multiLevelType w:val="multilevel"/>
    <w:tmpl w:val="29145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815011"/>
    <w:multiLevelType w:val="multilevel"/>
    <w:tmpl w:val="C698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26007"/>
    <w:multiLevelType w:val="multilevel"/>
    <w:tmpl w:val="4B8A74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8243AA"/>
    <w:multiLevelType w:val="multilevel"/>
    <w:tmpl w:val="3FBC9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8E0F91"/>
    <w:multiLevelType w:val="multilevel"/>
    <w:tmpl w:val="D0B68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1E41E0"/>
    <w:multiLevelType w:val="multilevel"/>
    <w:tmpl w:val="C94889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590D7E"/>
    <w:multiLevelType w:val="hybridMultilevel"/>
    <w:tmpl w:val="EA60F150"/>
    <w:lvl w:ilvl="0" w:tplc="BB0E8B2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8F1A78"/>
    <w:multiLevelType w:val="multilevel"/>
    <w:tmpl w:val="C698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362777"/>
    <w:multiLevelType w:val="multilevel"/>
    <w:tmpl w:val="680CE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BE75D8"/>
    <w:multiLevelType w:val="multilevel"/>
    <w:tmpl w:val="680CE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CB6788E"/>
    <w:multiLevelType w:val="multilevel"/>
    <w:tmpl w:val="C698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803B80"/>
    <w:multiLevelType w:val="multilevel"/>
    <w:tmpl w:val="D35649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C235C3"/>
    <w:multiLevelType w:val="multilevel"/>
    <w:tmpl w:val="5FEE8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4726384">
    <w:abstractNumId w:val="14"/>
  </w:num>
  <w:num w:numId="2" w16cid:durableId="994803515">
    <w:abstractNumId w:val="8"/>
  </w:num>
  <w:num w:numId="3" w16cid:durableId="859396298">
    <w:abstractNumId w:val="2"/>
  </w:num>
  <w:num w:numId="4" w16cid:durableId="119811305">
    <w:abstractNumId w:val="0"/>
  </w:num>
  <w:num w:numId="5" w16cid:durableId="1370567767">
    <w:abstractNumId w:val="7"/>
  </w:num>
  <w:num w:numId="6" w16cid:durableId="2003510644">
    <w:abstractNumId w:val="6"/>
  </w:num>
  <w:num w:numId="7" w16cid:durableId="783573136">
    <w:abstractNumId w:val="5"/>
  </w:num>
  <w:num w:numId="8" w16cid:durableId="1409886976">
    <w:abstractNumId w:val="15"/>
  </w:num>
  <w:num w:numId="9" w16cid:durableId="680282398">
    <w:abstractNumId w:val="11"/>
  </w:num>
  <w:num w:numId="10" w16cid:durableId="429619553">
    <w:abstractNumId w:val="1"/>
  </w:num>
  <w:num w:numId="11" w16cid:durableId="951395471">
    <w:abstractNumId w:val="3"/>
  </w:num>
  <w:num w:numId="12" w16cid:durableId="1123882365">
    <w:abstractNumId w:val="4"/>
  </w:num>
  <w:num w:numId="13" w16cid:durableId="1462113559">
    <w:abstractNumId w:val="12"/>
  </w:num>
  <w:num w:numId="14" w16cid:durableId="1187669160">
    <w:abstractNumId w:val="10"/>
  </w:num>
  <w:num w:numId="15" w16cid:durableId="1613780352">
    <w:abstractNumId w:val="13"/>
  </w:num>
  <w:num w:numId="16" w16cid:durableId="3595557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96D"/>
    <w:rsid w:val="00002D13"/>
    <w:rsid w:val="00026447"/>
    <w:rsid w:val="00046C51"/>
    <w:rsid w:val="00066E2F"/>
    <w:rsid w:val="00072A1E"/>
    <w:rsid w:val="000B5942"/>
    <w:rsid w:val="000D5F49"/>
    <w:rsid w:val="001317F4"/>
    <w:rsid w:val="001344C8"/>
    <w:rsid w:val="001903C9"/>
    <w:rsid w:val="00195B5F"/>
    <w:rsid w:val="001B203A"/>
    <w:rsid w:val="001E5363"/>
    <w:rsid w:val="001F2CD3"/>
    <w:rsid w:val="0022196D"/>
    <w:rsid w:val="00221FE1"/>
    <w:rsid w:val="00222F2A"/>
    <w:rsid w:val="00242462"/>
    <w:rsid w:val="00242F42"/>
    <w:rsid w:val="00272D3C"/>
    <w:rsid w:val="002C357E"/>
    <w:rsid w:val="003558B5"/>
    <w:rsid w:val="003A3EA7"/>
    <w:rsid w:val="003C145C"/>
    <w:rsid w:val="003C4F8B"/>
    <w:rsid w:val="003F1E8E"/>
    <w:rsid w:val="00402DA1"/>
    <w:rsid w:val="00412074"/>
    <w:rsid w:val="00413E19"/>
    <w:rsid w:val="004364DF"/>
    <w:rsid w:val="00445D07"/>
    <w:rsid w:val="0044647A"/>
    <w:rsid w:val="00465F1C"/>
    <w:rsid w:val="00475C95"/>
    <w:rsid w:val="004823F5"/>
    <w:rsid w:val="004B5EE0"/>
    <w:rsid w:val="004B5F29"/>
    <w:rsid w:val="004C4FC3"/>
    <w:rsid w:val="004D290C"/>
    <w:rsid w:val="00504AAA"/>
    <w:rsid w:val="005A613F"/>
    <w:rsid w:val="005B0AEC"/>
    <w:rsid w:val="005D71C4"/>
    <w:rsid w:val="00615539"/>
    <w:rsid w:val="00640914"/>
    <w:rsid w:val="00664CAA"/>
    <w:rsid w:val="006A6B82"/>
    <w:rsid w:val="00703FA4"/>
    <w:rsid w:val="007531F4"/>
    <w:rsid w:val="00753C96"/>
    <w:rsid w:val="00756799"/>
    <w:rsid w:val="007B21F2"/>
    <w:rsid w:val="007E6EB4"/>
    <w:rsid w:val="007F62D7"/>
    <w:rsid w:val="0080030E"/>
    <w:rsid w:val="008037DF"/>
    <w:rsid w:val="00846415"/>
    <w:rsid w:val="008B41D8"/>
    <w:rsid w:val="008D7264"/>
    <w:rsid w:val="00957EF6"/>
    <w:rsid w:val="00983A74"/>
    <w:rsid w:val="00AC795D"/>
    <w:rsid w:val="00B833C8"/>
    <w:rsid w:val="00B8558B"/>
    <w:rsid w:val="00B97198"/>
    <w:rsid w:val="00BC10A8"/>
    <w:rsid w:val="00BC63FC"/>
    <w:rsid w:val="00BD7EDC"/>
    <w:rsid w:val="00D166AA"/>
    <w:rsid w:val="00D31404"/>
    <w:rsid w:val="00DC2995"/>
    <w:rsid w:val="00DC589E"/>
    <w:rsid w:val="00E57D8A"/>
    <w:rsid w:val="00E719F2"/>
    <w:rsid w:val="00EF1211"/>
    <w:rsid w:val="00F07E34"/>
    <w:rsid w:val="00F111AD"/>
    <w:rsid w:val="00F54446"/>
    <w:rsid w:val="00F96B11"/>
    <w:rsid w:val="00FC6133"/>
    <w:rsid w:val="00FF6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2B9B73"/>
  <w15:chartTrackingRefBased/>
  <w15:docId w15:val="{0B7DD3E8-0B9C-407D-AE52-84170152C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13F"/>
  </w:style>
  <w:style w:type="paragraph" w:styleId="Heading1">
    <w:name w:val="heading 1"/>
    <w:basedOn w:val="Normal"/>
    <w:next w:val="Normal"/>
    <w:link w:val="Heading1Char"/>
    <w:uiPriority w:val="9"/>
    <w:qFormat/>
    <w:rsid w:val="002219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9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9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9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9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9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9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9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9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9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9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9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9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9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9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9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9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96D"/>
    <w:rPr>
      <w:rFonts w:eastAsiaTheme="majorEastAsia" w:cstheme="majorBidi"/>
      <w:color w:val="272727" w:themeColor="text1" w:themeTint="D8"/>
    </w:rPr>
  </w:style>
  <w:style w:type="paragraph" w:styleId="Title">
    <w:name w:val="Title"/>
    <w:basedOn w:val="Normal"/>
    <w:next w:val="Normal"/>
    <w:link w:val="TitleChar"/>
    <w:uiPriority w:val="10"/>
    <w:qFormat/>
    <w:rsid w:val="002219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9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9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9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96D"/>
    <w:pPr>
      <w:spacing w:before="160"/>
      <w:jc w:val="center"/>
    </w:pPr>
    <w:rPr>
      <w:i/>
      <w:iCs/>
      <w:color w:val="404040" w:themeColor="text1" w:themeTint="BF"/>
    </w:rPr>
  </w:style>
  <w:style w:type="character" w:customStyle="1" w:styleId="QuoteChar">
    <w:name w:val="Quote Char"/>
    <w:basedOn w:val="DefaultParagraphFont"/>
    <w:link w:val="Quote"/>
    <w:uiPriority w:val="29"/>
    <w:rsid w:val="0022196D"/>
    <w:rPr>
      <w:i/>
      <w:iCs/>
      <w:color w:val="404040" w:themeColor="text1" w:themeTint="BF"/>
    </w:rPr>
  </w:style>
  <w:style w:type="paragraph" w:styleId="ListParagraph">
    <w:name w:val="List Paragraph"/>
    <w:basedOn w:val="Normal"/>
    <w:uiPriority w:val="34"/>
    <w:qFormat/>
    <w:rsid w:val="0022196D"/>
    <w:pPr>
      <w:ind w:left="720"/>
      <w:contextualSpacing/>
    </w:pPr>
  </w:style>
  <w:style w:type="character" w:styleId="IntenseEmphasis">
    <w:name w:val="Intense Emphasis"/>
    <w:basedOn w:val="DefaultParagraphFont"/>
    <w:uiPriority w:val="21"/>
    <w:qFormat/>
    <w:rsid w:val="0022196D"/>
    <w:rPr>
      <w:i/>
      <w:iCs/>
      <w:color w:val="0F4761" w:themeColor="accent1" w:themeShade="BF"/>
    </w:rPr>
  </w:style>
  <w:style w:type="paragraph" w:styleId="IntenseQuote">
    <w:name w:val="Intense Quote"/>
    <w:basedOn w:val="Normal"/>
    <w:next w:val="Normal"/>
    <w:link w:val="IntenseQuoteChar"/>
    <w:uiPriority w:val="30"/>
    <w:qFormat/>
    <w:rsid w:val="002219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96D"/>
    <w:rPr>
      <w:i/>
      <w:iCs/>
      <w:color w:val="0F4761" w:themeColor="accent1" w:themeShade="BF"/>
    </w:rPr>
  </w:style>
  <w:style w:type="character" w:styleId="IntenseReference">
    <w:name w:val="Intense Reference"/>
    <w:basedOn w:val="DefaultParagraphFont"/>
    <w:uiPriority w:val="32"/>
    <w:qFormat/>
    <w:rsid w:val="0022196D"/>
    <w:rPr>
      <w:b/>
      <w:bCs/>
      <w:smallCaps/>
      <w:color w:val="0F4761" w:themeColor="accent1" w:themeShade="BF"/>
      <w:spacing w:val="5"/>
    </w:rPr>
  </w:style>
  <w:style w:type="paragraph" w:styleId="TOCHeading">
    <w:name w:val="TOC Heading"/>
    <w:basedOn w:val="Heading1"/>
    <w:next w:val="Normal"/>
    <w:uiPriority w:val="39"/>
    <w:unhideWhenUsed/>
    <w:qFormat/>
    <w:rsid w:val="00AC795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C795D"/>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AC795D"/>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C795D"/>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BD7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EDC"/>
  </w:style>
  <w:style w:type="paragraph" w:styleId="Footer">
    <w:name w:val="footer"/>
    <w:basedOn w:val="Normal"/>
    <w:link w:val="FooterChar"/>
    <w:uiPriority w:val="99"/>
    <w:unhideWhenUsed/>
    <w:rsid w:val="00BD7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EDC"/>
  </w:style>
  <w:style w:type="character" w:styleId="Hyperlink">
    <w:name w:val="Hyperlink"/>
    <w:basedOn w:val="DefaultParagraphFont"/>
    <w:uiPriority w:val="99"/>
    <w:unhideWhenUsed/>
    <w:rsid w:val="003F1E8E"/>
    <w:rPr>
      <w:color w:val="467886" w:themeColor="hyperlink"/>
      <w:u w:val="single"/>
    </w:rPr>
  </w:style>
  <w:style w:type="character" w:styleId="UnresolvedMention">
    <w:name w:val="Unresolved Mention"/>
    <w:basedOn w:val="DefaultParagraphFont"/>
    <w:uiPriority w:val="99"/>
    <w:semiHidden/>
    <w:unhideWhenUsed/>
    <w:rsid w:val="003F1E8E"/>
    <w:rPr>
      <w:color w:val="605E5C"/>
      <w:shd w:val="clear" w:color="auto" w:fill="E1DFDD"/>
    </w:rPr>
  </w:style>
  <w:style w:type="paragraph" w:styleId="NormalWeb">
    <w:name w:val="Normal (Web)"/>
    <w:basedOn w:val="Normal"/>
    <w:uiPriority w:val="99"/>
    <w:semiHidden/>
    <w:unhideWhenUsed/>
    <w:rsid w:val="000B59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B59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886274">
      <w:bodyDiv w:val="1"/>
      <w:marLeft w:val="0"/>
      <w:marRight w:val="0"/>
      <w:marTop w:val="0"/>
      <w:marBottom w:val="0"/>
      <w:divBdr>
        <w:top w:val="none" w:sz="0" w:space="0" w:color="auto"/>
        <w:left w:val="none" w:sz="0" w:space="0" w:color="auto"/>
        <w:bottom w:val="none" w:sz="0" w:space="0" w:color="auto"/>
        <w:right w:val="none" w:sz="0" w:space="0" w:color="auto"/>
      </w:divBdr>
    </w:div>
    <w:div w:id="204605808">
      <w:bodyDiv w:val="1"/>
      <w:marLeft w:val="0"/>
      <w:marRight w:val="0"/>
      <w:marTop w:val="0"/>
      <w:marBottom w:val="0"/>
      <w:divBdr>
        <w:top w:val="none" w:sz="0" w:space="0" w:color="auto"/>
        <w:left w:val="none" w:sz="0" w:space="0" w:color="auto"/>
        <w:bottom w:val="none" w:sz="0" w:space="0" w:color="auto"/>
        <w:right w:val="none" w:sz="0" w:space="0" w:color="auto"/>
      </w:divBdr>
    </w:div>
    <w:div w:id="323512283">
      <w:bodyDiv w:val="1"/>
      <w:marLeft w:val="0"/>
      <w:marRight w:val="0"/>
      <w:marTop w:val="0"/>
      <w:marBottom w:val="0"/>
      <w:divBdr>
        <w:top w:val="none" w:sz="0" w:space="0" w:color="auto"/>
        <w:left w:val="none" w:sz="0" w:space="0" w:color="auto"/>
        <w:bottom w:val="none" w:sz="0" w:space="0" w:color="auto"/>
        <w:right w:val="none" w:sz="0" w:space="0" w:color="auto"/>
      </w:divBdr>
    </w:div>
    <w:div w:id="346179954">
      <w:bodyDiv w:val="1"/>
      <w:marLeft w:val="0"/>
      <w:marRight w:val="0"/>
      <w:marTop w:val="0"/>
      <w:marBottom w:val="0"/>
      <w:divBdr>
        <w:top w:val="none" w:sz="0" w:space="0" w:color="auto"/>
        <w:left w:val="none" w:sz="0" w:space="0" w:color="auto"/>
        <w:bottom w:val="none" w:sz="0" w:space="0" w:color="auto"/>
        <w:right w:val="none" w:sz="0" w:space="0" w:color="auto"/>
      </w:divBdr>
    </w:div>
    <w:div w:id="381177951">
      <w:bodyDiv w:val="1"/>
      <w:marLeft w:val="0"/>
      <w:marRight w:val="0"/>
      <w:marTop w:val="0"/>
      <w:marBottom w:val="0"/>
      <w:divBdr>
        <w:top w:val="none" w:sz="0" w:space="0" w:color="auto"/>
        <w:left w:val="none" w:sz="0" w:space="0" w:color="auto"/>
        <w:bottom w:val="none" w:sz="0" w:space="0" w:color="auto"/>
        <w:right w:val="none" w:sz="0" w:space="0" w:color="auto"/>
      </w:divBdr>
    </w:div>
    <w:div w:id="434520901">
      <w:bodyDiv w:val="1"/>
      <w:marLeft w:val="0"/>
      <w:marRight w:val="0"/>
      <w:marTop w:val="0"/>
      <w:marBottom w:val="0"/>
      <w:divBdr>
        <w:top w:val="none" w:sz="0" w:space="0" w:color="auto"/>
        <w:left w:val="none" w:sz="0" w:space="0" w:color="auto"/>
        <w:bottom w:val="none" w:sz="0" w:space="0" w:color="auto"/>
        <w:right w:val="none" w:sz="0" w:space="0" w:color="auto"/>
      </w:divBdr>
    </w:div>
    <w:div w:id="441728372">
      <w:bodyDiv w:val="1"/>
      <w:marLeft w:val="0"/>
      <w:marRight w:val="0"/>
      <w:marTop w:val="0"/>
      <w:marBottom w:val="0"/>
      <w:divBdr>
        <w:top w:val="none" w:sz="0" w:space="0" w:color="auto"/>
        <w:left w:val="none" w:sz="0" w:space="0" w:color="auto"/>
        <w:bottom w:val="none" w:sz="0" w:space="0" w:color="auto"/>
        <w:right w:val="none" w:sz="0" w:space="0" w:color="auto"/>
      </w:divBdr>
    </w:div>
    <w:div w:id="460996430">
      <w:bodyDiv w:val="1"/>
      <w:marLeft w:val="0"/>
      <w:marRight w:val="0"/>
      <w:marTop w:val="0"/>
      <w:marBottom w:val="0"/>
      <w:divBdr>
        <w:top w:val="none" w:sz="0" w:space="0" w:color="auto"/>
        <w:left w:val="none" w:sz="0" w:space="0" w:color="auto"/>
        <w:bottom w:val="none" w:sz="0" w:space="0" w:color="auto"/>
        <w:right w:val="none" w:sz="0" w:space="0" w:color="auto"/>
      </w:divBdr>
    </w:div>
    <w:div w:id="491222637">
      <w:bodyDiv w:val="1"/>
      <w:marLeft w:val="0"/>
      <w:marRight w:val="0"/>
      <w:marTop w:val="0"/>
      <w:marBottom w:val="0"/>
      <w:divBdr>
        <w:top w:val="none" w:sz="0" w:space="0" w:color="auto"/>
        <w:left w:val="none" w:sz="0" w:space="0" w:color="auto"/>
        <w:bottom w:val="none" w:sz="0" w:space="0" w:color="auto"/>
        <w:right w:val="none" w:sz="0" w:space="0" w:color="auto"/>
      </w:divBdr>
    </w:div>
    <w:div w:id="525487549">
      <w:bodyDiv w:val="1"/>
      <w:marLeft w:val="0"/>
      <w:marRight w:val="0"/>
      <w:marTop w:val="0"/>
      <w:marBottom w:val="0"/>
      <w:divBdr>
        <w:top w:val="none" w:sz="0" w:space="0" w:color="auto"/>
        <w:left w:val="none" w:sz="0" w:space="0" w:color="auto"/>
        <w:bottom w:val="none" w:sz="0" w:space="0" w:color="auto"/>
        <w:right w:val="none" w:sz="0" w:space="0" w:color="auto"/>
      </w:divBdr>
    </w:div>
    <w:div w:id="628896210">
      <w:bodyDiv w:val="1"/>
      <w:marLeft w:val="0"/>
      <w:marRight w:val="0"/>
      <w:marTop w:val="0"/>
      <w:marBottom w:val="0"/>
      <w:divBdr>
        <w:top w:val="none" w:sz="0" w:space="0" w:color="auto"/>
        <w:left w:val="none" w:sz="0" w:space="0" w:color="auto"/>
        <w:bottom w:val="none" w:sz="0" w:space="0" w:color="auto"/>
        <w:right w:val="none" w:sz="0" w:space="0" w:color="auto"/>
      </w:divBdr>
    </w:div>
    <w:div w:id="660623796">
      <w:bodyDiv w:val="1"/>
      <w:marLeft w:val="0"/>
      <w:marRight w:val="0"/>
      <w:marTop w:val="0"/>
      <w:marBottom w:val="0"/>
      <w:divBdr>
        <w:top w:val="none" w:sz="0" w:space="0" w:color="auto"/>
        <w:left w:val="none" w:sz="0" w:space="0" w:color="auto"/>
        <w:bottom w:val="none" w:sz="0" w:space="0" w:color="auto"/>
        <w:right w:val="none" w:sz="0" w:space="0" w:color="auto"/>
      </w:divBdr>
    </w:div>
    <w:div w:id="827332879">
      <w:bodyDiv w:val="1"/>
      <w:marLeft w:val="0"/>
      <w:marRight w:val="0"/>
      <w:marTop w:val="0"/>
      <w:marBottom w:val="0"/>
      <w:divBdr>
        <w:top w:val="none" w:sz="0" w:space="0" w:color="auto"/>
        <w:left w:val="none" w:sz="0" w:space="0" w:color="auto"/>
        <w:bottom w:val="none" w:sz="0" w:space="0" w:color="auto"/>
        <w:right w:val="none" w:sz="0" w:space="0" w:color="auto"/>
      </w:divBdr>
    </w:div>
    <w:div w:id="895968996">
      <w:bodyDiv w:val="1"/>
      <w:marLeft w:val="0"/>
      <w:marRight w:val="0"/>
      <w:marTop w:val="0"/>
      <w:marBottom w:val="0"/>
      <w:divBdr>
        <w:top w:val="none" w:sz="0" w:space="0" w:color="auto"/>
        <w:left w:val="none" w:sz="0" w:space="0" w:color="auto"/>
        <w:bottom w:val="none" w:sz="0" w:space="0" w:color="auto"/>
        <w:right w:val="none" w:sz="0" w:space="0" w:color="auto"/>
      </w:divBdr>
    </w:div>
    <w:div w:id="1012489271">
      <w:bodyDiv w:val="1"/>
      <w:marLeft w:val="0"/>
      <w:marRight w:val="0"/>
      <w:marTop w:val="0"/>
      <w:marBottom w:val="0"/>
      <w:divBdr>
        <w:top w:val="none" w:sz="0" w:space="0" w:color="auto"/>
        <w:left w:val="none" w:sz="0" w:space="0" w:color="auto"/>
        <w:bottom w:val="none" w:sz="0" w:space="0" w:color="auto"/>
        <w:right w:val="none" w:sz="0" w:space="0" w:color="auto"/>
      </w:divBdr>
    </w:div>
    <w:div w:id="1036467134">
      <w:bodyDiv w:val="1"/>
      <w:marLeft w:val="0"/>
      <w:marRight w:val="0"/>
      <w:marTop w:val="0"/>
      <w:marBottom w:val="0"/>
      <w:divBdr>
        <w:top w:val="none" w:sz="0" w:space="0" w:color="auto"/>
        <w:left w:val="none" w:sz="0" w:space="0" w:color="auto"/>
        <w:bottom w:val="none" w:sz="0" w:space="0" w:color="auto"/>
        <w:right w:val="none" w:sz="0" w:space="0" w:color="auto"/>
      </w:divBdr>
    </w:div>
    <w:div w:id="1173494859">
      <w:bodyDiv w:val="1"/>
      <w:marLeft w:val="0"/>
      <w:marRight w:val="0"/>
      <w:marTop w:val="0"/>
      <w:marBottom w:val="0"/>
      <w:divBdr>
        <w:top w:val="none" w:sz="0" w:space="0" w:color="auto"/>
        <w:left w:val="none" w:sz="0" w:space="0" w:color="auto"/>
        <w:bottom w:val="none" w:sz="0" w:space="0" w:color="auto"/>
        <w:right w:val="none" w:sz="0" w:space="0" w:color="auto"/>
      </w:divBdr>
    </w:div>
    <w:div w:id="1204175753">
      <w:bodyDiv w:val="1"/>
      <w:marLeft w:val="0"/>
      <w:marRight w:val="0"/>
      <w:marTop w:val="0"/>
      <w:marBottom w:val="0"/>
      <w:divBdr>
        <w:top w:val="none" w:sz="0" w:space="0" w:color="auto"/>
        <w:left w:val="none" w:sz="0" w:space="0" w:color="auto"/>
        <w:bottom w:val="none" w:sz="0" w:space="0" w:color="auto"/>
        <w:right w:val="none" w:sz="0" w:space="0" w:color="auto"/>
      </w:divBdr>
    </w:div>
    <w:div w:id="1220169580">
      <w:bodyDiv w:val="1"/>
      <w:marLeft w:val="0"/>
      <w:marRight w:val="0"/>
      <w:marTop w:val="0"/>
      <w:marBottom w:val="0"/>
      <w:divBdr>
        <w:top w:val="none" w:sz="0" w:space="0" w:color="auto"/>
        <w:left w:val="none" w:sz="0" w:space="0" w:color="auto"/>
        <w:bottom w:val="none" w:sz="0" w:space="0" w:color="auto"/>
        <w:right w:val="none" w:sz="0" w:space="0" w:color="auto"/>
      </w:divBdr>
    </w:div>
    <w:div w:id="1277172427">
      <w:bodyDiv w:val="1"/>
      <w:marLeft w:val="0"/>
      <w:marRight w:val="0"/>
      <w:marTop w:val="0"/>
      <w:marBottom w:val="0"/>
      <w:divBdr>
        <w:top w:val="none" w:sz="0" w:space="0" w:color="auto"/>
        <w:left w:val="none" w:sz="0" w:space="0" w:color="auto"/>
        <w:bottom w:val="none" w:sz="0" w:space="0" w:color="auto"/>
        <w:right w:val="none" w:sz="0" w:space="0" w:color="auto"/>
      </w:divBdr>
    </w:div>
    <w:div w:id="1329208814">
      <w:bodyDiv w:val="1"/>
      <w:marLeft w:val="0"/>
      <w:marRight w:val="0"/>
      <w:marTop w:val="0"/>
      <w:marBottom w:val="0"/>
      <w:divBdr>
        <w:top w:val="none" w:sz="0" w:space="0" w:color="auto"/>
        <w:left w:val="none" w:sz="0" w:space="0" w:color="auto"/>
        <w:bottom w:val="none" w:sz="0" w:space="0" w:color="auto"/>
        <w:right w:val="none" w:sz="0" w:space="0" w:color="auto"/>
      </w:divBdr>
    </w:div>
    <w:div w:id="1458528090">
      <w:bodyDiv w:val="1"/>
      <w:marLeft w:val="0"/>
      <w:marRight w:val="0"/>
      <w:marTop w:val="0"/>
      <w:marBottom w:val="0"/>
      <w:divBdr>
        <w:top w:val="none" w:sz="0" w:space="0" w:color="auto"/>
        <w:left w:val="none" w:sz="0" w:space="0" w:color="auto"/>
        <w:bottom w:val="none" w:sz="0" w:space="0" w:color="auto"/>
        <w:right w:val="none" w:sz="0" w:space="0" w:color="auto"/>
      </w:divBdr>
    </w:div>
    <w:div w:id="1466042091">
      <w:bodyDiv w:val="1"/>
      <w:marLeft w:val="0"/>
      <w:marRight w:val="0"/>
      <w:marTop w:val="0"/>
      <w:marBottom w:val="0"/>
      <w:divBdr>
        <w:top w:val="none" w:sz="0" w:space="0" w:color="auto"/>
        <w:left w:val="none" w:sz="0" w:space="0" w:color="auto"/>
        <w:bottom w:val="none" w:sz="0" w:space="0" w:color="auto"/>
        <w:right w:val="none" w:sz="0" w:space="0" w:color="auto"/>
      </w:divBdr>
    </w:div>
    <w:div w:id="1600258161">
      <w:bodyDiv w:val="1"/>
      <w:marLeft w:val="0"/>
      <w:marRight w:val="0"/>
      <w:marTop w:val="0"/>
      <w:marBottom w:val="0"/>
      <w:divBdr>
        <w:top w:val="none" w:sz="0" w:space="0" w:color="auto"/>
        <w:left w:val="none" w:sz="0" w:space="0" w:color="auto"/>
        <w:bottom w:val="none" w:sz="0" w:space="0" w:color="auto"/>
        <w:right w:val="none" w:sz="0" w:space="0" w:color="auto"/>
      </w:divBdr>
    </w:div>
    <w:div w:id="1626540663">
      <w:bodyDiv w:val="1"/>
      <w:marLeft w:val="0"/>
      <w:marRight w:val="0"/>
      <w:marTop w:val="0"/>
      <w:marBottom w:val="0"/>
      <w:divBdr>
        <w:top w:val="none" w:sz="0" w:space="0" w:color="auto"/>
        <w:left w:val="none" w:sz="0" w:space="0" w:color="auto"/>
        <w:bottom w:val="none" w:sz="0" w:space="0" w:color="auto"/>
        <w:right w:val="none" w:sz="0" w:space="0" w:color="auto"/>
      </w:divBdr>
    </w:div>
    <w:div w:id="1724328340">
      <w:bodyDiv w:val="1"/>
      <w:marLeft w:val="0"/>
      <w:marRight w:val="0"/>
      <w:marTop w:val="0"/>
      <w:marBottom w:val="0"/>
      <w:divBdr>
        <w:top w:val="none" w:sz="0" w:space="0" w:color="auto"/>
        <w:left w:val="none" w:sz="0" w:space="0" w:color="auto"/>
        <w:bottom w:val="none" w:sz="0" w:space="0" w:color="auto"/>
        <w:right w:val="none" w:sz="0" w:space="0" w:color="auto"/>
      </w:divBdr>
    </w:div>
    <w:div w:id="1822845073">
      <w:bodyDiv w:val="1"/>
      <w:marLeft w:val="0"/>
      <w:marRight w:val="0"/>
      <w:marTop w:val="0"/>
      <w:marBottom w:val="0"/>
      <w:divBdr>
        <w:top w:val="none" w:sz="0" w:space="0" w:color="auto"/>
        <w:left w:val="none" w:sz="0" w:space="0" w:color="auto"/>
        <w:bottom w:val="none" w:sz="0" w:space="0" w:color="auto"/>
        <w:right w:val="none" w:sz="0" w:space="0" w:color="auto"/>
      </w:divBdr>
    </w:div>
    <w:div w:id="1941718850">
      <w:bodyDiv w:val="1"/>
      <w:marLeft w:val="0"/>
      <w:marRight w:val="0"/>
      <w:marTop w:val="0"/>
      <w:marBottom w:val="0"/>
      <w:divBdr>
        <w:top w:val="none" w:sz="0" w:space="0" w:color="auto"/>
        <w:left w:val="none" w:sz="0" w:space="0" w:color="auto"/>
        <w:bottom w:val="none" w:sz="0" w:space="0" w:color="auto"/>
        <w:right w:val="none" w:sz="0" w:space="0" w:color="auto"/>
      </w:divBdr>
    </w:div>
    <w:div w:id="2086368765">
      <w:bodyDiv w:val="1"/>
      <w:marLeft w:val="0"/>
      <w:marRight w:val="0"/>
      <w:marTop w:val="0"/>
      <w:marBottom w:val="0"/>
      <w:divBdr>
        <w:top w:val="none" w:sz="0" w:space="0" w:color="auto"/>
        <w:left w:val="none" w:sz="0" w:space="0" w:color="auto"/>
        <w:bottom w:val="none" w:sz="0" w:space="0" w:color="auto"/>
        <w:right w:val="none" w:sz="0" w:space="0" w:color="auto"/>
      </w:divBdr>
    </w:div>
    <w:div w:id="2094273961">
      <w:bodyDiv w:val="1"/>
      <w:marLeft w:val="0"/>
      <w:marRight w:val="0"/>
      <w:marTop w:val="0"/>
      <w:marBottom w:val="0"/>
      <w:divBdr>
        <w:top w:val="none" w:sz="0" w:space="0" w:color="auto"/>
        <w:left w:val="none" w:sz="0" w:space="0" w:color="auto"/>
        <w:bottom w:val="none" w:sz="0" w:space="0" w:color="auto"/>
        <w:right w:val="none" w:sz="0" w:space="0" w:color="auto"/>
      </w:divBdr>
    </w:div>
    <w:div w:id="2095275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ty.club/lists/suggestions/marriott-brands/" TargetMode="External"/><Relationship Id="rId13" Type="http://schemas.openxmlformats.org/officeDocument/2006/relationships/hyperlink" Target="https://www.ibisworld.com/" TargetMode="External"/><Relationship Id="rId18" Type="http://schemas.openxmlformats.org/officeDocument/2006/relationships/hyperlink" Target="https://doi.org/10.1037/h0054346" TargetMode="External"/><Relationship Id="rId3" Type="http://schemas.openxmlformats.org/officeDocument/2006/relationships/settings" Target="settings.xml"/><Relationship Id="rId21" Type="http://schemas.openxmlformats.org/officeDocument/2006/relationships/hyperlink" Target="https://www.bls.gov/" TargetMode="External"/><Relationship Id="rId7" Type="http://schemas.openxmlformats.org/officeDocument/2006/relationships/image" Target="media/image1.png"/><Relationship Id="rId12" Type="http://schemas.openxmlformats.org/officeDocument/2006/relationships/hyperlink" Target="https://doi.org/10.2307/2095101" TargetMode="External"/><Relationship Id="rId17" Type="http://schemas.openxmlformats.org/officeDocument/2006/relationships/hyperlink" Target="https://news.marriott.com/news/2021/06/15/marriott-international-launches-travel-brilliantly-platform" TargetMode="External"/><Relationship Id="rId2" Type="http://schemas.openxmlformats.org/officeDocument/2006/relationships/styles" Target="styles.xml"/><Relationship Id="rId16" Type="http://schemas.openxmlformats.org/officeDocument/2006/relationships/hyperlink" Target="https://www.marriott.com/social-responsibility/serve-360.mi" TargetMode="External"/><Relationship Id="rId20" Type="http://schemas.openxmlformats.org/officeDocument/2006/relationships/hyperlink" Target="https://www.wsj.com/articles/marriott-furloughs-employees-115857280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riott.com/marriott/aboutmarriott.mi"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arriott.gcs-web.com/financial-information/annual-reports" TargetMode="External"/><Relationship Id="rId23" Type="http://schemas.openxmlformats.org/officeDocument/2006/relationships/fontTable" Target="fontTable.xml"/><Relationship Id="rId10" Type="http://schemas.openxmlformats.org/officeDocument/2006/relationships/hyperlink" Target="https://www.marriott.com/diversity/diversity-and-inclusion.mi" TargetMode="External"/><Relationship Id="rId19" Type="http://schemas.openxmlformats.org/officeDocument/2006/relationships/hyperlink" Target="https://www.statista.com/topics/1102/hotel-industry"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177/00187267470010010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183</TotalTime>
  <Pages>13</Pages>
  <Words>2900</Words>
  <Characters>20622</Characters>
  <Application>Microsoft Office Word</Application>
  <DocSecurity>0</DocSecurity>
  <Lines>338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74</cp:revision>
  <dcterms:created xsi:type="dcterms:W3CDTF">2025-02-25T18:54:00Z</dcterms:created>
  <dcterms:modified xsi:type="dcterms:W3CDTF">2025-03-06T22:08:00Z</dcterms:modified>
</cp:coreProperties>
</file>