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17172A" w14:textId="72B99900" w:rsidR="004101CF" w:rsidRPr="004101CF" w:rsidRDefault="004101CF" w:rsidP="004101CF">
      <w:pPr>
        <w:spacing w:line="480" w:lineRule="auto"/>
        <w:jc w:val="center"/>
        <w:rPr>
          <w:rFonts w:ascii="Arial" w:hAnsi="Arial" w:cs="Arial"/>
          <w:sz w:val="28"/>
          <w:u w:val="single"/>
        </w:rPr>
      </w:pPr>
      <w:r>
        <w:rPr>
          <w:rFonts w:ascii="Arial" w:hAnsi="Arial" w:cs="Arial"/>
          <w:sz w:val="28"/>
          <w:u w:val="single"/>
        </w:rPr>
        <w:t>Character Dossier</w:t>
      </w:r>
    </w:p>
    <w:p w14:paraId="1FFF9FC5" w14:textId="06E3BEB0" w:rsidR="00371198" w:rsidRPr="00B15356" w:rsidRDefault="00FB7CCF" w:rsidP="00B15356">
      <w:pPr>
        <w:spacing w:line="480" w:lineRule="auto"/>
        <w:rPr>
          <w:rFonts w:ascii="Arial" w:hAnsi="Arial" w:cs="Arial"/>
          <w:sz w:val="28"/>
        </w:rPr>
      </w:pPr>
      <w:r w:rsidRPr="00B15356">
        <w:rPr>
          <w:rFonts w:ascii="Arial" w:hAnsi="Arial" w:cs="Arial"/>
          <w:sz w:val="28"/>
        </w:rPr>
        <w:t xml:space="preserve">I will be playing as the Satrap of the Ptolemaic province of Cilicia, who is also the revered patron of the Cilician </w:t>
      </w:r>
      <w:r w:rsidR="006A6AA8">
        <w:rPr>
          <w:rFonts w:ascii="Arial" w:hAnsi="Arial" w:cs="Arial"/>
          <w:sz w:val="28"/>
        </w:rPr>
        <w:t>city</w:t>
      </w:r>
      <w:r w:rsidRPr="00B15356">
        <w:rPr>
          <w:rFonts w:ascii="Arial" w:hAnsi="Arial" w:cs="Arial"/>
          <w:sz w:val="28"/>
        </w:rPr>
        <w:t xml:space="preserve"> of </w:t>
      </w:r>
      <w:proofErr w:type="spellStart"/>
      <w:r w:rsidRPr="00B15356">
        <w:rPr>
          <w:rFonts w:ascii="Arial" w:hAnsi="Arial" w:cs="Arial"/>
          <w:sz w:val="28"/>
        </w:rPr>
        <w:t>Tarsos</w:t>
      </w:r>
      <w:proofErr w:type="spellEnd"/>
      <w:r w:rsidRPr="00B15356">
        <w:rPr>
          <w:rFonts w:ascii="Arial" w:hAnsi="Arial" w:cs="Arial"/>
          <w:sz w:val="28"/>
        </w:rPr>
        <w:t>.</w:t>
      </w:r>
      <w:r w:rsidR="00BE592C" w:rsidRPr="00B15356">
        <w:rPr>
          <w:rFonts w:ascii="Arial" w:hAnsi="Arial" w:cs="Arial"/>
          <w:sz w:val="28"/>
        </w:rPr>
        <w:t xml:space="preserve"> My character will be of Greek decent</w:t>
      </w:r>
      <w:r w:rsidR="00D72158" w:rsidRPr="00B15356">
        <w:rPr>
          <w:rFonts w:ascii="Arial" w:hAnsi="Arial" w:cs="Arial"/>
          <w:sz w:val="28"/>
        </w:rPr>
        <w:t xml:space="preserve"> due to the preference that the Ptolemies had for Greeks</w:t>
      </w:r>
      <w:r w:rsidR="00AA44D1">
        <w:rPr>
          <w:rFonts w:ascii="Arial" w:hAnsi="Arial" w:cs="Arial"/>
          <w:sz w:val="28"/>
        </w:rPr>
        <w:t xml:space="preserve"> due to their court </w:t>
      </w:r>
      <w:proofErr w:type="gramStart"/>
      <w:r w:rsidR="00AA44D1">
        <w:rPr>
          <w:rFonts w:ascii="Arial" w:hAnsi="Arial" w:cs="Arial"/>
          <w:sz w:val="28"/>
        </w:rPr>
        <w:t>being located in</w:t>
      </w:r>
      <w:proofErr w:type="gramEnd"/>
      <w:r w:rsidR="00AA44D1">
        <w:rPr>
          <w:rFonts w:ascii="Arial" w:hAnsi="Arial" w:cs="Arial"/>
          <w:sz w:val="28"/>
        </w:rPr>
        <w:t xml:space="preserve"> the Macedonian-founded Alexandria, and the dynast</w:t>
      </w:r>
      <w:r w:rsidR="007063C8">
        <w:rPr>
          <w:rFonts w:ascii="Arial" w:hAnsi="Arial" w:cs="Arial"/>
          <w:sz w:val="28"/>
        </w:rPr>
        <w:t>y’s existence because of Alexander the Great</w:t>
      </w:r>
      <w:r w:rsidR="007063C8">
        <w:rPr>
          <w:rStyle w:val="FootnoteReference"/>
          <w:rFonts w:ascii="Arial" w:hAnsi="Arial" w:cs="Arial"/>
          <w:sz w:val="28"/>
        </w:rPr>
        <w:footnoteReference w:id="1"/>
      </w:r>
      <w:r w:rsidR="007063C8">
        <w:rPr>
          <w:rFonts w:ascii="Arial" w:hAnsi="Arial" w:cs="Arial"/>
          <w:sz w:val="28"/>
        </w:rPr>
        <w:t>.</w:t>
      </w:r>
    </w:p>
    <w:p w14:paraId="3A8F9A07" w14:textId="6241CE66" w:rsidR="00371198" w:rsidRPr="00B15356" w:rsidRDefault="00371198" w:rsidP="00B15356">
      <w:pPr>
        <w:spacing w:line="480" w:lineRule="auto"/>
        <w:rPr>
          <w:rFonts w:ascii="Arial" w:hAnsi="Arial" w:cs="Arial"/>
          <w:sz w:val="28"/>
        </w:rPr>
      </w:pPr>
      <w:r w:rsidRPr="00B15356">
        <w:rPr>
          <w:rFonts w:ascii="Arial" w:hAnsi="Arial" w:cs="Arial"/>
          <w:sz w:val="28"/>
        </w:rPr>
        <w:t>I envision my character to have brown hair and brown eyes with a rather pale complexion</w:t>
      </w:r>
      <w:r w:rsidR="00BE592C" w:rsidRPr="00B15356">
        <w:rPr>
          <w:rFonts w:ascii="Arial" w:hAnsi="Arial" w:cs="Arial"/>
          <w:sz w:val="28"/>
        </w:rPr>
        <w:t xml:space="preserve"> due to remaining indoors</w:t>
      </w:r>
      <w:r w:rsidRPr="00B15356">
        <w:rPr>
          <w:rFonts w:ascii="Arial" w:hAnsi="Arial" w:cs="Arial"/>
          <w:sz w:val="28"/>
        </w:rPr>
        <w:t>.</w:t>
      </w:r>
      <w:r w:rsidR="00220A19" w:rsidRPr="00B15356">
        <w:rPr>
          <w:rFonts w:ascii="Arial" w:hAnsi="Arial" w:cs="Arial"/>
          <w:sz w:val="28"/>
        </w:rPr>
        <w:t xml:space="preserve"> However, brown hair was not considered particularly appealing </w:t>
      </w:r>
      <w:r w:rsidR="00EA3B49" w:rsidRPr="00B15356">
        <w:rPr>
          <w:rFonts w:ascii="Arial" w:hAnsi="Arial" w:cs="Arial"/>
          <w:sz w:val="28"/>
        </w:rPr>
        <w:t xml:space="preserve">as fair or blonde hair was </w:t>
      </w:r>
      <w:r w:rsidR="00BE592C" w:rsidRPr="00B15356">
        <w:rPr>
          <w:rFonts w:ascii="Arial" w:hAnsi="Arial" w:cs="Arial"/>
          <w:sz w:val="28"/>
        </w:rPr>
        <w:t>believed</w:t>
      </w:r>
      <w:r w:rsidR="00EA3B49" w:rsidRPr="00B15356">
        <w:rPr>
          <w:rFonts w:ascii="Arial" w:hAnsi="Arial" w:cs="Arial"/>
          <w:sz w:val="28"/>
        </w:rPr>
        <w:t xml:space="preserve"> to be more </w:t>
      </w:r>
      <w:r w:rsidR="002D7C08" w:rsidRPr="00B15356">
        <w:rPr>
          <w:rFonts w:ascii="Arial" w:hAnsi="Arial" w:cs="Arial"/>
          <w:sz w:val="28"/>
        </w:rPr>
        <w:t>ethereal</w:t>
      </w:r>
      <w:r w:rsidR="001C7E25" w:rsidRPr="00B15356">
        <w:rPr>
          <w:rStyle w:val="FootnoteReference"/>
          <w:rFonts w:ascii="Arial" w:hAnsi="Arial" w:cs="Arial"/>
          <w:sz w:val="28"/>
        </w:rPr>
        <w:footnoteReference w:id="2"/>
      </w:r>
      <w:r w:rsidR="001C7E25" w:rsidRPr="00B15356">
        <w:rPr>
          <w:rFonts w:ascii="Arial" w:hAnsi="Arial" w:cs="Arial"/>
          <w:sz w:val="28"/>
        </w:rPr>
        <w:t xml:space="preserve">. </w:t>
      </w:r>
      <w:r w:rsidR="00220A19" w:rsidRPr="00B15356">
        <w:rPr>
          <w:rFonts w:ascii="Arial" w:hAnsi="Arial" w:cs="Arial"/>
          <w:sz w:val="28"/>
        </w:rPr>
        <w:t xml:space="preserve"> </w:t>
      </w:r>
      <w:r w:rsidR="00BE592C" w:rsidRPr="00B15356">
        <w:rPr>
          <w:rFonts w:ascii="Arial" w:hAnsi="Arial" w:cs="Arial"/>
          <w:sz w:val="28"/>
        </w:rPr>
        <w:t>She prays to Aphrodite</w:t>
      </w:r>
      <w:r w:rsidR="00BE592C" w:rsidRPr="00B15356">
        <w:rPr>
          <w:rStyle w:val="FootnoteReference"/>
          <w:rFonts w:ascii="Arial" w:hAnsi="Arial" w:cs="Arial"/>
          <w:sz w:val="28"/>
        </w:rPr>
        <w:footnoteReference w:id="3"/>
      </w:r>
      <w:r w:rsidR="00BE592C" w:rsidRPr="00B15356">
        <w:rPr>
          <w:rFonts w:ascii="Arial" w:hAnsi="Arial" w:cs="Arial"/>
          <w:sz w:val="28"/>
        </w:rPr>
        <w:t xml:space="preserve"> daily for the gift of becoming more beautiful. </w:t>
      </w:r>
      <w:r w:rsidR="00220A19" w:rsidRPr="00B15356">
        <w:rPr>
          <w:rFonts w:ascii="Arial" w:hAnsi="Arial" w:cs="Arial"/>
          <w:sz w:val="28"/>
        </w:rPr>
        <w:t>Her name is Artemisia of Cilicia.</w:t>
      </w:r>
    </w:p>
    <w:p w14:paraId="3CE5C856" w14:textId="65D6C7A6" w:rsidR="0094466F" w:rsidRPr="00B15356" w:rsidRDefault="0094466F" w:rsidP="00B15356">
      <w:pPr>
        <w:spacing w:line="480" w:lineRule="auto"/>
        <w:rPr>
          <w:rFonts w:ascii="Arial" w:hAnsi="Arial" w:cs="Arial"/>
          <w:sz w:val="28"/>
        </w:rPr>
      </w:pPr>
      <w:r w:rsidRPr="00B15356">
        <w:rPr>
          <w:rFonts w:ascii="Arial" w:hAnsi="Arial" w:cs="Arial"/>
          <w:sz w:val="28"/>
        </w:rPr>
        <w:t>In terms of being a female satrap, there is evidence from Caria of two female satraps during the beginning of the Hellenistic period, Artemisia II and Ada</w:t>
      </w:r>
      <w:r w:rsidR="00C95455">
        <w:rPr>
          <w:rStyle w:val="FootnoteReference"/>
          <w:rFonts w:ascii="Arial" w:hAnsi="Arial" w:cs="Arial"/>
          <w:sz w:val="28"/>
        </w:rPr>
        <w:footnoteReference w:id="4"/>
      </w:r>
      <w:r w:rsidRPr="00B15356">
        <w:rPr>
          <w:rFonts w:ascii="Arial" w:hAnsi="Arial" w:cs="Arial"/>
          <w:sz w:val="28"/>
        </w:rPr>
        <w:t xml:space="preserve">. These two sisters of the </w:t>
      </w:r>
      <w:proofErr w:type="spellStart"/>
      <w:r w:rsidRPr="00B15356">
        <w:rPr>
          <w:rFonts w:ascii="Arial" w:hAnsi="Arial" w:cs="Arial"/>
          <w:sz w:val="28"/>
        </w:rPr>
        <w:t>Hec</w:t>
      </w:r>
      <w:r w:rsidR="00854B7F">
        <w:rPr>
          <w:rFonts w:ascii="Arial" w:hAnsi="Arial" w:cs="Arial"/>
          <w:sz w:val="28"/>
        </w:rPr>
        <w:t>a</w:t>
      </w:r>
      <w:r w:rsidRPr="00B15356">
        <w:rPr>
          <w:rFonts w:ascii="Arial" w:hAnsi="Arial" w:cs="Arial"/>
          <w:sz w:val="28"/>
        </w:rPr>
        <w:t>tomnid</w:t>
      </w:r>
      <w:proofErr w:type="spellEnd"/>
      <w:r w:rsidR="004B1FE8">
        <w:rPr>
          <w:rStyle w:val="FootnoteReference"/>
          <w:rFonts w:ascii="Arial" w:hAnsi="Arial" w:cs="Arial"/>
          <w:sz w:val="28"/>
        </w:rPr>
        <w:footnoteReference w:id="5"/>
      </w:r>
      <w:r w:rsidRPr="00B15356">
        <w:rPr>
          <w:rFonts w:ascii="Arial" w:hAnsi="Arial" w:cs="Arial"/>
          <w:sz w:val="28"/>
        </w:rPr>
        <w:t xml:space="preserve"> dynasty </w:t>
      </w:r>
      <w:proofErr w:type="gramStart"/>
      <w:r w:rsidRPr="00B15356">
        <w:rPr>
          <w:rFonts w:ascii="Arial" w:hAnsi="Arial" w:cs="Arial"/>
          <w:sz w:val="28"/>
        </w:rPr>
        <w:t>were</w:t>
      </w:r>
      <w:proofErr w:type="gramEnd"/>
      <w:r w:rsidRPr="00B15356">
        <w:rPr>
          <w:rFonts w:ascii="Arial" w:hAnsi="Arial" w:cs="Arial"/>
          <w:sz w:val="28"/>
        </w:rPr>
        <w:t xml:space="preserve"> married to their brothers, </w:t>
      </w:r>
      <w:proofErr w:type="spellStart"/>
      <w:r w:rsidRPr="00B15356">
        <w:rPr>
          <w:rFonts w:ascii="Arial" w:hAnsi="Arial" w:cs="Arial"/>
          <w:sz w:val="28"/>
        </w:rPr>
        <w:t>Mausolous</w:t>
      </w:r>
      <w:proofErr w:type="spellEnd"/>
      <w:r w:rsidRPr="00B15356">
        <w:rPr>
          <w:rFonts w:ascii="Arial" w:hAnsi="Arial" w:cs="Arial"/>
          <w:sz w:val="28"/>
        </w:rPr>
        <w:t xml:space="preserve"> (Married to Artemisia)</w:t>
      </w:r>
      <w:r w:rsidRPr="00B15356">
        <w:rPr>
          <w:rFonts w:ascii="Arial" w:hAnsi="Arial" w:cs="Arial"/>
          <w:sz w:val="28"/>
          <w:vertAlign w:val="superscript"/>
        </w:rPr>
        <w:footnoteReference w:id="6"/>
      </w:r>
      <w:r w:rsidRPr="00B15356">
        <w:rPr>
          <w:rFonts w:ascii="Arial" w:hAnsi="Arial" w:cs="Arial"/>
          <w:sz w:val="28"/>
        </w:rPr>
        <w:t xml:space="preserve"> and </w:t>
      </w:r>
      <w:proofErr w:type="spellStart"/>
      <w:r w:rsidRPr="00B15356">
        <w:rPr>
          <w:rFonts w:ascii="Arial" w:hAnsi="Arial" w:cs="Arial"/>
          <w:sz w:val="28"/>
        </w:rPr>
        <w:t>Idrieus</w:t>
      </w:r>
      <w:proofErr w:type="spellEnd"/>
      <w:r w:rsidRPr="00B15356">
        <w:rPr>
          <w:rFonts w:ascii="Arial" w:hAnsi="Arial" w:cs="Arial"/>
          <w:sz w:val="28"/>
        </w:rPr>
        <w:t xml:space="preserve"> (Married to Ada)</w:t>
      </w:r>
      <w:r w:rsidRPr="00B15356">
        <w:rPr>
          <w:rStyle w:val="FootnoteReference"/>
          <w:rFonts w:ascii="Arial" w:hAnsi="Arial" w:cs="Arial"/>
          <w:sz w:val="28"/>
        </w:rPr>
        <w:footnoteReference w:id="7"/>
      </w:r>
      <w:r w:rsidRPr="00B15356">
        <w:rPr>
          <w:rFonts w:ascii="Arial" w:hAnsi="Arial" w:cs="Arial"/>
          <w:sz w:val="28"/>
        </w:rPr>
        <w:t xml:space="preserve">. Both these women were known to be fearsome military commanders, with Ada of Caria being given the command of the siege </w:t>
      </w:r>
      <w:r w:rsidRPr="00B15356">
        <w:rPr>
          <w:rFonts w:ascii="Arial" w:hAnsi="Arial" w:cs="Arial"/>
          <w:sz w:val="28"/>
        </w:rPr>
        <w:lastRenderedPageBreak/>
        <w:t>of Halicarnassus by Alexander the Great</w:t>
      </w:r>
      <w:r w:rsidR="002D1F6F">
        <w:rPr>
          <w:rStyle w:val="FootnoteReference"/>
          <w:rFonts w:ascii="Arial" w:hAnsi="Arial" w:cs="Arial"/>
          <w:sz w:val="28"/>
        </w:rPr>
        <w:footnoteReference w:id="8"/>
      </w:r>
      <w:r w:rsidR="002D1F6F">
        <w:rPr>
          <w:rFonts w:ascii="Arial" w:hAnsi="Arial" w:cs="Arial"/>
          <w:sz w:val="28"/>
        </w:rPr>
        <w:t xml:space="preserve">, whom she then adopted </w:t>
      </w:r>
      <w:r w:rsidR="00253D18">
        <w:rPr>
          <w:rFonts w:ascii="Arial" w:hAnsi="Arial" w:cs="Arial"/>
          <w:sz w:val="28"/>
        </w:rPr>
        <w:t>becoming a ‘secondary mother’</w:t>
      </w:r>
      <w:r w:rsidRPr="00B15356">
        <w:rPr>
          <w:rStyle w:val="FootnoteReference"/>
          <w:rFonts w:ascii="Arial" w:hAnsi="Arial" w:cs="Arial"/>
          <w:sz w:val="28"/>
        </w:rPr>
        <w:footnoteReference w:id="9"/>
      </w:r>
      <w:r w:rsidRPr="00B15356">
        <w:rPr>
          <w:rFonts w:ascii="Arial" w:hAnsi="Arial" w:cs="Arial"/>
          <w:sz w:val="28"/>
        </w:rPr>
        <w:t xml:space="preserve"> and Vitruvius claim</w:t>
      </w:r>
      <w:r w:rsidR="00AF4AF5" w:rsidRPr="00B15356">
        <w:rPr>
          <w:rFonts w:ascii="Arial" w:hAnsi="Arial" w:cs="Arial"/>
          <w:sz w:val="28"/>
        </w:rPr>
        <w:t>ing</w:t>
      </w:r>
      <w:r w:rsidRPr="00B15356">
        <w:rPr>
          <w:rFonts w:ascii="Arial" w:hAnsi="Arial" w:cs="Arial"/>
          <w:sz w:val="28"/>
        </w:rPr>
        <w:t xml:space="preserve"> that Artemisia was militarily </w:t>
      </w:r>
      <w:r w:rsidR="00AF4AF5" w:rsidRPr="00B15356">
        <w:rPr>
          <w:rFonts w:ascii="Arial" w:hAnsi="Arial" w:cs="Arial"/>
          <w:sz w:val="28"/>
        </w:rPr>
        <w:t>involved in a surprise attack by the Rhodian navy on Halicarnassus</w:t>
      </w:r>
      <w:r w:rsidR="00AF4AF5" w:rsidRPr="00B15356">
        <w:rPr>
          <w:rStyle w:val="FootnoteReference"/>
          <w:rFonts w:ascii="Arial" w:hAnsi="Arial" w:cs="Arial"/>
          <w:sz w:val="28"/>
        </w:rPr>
        <w:footnoteReference w:id="10"/>
      </w:r>
      <w:r w:rsidR="00AF4AF5" w:rsidRPr="00B15356">
        <w:rPr>
          <w:rFonts w:ascii="Arial" w:hAnsi="Arial" w:cs="Arial"/>
          <w:sz w:val="28"/>
        </w:rPr>
        <w:t>. Taking this as a precedent, Artemisia of Cilicia shall be involved in the running of the military</w:t>
      </w:r>
      <w:r w:rsidR="008C39E2">
        <w:rPr>
          <w:rFonts w:ascii="Arial" w:hAnsi="Arial" w:cs="Arial"/>
          <w:sz w:val="28"/>
        </w:rPr>
        <w:t>.</w:t>
      </w:r>
    </w:p>
    <w:p w14:paraId="244419FD" w14:textId="2F405DBA" w:rsidR="00AF4AF5" w:rsidRPr="00B15356" w:rsidRDefault="00AF4AF5" w:rsidP="00B15356">
      <w:pPr>
        <w:spacing w:line="480" w:lineRule="auto"/>
        <w:rPr>
          <w:rFonts w:ascii="Arial" w:hAnsi="Arial" w:cs="Arial"/>
          <w:sz w:val="28"/>
        </w:rPr>
      </w:pPr>
      <w:r w:rsidRPr="00B15356">
        <w:rPr>
          <w:rFonts w:ascii="Arial" w:hAnsi="Arial" w:cs="Arial"/>
          <w:sz w:val="28"/>
        </w:rPr>
        <w:t xml:space="preserve">Based on the historical precedent of being married to the previous satrap, Artemisia was married to the late </w:t>
      </w:r>
      <w:proofErr w:type="spellStart"/>
      <w:r w:rsidRPr="00B15356">
        <w:rPr>
          <w:rFonts w:ascii="Arial" w:hAnsi="Arial" w:cs="Arial"/>
          <w:sz w:val="28"/>
        </w:rPr>
        <w:t>Arsames</w:t>
      </w:r>
      <w:proofErr w:type="spellEnd"/>
      <w:r w:rsidRPr="00B15356">
        <w:rPr>
          <w:rFonts w:ascii="Arial" w:hAnsi="Arial" w:cs="Arial"/>
          <w:sz w:val="28"/>
        </w:rPr>
        <w:t xml:space="preserve"> who died in 228BCE</w:t>
      </w:r>
      <w:r w:rsidR="00915AA7">
        <w:rPr>
          <w:rFonts w:ascii="Arial" w:hAnsi="Arial" w:cs="Arial"/>
          <w:sz w:val="28"/>
        </w:rPr>
        <w:t>,</w:t>
      </w:r>
      <w:r w:rsidRPr="00B15356">
        <w:rPr>
          <w:rFonts w:ascii="Arial" w:hAnsi="Arial" w:cs="Arial"/>
          <w:sz w:val="28"/>
        </w:rPr>
        <w:t xml:space="preserve"> after having visited </w:t>
      </w:r>
      <w:r w:rsidR="00A42E9A">
        <w:rPr>
          <w:rFonts w:ascii="Arial" w:hAnsi="Arial" w:cs="Arial"/>
          <w:sz w:val="28"/>
        </w:rPr>
        <w:t>Alexandria on business</w:t>
      </w:r>
      <w:r w:rsidRPr="00B15356">
        <w:rPr>
          <w:rFonts w:ascii="Arial" w:hAnsi="Arial" w:cs="Arial"/>
          <w:sz w:val="28"/>
        </w:rPr>
        <w:t>. His death may have been due to malaria</w:t>
      </w:r>
      <w:r w:rsidR="008C39E2">
        <w:rPr>
          <w:rStyle w:val="FootnoteReference"/>
          <w:rFonts w:ascii="Arial" w:hAnsi="Arial" w:cs="Arial"/>
          <w:sz w:val="28"/>
        </w:rPr>
        <w:footnoteReference w:id="11"/>
      </w:r>
      <w:r w:rsidRPr="00B15356">
        <w:rPr>
          <w:rFonts w:ascii="Arial" w:hAnsi="Arial" w:cs="Arial"/>
          <w:sz w:val="28"/>
        </w:rPr>
        <w:t xml:space="preserve">, </w:t>
      </w:r>
      <w:r w:rsidR="00F51856">
        <w:rPr>
          <w:rFonts w:ascii="Arial" w:hAnsi="Arial" w:cs="Arial"/>
          <w:sz w:val="28"/>
        </w:rPr>
        <w:t>which was a persistent problem in Hellenistic Egypt</w:t>
      </w:r>
      <w:r w:rsidR="00F51856">
        <w:rPr>
          <w:rStyle w:val="FootnoteReference"/>
          <w:rFonts w:ascii="Arial" w:hAnsi="Arial" w:cs="Arial"/>
          <w:sz w:val="28"/>
        </w:rPr>
        <w:footnoteReference w:id="12"/>
      </w:r>
      <w:r w:rsidR="00F51856">
        <w:rPr>
          <w:rFonts w:ascii="Arial" w:hAnsi="Arial" w:cs="Arial"/>
          <w:sz w:val="28"/>
        </w:rPr>
        <w:t xml:space="preserve">. </w:t>
      </w:r>
      <w:proofErr w:type="gramStart"/>
      <w:r w:rsidRPr="00B15356">
        <w:rPr>
          <w:rFonts w:ascii="Arial" w:hAnsi="Arial" w:cs="Arial"/>
          <w:sz w:val="28"/>
        </w:rPr>
        <w:t>Similar to</w:t>
      </w:r>
      <w:proofErr w:type="gramEnd"/>
      <w:r w:rsidRPr="00B15356">
        <w:rPr>
          <w:rFonts w:ascii="Arial" w:hAnsi="Arial" w:cs="Arial"/>
          <w:sz w:val="28"/>
        </w:rPr>
        <w:t xml:space="preserve"> how Artemisia II reacted to </w:t>
      </w:r>
      <w:proofErr w:type="spellStart"/>
      <w:r w:rsidRPr="00B15356">
        <w:rPr>
          <w:rFonts w:ascii="Arial" w:hAnsi="Arial" w:cs="Arial"/>
          <w:sz w:val="28"/>
        </w:rPr>
        <w:t>Mausolous</w:t>
      </w:r>
      <w:proofErr w:type="spellEnd"/>
      <w:r w:rsidRPr="00B15356">
        <w:rPr>
          <w:rFonts w:ascii="Arial" w:hAnsi="Arial" w:cs="Arial"/>
          <w:sz w:val="28"/>
        </w:rPr>
        <w:t>’ death with the building of the Mausoleum at Halicarnassus</w:t>
      </w:r>
      <w:r w:rsidRPr="00B15356">
        <w:rPr>
          <w:rStyle w:val="FootnoteReference"/>
          <w:rFonts w:ascii="Arial" w:hAnsi="Arial" w:cs="Arial"/>
          <w:sz w:val="28"/>
        </w:rPr>
        <w:footnoteReference w:id="13"/>
      </w:r>
      <w:r w:rsidRPr="00B15356">
        <w:rPr>
          <w:rFonts w:ascii="Arial" w:hAnsi="Arial" w:cs="Arial"/>
          <w:sz w:val="28"/>
        </w:rPr>
        <w:t xml:space="preserve">, Artemisia of Cilicia built a new section of the </w:t>
      </w:r>
      <w:proofErr w:type="spellStart"/>
      <w:r w:rsidRPr="00B15356">
        <w:rPr>
          <w:rFonts w:ascii="Arial" w:hAnsi="Arial" w:cs="Arial"/>
          <w:sz w:val="28"/>
        </w:rPr>
        <w:t>Tarsos</w:t>
      </w:r>
      <w:proofErr w:type="spellEnd"/>
      <w:r w:rsidRPr="00B15356">
        <w:rPr>
          <w:rFonts w:ascii="Arial" w:hAnsi="Arial" w:cs="Arial"/>
          <w:sz w:val="28"/>
        </w:rPr>
        <w:t xml:space="preserve"> library</w:t>
      </w:r>
      <w:r w:rsidR="0063658A">
        <w:rPr>
          <w:rFonts w:ascii="Arial" w:hAnsi="Arial" w:cs="Arial"/>
          <w:sz w:val="28"/>
        </w:rPr>
        <w:t xml:space="preserve"> </w:t>
      </w:r>
      <w:r w:rsidRPr="00B15356">
        <w:rPr>
          <w:rFonts w:ascii="Arial" w:hAnsi="Arial" w:cs="Arial"/>
          <w:sz w:val="28"/>
        </w:rPr>
        <w:t>in his honour, as</w:t>
      </w:r>
      <w:r w:rsidR="0063658A">
        <w:rPr>
          <w:rFonts w:ascii="Arial" w:hAnsi="Arial" w:cs="Arial"/>
          <w:sz w:val="28"/>
        </w:rPr>
        <w:t xml:space="preserve"> both she and </w:t>
      </w:r>
      <w:r w:rsidRPr="00B15356">
        <w:rPr>
          <w:rFonts w:ascii="Arial" w:hAnsi="Arial" w:cs="Arial"/>
          <w:sz w:val="28"/>
        </w:rPr>
        <w:t xml:space="preserve">her husband was well educated due to </w:t>
      </w:r>
      <w:r w:rsidR="0063658A">
        <w:rPr>
          <w:rFonts w:ascii="Arial" w:hAnsi="Arial" w:cs="Arial"/>
          <w:sz w:val="28"/>
        </w:rPr>
        <w:t>their</w:t>
      </w:r>
      <w:r w:rsidRPr="00B15356">
        <w:rPr>
          <w:rFonts w:ascii="Arial" w:hAnsi="Arial" w:cs="Arial"/>
          <w:sz w:val="28"/>
        </w:rPr>
        <w:t xml:space="preserve"> station</w:t>
      </w:r>
      <w:r w:rsidR="0063658A">
        <w:rPr>
          <w:rFonts w:ascii="Arial" w:hAnsi="Arial" w:cs="Arial"/>
          <w:sz w:val="28"/>
        </w:rPr>
        <w:t>s.</w:t>
      </w:r>
      <w:r w:rsidRPr="00B15356">
        <w:rPr>
          <w:rFonts w:ascii="Arial" w:hAnsi="Arial" w:cs="Arial"/>
          <w:sz w:val="28"/>
        </w:rPr>
        <w:t xml:space="preserve"> </w:t>
      </w:r>
    </w:p>
    <w:p w14:paraId="3E057688" w14:textId="2FFC1E90" w:rsidR="00BE592C" w:rsidRDefault="00875DB3" w:rsidP="00B15356">
      <w:pPr>
        <w:spacing w:line="480" w:lineRule="auto"/>
        <w:rPr>
          <w:rFonts w:ascii="Arial" w:hAnsi="Arial" w:cs="Arial"/>
          <w:sz w:val="28"/>
        </w:rPr>
      </w:pPr>
      <w:r w:rsidRPr="00B15356">
        <w:rPr>
          <w:rFonts w:ascii="Arial" w:hAnsi="Arial" w:cs="Arial"/>
          <w:sz w:val="28"/>
        </w:rPr>
        <w:t xml:space="preserve">Artemisia gained her position of satrap through being a trusted friend of the Ptolemies because of her father’s position and being the wife of an only child of an only child. Another reason for taking the position is that her 11-year marriage to </w:t>
      </w:r>
      <w:proofErr w:type="spellStart"/>
      <w:r w:rsidRPr="00B15356">
        <w:rPr>
          <w:rFonts w:ascii="Arial" w:hAnsi="Arial" w:cs="Arial"/>
          <w:sz w:val="28"/>
        </w:rPr>
        <w:t>Arsames</w:t>
      </w:r>
      <w:proofErr w:type="spellEnd"/>
      <w:r w:rsidRPr="00B15356">
        <w:rPr>
          <w:rFonts w:ascii="Arial" w:hAnsi="Arial" w:cs="Arial"/>
          <w:sz w:val="28"/>
        </w:rPr>
        <w:t xml:space="preserve"> was entirely childless</w:t>
      </w:r>
      <w:r w:rsidR="0063658A">
        <w:rPr>
          <w:rFonts w:ascii="Arial" w:hAnsi="Arial" w:cs="Arial"/>
          <w:sz w:val="28"/>
        </w:rPr>
        <w:t xml:space="preserve">, </w:t>
      </w:r>
      <w:proofErr w:type="gramStart"/>
      <w:r w:rsidR="0063658A">
        <w:rPr>
          <w:rFonts w:ascii="Arial" w:hAnsi="Arial" w:cs="Arial"/>
          <w:sz w:val="28"/>
        </w:rPr>
        <w:t>similar to</w:t>
      </w:r>
      <w:proofErr w:type="gramEnd"/>
      <w:r w:rsidR="0063658A">
        <w:rPr>
          <w:rFonts w:ascii="Arial" w:hAnsi="Arial" w:cs="Arial"/>
          <w:sz w:val="28"/>
        </w:rPr>
        <w:t xml:space="preserve"> the real Artemisia</w:t>
      </w:r>
      <w:r w:rsidR="0063658A">
        <w:rPr>
          <w:rStyle w:val="FootnoteReference"/>
          <w:rFonts w:ascii="Arial" w:hAnsi="Arial" w:cs="Arial"/>
          <w:sz w:val="28"/>
        </w:rPr>
        <w:footnoteReference w:id="14"/>
      </w:r>
      <w:r w:rsidRPr="00B15356">
        <w:rPr>
          <w:rFonts w:ascii="Arial" w:hAnsi="Arial" w:cs="Arial"/>
          <w:sz w:val="28"/>
        </w:rPr>
        <w:t xml:space="preserve">. This is something that plagues Artemisia as she longs </w:t>
      </w:r>
      <w:r w:rsidRPr="00B15356">
        <w:rPr>
          <w:rFonts w:ascii="Arial" w:hAnsi="Arial" w:cs="Arial"/>
          <w:sz w:val="28"/>
        </w:rPr>
        <w:lastRenderedPageBreak/>
        <w:t>for a child to pass on her position to. The dynastic aspect of Hellenistic rulers can be found throughout the period, with a prime example being the Diadochi</w:t>
      </w:r>
      <w:r w:rsidR="0063658A">
        <w:rPr>
          <w:rFonts w:ascii="Arial" w:hAnsi="Arial" w:cs="Arial"/>
          <w:sz w:val="28"/>
        </w:rPr>
        <w:t>.</w:t>
      </w:r>
      <w:r w:rsidR="00E454F4" w:rsidRPr="00B15356">
        <w:rPr>
          <w:rFonts w:ascii="Arial" w:hAnsi="Arial" w:cs="Arial"/>
          <w:sz w:val="28"/>
        </w:rPr>
        <w:t xml:space="preserve"> Focusing on the two successful Diadochi, Ptolemy I </w:t>
      </w:r>
      <w:proofErr w:type="spellStart"/>
      <w:r w:rsidR="00E454F4" w:rsidRPr="00B15356">
        <w:rPr>
          <w:rFonts w:ascii="Arial" w:hAnsi="Arial" w:cs="Arial"/>
          <w:sz w:val="28"/>
        </w:rPr>
        <w:t>Soter</w:t>
      </w:r>
      <w:proofErr w:type="spellEnd"/>
      <w:r w:rsidR="00E454F4" w:rsidRPr="00B15356">
        <w:rPr>
          <w:rFonts w:ascii="Arial" w:hAnsi="Arial" w:cs="Arial"/>
          <w:sz w:val="28"/>
        </w:rPr>
        <w:t xml:space="preserve"> and </w:t>
      </w:r>
      <w:proofErr w:type="spellStart"/>
      <w:r w:rsidR="00E454F4" w:rsidRPr="00B15356">
        <w:rPr>
          <w:rFonts w:ascii="Arial" w:hAnsi="Arial" w:cs="Arial"/>
          <w:sz w:val="28"/>
        </w:rPr>
        <w:t>Seleukus</w:t>
      </w:r>
      <w:proofErr w:type="spellEnd"/>
      <w:r w:rsidR="00E454F4" w:rsidRPr="00B15356">
        <w:rPr>
          <w:rFonts w:ascii="Arial" w:hAnsi="Arial" w:cs="Arial"/>
          <w:sz w:val="28"/>
        </w:rPr>
        <w:t xml:space="preserve"> I </w:t>
      </w:r>
      <w:r w:rsidR="00B15356" w:rsidRPr="00B15356">
        <w:rPr>
          <w:rFonts w:ascii="Arial" w:hAnsi="Arial" w:cs="Arial"/>
          <w:sz w:val="28"/>
        </w:rPr>
        <w:t>Nicator, both followed the pattern of passing down the throne to their children with varying degrees of success</w:t>
      </w:r>
      <w:r w:rsidR="00DD3601">
        <w:rPr>
          <w:rStyle w:val="FootnoteReference"/>
          <w:rFonts w:ascii="Arial" w:hAnsi="Arial" w:cs="Arial"/>
          <w:sz w:val="28"/>
        </w:rPr>
        <w:footnoteReference w:id="15"/>
      </w:r>
      <w:r w:rsidR="00DD3601">
        <w:rPr>
          <w:rFonts w:ascii="Arial" w:hAnsi="Arial" w:cs="Arial"/>
          <w:sz w:val="28"/>
        </w:rPr>
        <w:t>, setting a historical precedent to be followed.</w:t>
      </w:r>
    </w:p>
    <w:p w14:paraId="78EC8E0A" w14:textId="349EFBD0" w:rsidR="00B15356" w:rsidRDefault="00B15356" w:rsidP="00B15356">
      <w:pPr>
        <w:spacing w:line="480" w:lineRule="auto"/>
        <w:rPr>
          <w:rFonts w:ascii="Arial" w:hAnsi="Arial" w:cs="Arial"/>
          <w:sz w:val="28"/>
        </w:rPr>
      </w:pPr>
      <w:r>
        <w:rPr>
          <w:rFonts w:ascii="Arial" w:hAnsi="Arial" w:cs="Arial"/>
          <w:sz w:val="28"/>
        </w:rPr>
        <w:t>My character is in-charge of the running of the government of Cilicia, so must oversee everything from taxes through to the planning of festivities. As satrap, I must ensure that internal petitions are dealt with readily and quickly</w:t>
      </w:r>
      <w:r w:rsidR="00E03E88">
        <w:rPr>
          <w:rFonts w:ascii="Arial" w:hAnsi="Arial" w:cs="Arial"/>
          <w:sz w:val="28"/>
        </w:rPr>
        <w:t xml:space="preserve"> </w:t>
      </w:r>
      <w:r>
        <w:rPr>
          <w:rFonts w:ascii="Arial" w:hAnsi="Arial" w:cs="Arial"/>
          <w:sz w:val="28"/>
        </w:rPr>
        <w:t xml:space="preserve">and take responsibility for petitioning the Ptolemaic king for various resources that are needed within Cilicia. As well as this, I must take responsibility for the upkeep and expansion of the city of </w:t>
      </w:r>
      <w:proofErr w:type="spellStart"/>
      <w:r>
        <w:rPr>
          <w:rFonts w:ascii="Arial" w:hAnsi="Arial" w:cs="Arial"/>
          <w:sz w:val="28"/>
        </w:rPr>
        <w:t>Tarsos</w:t>
      </w:r>
      <w:proofErr w:type="spellEnd"/>
      <w:r>
        <w:rPr>
          <w:rFonts w:ascii="Arial" w:hAnsi="Arial" w:cs="Arial"/>
          <w:sz w:val="28"/>
        </w:rPr>
        <w:t xml:space="preserve"> as both the satrap and revered patron. This is an important task as </w:t>
      </w:r>
      <w:proofErr w:type="spellStart"/>
      <w:r>
        <w:rPr>
          <w:rFonts w:ascii="Arial" w:hAnsi="Arial" w:cs="Arial"/>
          <w:sz w:val="28"/>
        </w:rPr>
        <w:t>Tarsos</w:t>
      </w:r>
      <w:proofErr w:type="spellEnd"/>
      <w:r w:rsidR="00BD2E66">
        <w:rPr>
          <w:rFonts w:ascii="Arial" w:hAnsi="Arial" w:cs="Arial"/>
          <w:sz w:val="28"/>
        </w:rPr>
        <w:t xml:space="preserve"> is at the base of the Cilician Gates</w:t>
      </w:r>
      <w:r w:rsidR="00BD2E66">
        <w:rPr>
          <w:rStyle w:val="FootnoteReference"/>
          <w:rFonts w:ascii="Arial" w:hAnsi="Arial" w:cs="Arial"/>
          <w:sz w:val="28"/>
        </w:rPr>
        <w:footnoteReference w:id="16"/>
      </w:r>
      <w:r w:rsidR="00BD2E66">
        <w:rPr>
          <w:rFonts w:ascii="Arial" w:hAnsi="Arial" w:cs="Arial"/>
          <w:sz w:val="28"/>
        </w:rPr>
        <w:t>, making it a military stronghold and an important trade centre</w:t>
      </w:r>
      <w:r w:rsidR="009420D7">
        <w:rPr>
          <w:rFonts w:ascii="Arial" w:hAnsi="Arial" w:cs="Arial"/>
          <w:sz w:val="28"/>
        </w:rPr>
        <w:t xml:space="preserve">. </w:t>
      </w:r>
      <w:r w:rsidR="00F22063">
        <w:rPr>
          <w:rFonts w:ascii="Arial" w:hAnsi="Arial" w:cs="Arial"/>
          <w:sz w:val="28"/>
        </w:rPr>
        <w:t>As well as this, Strabo tells us there is also a naval base in the lake at Tarsus</w:t>
      </w:r>
      <w:r w:rsidR="00F22063">
        <w:rPr>
          <w:rStyle w:val="FootnoteReference"/>
          <w:rFonts w:ascii="Arial" w:hAnsi="Arial" w:cs="Arial"/>
          <w:sz w:val="28"/>
        </w:rPr>
        <w:footnoteReference w:id="17"/>
      </w:r>
      <w:r w:rsidR="00F22063">
        <w:rPr>
          <w:rFonts w:ascii="Arial" w:hAnsi="Arial" w:cs="Arial"/>
          <w:sz w:val="28"/>
        </w:rPr>
        <w:t xml:space="preserve">, indicating that </w:t>
      </w:r>
      <w:r w:rsidR="005C7DCD">
        <w:rPr>
          <w:rFonts w:ascii="Arial" w:hAnsi="Arial" w:cs="Arial"/>
          <w:sz w:val="28"/>
        </w:rPr>
        <w:t>the city is an important location during the Hellenistic and Roman periods</w:t>
      </w:r>
      <w:r w:rsidR="001A22A9">
        <w:rPr>
          <w:rFonts w:ascii="Arial" w:hAnsi="Arial" w:cs="Arial"/>
          <w:sz w:val="28"/>
        </w:rPr>
        <w:t>.</w:t>
      </w:r>
    </w:p>
    <w:p w14:paraId="2347F95E" w14:textId="26BEBB6E" w:rsidR="001A22A9" w:rsidRDefault="0010555C" w:rsidP="00B15356">
      <w:pPr>
        <w:spacing w:line="480" w:lineRule="auto"/>
        <w:rPr>
          <w:rFonts w:ascii="Arial" w:hAnsi="Arial" w:cs="Arial"/>
          <w:sz w:val="28"/>
        </w:rPr>
      </w:pPr>
      <w:r>
        <w:rPr>
          <w:rFonts w:ascii="Arial" w:hAnsi="Arial" w:cs="Arial"/>
          <w:sz w:val="28"/>
        </w:rPr>
        <w:t>One of the main aims of my character to be able to build up a</w:t>
      </w:r>
      <w:r w:rsidR="00BB4D27">
        <w:rPr>
          <w:rFonts w:ascii="Arial" w:hAnsi="Arial" w:cs="Arial"/>
          <w:sz w:val="28"/>
        </w:rPr>
        <w:t xml:space="preserve"> wall or small fort at the foot of the Cilician Gates. This is to give the satrapy the </w:t>
      </w:r>
      <w:r w:rsidR="00BB4D27">
        <w:rPr>
          <w:rFonts w:ascii="Arial" w:hAnsi="Arial" w:cs="Arial"/>
          <w:sz w:val="28"/>
        </w:rPr>
        <w:lastRenderedPageBreak/>
        <w:t xml:space="preserve">ability to tax </w:t>
      </w:r>
      <w:r w:rsidR="00904BAC">
        <w:rPr>
          <w:rFonts w:ascii="Arial" w:hAnsi="Arial" w:cs="Arial"/>
          <w:sz w:val="28"/>
        </w:rPr>
        <w:t>traders and armies that wish</w:t>
      </w:r>
      <w:r w:rsidR="00E96532">
        <w:rPr>
          <w:rFonts w:ascii="Arial" w:hAnsi="Arial" w:cs="Arial"/>
          <w:sz w:val="28"/>
        </w:rPr>
        <w:t xml:space="preserve"> to pass through the territory.</w:t>
      </w:r>
      <w:r w:rsidR="00FB4EA1">
        <w:rPr>
          <w:rFonts w:ascii="Arial" w:hAnsi="Arial" w:cs="Arial"/>
          <w:sz w:val="28"/>
        </w:rPr>
        <w:t xml:space="preserve"> The tax imposed would allow for a second form of consistent income, alongside the logging industry present within Cilicia</w:t>
      </w:r>
      <w:r w:rsidR="00461072">
        <w:rPr>
          <w:rStyle w:val="FootnoteReference"/>
          <w:rFonts w:ascii="Arial" w:hAnsi="Arial" w:cs="Arial"/>
          <w:sz w:val="28"/>
        </w:rPr>
        <w:footnoteReference w:id="18"/>
      </w:r>
      <w:r w:rsidR="00ED121F">
        <w:rPr>
          <w:rFonts w:ascii="Arial" w:hAnsi="Arial" w:cs="Arial"/>
          <w:sz w:val="28"/>
        </w:rPr>
        <w:t xml:space="preserve">. The imposition of this tax is viable due to the Cilician Gates being the only </w:t>
      </w:r>
      <w:r w:rsidR="00C917B0">
        <w:rPr>
          <w:rFonts w:ascii="Arial" w:hAnsi="Arial" w:cs="Arial"/>
          <w:sz w:val="28"/>
        </w:rPr>
        <w:t>traversable</w:t>
      </w:r>
      <w:r w:rsidR="00DB09F3">
        <w:rPr>
          <w:rFonts w:ascii="Arial" w:hAnsi="Arial" w:cs="Arial"/>
          <w:sz w:val="28"/>
        </w:rPr>
        <w:t xml:space="preserve"> </w:t>
      </w:r>
      <w:r w:rsidR="00C917B0">
        <w:rPr>
          <w:rFonts w:ascii="Arial" w:hAnsi="Arial" w:cs="Arial"/>
          <w:sz w:val="28"/>
        </w:rPr>
        <w:t>route across the Taurus mountains</w:t>
      </w:r>
      <w:r w:rsidR="008B2B8D">
        <w:rPr>
          <w:rStyle w:val="FootnoteReference"/>
          <w:rFonts w:ascii="Arial" w:hAnsi="Arial" w:cs="Arial"/>
          <w:sz w:val="28"/>
        </w:rPr>
        <w:footnoteReference w:id="19"/>
      </w:r>
      <w:r w:rsidR="00853F46">
        <w:rPr>
          <w:rFonts w:ascii="Arial" w:hAnsi="Arial" w:cs="Arial"/>
          <w:sz w:val="28"/>
        </w:rPr>
        <w:t xml:space="preserve">, with </w:t>
      </w:r>
      <w:r w:rsidR="00086052">
        <w:rPr>
          <w:rFonts w:ascii="Arial" w:hAnsi="Arial" w:cs="Arial"/>
          <w:sz w:val="28"/>
        </w:rPr>
        <w:t xml:space="preserve">a </w:t>
      </w:r>
      <w:r w:rsidR="00853F46">
        <w:rPr>
          <w:rFonts w:ascii="Arial" w:hAnsi="Arial" w:cs="Arial"/>
          <w:sz w:val="28"/>
        </w:rPr>
        <w:t xml:space="preserve">remark from Xenophon </w:t>
      </w:r>
      <w:r w:rsidR="00F071ED">
        <w:rPr>
          <w:rFonts w:ascii="Arial" w:hAnsi="Arial" w:cs="Arial"/>
          <w:sz w:val="28"/>
        </w:rPr>
        <w:t>stating</w:t>
      </w:r>
      <w:r w:rsidR="00853F46">
        <w:rPr>
          <w:rFonts w:ascii="Arial" w:hAnsi="Arial" w:cs="Arial"/>
          <w:sz w:val="28"/>
        </w:rPr>
        <w:t xml:space="preserve"> that only one cart at a time was able to pass through</w:t>
      </w:r>
      <w:r w:rsidR="00853F46">
        <w:rPr>
          <w:rStyle w:val="FootnoteReference"/>
          <w:rFonts w:ascii="Arial" w:hAnsi="Arial" w:cs="Arial"/>
          <w:sz w:val="28"/>
        </w:rPr>
        <w:footnoteReference w:id="20"/>
      </w:r>
      <w:r w:rsidR="00853F46">
        <w:rPr>
          <w:rFonts w:ascii="Arial" w:hAnsi="Arial" w:cs="Arial"/>
          <w:sz w:val="28"/>
        </w:rPr>
        <w:t>.</w:t>
      </w:r>
    </w:p>
    <w:p w14:paraId="2B8D84C5" w14:textId="32D54B5C" w:rsidR="00004F4D" w:rsidRDefault="009F7D1C" w:rsidP="00B15356">
      <w:pPr>
        <w:spacing w:line="480" w:lineRule="auto"/>
        <w:rPr>
          <w:rFonts w:ascii="Arial" w:hAnsi="Arial" w:cs="Arial"/>
          <w:sz w:val="28"/>
        </w:rPr>
      </w:pPr>
      <w:r>
        <w:rPr>
          <w:rFonts w:ascii="Arial" w:hAnsi="Arial" w:cs="Arial"/>
          <w:sz w:val="28"/>
        </w:rPr>
        <w:t xml:space="preserve">To attempt this venture, my character will petition the Ptolemaic king for </w:t>
      </w:r>
      <w:r w:rsidR="003C7BC0">
        <w:rPr>
          <w:rFonts w:ascii="Arial" w:hAnsi="Arial" w:cs="Arial"/>
          <w:sz w:val="28"/>
        </w:rPr>
        <w:t xml:space="preserve">yearly investment in exchange of keeping gates closed to </w:t>
      </w:r>
      <w:r w:rsidR="00305510">
        <w:rPr>
          <w:rFonts w:ascii="Arial" w:hAnsi="Arial" w:cs="Arial"/>
          <w:sz w:val="28"/>
        </w:rPr>
        <w:t xml:space="preserve">outside armies </w:t>
      </w:r>
      <w:proofErr w:type="gramStart"/>
      <w:r w:rsidR="00305510">
        <w:rPr>
          <w:rFonts w:ascii="Arial" w:hAnsi="Arial" w:cs="Arial"/>
          <w:sz w:val="28"/>
        </w:rPr>
        <w:t>as long as</w:t>
      </w:r>
      <w:proofErr w:type="gramEnd"/>
      <w:r w:rsidR="00305510">
        <w:rPr>
          <w:rFonts w:ascii="Arial" w:hAnsi="Arial" w:cs="Arial"/>
          <w:sz w:val="28"/>
        </w:rPr>
        <w:t xml:space="preserve"> the payment is continued.</w:t>
      </w:r>
      <w:r w:rsidR="009974D9">
        <w:rPr>
          <w:rFonts w:ascii="Arial" w:hAnsi="Arial" w:cs="Arial"/>
          <w:sz w:val="28"/>
        </w:rPr>
        <w:t xml:space="preserve"> </w:t>
      </w:r>
      <w:r w:rsidR="00A73B9E">
        <w:rPr>
          <w:rFonts w:ascii="Arial" w:hAnsi="Arial" w:cs="Arial"/>
          <w:sz w:val="28"/>
        </w:rPr>
        <w:t xml:space="preserve">As previously stated through Strabo, </w:t>
      </w:r>
      <w:proofErr w:type="spellStart"/>
      <w:r w:rsidR="00A73B9E">
        <w:rPr>
          <w:rFonts w:ascii="Arial" w:hAnsi="Arial" w:cs="Arial"/>
          <w:sz w:val="28"/>
        </w:rPr>
        <w:t>Tarsos</w:t>
      </w:r>
      <w:proofErr w:type="spellEnd"/>
      <w:r w:rsidR="00A73B9E">
        <w:rPr>
          <w:rFonts w:ascii="Arial" w:hAnsi="Arial" w:cs="Arial"/>
          <w:sz w:val="28"/>
        </w:rPr>
        <w:t xml:space="preserve"> is an extremely important city </w:t>
      </w:r>
      <w:r w:rsidR="003F733E">
        <w:rPr>
          <w:rFonts w:ascii="Arial" w:hAnsi="Arial" w:cs="Arial"/>
          <w:sz w:val="28"/>
        </w:rPr>
        <w:t>and it is logical to place a fortress further up the pass to protect its [the cities] interests.</w:t>
      </w:r>
      <w:r w:rsidR="00C34302">
        <w:rPr>
          <w:rFonts w:ascii="Arial" w:hAnsi="Arial" w:cs="Arial"/>
          <w:sz w:val="28"/>
        </w:rPr>
        <w:t xml:space="preserve"> </w:t>
      </w:r>
    </w:p>
    <w:p w14:paraId="41C815DC" w14:textId="3EFB8CF3" w:rsidR="00E7606C" w:rsidRDefault="008B2B8D" w:rsidP="00B15356">
      <w:pPr>
        <w:spacing w:line="480" w:lineRule="auto"/>
        <w:rPr>
          <w:rFonts w:ascii="Arial" w:hAnsi="Arial" w:cs="Arial"/>
          <w:sz w:val="28"/>
        </w:rPr>
      </w:pPr>
      <w:r>
        <w:rPr>
          <w:rFonts w:ascii="Arial" w:hAnsi="Arial" w:cs="Arial"/>
          <w:sz w:val="28"/>
        </w:rPr>
        <w:t xml:space="preserve">A second </w:t>
      </w:r>
      <w:r w:rsidR="005C78A4">
        <w:rPr>
          <w:rFonts w:ascii="Arial" w:hAnsi="Arial" w:cs="Arial"/>
          <w:sz w:val="28"/>
        </w:rPr>
        <w:t xml:space="preserve">aim of my character is to improve relations with the pirates present within Cilicia. </w:t>
      </w:r>
      <w:r w:rsidR="00957002">
        <w:rPr>
          <w:rFonts w:ascii="Arial" w:hAnsi="Arial" w:cs="Arial"/>
          <w:sz w:val="28"/>
        </w:rPr>
        <w:t xml:space="preserve">According to </w:t>
      </w:r>
      <w:r w:rsidR="00BD118B">
        <w:rPr>
          <w:rFonts w:ascii="Arial" w:hAnsi="Arial" w:cs="Arial"/>
          <w:sz w:val="28"/>
        </w:rPr>
        <w:t>Gabbert’s paper</w:t>
      </w:r>
      <w:r w:rsidR="00966B9B">
        <w:rPr>
          <w:rStyle w:val="FootnoteReference"/>
          <w:rFonts w:ascii="Arial" w:hAnsi="Arial" w:cs="Arial"/>
          <w:sz w:val="28"/>
        </w:rPr>
        <w:footnoteReference w:id="21"/>
      </w:r>
      <w:r w:rsidR="00BD118B">
        <w:rPr>
          <w:rFonts w:ascii="Arial" w:hAnsi="Arial" w:cs="Arial"/>
          <w:sz w:val="28"/>
        </w:rPr>
        <w:t xml:space="preserve"> on </w:t>
      </w:r>
      <w:r w:rsidR="001878EB">
        <w:rPr>
          <w:rFonts w:ascii="Arial" w:hAnsi="Arial" w:cs="Arial"/>
          <w:sz w:val="28"/>
        </w:rPr>
        <w:t xml:space="preserve">pirates, </w:t>
      </w:r>
      <w:r w:rsidR="00945510">
        <w:rPr>
          <w:rFonts w:ascii="Arial" w:hAnsi="Arial" w:cs="Arial"/>
          <w:sz w:val="28"/>
        </w:rPr>
        <w:t xml:space="preserve">men such as </w:t>
      </w:r>
      <w:proofErr w:type="spellStart"/>
      <w:r w:rsidR="00945510">
        <w:rPr>
          <w:rFonts w:ascii="Arial" w:hAnsi="Arial" w:cs="Arial"/>
          <w:sz w:val="28"/>
        </w:rPr>
        <w:t>Timarchos</w:t>
      </w:r>
      <w:proofErr w:type="spellEnd"/>
      <w:r w:rsidR="00945510">
        <w:rPr>
          <w:rFonts w:ascii="Arial" w:hAnsi="Arial" w:cs="Arial"/>
          <w:sz w:val="28"/>
        </w:rPr>
        <w:t xml:space="preserve"> the Aetolian pirate </w:t>
      </w:r>
      <w:r w:rsidR="0007753D">
        <w:rPr>
          <w:rFonts w:ascii="Arial" w:hAnsi="Arial" w:cs="Arial"/>
          <w:sz w:val="28"/>
        </w:rPr>
        <w:t xml:space="preserve">operated of their own accord and </w:t>
      </w:r>
      <w:r w:rsidR="003A6560">
        <w:rPr>
          <w:rFonts w:ascii="Arial" w:hAnsi="Arial" w:cs="Arial"/>
          <w:sz w:val="28"/>
        </w:rPr>
        <w:t>Ptolemy</w:t>
      </w:r>
      <w:r w:rsidR="002C7A31">
        <w:rPr>
          <w:rFonts w:ascii="Arial" w:hAnsi="Arial" w:cs="Arial"/>
          <w:sz w:val="28"/>
        </w:rPr>
        <w:t xml:space="preserve"> II, according to Pausanias, used </w:t>
      </w:r>
      <w:r w:rsidR="00084F12">
        <w:rPr>
          <w:rFonts w:ascii="Arial" w:hAnsi="Arial" w:cs="Arial"/>
          <w:sz w:val="28"/>
        </w:rPr>
        <w:t xml:space="preserve">pirates against </w:t>
      </w:r>
      <w:proofErr w:type="spellStart"/>
      <w:r w:rsidR="00084F12">
        <w:rPr>
          <w:rFonts w:ascii="Arial" w:hAnsi="Arial" w:cs="Arial"/>
          <w:sz w:val="28"/>
        </w:rPr>
        <w:t>Antiochos</w:t>
      </w:r>
      <w:proofErr w:type="spellEnd"/>
      <w:r w:rsidR="00084F12">
        <w:rPr>
          <w:rFonts w:ascii="Arial" w:hAnsi="Arial" w:cs="Arial"/>
          <w:sz w:val="28"/>
        </w:rPr>
        <w:t xml:space="preserve"> in the Second Syrian War</w:t>
      </w:r>
      <w:r w:rsidR="003C523A">
        <w:rPr>
          <w:rStyle w:val="FootnoteReference"/>
          <w:rFonts w:ascii="Arial" w:hAnsi="Arial" w:cs="Arial"/>
          <w:sz w:val="28"/>
        </w:rPr>
        <w:footnoteReference w:id="22"/>
      </w:r>
      <w:r w:rsidR="003C523A">
        <w:rPr>
          <w:rFonts w:ascii="Arial" w:hAnsi="Arial" w:cs="Arial"/>
          <w:sz w:val="28"/>
        </w:rPr>
        <w:t>. These two examples, though not explicitly Cilician, show an active pirate community within Asia Minor</w:t>
      </w:r>
      <w:r w:rsidR="00E7606C">
        <w:rPr>
          <w:rFonts w:ascii="Arial" w:hAnsi="Arial" w:cs="Arial"/>
          <w:sz w:val="28"/>
        </w:rPr>
        <w:t xml:space="preserve"> that indicates to me that it would be beneficial to create a communication </w:t>
      </w:r>
      <w:r w:rsidR="00E7606C">
        <w:rPr>
          <w:rFonts w:ascii="Arial" w:hAnsi="Arial" w:cs="Arial"/>
          <w:sz w:val="28"/>
        </w:rPr>
        <w:lastRenderedPageBreak/>
        <w:t>channel between myself and the local pirates.</w:t>
      </w:r>
      <w:r w:rsidR="00702BB0">
        <w:rPr>
          <w:rFonts w:ascii="Arial" w:hAnsi="Arial" w:cs="Arial"/>
          <w:sz w:val="28"/>
        </w:rPr>
        <w:t xml:space="preserve"> This issue will be tackled through </w:t>
      </w:r>
      <w:r w:rsidR="00725D5C">
        <w:rPr>
          <w:rFonts w:ascii="Arial" w:hAnsi="Arial" w:cs="Arial"/>
          <w:sz w:val="28"/>
        </w:rPr>
        <w:t>various channels of communication but the primary one will be the creation of a hybrid cult between a Ptolemaic god and a local deity</w:t>
      </w:r>
      <w:r w:rsidR="00A04CAA">
        <w:rPr>
          <w:rFonts w:ascii="Arial" w:hAnsi="Arial" w:cs="Arial"/>
          <w:sz w:val="28"/>
        </w:rPr>
        <w:t>. The historical evidence for a cult of this kind can be found in the development of the Isis-Serapis cult</w:t>
      </w:r>
      <w:r w:rsidR="002F2A7D">
        <w:rPr>
          <w:rFonts w:ascii="Arial" w:hAnsi="Arial" w:cs="Arial"/>
          <w:sz w:val="28"/>
        </w:rPr>
        <w:t xml:space="preserve"> which began in Alexandria</w:t>
      </w:r>
      <w:r w:rsidR="009B6733">
        <w:rPr>
          <w:rStyle w:val="FootnoteReference"/>
          <w:rFonts w:ascii="Arial" w:hAnsi="Arial" w:cs="Arial"/>
          <w:sz w:val="28"/>
        </w:rPr>
        <w:footnoteReference w:id="23"/>
      </w:r>
      <w:r w:rsidR="002F2A7D">
        <w:rPr>
          <w:rFonts w:ascii="Arial" w:hAnsi="Arial" w:cs="Arial"/>
          <w:sz w:val="28"/>
        </w:rPr>
        <w:t xml:space="preserve"> and sprea</w:t>
      </w:r>
      <w:r w:rsidR="009B6733">
        <w:rPr>
          <w:rFonts w:ascii="Arial" w:hAnsi="Arial" w:cs="Arial"/>
          <w:sz w:val="28"/>
        </w:rPr>
        <w:t xml:space="preserve">d beyond the Ptolemaic empire. The creation of a cult that appease both the </w:t>
      </w:r>
      <w:r w:rsidR="000B3C41">
        <w:rPr>
          <w:rFonts w:ascii="Arial" w:hAnsi="Arial" w:cs="Arial"/>
          <w:sz w:val="28"/>
        </w:rPr>
        <w:t>native people and the foreign settlers allows for my character to</w:t>
      </w:r>
      <w:r w:rsidR="00357943">
        <w:rPr>
          <w:rFonts w:ascii="Arial" w:hAnsi="Arial" w:cs="Arial"/>
          <w:sz w:val="28"/>
        </w:rPr>
        <w:t xml:space="preserve"> begin to </w:t>
      </w:r>
      <w:r w:rsidR="00B83743">
        <w:rPr>
          <w:rFonts w:ascii="Arial" w:hAnsi="Arial" w:cs="Arial"/>
          <w:sz w:val="28"/>
        </w:rPr>
        <w:t>create a more unified religion and</w:t>
      </w:r>
      <w:r w:rsidR="003245D3">
        <w:rPr>
          <w:rFonts w:ascii="Arial" w:hAnsi="Arial" w:cs="Arial"/>
          <w:sz w:val="28"/>
        </w:rPr>
        <w:t>,</w:t>
      </w:r>
      <w:r w:rsidR="00B83743">
        <w:rPr>
          <w:rFonts w:ascii="Arial" w:hAnsi="Arial" w:cs="Arial"/>
          <w:sz w:val="28"/>
        </w:rPr>
        <w:t xml:space="preserve"> through this</w:t>
      </w:r>
      <w:r w:rsidR="003245D3">
        <w:rPr>
          <w:rFonts w:ascii="Arial" w:hAnsi="Arial" w:cs="Arial"/>
          <w:sz w:val="28"/>
        </w:rPr>
        <w:t>, a more unified satrapy.</w:t>
      </w:r>
      <w:r w:rsidR="00AF5BE4">
        <w:rPr>
          <w:rFonts w:ascii="Arial" w:hAnsi="Arial" w:cs="Arial"/>
          <w:sz w:val="28"/>
        </w:rPr>
        <w:t xml:space="preserve"> It will be expected that a court official will visit to oversee the first of these festivals to a new god</w:t>
      </w:r>
      <w:r w:rsidR="00AF5BE4">
        <w:rPr>
          <w:rStyle w:val="FootnoteReference"/>
          <w:rFonts w:ascii="Arial" w:hAnsi="Arial" w:cs="Arial"/>
          <w:sz w:val="28"/>
        </w:rPr>
        <w:footnoteReference w:id="24"/>
      </w:r>
      <w:r w:rsidR="00AF5BE4">
        <w:rPr>
          <w:rFonts w:ascii="Arial" w:hAnsi="Arial" w:cs="Arial"/>
          <w:sz w:val="28"/>
        </w:rPr>
        <w:t>.</w:t>
      </w:r>
    </w:p>
    <w:p w14:paraId="6AC2FE32" w14:textId="77777777" w:rsidR="00B86B23" w:rsidRDefault="003245D3" w:rsidP="00B15356">
      <w:pPr>
        <w:spacing w:line="480" w:lineRule="auto"/>
        <w:rPr>
          <w:rFonts w:ascii="Arial" w:hAnsi="Arial" w:cs="Arial"/>
          <w:sz w:val="28"/>
        </w:rPr>
      </w:pPr>
      <w:r>
        <w:rPr>
          <w:rFonts w:ascii="Arial" w:hAnsi="Arial" w:cs="Arial"/>
          <w:sz w:val="28"/>
        </w:rPr>
        <w:t xml:space="preserve">Due to my characters position, she will be expected to entertain visitors from the Ptolemaic court through festivals </w:t>
      </w:r>
      <w:r w:rsidR="00EC6CD2">
        <w:rPr>
          <w:rFonts w:ascii="Arial" w:hAnsi="Arial" w:cs="Arial"/>
          <w:sz w:val="28"/>
        </w:rPr>
        <w:t>and various cultural experiences.</w:t>
      </w:r>
      <w:r w:rsidR="0040294B">
        <w:rPr>
          <w:rFonts w:ascii="Arial" w:hAnsi="Arial" w:cs="Arial"/>
          <w:sz w:val="28"/>
        </w:rPr>
        <w:t xml:space="preserve"> As the satrap of Cilicia, my character will </w:t>
      </w:r>
      <w:proofErr w:type="gramStart"/>
      <w:r w:rsidR="0040294B">
        <w:rPr>
          <w:rFonts w:ascii="Arial" w:hAnsi="Arial" w:cs="Arial"/>
          <w:sz w:val="28"/>
        </w:rPr>
        <w:t>be in charge of</w:t>
      </w:r>
      <w:proofErr w:type="gramEnd"/>
      <w:r w:rsidR="0040294B">
        <w:rPr>
          <w:rFonts w:ascii="Arial" w:hAnsi="Arial" w:cs="Arial"/>
          <w:sz w:val="28"/>
        </w:rPr>
        <w:t xml:space="preserve"> co-ordinating the festivities</w:t>
      </w:r>
      <w:r w:rsidR="00A10F6A">
        <w:rPr>
          <w:rFonts w:ascii="Arial" w:hAnsi="Arial" w:cs="Arial"/>
          <w:sz w:val="28"/>
        </w:rPr>
        <w:t>, including responsibility for ensuring the delegation of tasks and money to various court officials</w:t>
      </w:r>
      <w:r w:rsidR="00B86B23">
        <w:rPr>
          <w:rFonts w:ascii="Arial" w:hAnsi="Arial" w:cs="Arial"/>
          <w:sz w:val="28"/>
        </w:rPr>
        <w:t xml:space="preserve"> involved. </w:t>
      </w:r>
    </w:p>
    <w:p w14:paraId="0E2BB3CD" w14:textId="65B7A0DE" w:rsidR="003245D3" w:rsidRDefault="0026172A" w:rsidP="00B15356">
      <w:pPr>
        <w:spacing w:line="480" w:lineRule="auto"/>
        <w:rPr>
          <w:rFonts w:ascii="Arial" w:hAnsi="Arial" w:cs="Arial"/>
          <w:sz w:val="28"/>
        </w:rPr>
      </w:pPr>
      <w:r>
        <w:rPr>
          <w:rFonts w:ascii="Arial" w:hAnsi="Arial" w:cs="Arial"/>
          <w:sz w:val="28"/>
        </w:rPr>
        <w:t xml:space="preserve">Overall, my job as satrap is to rule Cilicia through effective council and successful petitions to the king as well as </w:t>
      </w:r>
      <w:r w:rsidR="00842F4F">
        <w:rPr>
          <w:rFonts w:ascii="Arial" w:hAnsi="Arial" w:cs="Arial"/>
          <w:sz w:val="28"/>
        </w:rPr>
        <w:t xml:space="preserve">controlling income and expenditure in and out the region. I will be responsible for ensuring fair tax rates, food distribution and </w:t>
      </w:r>
      <w:r w:rsidR="00AA6992">
        <w:rPr>
          <w:rFonts w:ascii="Arial" w:hAnsi="Arial" w:cs="Arial"/>
          <w:sz w:val="28"/>
        </w:rPr>
        <w:t>judicial rulings.</w:t>
      </w:r>
    </w:p>
    <w:p w14:paraId="50A357AA" w14:textId="77777777" w:rsidR="0009552D" w:rsidRDefault="0009552D" w:rsidP="00B15356">
      <w:pPr>
        <w:spacing w:line="480" w:lineRule="auto"/>
        <w:rPr>
          <w:rFonts w:ascii="Arial" w:hAnsi="Arial" w:cs="Arial"/>
          <w:sz w:val="28"/>
        </w:rPr>
      </w:pPr>
    </w:p>
    <w:sdt>
      <w:sdtPr>
        <w:rPr>
          <w:rFonts w:asciiTheme="minorHAnsi" w:eastAsiaTheme="minorHAnsi" w:hAnsiTheme="minorHAnsi" w:cstheme="minorBidi"/>
          <w:color w:val="auto"/>
          <w:sz w:val="22"/>
          <w:szCs w:val="22"/>
          <w:lang w:val="en-GB"/>
        </w:rPr>
        <w:id w:val="-589075554"/>
        <w:docPartObj>
          <w:docPartGallery w:val="Bibliographies"/>
          <w:docPartUnique/>
        </w:docPartObj>
      </w:sdtPr>
      <w:sdtEndPr/>
      <w:sdtContent>
        <w:p w14:paraId="28038D1B" w14:textId="074DB741" w:rsidR="00153690" w:rsidRDefault="00153690">
          <w:pPr>
            <w:pStyle w:val="Heading1"/>
          </w:pPr>
          <w:r>
            <w:t>Bibliography</w:t>
          </w:r>
        </w:p>
        <w:p w14:paraId="4F0C181F" w14:textId="77777777" w:rsidR="004813D0" w:rsidRDefault="004813D0" w:rsidP="004813D0">
          <w:pPr>
            <w:rPr>
              <w:rFonts w:ascii="Arial" w:hAnsi="Arial" w:cs="Arial"/>
              <w:color w:val="222222"/>
              <w:sz w:val="20"/>
              <w:szCs w:val="20"/>
              <w:shd w:val="clear" w:color="auto" w:fill="FFFFFF"/>
            </w:rPr>
          </w:pPr>
          <w:bookmarkStart w:id="0" w:name="_Hlk506303950"/>
          <w:proofErr w:type="spellStart"/>
          <w:r>
            <w:rPr>
              <w:rFonts w:ascii="Arial" w:hAnsi="Arial" w:cs="Arial"/>
              <w:color w:val="222222"/>
              <w:sz w:val="20"/>
              <w:szCs w:val="20"/>
              <w:shd w:val="clear" w:color="auto" w:fill="FFFFFF"/>
            </w:rPr>
            <w:t>Chrubasik</w:t>
          </w:r>
          <w:proofErr w:type="spellEnd"/>
          <w:r>
            <w:rPr>
              <w:rFonts w:ascii="Arial" w:hAnsi="Arial" w:cs="Arial"/>
              <w:color w:val="222222"/>
              <w:sz w:val="20"/>
              <w:szCs w:val="20"/>
              <w:shd w:val="clear" w:color="auto" w:fill="FFFFFF"/>
            </w:rPr>
            <w:t>, B. and King, D. eds., 2017. </w:t>
          </w:r>
          <w:r>
            <w:rPr>
              <w:rFonts w:ascii="Arial" w:hAnsi="Arial" w:cs="Arial"/>
              <w:i/>
              <w:iCs/>
              <w:color w:val="222222"/>
              <w:sz w:val="20"/>
              <w:szCs w:val="20"/>
              <w:shd w:val="clear" w:color="auto" w:fill="FFFFFF"/>
            </w:rPr>
            <w:t>Hellenism and the Local Communities of the Eastern Mediterranean: 400 BCE-250 CE</w:t>
          </w:r>
          <w:r>
            <w:rPr>
              <w:rFonts w:ascii="Arial" w:hAnsi="Arial" w:cs="Arial"/>
              <w:color w:val="222222"/>
              <w:sz w:val="20"/>
              <w:szCs w:val="20"/>
              <w:shd w:val="clear" w:color="auto" w:fill="FFFFFF"/>
            </w:rPr>
            <w:t>. Oxford University Press.</w:t>
          </w:r>
        </w:p>
        <w:p w14:paraId="1835CD91" w14:textId="537ABFE6" w:rsidR="00247825" w:rsidRDefault="00C233A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Banzin</w:t>
          </w:r>
          <w:proofErr w:type="spellEnd"/>
          <w:r>
            <w:rPr>
              <w:rFonts w:ascii="Arial" w:hAnsi="Arial" w:cs="Arial"/>
              <w:color w:val="222222"/>
              <w:sz w:val="20"/>
              <w:szCs w:val="20"/>
              <w:shd w:val="clear" w:color="auto" w:fill="FFFFFF"/>
            </w:rPr>
            <w:t>, M., 1991</w:t>
          </w:r>
          <w:r w:rsidR="00A81CEE">
            <w:rPr>
              <w:rFonts w:ascii="Arial" w:hAnsi="Arial" w:cs="Arial"/>
              <w:color w:val="222222"/>
              <w:sz w:val="20"/>
              <w:szCs w:val="20"/>
              <w:shd w:val="clear" w:color="auto" w:fill="FFFFFF"/>
            </w:rPr>
            <w:t xml:space="preserve">, </w:t>
          </w:r>
          <w:r w:rsidR="00644730">
            <w:rPr>
              <w:rFonts w:ascii="Arial" w:hAnsi="Arial" w:cs="Arial"/>
              <w:color w:val="222222"/>
              <w:sz w:val="20"/>
              <w:szCs w:val="20"/>
              <w:shd w:val="clear" w:color="auto" w:fill="FFFFFF"/>
            </w:rPr>
            <w:t xml:space="preserve">‘Le Pays de </w:t>
          </w:r>
          <w:proofErr w:type="spellStart"/>
          <w:r w:rsidR="00644730">
            <w:rPr>
              <w:rFonts w:ascii="Arial" w:hAnsi="Arial" w:cs="Arial"/>
              <w:color w:val="222222"/>
              <w:sz w:val="20"/>
              <w:szCs w:val="20"/>
              <w:shd w:val="clear" w:color="auto" w:fill="FFFFFF"/>
            </w:rPr>
            <w:t>Taseli</w:t>
          </w:r>
          <w:proofErr w:type="spellEnd"/>
          <w:r w:rsidR="00644730">
            <w:rPr>
              <w:rFonts w:ascii="Arial" w:hAnsi="Arial" w:cs="Arial"/>
              <w:color w:val="222222"/>
              <w:sz w:val="20"/>
              <w:szCs w:val="20"/>
              <w:shd w:val="clear" w:color="auto" w:fill="FFFFFF"/>
            </w:rPr>
            <w:t xml:space="preserve"> (</w:t>
          </w:r>
          <w:proofErr w:type="spellStart"/>
          <w:r w:rsidR="00644730">
            <w:rPr>
              <w:rFonts w:ascii="Arial" w:hAnsi="Arial" w:cs="Arial"/>
              <w:color w:val="222222"/>
              <w:sz w:val="20"/>
              <w:szCs w:val="20"/>
              <w:shd w:val="clear" w:color="auto" w:fill="FFFFFF"/>
            </w:rPr>
            <w:t>Cilicie</w:t>
          </w:r>
          <w:proofErr w:type="spellEnd"/>
          <w:r w:rsidR="00644730">
            <w:rPr>
              <w:rFonts w:ascii="Arial" w:hAnsi="Arial" w:cs="Arial"/>
              <w:color w:val="222222"/>
              <w:sz w:val="20"/>
              <w:szCs w:val="20"/>
              <w:shd w:val="clear" w:color="auto" w:fill="FFFFFF"/>
            </w:rPr>
            <w:t xml:space="preserve"> </w:t>
          </w:r>
          <w:proofErr w:type="spellStart"/>
          <w:r w:rsidR="00644730">
            <w:rPr>
              <w:rFonts w:ascii="Arial" w:hAnsi="Arial" w:cs="Arial"/>
              <w:color w:val="222222"/>
              <w:sz w:val="20"/>
              <w:szCs w:val="20"/>
              <w:shd w:val="clear" w:color="auto" w:fill="FFFFFF"/>
            </w:rPr>
            <w:t>Trachee</w:t>
          </w:r>
          <w:proofErr w:type="spellEnd"/>
          <w:r w:rsidR="00644730">
            <w:rPr>
              <w:rFonts w:ascii="Arial" w:hAnsi="Arial" w:cs="Arial"/>
              <w:color w:val="222222"/>
              <w:sz w:val="20"/>
              <w:szCs w:val="20"/>
              <w:shd w:val="clear" w:color="auto" w:fill="FFFFFF"/>
            </w:rPr>
            <w:t xml:space="preserve">): les </w:t>
          </w:r>
          <w:proofErr w:type="spellStart"/>
          <w:r w:rsidR="00644730">
            <w:rPr>
              <w:rFonts w:ascii="Arial" w:hAnsi="Arial" w:cs="Arial"/>
              <w:color w:val="222222"/>
              <w:sz w:val="20"/>
              <w:szCs w:val="20"/>
              <w:shd w:val="clear" w:color="auto" w:fill="FFFFFF"/>
            </w:rPr>
            <w:t>apports</w:t>
          </w:r>
          <w:proofErr w:type="spellEnd"/>
          <w:r w:rsidR="00644730">
            <w:rPr>
              <w:rFonts w:ascii="Arial" w:hAnsi="Arial" w:cs="Arial"/>
              <w:color w:val="222222"/>
              <w:sz w:val="20"/>
              <w:szCs w:val="20"/>
              <w:shd w:val="clear" w:color="auto" w:fill="FFFFFF"/>
            </w:rPr>
            <w:t xml:space="preserve"> de la </w:t>
          </w:r>
          <w:proofErr w:type="spellStart"/>
          <w:r w:rsidR="00644730">
            <w:rPr>
              <w:rFonts w:ascii="Arial" w:hAnsi="Arial" w:cs="Arial"/>
              <w:color w:val="222222"/>
              <w:sz w:val="20"/>
              <w:szCs w:val="20"/>
              <w:shd w:val="clear" w:color="auto" w:fill="FFFFFF"/>
            </w:rPr>
            <w:t>geographie</w:t>
          </w:r>
          <w:proofErr w:type="spellEnd"/>
          <w:r w:rsidR="00644730">
            <w:rPr>
              <w:rFonts w:ascii="Arial" w:hAnsi="Arial" w:cs="Arial"/>
              <w:color w:val="222222"/>
              <w:sz w:val="20"/>
              <w:szCs w:val="20"/>
              <w:shd w:val="clear" w:color="auto" w:fill="FFFFFF"/>
            </w:rPr>
            <w:t xml:space="preserve"> </w:t>
          </w:r>
          <w:proofErr w:type="spellStart"/>
          <w:r w:rsidR="00644730">
            <w:rPr>
              <w:rFonts w:ascii="Arial" w:hAnsi="Arial" w:cs="Arial"/>
              <w:color w:val="222222"/>
              <w:sz w:val="20"/>
              <w:szCs w:val="20"/>
              <w:shd w:val="clear" w:color="auto" w:fill="FFFFFF"/>
            </w:rPr>
            <w:t>actuelle</w:t>
          </w:r>
          <w:proofErr w:type="spellEnd"/>
          <w:r w:rsidR="00644730">
            <w:rPr>
              <w:rFonts w:ascii="Arial" w:hAnsi="Arial" w:cs="Arial"/>
              <w:color w:val="222222"/>
              <w:sz w:val="20"/>
              <w:szCs w:val="20"/>
              <w:shd w:val="clear" w:color="auto" w:fill="FFFFFF"/>
            </w:rPr>
            <w:t xml:space="preserve"> a la </w:t>
          </w:r>
          <w:r w:rsidR="00DB0DAA">
            <w:rPr>
              <w:rFonts w:ascii="Arial" w:hAnsi="Arial" w:cs="Arial"/>
              <w:color w:val="222222"/>
              <w:sz w:val="20"/>
              <w:szCs w:val="20"/>
              <w:shd w:val="clear" w:color="auto" w:fill="FFFFFF"/>
            </w:rPr>
            <w:t xml:space="preserve">comprehension de </w:t>
          </w:r>
          <w:proofErr w:type="spellStart"/>
          <w:r w:rsidR="00DB0DAA">
            <w:rPr>
              <w:rFonts w:ascii="Arial" w:hAnsi="Arial" w:cs="Arial"/>
              <w:color w:val="222222"/>
              <w:sz w:val="20"/>
              <w:szCs w:val="20"/>
              <w:shd w:val="clear" w:color="auto" w:fill="FFFFFF"/>
            </w:rPr>
            <w:t>l’occupation</w:t>
          </w:r>
          <w:proofErr w:type="spellEnd"/>
          <w:r w:rsidR="00DB0DAA">
            <w:rPr>
              <w:rFonts w:ascii="Arial" w:hAnsi="Arial" w:cs="Arial"/>
              <w:color w:val="222222"/>
              <w:sz w:val="20"/>
              <w:szCs w:val="20"/>
              <w:shd w:val="clear" w:color="auto" w:fill="FFFFFF"/>
            </w:rPr>
            <w:t xml:space="preserve"> antique’ in </w:t>
          </w:r>
          <w:r w:rsidR="00DB0DAA">
            <w:rPr>
              <w:rFonts w:ascii="Arial" w:hAnsi="Arial" w:cs="Arial"/>
              <w:i/>
              <w:color w:val="222222"/>
              <w:sz w:val="20"/>
              <w:szCs w:val="20"/>
              <w:shd w:val="clear" w:color="auto" w:fill="FFFFFF"/>
            </w:rPr>
            <w:t>De Anatolia Antiqua</w:t>
          </w:r>
          <w:r w:rsidR="00DB0DAA">
            <w:rPr>
              <w:rFonts w:ascii="Arial" w:hAnsi="Arial" w:cs="Arial"/>
              <w:color w:val="222222"/>
              <w:sz w:val="20"/>
              <w:szCs w:val="20"/>
              <w:shd w:val="clear" w:color="auto" w:fill="FFFFFF"/>
            </w:rPr>
            <w:t>, 243</w:t>
          </w:r>
          <w:r w:rsidR="00247825">
            <w:rPr>
              <w:rFonts w:ascii="Arial" w:hAnsi="Arial" w:cs="Arial"/>
              <w:color w:val="222222"/>
              <w:sz w:val="20"/>
              <w:szCs w:val="20"/>
              <w:shd w:val="clear" w:color="auto" w:fill="FFFFFF"/>
            </w:rPr>
            <w:t xml:space="preserve"> – 51</w:t>
          </w:r>
        </w:p>
        <w:p w14:paraId="37D2A221" w14:textId="279AED29" w:rsidR="00C6373A" w:rsidRDefault="00C6373A">
          <w:r>
            <w:t xml:space="preserve">Berthold, R. M. 1978. "A Historical Fiction in Vitruvius." </w:t>
          </w:r>
          <w:r w:rsidRPr="002C0CC2">
            <w:rPr>
              <w:i/>
            </w:rPr>
            <w:t>CP</w:t>
          </w:r>
          <w:r>
            <w:t xml:space="preserve"> 7</w:t>
          </w:r>
          <w:r w:rsidR="002C0CC2">
            <w:t>3: 129-34</w:t>
          </w:r>
        </w:p>
        <w:p w14:paraId="0A678B93" w14:textId="77777777" w:rsidR="00785520" w:rsidRDefault="00785520" w:rsidP="0078552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Bingen</w:t>
          </w:r>
          <w:proofErr w:type="spellEnd"/>
          <w:r>
            <w:rPr>
              <w:rFonts w:ascii="Arial" w:hAnsi="Arial" w:cs="Arial"/>
              <w:color w:val="222222"/>
              <w:sz w:val="20"/>
              <w:szCs w:val="20"/>
              <w:shd w:val="clear" w:color="auto" w:fill="FFFFFF"/>
            </w:rPr>
            <w:t>, J., 2007. </w:t>
          </w:r>
          <w:r>
            <w:rPr>
              <w:rFonts w:ascii="Arial" w:hAnsi="Arial" w:cs="Arial"/>
              <w:i/>
              <w:iCs/>
              <w:color w:val="222222"/>
              <w:sz w:val="20"/>
              <w:szCs w:val="20"/>
              <w:shd w:val="clear" w:color="auto" w:fill="FFFFFF"/>
            </w:rPr>
            <w:t>Hellenistic Egypt: monarchy, society, economy, culture</w:t>
          </w:r>
          <w:r>
            <w:rPr>
              <w:rFonts w:ascii="Arial" w:hAnsi="Arial" w:cs="Arial"/>
              <w:color w:val="222222"/>
              <w:sz w:val="20"/>
              <w:szCs w:val="20"/>
              <w:shd w:val="clear" w:color="auto" w:fill="FFFFFF"/>
            </w:rPr>
            <w:t xml:space="preserve"> (Vol. 49). </w:t>
          </w:r>
          <w:proofErr w:type="spellStart"/>
          <w:r>
            <w:rPr>
              <w:rFonts w:ascii="Arial" w:hAnsi="Arial" w:cs="Arial"/>
              <w:color w:val="222222"/>
              <w:sz w:val="20"/>
              <w:szCs w:val="20"/>
              <w:shd w:val="clear" w:color="auto" w:fill="FFFFFF"/>
            </w:rPr>
            <w:t>Univ</w:t>
          </w:r>
          <w:proofErr w:type="spellEnd"/>
          <w:r>
            <w:rPr>
              <w:rFonts w:ascii="Arial" w:hAnsi="Arial" w:cs="Arial"/>
              <w:color w:val="222222"/>
              <w:sz w:val="20"/>
              <w:szCs w:val="20"/>
              <w:shd w:val="clear" w:color="auto" w:fill="FFFFFF"/>
            </w:rPr>
            <w:t xml:space="preserve"> of California Press.</w:t>
          </w:r>
        </w:p>
        <w:p w14:paraId="2720BC7D" w14:textId="7B27902A" w:rsidR="00B2792F" w:rsidRPr="00DB0DAA" w:rsidRDefault="00B2792F">
          <w:pPr>
            <w:rPr>
              <w:rFonts w:ascii="Arial" w:hAnsi="Arial" w:cs="Arial"/>
              <w:color w:val="222222"/>
              <w:sz w:val="20"/>
              <w:szCs w:val="20"/>
              <w:shd w:val="clear" w:color="auto" w:fill="FFFFFF"/>
            </w:rPr>
          </w:pPr>
          <w:proofErr w:type="spellStart"/>
          <w:proofErr w:type="gramStart"/>
          <w:r>
            <w:t>Bosworth,A</w:t>
          </w:r>
          <w:proofErr w:type="spellEnd"/>
          <w:r>
            <w:t>.</w:t>
          </w:r>
          <w:proofErr w:type="gramEnd"/>
          <w:r>
            <w:t xml:space="preserve"> B. 1980. A Historical Commentary </w:t>
          </w:r>
          <w:proofErr w:type="spellStart"/>
          <w:r>
            <w:t>onArrian's</w:t>
          </w:r>
          <w:proofErr w:type="spellEnd"/>
          <w:r>
            <w:t xml:space="preserve"> History </w:t>
          </w:r>
          <w:proofErr w:type="spellStart"/>
          <w:r>
            <w:t>ofAlexander</w:t>
          </w:r>
          <w:proofErr w:type="spellEnd"/>
          <w:r>
            <w:t>. Vol. 1. Oxford: Clarendon Press.</w:t>
          </w:r>
        </w:p>
        <w:p w14:paraId="4FF7B0C3" w14:textId="1C8D7C94" w:rsidR="00785520" w:rsidRDefault="00785520" w:rsidP="004813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Brewster, H., 1993. </w:t>
          </w:r>
          <w:r>
            <w:rPr>
              <w:rFonts w:ascii="Arial" w:hAnsi="Arial" w:cs="Arial"/>
              <w:i/>
              <w:iCs/>
              <w:color w:val="222222"/>
              <w:sz w:val="20"/>
              <w:szCs w:val="20"/>
              <w:shd w:val="clear" w:color="auto" w:fill="FFFFFF"/>
            </w:rPr>
            <w:t>Classical Anatolia: the glory of Hellenism</w:t>
          </w:r>
          <w:r>
            <w:rPr>
              <w:rFonts w:ascii="Arial" w:hAnsi="Arial" w:cs="Arial"/>
              <w:color w:val="222222"/>
              <w:sz w:val="20"/>
              <w:szCs w:val="20"/>
              <w:shd w:val="clear" w:color="auto" w:fill="FFFFFF"/>
            </w:rPr>
            <w:t>. IB Tauris.</w:t>
          </w:r>
        </w:p>
        <w:p w14:paraId="572C3566" w14:textId="77777777" w:rsidR="004813D0" w:rsidRDefault="004813D0" w:rsidP="004813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Fox, R.L. ed., 2004. </w:t>
          </w:r>
          <w:r>
            <w:rPr>
              <w:rFonts w:ascii="Arial" w:hAnsi="Arial" w:cs="Arial"/>
              <w:i/>
              <w:iCs/>
              <w:color w:val="222222"/>
              <w:sz w:val="20"/>
              <w:szCs w:val="20"/>
              <w:shd w:val="clear" w:color="auto" w:fill="FFFFFF"/>
            </w:rPr>
            <w:t>The long march: Xenophon and the ten thousand</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Berghahn</w:t>
          </w:r>
          <w:proofErr w:type="spellEnd"/>
          <w:r>
            <w:rPr>
              <w:rFonts w:ascii="Arial" w:hAnsi="Arial" w:cs="Arial"/>
              <w:color w:val="222222"/>
              <w:sz w:val="20"/>
              <w:szCs w:val="20"/>
              <w:shd w:val="clear" w:color="auto" w:fill="FFFFFF"/>
            </w:rPr>
            <w:t xml:space="preserve"> Books.</w:t>
          </w:r>
        </w:p>
        <w:p w14:paraId="62AE0E27" w14:textId="77777777" w:rsidR="004813D0" w:rsidRDefault="004813D0" w:rsidP="004813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Gabbert, J.J., 1986. Piracy in the Early Hellenistic Period: a career open to talents. </w:t>
          </w:r>
          <w:r>
            <w:rPr>
              <w:rFonts w:ascii="Arial" w:hAnsi="Arial" w:cs="Arial"/>
              <w:i/>
              <w:iCs/>
              <w:color w:val="222222"/>
              <w:sz w:val="20"/>
              <w:szCs w:val="20"/>
              <w:shd w:val="clear" w:color="auto" w:fill="FFFFFF"/>
            </w:rPr>
            <w:t>Greece &amp; Rome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(2), pp.156-163.</w:t>
          </w:r>
        </w:p>
        <w:p w14:paraId="504CF261" w14:textId="77777777" w:rsidR="004813D0" w:rsidRDefault="004813D0" w:rsidP="004813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Grainger, J.D., 2017. </w:t>
          </w:r>
          <w:r>
            <w:rPr>
              <w:rFonts w:ascii="Arial" w:hAnsi="Arial" w:cs="Arial"/>
              <w:i/>
              <w:iCs/>
              <w:color w:val="222222"/>
              <w:sz w:val="20"/>
              <w:szCs w:val="20"/>
              <w:shd w:val="clear" w:color="auto" w:fill="FFFFFF"/>
            </w:rPr>
            <w:t>Kings and Kingship in the Hellenistic World 350-30 BC</w:t>
          </w:r>
          <w:r>
            <w:rPr>
              <w:rFonts w:ascii="Arial" w:hAnsi="Arial" w:cs="Arial"/>
              <w:color w:val="222222"/>
              <w:sz w:val="20"/>
              <w:szCs w:val="20"/>
              <w:shd w:val="clear" w:color="auto" w:fill="FFFFFF"/>
            </w:rPr>
            <w:t>. Pen and Sword.</w:t>
          </w:r>
        </w:p>
        <w:p w14:paraId="3C76BF9B" w14:textId="130AB263" w:rsidR="009012A5" w:rsidRDefault="009012A5" w:rsidP="004813D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Habicht</w:t>
          </w:r>
          <w:proofErr w:type="spellEnd"/>
          <w:r>
            <w:rPr>
              <w:rFonts w:ascii="Arial" w:hAnsi="Arial" w:cs="Arial"/>
              <w:color w:val="222222"/>
              <w:sz w:val="20"/>
              <w:szCs w:val="20"/>
              <w:shd w:val="clear" w:color="auto" w:fill="FFFFFF"/>
            </w:rPr>
            <w:t>, C., 1998. </w:t>
          </w:r>
          <w:r>
            <w:rPr>
              <w:rFonts w:ascii="Arial" w:hAnsi="Arial" w:cs="Arial"/>
              <w:i/>
              <w:iCs/>
              <w:color w:val="222222"/>
              <w:sz w:val="20"/>
              <w:szCs w:val="20"/>
              <w:shd w:val="clear" w:color="auto" w:fill="FFFFFF"/>
            </w:rPr>
            <w:t>Pausanias guide to ancient Greece</w:t>
          </w:r>
          <w:r>
            <w:rPr>
              <w:rFonts w:ascii="Arial" w:hAnsi="Arial" w:cs="Arial"/>
              <w:color w:val="222222"/>
              <w:sz w:val="20"/>
              <w:szCs w:val="20"/>
              <w:shd w:val="clear" w:color="auto" w:fill="FFFFFF"/>
            </w:rPr>
            <w:t xml:space="preserve"> (Vol. 50). </w:t>
          </w:r>
          <w:proofErr w:type="spellStart"/>
          <w:r>
            <w:rPr>
              <w:rFonts w:ascii="Arial" w:hAnsi="Arial" w:cs="Arial"/>
              <w:color w:val="222222"/>
              <w:sz w:val="20"/>
              <w:szCs w:val="20"/>
              <w:shd w:val="clear" w:color="auto" w:fill="FFFFFF"/>
            </w:rPr>
            <w:t>Univ</w:t>
          </w:r>
          <w:proofErr w:type="spellEnd"/>
          <w:r>
            <w:rPr>
              <w:rFonts w:ascii="Arial" w:hAnsi="Arial" w:cs="Arial"/>
              <w:color w:val="222222"/>
              <w:sz w:val="20"/>
              <w:szCs w:val="20"/>
              <w:shd w:val="clear" w:color="auto" w:fill="FFFFFF"/>
            </w:rPr>
            <w:t xml:space="preserve"> of California Press.</w:t>
          </w:r>
        </w:p>
        <w:p w14:paraId="2D7134ED" w14:textId="6BBD7B82" w:rsidR="008E18D7" w:rsidRDefault="008E18D7" w:rsidP="004813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Hamilton, J.R., 1999. </w:t>
          </w:r>
          <w:r>
            <w:rPr>
              <w:rFonts w:ascii="Arial" w:hAnsi="Arial" w:cs="Arial"/>
              <w:i/>
              <w:iCs/>
              <w:color w:val="222222"/>
              <w:sz w:val="20"/>
              <w:szCs w:val="20"/>
              <w:shd w:val="clear" w:color="auto" w:fill="FFFFFF"/>
            </w:rPr>
            <w:t>Plutarch: Alexander</w:t>
          </w:r>
          <w:r>
            <w:rPr>
              <w:rFonts w:ascii="Arial" w:hAnsi="Arial" w:cs="Arial"/>
              <w:color w:val="222222"/>
              <w:sz w:val="20"/>
              <w:szCs w:val="20"/>
              <w:shd w:val="clear" w:color="auto" w:fill="FFFFFF"/>
            </w:rPr>
            <w:t>. Duckworth Publishing.</w:t>
          </w:r>
        </w:p>
        <w:p w14:paraId="3B65AAF3" w14:textId="211493A7" w:rsidR="004813D0" w:rsidRDefault="004813D0" w:rsidP="004813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Hoff, M.C. and Townsend, R.F. eds., 2013. </w:t>
          </w:r>
          <w:r>
            <w:rPr>
              <w:rFonts w:ascii="Arial" w:hAnsi="Arial" w:cs="Arial"/>
              <w:i/>
              <w:iCs/>
              <w:color w:val="222222"/>
              <w:sz w:val="20"/>
              <w:szCs w:val="20"/>
              <w:shd w:val="clear" w:color="auto" w:fill="FFFFFF"/>
            </w:rPr>
            <w:t>Rough Cilicia: New Historical and Archaeological Approaches</w:t>
          </w:r>
          <w:r>
            <w:rPr>
              <w:rFonts w:ascii="Arial" w:hAnsi="Arial" w:cs="Arial"/>
              <w:color w:val="222222"/>
              <w:sz w:val="20"/>
              <w:szCs w:val="20"/>
              <w:shd w:val="clear" w:color="auto" w:fill="FFFFFF"/>
            </w:rPr>
            <w:t>. Oxbow Books.</w:t>
          </w:r>
        </w:p>
        <w:p w14:paraId="18DAC943" w14:textId="77777777" w:rsidR="004813D0" w:rsidRDefault="004813D0" w:rsidP="004813D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Konstan</w:t>
          </w:r>
          <w:proofErr w:type="spellEnd"/>
          <w:r>
            <w:rPr>
              <w:rFonts w:ascii="Arial" w:hAnsi="Arial" w:cs="Arial"/>
              <w:color w:val="222222"/>
              <w:sz w:val="20"/>
              <w:szCs w:val="20"/>
              <w:shd w:val="clear" w:color="auto" w:fill="FFFFFF"/>
            </w:rPr>
            <w:t>, D., 2014. </w:t>
          </w:r>
          <w:r>
            <w:rPr>
              <w:rFonts w:ascii="Arial" w:hAnsi="Arial" w:cs="Arial"/>
              <w:i/>
              <w:iCs/>
              <w:color w:val="222222"/>
              <w:sz w:val="20"/>
              <w:szCs w:val="20"/>
              <w:shd w:val="clear" w:color="auto" w:fill="FFFFFF"/>
            </w:rPr>
            <w:t>Beauty: the fortunes of an ancient Greek idea</w:t>
          </w:r>
          <w:r>
            <w:rPr>
              <w:rFonts w:ascii="Arial" w:hAnsi="Arial" w:cs="Arial"/>
              <w:color w:val="222222"/>
              <w:sz w:val="20"/>
              <w:szCs w:val="20"/>
              <w:shd w:val="clear" w:color="auto" w:fill="FFFFFF"/>
            </w:rPr>
            <w:t>. Oxford University Press.</w:t>
          </w:r>
        </w:p>
        <w:p w14:paraId="5116F691" w14:textId="77777777" w:rsidR="004813D0" w:rsidRDefault="004813D0" w:rsidP="004813D0">
          <w:proofErr w:type="spellStart"/>
          <w:r>
            <w:t>Lendreing</w:t>
          </w:r>
          <w:proofErr w:type="spellEnd"/>
          <w:r>
            <w:t xml:space="preserve">, J., 2017, ‘Cilician Gates’, Livius.org, </w:t>
          </w:r>
          <w:hyperlink r:id="rId7" w:history="1">
            <w:r w:rsidRPr="0066345F">
              <w:rPr>
                <w:rStyle w:val="Hyperlink"/>
              </w:rPr>
              <w:t>http://www.livius.org/articles/place/cilician-gate/</w:t>
            </w:r>
          </w:hyperlink>
          <w:r w:rsidRPr="00EB52D8">
            <w:t>?</w:t>
          </w:r>
          <w:r>
            <w:t xml:space="preserve"> [Accessed: 10</w:t>
          </w:r>
          <w:r w:rsidRPr="00EB52D8">
            <w:rPr>
              <w:vertAlign w:val="superscript"/>
            </w:rPr>
            <w:t>th</w:t>
          </w:r>
          <w:r>
            <w:t xml:space="preserve"> of February 2018]</w:t>
          </w:r>
        </w:p>
        <w:p w14:paraId="78FDF80E" w14:textId="77777777" w:rsidR="004813D0" w:rsidRDefault="004813D0" w:rsidP="004813D0">
          <w:proofErr w:type="spellStart"/>
          <w:r>
            <w:t>Lendering</w:t>
          </w:r>
          <w:proofErr w:type="spellEnd"/>
          <w:r>
            <w:t xml:space="preserve">, J., 2017, ‘Tarsus’, Livius.org, </w:t>
          </w:r>
          <w:hyperlink r:id="rId8" w:history="1">
            <w:r w:rsidRPr="0066345F">
              <w:rPr>
                <w:rStyle w:val="Hyperlink"/>
              </w:rPr>
              <w:t>http://www.livius.org/articles/place/tarsus/</w:t>
            </w:r>
          </w:hyperlink>
          <w:r>
            <w:t xml:space="preserve"> [Accessed: 10</w:t>
          </w:r>
          <w:r w:rsidRPr="00A61B34">
            <w:rPr>
              <w:vertAlign w:val="superscript"/>
            </w:rPr>
            <w:t>th</w:t>
          </w:r>
          <w:r>
            <w:t xml:space="preserve"> of February 2018]</w:t>
          </w:r>
        </w:p>
        <w:p w14:paraId="5448A51A" w14:textId="62EB2A6D" w:rsidR="00466144" w:rsidRDefault="00E23FAE">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McKechnie</w:t>
          </w:r>
          <w:bookmarkEnd w:id="0"/>
          <w:r>
            <w:rPr>
              <w:rFonts w:ascii="Arial" w:hAnsi="Arial" w:cs="Arial"/>
              <w:color w:val="222222"/>
              <w:sz w:val="20"/>
              <w:szCs w:val="20"/>
              <w:shd w:val="clear" w:color="auto" w:fill="FFFFFF"/>
            </w:rPr>
            <w:t>, P.R. and Guillaume, P. eds., 2008. </w:t>
          </w:r>
          <w:r>
            <w:rPr>
              <w:rFonts w:ascii="Arial" w:hAnsi="Arial" w:cs="Arial"/>
              <w:i/>
              <w:iCs/>
              <w:color w:val="222222"/>
              <w:sz w:val="20"/>
              <w:szCs w:val="20"/>
              <w:shd w:val="clear" w:color="auto" w:fill="FFFFFF"/>
            </w:rPr>
            <w:t xml:space="preserve">Ptolemy the second </w:t>
          </w:r>
          <w:proofErr w:type="spellStart"/>
          <w:r>
            <w:rPr>
              <w:rFonts w:ascii="Arial" w:hAnsi="Arial" w:cs="Arial"/>
              <w:i/>
              <w:iCs/>
              <w:color w:val="222222"/>
              <w:sz w:val="20"/>
              <w:szCs w:val="20"/>
              <w:shd w:val="clear" w:color="auto" w:fill="FFFFFF"/>
            </w:rPr>
            <w:t>Philadelphus</w:t>
          </w:r>
          <w:proofErr w:type="spellEnd"/>
          <w:r>
            <w:rPr>
              <w:rFonts w:ascii="Arial" w:hAnsi="Arial" w:cs="Arial"/>
              <w:i/>
              <w:iCs/>
              <w:color w:val="222222"/>
              <w:sz w:val="20"/>
              <w:szCs w:val="20"/>
              <w:shd w:val="clear" w:color="auto" w:fill="FFFFFF"/>
            </w:rPr>
            <w:t xml:space="preserve"> and his world</w:t>
          </w:r>
          <w:r>
            <w:rPr>
              <w:rFonts w:ascii="Arial" w:hAnsi="Arial" w:cs="Arial"/>
              <w:color w:val="222222"/>
              <w:sz w:val="20"/>
              <w:szCs w:val="20"/>
              <w:shd w:val="clear" w:color="auto" w:fill="FFFFFF"/>
            </w:rPr>
            <w:t> (Vol. 300). Brill.</w:t>
          </w:r>
        </w:p>
        <w:p w14:paraId="72C775EE" w14:textId="20C718CB" w:rsidR="00DC5FD9" w:rsidRDefault="00DC5FD9">
          <w:pPr>
            <w:rPr>
              <w:rFonts w:ascii="Arial" w:hAnsi="Arial" w:cs="Arial"/>
              <w:color w:val="222222"/>
              <w:sz w:val="20"/>
              <w:szCs w:val="20"/>
              <w:shd w:val="clear" w:color="auto" w:fill="FFFFFF"/>
            </w:rPr>
          </w:pPr>
          <w:r>
            <w:rPr>
              <w:rFonts w:ascii="Arial" w:hAnsi="Arial" w:cs="Arial"/>
              <w:color w:val="222222"/>
              <w:sz w:val="20"/>
              <w:szCs w:val="20"/>
              <w:shd w:val="clear" w:color="auto" w:fill="FFFFFF"/>
            </w:rPr>
            <w:t>Murphy, T.M., 2004. </w:t>
          </w:r>
          <w:r>
            <w:rPr>
              <w:rFonts w:ascii="Arial" w:hAnsi="Arial" w:cs="Arial"/>
              <w:i/>
              <w:iCs/>
              <w:color w:val="222222"/>
              <w:sz w:val="20"/>
              <w:szCs w:val="20"/>
              <w:shd w:val="clear" w:color="auto" w:fill="FFFFFF"/>
            </w:rPr>
            <w:t xml:space="preserve">Pliny the Elder's Natural History: The Empire in the </w:t>
          </w:r>
          <w:proofErr w:type="spellStart"/>
          <w:r>
            <w:rPr>
              <w:rFonts w:ascii="Arial" w:hAnsi="Arial" w:cs="Arial"/>
              <w:i/>
              <w:iCs/>
              <w:color w:val="222222"/>
              <w:sz w:val="20"/>
              <w:szCs w:val="20"/>
              <w:shd w:val="clear" w:color="auto" w:fill="FFFFFF"/>
            </w:rPr>
            <w:t>Encyclopedia</w:t>
          </w:r>
          <w:proofErr w:type="spellEnd"/>
          <w:r>
            <w:rPr>
              <w:rFonts w:ascii="Arial" w:hAnsi="Arial" w:cs="Arial"/>
              <w:color w:val="222222"/>
              <w:sz w:val="20"/>
              <w:szCs w:val="20"/>
              <w:shd w:val="clear" w:color="auto" w:fill="FFFFFF"/>
            </w:rPr>
            <w:t>. Courier Corporation.</w:t>
          </w:r>
        </w:p>
        <w:p w14:paraId="5B07F6FE" w14:textId="129BF64A" w:rsidR="00B77FFE" w:rsidRDefault="00B77FFE">
          <w:r w:rsidRPr="00B77FFE">
            <w:t>Ogden, D. ed., 1999</w:t>
          </w:r>
          <w:r w:rsidRPr="001E7109">
            <w:rPr>
              <w:i/>
            </w:rPr>
            <w:t>. Polygamy, prostitutes and death: The Hellenistic dynasties.</w:t>
          </w:r>
          <w:r w:rsidRPr="00B77FFE">
            <w:t xml:space="preserve"> Classical Press</w:t>
          </w:r>
          <w:r w:rsidR="001E7109">
            <w:t xml:space="preserve"> </w:t>
          </w:r>
          <w:r w:rsidRPr="00B77FFE">
            <w:t>of Wales.</w:t>
          </w:r>
        </w:p>
        <w:p w14:paraId="04442657" w14:textId="3B54A408" w:rsidR="00B33125" w:rsidRDefault="00B33125">
          <w:r>
            <w:rPr>
              <w:rFonts w:ascii="Arial" w:hAnsi="Arial" w:cs="Arial"/>
              <w:color w:val="222222"/>
              <w:sz w:val="20"/>
              <w:szCs w:val="20"/>
              <w:shd w:val="clear" w:color="auto" w:fill="FFFFFF"/>
            </w:rPr>
            <w:t xml:space="preserve">Plutarch, L.I.C., Pearson, F.C., Babbitt, F.H., Sandbach, W.C. and </w:t>
          </w:r>
          <w:proofErr w:type="spellStart"/>
          <w:r>
            <w:rPr>
              <w:rFonts w:ascii="Arial" w:hAnsi="Arial" w:cs="Arial"/>
              <w:color w:val="222222"/>
              <w:sz w:val="20"/>
              <w:szCs w:val="20"/>
              <w:shd w:val="clear" w:color="auto" w:fill="FFFFFF"/>
            </w:rPr>
            <w:t>Hembold</w:t>
          </w:r>
          <w:proofErr w:type="spellEnd"/>
          <w:r>
            <w:rPr>
              <w:rFonts w:ascii="Arial" w:hAnsi="Arial" w:cs="Arial"/>
              <w:color w:val="222222"/>
              <w:sz w:val="20"/>
              <w:szCs w:val="20"/>
              <w:shd w:val="clear" w:color="auto" w:fill="FFFFFF"/>
            </w:rPr>
            <w:t xml:space="preserve">, P., 1960. Plutarch's </w:t>
          </w:r>
          <w:proofErr w:type="spellStart"/>
          <w:r>
            <w:rPr>
              <w:rFonts w:ascii="Arial" w:hAnsi="Arial" w:cs="Arial"/>
              <w:color w:val="222222"/>
              <w:sz w:val="20"/>
              <w:szCs w:val="20"/>
              <w:shd w:val="clear" w:color="auto" w:fill="FFFFFF"/>
            </w:rPr>
            <w:t>moralia</w:t>
          </w:r>
          <w:proofErr w:type="spellEnd"/>
          <w:r>
            <w:rPr>
              <w:rFonts w:ascii="Arial" w:hAnsi="Arial" w:cs="Arial"/>
              <w:color w:val="222222"/>
              <w:sz w:val="20"/>
              <w:szCs w:val="20"/>
              <w:shd w:val="clear" w:color="auto" w:fill="FFFFFF"/>
            </w:rPr>
            <w:t>.</w:t>
          </w:r>
        </w:p>
        <w:p w14:paraId="6377AFBD" w14:textId="77777777" w:rsidR="004813D0" w:rsidRDefault="004813D0" w:rsidP="004813D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Scheidel</w:t>
          </w:r>
          <w:proofErr w:type="spellEnd"/>
          <w:r>
            <w:rPr>
              <w:rFonts w:ascii="Arial" w:hAnsi="Arial" w:cs="Arial"/>
              <w:color w:val="222222"/>
              <w:sz w:val="20"/>
              <w:szCs w:val="20"/>
              <w:shd w:val="clear" w:color="auto" w:fill="FFFFFF"/>
            </w:rPr>
            <w:t>, W., 2001. </w:t>
          </w:r>
          <w:r>
            <w:rPr>
              <w:rFonts w:ascii="Arial" w:hAnsi="Arial" w:cs="Arial"/>
              <w:i/>
              <w:iCs/>
              <w:color w:val="222222"/>
              <w:sz w:val="20"/>
              <w:szCs w:val="20"/>
              <w:shd w:val="clear" w:color="auto" w:fill="FFFFFF"/>
            </w:rPr>
            <w:t>Death on the Nile: disease and the demography of Roman Egypt</w:t>
          </w:r>
          <w:r>
            <w:rPr>
              <w:rFonts w:ascii="Arial" w:hAnsi="Arial" w:cs="Arial"/>
              <w:color w:val="222222"/>
              <w:sz w:val="20"/>
              <w:szCs w:val="20"/>
              <w:shd w:val="clear" w:color="auto" w:fill="FFFFFF"/>
            </w:rPr>
            <w:t> (Vol. 228). Brill.</w:t>
          </w:r>
        </w:p>
        <w:p w14:paraId="49E6A1D5" w14:textId="77777777" w:rsidR="004813D0" w:rsidRDefault="004813D0" w:rsidP="004813D0">
          <w:r>
            <w:t xml:space="preserve">Strabo, </w:t>
          </w:r>
          <w:r>
            <w:rPr>
              <w:i/>
            </w:rPr>
            <w:t xml:space="preserve">The Geography, </w:t>
          </w:r>
          <w:r>
            <w:t xml:space="preserve">trans. Loeb Classical Library, 1928, </w:t>
          </w:r>
          <w:proofErr w:type="spellStart"/>
          <w:r>
            <w:t>Lacuscurtius</w:t>
          </w:r>
          <w:proofErr w:type="spellEnd"/>
          <w:r>
            <w:t xml:space="preserve">, </w:t>
          </w:r>
          <w:hyperlink r:id="rId9" w:history="1">
            <w:r w:rsidRPr="0066345F">
              <w:rPr>
                <w:rStyle w:val="Hyperlink"/>
              </w:rPr>
              <w:t>http://penelope.uchicago.edu/Thayer/E/Roman/Texts/Strabo/14E*.html</w:t>
            </w:r>
          </w:hyperlink>
          <w:r>
            <w:t xml:space="preserve"> [Accessed: 10</w:t>
          </w:r>
          <w:r w:rsidRPr="00D71E9F">
            <w:rPr>
              <w:vertAlign w:val="superscript"/>
            </w:rPr>
            <w:t>th</w:t>
          </w:r>
          <w:r>
            <w:t xml:space="preserve"> of February 2018]</w:t>
          </w:r>
        </w:p>
        <w:p w14:paraId="3E6E28AF" w14:textId="6AEFD44D" w:rsidR="00A61B34" w:rsidRDefault="006D657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Strootman</w:t>
          </w:r>
          <w:proofErr w:type="spellEnd"/>
          <w:r>
            <w:rPr>
              <w:rFonts w:ascii="Arial" w:hAnsi="Arial" w:cs="Arial"/>
              <w:color w:val="222222"/>
              <w:sz w:val="20"/>
              <w:szCs w:val="20"/>
              <w:shd w:val="clear" w:color="auto" w:fill="FFFFFF"/>
            </w:rPr>
            <w:t>, R., 2014. </w:t>
          </w:r>
          <w:r>
            <w:rPr>
              <w:rFonts w:ascii="Arial" w:hAnsi="Arial" w:cs="Arial"/>
              <w:i/>
              <w:iCs/>
              <w:color w:val="222222"/>
              <w:sz w:val="20"/>
              <w:szCs w:val="20"/>
              <w:shd w:val="clear" w:color="auto" w:fill="FFFFFF"/>
            </w:rPr>
            <w:t xml:space="preserve">Courts and Elites in the Hellenistic Empires: The Near East after the Achaemenids, c. 330 to 30 </w:t>
          </w:r>
          <w:proofErr w:type="spellStart"/>
          <w:r>
            <w:rPr>
              <w:rFonts w:ascii="Arial" w:hAnsi="Arial" w:cs="Arial"/>
              <w:i/>
              <w:iCs/>
              <w:color w:val="222222"/>
              <w:sz w:val="20"/>
              <w:szCs w:val="20"/>
              <w:shd w:val="clear" w:color="auto" w:fill="FFFFFF"/>
            </w:rPr>
            <w:t>bce</w:t>
          </w:r>
          <w:proofErr w:type="spellEnd"/>
          <w:r>
            <w:rPr>
              <w:rFonts w:ascii="Arial" w:hAnsi="Arial" w:cs="Arial"/>
              <w:color w:val="222222"/>
              <w:sz w:val="20"/>
              <w:szCs w:val="20"/>
              <w:shd w:val="clear" w:color="auto" w:fill="FFFFFF"/>
            </w:rPr>
            <w:t>. Edinburgh University Press.</w:t>
          </w:r>
        </w:p>
        <w:p w14:paraId="4CC23F57" w14:textId="77777777" w:rsidR="004F3B0B" w:rsidRPr="004D022E" w:rsidRDefault="004F3B0B"/>
        <w:p w14:paraId="2B48FAD5" w14:textId="67F271E3" w:rsidR="00153690" w:rsidRDefault="001E6799"/>
      </w:sdtContent>
    </w:sdt>
    <w:p w14:paraId="52D94F09" w14:textId="77777777" w:rsidR="00153690" w:rsidRPr="00B15356" w:rsidRDefault="00153690" w:rsidP="00B15356">
      <w:pPr>
        <w:spacing w:line="480" w:lineRule="auto"/>
        <w:rPr>
          <w:rFonts w:ascii="Arial" w:hAnsi="Arial" w:cs="Arial"/>
          <w:sz w:val="28"/>
        </w:rPr>
      </w:pPr>
    </w:p>
    <w:sectPr w:rsidR="00153690" w:rsidRPr="00B1535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B882D" w14:textId="77777777" w:rsidR="001E6799" w:rsidRDefault="001E6799" w:rsidP="001C7E25">
      <w:pPr>
        <w:spacing w:after="0" w:line="240" w:lineRule="auto"/>
      </w:pPr>
      <w:r>
        <w:separator/>
      </w:r>
    </w:p>
  </w:endnote>
  <w:endnote w:type="continuationSeparator" w:id="0">
    <w:p w14:paraId="0557D981" w14:textId="77777777" w:rsidR="001E6799" w:rsidRDefault="001E6799" w:rsidP="001C7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49E90" w14:textId="77777777" w:rsidR="004101CF" w:rsidRDefault="004101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B7B947" w14:textId="77777777" w:rsidR="004101CF" w:rsidRDefault="004101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5DF70" w14:textId="77777777" w:rsidR="004101CF" w:rsidRDefault="00410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76BCC" w14:textId="77777777" w:rsidR="001E6799" w:rsidRDefault="001E6799" w:rsidP="001C7E25">
      <w:pPr>
        <w:spacing w:after="0" w:line="240" w:lineRule="auto"/>
      </w:pPr>
      <w:r>
        <w:separator/>
      </w:r>
    </w:p>
  </w:footnote>
  <w:footnote w:type="continuationSeparator" w:id="0">
    <w:p w14:paraId="319B4976" w14:textId="77777777" w:rsidR="001E6799" w:rsidRDefault="001E6799" w:rsidP="001C7E25">
      <w:pPr>
        <w:spacing w:after="0" w:line="240" w:lineRule="auto"/>
      </w:pPr>
      <w:r>
        <w:continuationSeparator/>
      </w:r>
    </w:p>
  </w:footnote>
  <w:footnote w:id="1">
    <w:p w14:paraId="2F2C2192" w14:textId="3AE27DF0" w:rsidR="007063C8" w:rsidRDefault="007063C8">
      <w:pPr>
        <w:pStyle w:val="FootnoteText"/>
      </w:pPr>
      <w:r>
        <w:rPr>
          <w:rStyle w:val="FootnoteReference"/>
        </w:rPr>
        <w:footnoteRef/>
      </w:r>
      <w:r>
        <w:t xml:space="preserve"> </w:t>
      </w:r>
      <w:r w:rsidR="00C9097F">
        <w:rPr>
          <w:rFonts w:ascii="Times New Roman" w:hAnsi="Times New Roman" w:cs="Times New Roman"/>
        </w:rPr>
        <w:t>Fraser, 1972</w:t>
      </w:r>
    </w:p>
  </w:footnote>
  <w:footnote w:id="2">
    <w:p w14:paraId="1E0B7915" w14:textId="4B0C6F2C" w:rsidR="00875DB3" w:rsidRDefault="00875DB3">
      <w:pPr>
        <w:pStyle w:val="FootnoteText"/>
      </w:pPr>
      <w:r>
        <w:rPr>
          <w:rStyle w:val="FootnoteReference"/>
        </w:rPr>
        <w:footnoteRef/>
      </w:r>
      <w:r>
        <w:t xml:space="preserve"> Goddesses such as Aphrodite and Mnemosyne had fair (blonde) hair – see </w:t>
      </w:r>
      <w:proofErr w:type="spellStart"/>
      <w:r w:rsidR="00AC01B4">
        <w:t>Konstan</w:t>
      </w:r>
      <w:proofErr w:type="spellEnd"/>
      <w:r w:rsidR="00AC01B4">
        <w:t>, 2015</w:t>
      </w:r>
    </w:p>
  </w:footnote>
  <w:footnote w:id="3">
    <w:p w14:paraId="5BEE7916" w14:textId="308EB53A" w:rsidR="00875DB3" w:rsidRDefault="00875DB3">
      <w:pPr>
        <w:pStyle w:val="FootnoteText"/>
      </w:pPr>
      <w:r>
        <w:rPr>
          <w:rStyle w:val="FootnoteReference"/>
        </w:rPr>
        <w:footnoteRef/>
      </w:r>
      <w:r>
        <w:t xml:space="preserve"> </w:t>
      </w:r>
      <w:r w:rsidR="00484875">
        <w:t>Goddess of beauty</w:t>
      </w:r>
      <w:r w:rsidR="000659C7">
        <w:t xml:space="preserve"> – see </w:t>
      </w:r>
      <w:proofErr w:type="spellStart"/>
      <w:r w:rsidR="00AC01B4">
        <w:t>Konstan</w:t>
      </w:r>
      <w:proofErr w:type="spellEnd"/>
      <w:r w:rsidR="00AC01B4">
        <w:t>, 2015</w:t>
      </w:r>
    </w:p>
  </w:footnote>
  <w:footnote w:id="4">
    <w:p w14:paraId="7B687AC1" w14:textId="52C6212A" w:rsidR="00C95455" w:rsidRDefault="00C95455">
      <w:pPr>
        <w:pStyle w:val="FootnoteText"/>
      </w:pPr>
      <w:r>
        <w:rPr>
          <w:rStyle w:val="FootnoteReference"/>
        </w:rPr>
        <w:footnoteRef/>
      </w:r>
      <w:r>
        <w:t xml:space="preserve"> </w:t>
      </w:r>
      <w:proofErr w:type="spellStart"/>
      <w:r w:rsidR="007D3F45">
        <w:t>Ruzicka</w:t>
      </w:r>
      <w:proofErr w:type="spellEnd"/>
      <w:r w:rsidR="007D3F45">
        <w:t>, 1992, P.101; Carney, 2005, P.68</w:t>
      </w:r>
    </w:p>
  </w:footnote>
  <w:footnote w:id="5">
    <w:p w14:paraId="26795FD3" w14:textId="69C3EAB1" w:rsidR="004B1FE8" w:rsidRDefault="004B1FE8">
      <w:pPr>
        <w:pStyle w:val="FootnoteText"/>
      </w:pPr>
      <w:r>
        <w:rPr>
          <w:rStyle w:val="FootnoteReference"/>
        </w:rPr>
        <w:footnoteRef/>
      </w:r>
      <w:r>
        <w:t xml:space="preserve"> </w:t>
      </w:r>
      <w:proofErr w:type="spellStart"/>
      <w:r w:rsidR="006E2180">
        <w:t>Bock</w:t>
      </w:r>
      <w:r w:rsidR="00A121CD">
        <w:t>isch</w:t>
      </w:r>
      <w:proofErr w:type="spellEnd"/>
      <w:r w:rsidR="00A121CD">
        <w:t xml:space="preserve">, 1970; </w:t>
      </w:r>
      <w:proofErr w:type="spellStart"/>
      <w:r w:rsidR="00A121CD">
        <w:t>Hornblower</w:t>
      </w:r>
      <w:proofErr w:type="spellEnd"/>
      <w:r w:rsidR="00A121CD">
        <w:t xml:space="preserve"> 1982; </w:t>
      </w:r>
      <w:proofErr w:type="spellStart"/>
      <w:r w:rsidR="00E3762C">
        <w:t>Ruzicka</w:t>
      </w:r>
      <w:proofErr w:type="spellEnd"/>
      <w:r w:rsidR="00E3762C">
        <w:t xml:space="preserve">, 1992; </w:t>
      </w:r>
      <w:r w:rsidR="0048157D">
        <w:t>Carney, 2005</w:t>
      </w:r>
    </w:p>
  </w:footnote>
  <w:footnote w:id="6">
    <w:p w14:paraId="53371ABD" w14:textId="22E7E0A3" w:rsidR="00875DB3" w:rsidRDefault="00875DB3" w:rsidP="0094466F">
      <w:pPr>
        <w:pStyle w:val="FootnoteText"/>
      </w:pPr>
      <w:r>
        <w:rPr>
          <w:rStyle w:val="FootnoteReference"/>
        </w:rPr>
        <w:footnoteRef/>
      </w:r>
      <w:r>
        <w:t xml:space="preserve"> </w:t>
      </w:r>
      <w:r w:rsidR="0004471E">
        <w:t>Carney, 2005</w:t>
      </w:r>
      <w:r w:rsidR="001D50BA">
        <w:t>, P.66</w:t>
      </w:r>
      <w:r w:rsidR="0004471E">
        <w:t xml:space="preserve">; </w:t>
      </w:r>
      <w:proofErr w:type="spellStart"/>
      <w:r w:rsidR="00B35ADE">
        <w:t>Ruzicka</w:t>
      </w:r>
      <w:proofErr w:type="spellEnd"/>
      <w:r w:rsidR="00B35ADE">
        <w:t>, 1992, P.25</w:t>
      </w:r>
    </w:p>
  </w:footnote>
  <w:footnote w:id="7">
    <w:p w14:paraId="60FAFF24" w14:textId="46A8E465" w:rsidR="00875DB3" w:rsidRDefault="00875DB3">
      <w:pPr>
        <w:pStyle w:val="FootnoteText"/>
      </w:pPr>
      <w:r>
        <w:rPr>
          <w:rStyle w:val="FootnoteReference"/>
        </w:rPr>
        <w:footnoteRef/>
      </w:r>
      <w:r>
        <w:t xml:space="preserve"> </w:t>
      </w:r>
      <w:r w:rsidR="004A58D9">
        <w:t xml:space="preserve">Arr. 1.23.7; </w:t>
      </w:r>
      <w:proofErr w:type="spellStart"/>
      <w:r w:rsidR="004A58D9">
        <w:t>Strab</w:t>
      </w:r>
      <w:proofErr w:type="spellEnd"/>
      <w:r w:rsidR="004A58D9">
        <w:t xml:space="preserve">. 14.656; </w:t>
      </w:r>
      <w:proofErr w:type="spellStart"/>
      <w:r w:rsidR="004A58D9">
        <w:t>Diod</w:t>
      </w:r>
      <w:proofErr w:type="spellEnd"/>
      <w:r w:rsidR="004A58D9">
        <w:t>. 16.45.7; Carney, 2005, P.6</w:t>
      </w:r>
      <w:r w:rsidR="00F10CD4">
        <w:t>8</w:t>
      </w:r>
    </w:p>
  </w:footnote>
  <w:footnote w:id="8">
    <w:p w14:paraId="4B42AA56" w14:textId="47C757D0" w:rsidR="002D1F6F" w:rsidRDefault="002D1F6F">
      <w:pPr>
        <w:pStyle w:val="FootnoteText"/>
      </w:pPr>
      <w:r>
        <w:rPr>
          <w:rStyle w:val="FootnoteReference"/>
        </w:rPr>
        <w:footnoteRef/>
      </w:r>
      <w:r>
        <w:t xml:space="preserve"> </w:t>
      </w:r>
      <w:r w:rsidR="002C21A1">
        <w:t>Strab.</w:t>
      </w:r>
      <w:r w:rsidR="008D210F">
        <w:t xml:space="preserve">14.2.17; Carney, 2005, P.70; </w:t>
      </w:r>
      <w:r w:rsidR="00253D18">
        <w:t>Bosworth, 1980, P.154</w:t>
      </w:r>
    </w:p>
  </w:footnote>
  <w:footnote w:id="9">
    <w:p w14:paraId="05B7F655" w14:textId="5C46AB60" w:rsidR="00875DB3" w:rsidRDefault="00875DB3">
      <w:pPr>
        <w:pStyle w:val="FootnoteText"/>
      </w:pPr>
      <w:r>
        <w:rPr>
          <w:rStyle w:val="FootnoteReference"/>
        </w:rPr>
        <w:footnoteRef/>
      </w:r>
      <w:r>
        <w:t xml:space="preserve"> </w:t>
      </w:r>
      <w:r w:rsidR="00D61202">
        <w:t xml:space="preserve">Arr.1.23.8; </w:t>
      </w:r>
      <w:proofErr w:type="spellStart"/>
      <w:r w:rsidR="00386A57">
        <w:t>Plut</w:t>
      </w:r>
      <w:proofErr w:type="spellEnd"/>
      <w:r w:rsidR="00386A57">
        <w:t>.</w:t>
      </w:r>
      <w:r w:rsidR="00386A57" w:rsidRPr="00386A57">
        <w:t xml:space="preserve"> </w:t>
      </w:r>
      <w:r w:rsidR="00386A57">
        <w:t>Alex. 22.4-5; Mor. 127b, 180; Carney, 2005, P.70</w:t>
      </w:r>
    </w:p>
  </w:footnote>
  <w:footnote w:id="10">
    <w:p w14:paraId="16B481E2" w14:textId="656676F1" w:rsidR="00875DB3" w:rsidRDefault="00875DB3">
      <w:pPr>
        <w:pStyle w:val="FootnoteText"/>
      </w:pPr>
      <w:r>
        <w:rPr>
          <w:rStyle w:val="FootnoteReference"/>
        </w:rPr>
        <w:footnoteRef/>
      </w:r>
      <w:r>
        <w:t xml:space="preserve"> </w:t>
      </w:r>
      <w:r w:rsidR="00815BBA">
        <w:t>Vit.</w:t>
      </w:r>
      <w:r w:rsidR="00A23234">
        <w:t xml:space="preserve">2.14-15; </w:t>
      </w:r>
      <w:proofErr w:type="spellStart"/>
      <w:r w:rsidR="00293111">
        <w:t>Bockisch</w:t>
      </w:r>
      <w:proofErr w:type="spellEnd"/>
      <w:r w:rsidR="00293111">
        <w:t xml:space="preserve"> 1970,</w:t>
      </w:r>
      <w:r w:rsidR="00EF7F04">
        <w:t xml:space="preserve"> P.</w:t>
      </w:r>
      <w:r w:rsidR="00293111">
        <w:t>162; Bean</w:t>
      </w:r>
      <w:r w:rsidR="00D3119E">
        <w:t>,</w:t>
      </w:r>
      <w:r w:rsidR="00B74D3B">
        <w:t xml:space="preserve"> 1980</w:t>
      </w:r>
    </w:p>
  </w:footnote>
  <w:footnote w:id="11">
    <w:p w14:paraId="12715CC9" w14:textId="0E898ACA" w:rsidR="008C39E2" w:rsidRDefault="008C39E2">
      <w:pPr>
        <w:pStyle w:val="FootnoteText"/>
      </w:pPr>
      <w:r>
        <w:rPr>
          <w:rStyle w:val="FootnoteReference"/>
        </w:rPr>
        <w:footnoteRef/>
      </w:r>
      <w:r>
        <w:t xml:space="preserve"> </w:t>
      </w:r>
      <w:proofErr w:type="spellStart"/>
      <w:r w:rsidR="00E90D5B">
        <w:t>Sche</w:t>
      </w:r>
      <w:r w:rsidR="0014580D">
        <w:t>i</w:t>
      </w:r>
      <w:r w:rsidR="00E90D5B">
        <w:t>del</w:t>
      </w:r>
      <w:proofErr w:type="spellEnd"/>
      <w:r w:rsidR="0014580D">
        <w:t>, 2001</w:t>
      </w:r>
      <w:r w:rsidR="00E90D5B">
        <w:t xml:space="preserve"> </w:t>
      </w:r>
    </w:p>
  </w:footnote>
  <w:footnote w:id="12">
    <w:p w14:paraId="54C4AFB0" w14:textId="1F1F63FA" w:rsidR="00F51856" w:rsidRDefault="00F51856">
      <w:pPr>
        <w:pStyle w:val="FootnoteText"/>
      </w:pPr>
      <w:r>
        <w:rPr>
          <w:rStyle w:val="FootnoteReference"/>
        </w:rPr>
        <w:footnoteRef/>
      </w:r>
      <w:r>
        <w:t xml:space="preserve"> </w:t>
      </w:r>
      <w:proofErr w:type="spellStart"/>
      <w:r w:rsidR="00850A5E">
        <w:t>Strab</w:t>
      </w:r>
      <w:proofErr w:type="spellEnd"/>
      <w:r w:rsidR="00850A5E">
        <w:t xml:space="preserve">. </w:t>
      </w:r>
      <w:r w:rsidR="0074190A">
        <w:t>17.1.</w:t>
      </w:r>
      <w:r w:rsidR="00A42E9A">
        <w:t xml:space="preserve">7; </w:t>
      </w:r>
      <w:proofErr w:type="spellStart"/>
      <w:r w:rsidR="00A42E9A">
        <w:t>Scheidel</w:t>
      </w:r>
      <w:proofErr w:type="spellEnd"/>
      <w:r w:rsidR="00A42E9A">
        <w:t xml:space="preserve">, 2001; </w:t>
      </w:r>
    </w:p>
  </w:footnote>
  <w:footnote w:id="13">
    <w:p w14:paraId="1322189F" w14:textId="19D75754" w:rsidR="00875DB3" w:rsidRDefault="00875DB3">
      <w:pPr>
        <w:pStyle w:val="FootnoteText"/>
      </w:pPr>
      <w:r>
        <w:rPr>
          <w:rStyle w:val="FootnoteReference"/>
        </w:rPr>
        <w:footnoteRef/>
      </w:r>
      <w:r w:rsidR="00A1230F" w:rsidRPr="00A1230F">
        <w:t xml:space="preserve">5 </w:t>
      </w:r>
      <w:proofErr w:type="spellStart"/>
      <w:r w:rsidR="00A1230F" w:rsidRPr="00A1230F">
        <w:t>Strab</w:t>
      </w:r>
      <w:proofErr w:type="spellEnd"/>
      <w:r w:rsidR="00A1230F" w:rsidRPr="00A1230F">
        <w:t xml:space="preserve">. 14.16; </w:t>
      </w:r>
      <w:proofErr w:type="spellStart"/>
      <w:r w:rsidR="00A1230F" w:rsidRPr="00A1230F">
        <w:t>Cic</w:t>
      </w:r>
      <w:proofErr w:type="spellEnd"/>
      <w:r w:rsidR="00A1230F" w:rsidRPr="00A1230F">
        <w:t xml:space="preserve">. </w:t>
      </w:r>
      <w:proofErr w:type="spellStart"/>
      <w:r w:rsidR="00A1230F" w:rsidRPr="00A1230F">
        <w:t>Tusc</w:t>
      </w:r>
      <w:proofErr w:type="spellEnd"/>
      <w:r w:rsidR="00A1230F" w:rsidRPr="00A1230F">
        <w:t xml:space="preserve">. 3.31.75; </w:t>
      </w:r>
      <w:proofErr w:type="spellStart"/>
      <w:r w:rsidR="00A1230F" w:rsidRPr="00A1230F">
        <w:t>Aul</w:t>
      </w:r>
      <w:proofErr w:type="spellEnd"/>
      <w:r w:rsidR="00A1230F" w:rsidRPr="00A1230F">
        <w:t xml:space="preserve">. </w:t>
      </w:r>
      <w:proofErr w:type="spellStart"/>
      <w:r w:rsidR="00A1230F" w:rsidRPr="00A1230F">
        <w:t>Gell</w:t>
      </w:r>
      <w:proofErr w:type="spellEnd"/>
      <w:r w:rsidR="00A1230F" w:rsidRPr="00A1230F">
        <w:t xml:space="preserve">. NA. 10.18.4; </w:t>
      </w:r>
      <w:proofErr w:type="spellStart"/>
      <w:r w:rsidR="00A1230F" w:rsidRPr="00A1230F">
        <w:t>Plin</w:t>
      </w:r>
      <w:proofErr w:type="spellEnd"/>
      <w:r w:rsidR="00A1230F" w:rsidRPr="00A1230F">
        <w:t>. N</w:t>
      </w:r>
      <w:r>
        <w:t xml:space="preserve"> </w:t>
      </w:r>
    </w:p>
  </w:footnote>
  <w:footnote w:id="14">
    <w:p w14:paraId="23982B9D" w14:textId="6E16EEF9" w:rsidR="0063658A" w:rsidRDefault="0063658A">
      <w:pPr>
        <w:pStyle w:val="FootnoteText"/>
      </w:pPr>
      <w:r>
        <w:rPr>
          <w:rStyle w:val="FootnoteReference"/>
        </w:rPr>
        <w:footnoteRef/>
      </w:r>
      <w:r>
        <w:t xml:space="preserve"> </w:t>
      </w:r>
      <w:r w:rsidR="003973A4">
        <w:t>Strab.</w:t>
      </w:r>
      <w:r w:rsidR="00EF2B97">
        <w:t>14.656</w:t>
      </w:r>
    </w:p>
  </w:footnote>
  <w:footnote w:id="15">
    <w:p w14:paraId="762D356E" w14:textId="5B598E01" w:rsidR="00DD3601" w:rsidRPr="00890B76" w:rsidRDefault="00DD3601">
      <w:pPr>
        <w:pStyle w:val="FootnoteText"/>
      </w:pPr>
      <w:r>
        <w:rPr>
          <w:rStyle w:val="FootnoteReference"/>
        </w:rPr>
        <w:footnoteRef/>
      </w:r>
      <w:r>
        <w:t xml:space="preserve"> </w:t>
      </w:r>
      <w:r w:rsidR="00F15CA2">
        <w:t xml:space="preserve">Ogden, </w:t>
      </w:r>
      <w:r w:rsidR="00890B76">
        <w:t xml:space="preserve">1999, </w:t>
      </w:r>
      <w:r w:rsidR="00890B76">
        <w:rPr>
          <w:i/>
        </w:rPr>
        <w:t>xi</w:t>
      </w:r>
      <w:r w:rsidR="00890B76">
        <w:t xml:space="preserve">; </w:t>
      </w:r>
      <w:proofErr w:type="spellStart"/>
      <w:r w:rsidR="002C3D1C">
        <w:t>Bingen</w:t>
      </w:r>
      <w:proofErr w:type="spellEnd"/>
      <w:r w:rsidR="00094DD5">
        <w:t xml:space="preserve">, 2007; </w:t>
      </w:r>
      <w:proofErr w:type="spellStart"/>
      <w:r w:rsidR="006E0BB7">
        <w:t>Strootman</w:t>
      </w:r>
      <w:proofErr w:type="spellEnd"/>
      <w:r w:rsidR="006E0BB7">
        <w:t xml:space="preserve">, </w:t>
      </w:r>
      <w:r w:rsidR="00A4611F">
        <w:t>2014</w:t>
      </w:r>
    </w:p>
  </w:footnote>
  <w:footnote w:id="16">
    <w:p w14:paraId="3E93D26D" w14:textId="413D5F5D" w:rsidR="00BD2E66" w:rsidRDefault="00BD2E66">
      <w:pPr>
        <w:pStyle w:val="FootnoteText"/>
      </w:pPr>
      <w:r>
        <w:rPr>
          <w:rStyle w:val="FootnoteReference"/>
        </w:rPr>
        <w:footnoteRef/>
      </w:r>
      <w:r>
        <w:t xml:space="preserve"> </w:t>
      </w:r>
      <w:proofErr w:type="spellStart"/>
      <w:r w:rsidR="00321B7A">
        <w:t>Lendering</w:t>
      </w:r>
      <w:proofErr w:type="spellEnd"/>
      <w:r w:rsidR="00EA441C">
        <w:t xml:space="preserve">, 2017; Brewster, </w:t>
      </w:r>
      <w:r w:rsidR="00C44D02">
        <w:t>1993</w:t>
      </w:r>
    </w:p>
  </w:footnote>
  <w:footnote w:id="17">
    <w:p w14:paraId="0FEDFA13" w14:textId="28510342" w:rsidR="00F22063" w:rsidRDefault="00F22063">
      <w:pPr>
        <w:pStyle w:val="FootnoteText"/>
      </w:pPr>
      <w:r>
        <w:rPr>
          <w:rStyle w:val="FootnoteReference"/>
        </w:rPr>
        <w:footnoteRef/>
      </w:r>
      <w:r>
        <w:t xml:space="preserve"> </w:t>
      </w:r>
      <w:proofErr w:type="spellStart"/>
      <w:r w:rsidR="004C39A2">
        <w:t>Strab</w:t>
      </w:r>
      <w:proofErr w:type="spellEnd"/>
      <w:r w:rsidR="004C39A2">
        <w:t xml:space="preserve">. </w:t>
      </w:r>
      <w:r w:rsidR="00592923">
        <w:t>14.5.10</w:t>
      </w:r>
    </w:p>
  </w:footnote>
  <w:footnote w:id="18">
    <w:p w14:paraId="6EA36FF0" w14:textId="6E72DF9A" w:rsidR="00461072" w:rsidRDefault="00461072">
      <w:pPr>
        <w:pStyle w:val="FootnoteText"/>
      </w:pPr>
      <w:r>
        <w:rPr>
          <w:rStyle w:val="FootnoteReference"/>
        </w:rPr>
        <w:footnoteRef/>
      </w:r>
      <w:r>
        <w:t xml:space="preserve"> </w:t>
      </w:r>
      <w:r w:rsidR="00DE47C1">
        <w:t>Hoff and Townsend</w:t>
      </w:r>
      <w:r w:rsidR="008101F0">
        <w:t xml:space="preserve">, 2013; </w:t>
      </w:r>
      <w:proofErr w:type="spellStart"/>
      <w:r w:rsidR="002A69A4">
        <w:t>Bazin</w:t>
      </w:r>
      <w:proofErr w:type="spellEnd"/>
      <w:r w:rsidR="002A69A4">
        <w:t>, 1991</w:t>
      </w:r>
    </w:p>
  </w:footnote>
  <w:footnote w:id="19">
    <w:p w14:paraId="00EC9684" w14:textId="73928462" w:rsidR="008B2B8D" w:rsidRDefault="008B2B8D">
      <w:pPr>
        <w:pStyle w:val="FootnoteText"/>
      </w:pPr>
      <w:r>
        <w:rPr>
          <w:rStyle w:val="FootnoteReference"/>
        </w:rPr>
        <w:footnoteRef/>
      </w:r>
      <w:r>
        <w:t xml:space="preserve"> </w:t>
      </w:r>
      <w:proofErr w:type="spellStart"/>
      <w:r w:rsidR="00C0268D">
        <w:t>Lendring</w:t>
      </w:r>
      <w:proofErr w:type="spellEnd"/>
      <w:r w:rsidR="00C0268D">
        <w:t xml:space="preserve">, </w:t>
      </w:r>
      <w:r w:rsidR="00966B9B">
        <w:t>2017</w:t>
      </w:r>
    </w:p>
  </w:footnote>
  <w:footnote w:id="20">
    <w:p w14:paraId="01903D5A" w14:textId="004383C2" w:rsidR="00853F46" w:rsidRPr="009A067E" w:rsidRDefault="00853F46" w:rsidP="00853F46">
      <w:pPr>
        <w:pStyle w:val="FootnoteText"/>
      </w:pPr>
      <w:r>
        <w:rPr>
          <w:rStyle w:val="FootnoteReference"/>
        </w:rPr>
        <w:footnoteRef/>
      </w:r>
      <w:r>
        <w:t xml:space="preserve"> </w:t>
      </w:r>
      <w:proofErr w:type="spellStart"/>
      <w:r w:rsidR="009A067E">
        <w:t>Xeno</w:t>
      </w:r>
      <w:proofErr w:type="spellEnd"/>
      <w:r w:rsidR="009A067E">
        <w:t xml:space="preserve">. </w:t>
      </w:r>
      <w:r w:rsidR="009A067E">
        <w:rPr>
          <w:i/>
        </w:rPr>
        <w:t>Ana.</w:t>
      </w:r>
      <w:r w:rsidR="009A067E">
        <w:t>1.2.21</w:t>
      </w:r>
    </w:p>
  </w:footnote>
  <w:footnote w:id="21">
    <w:p w14:paraId="738160B9" w14:textId="0F6E36A7" w:rsidR="00966B9B" w:rsidRDefault="00966B9B">
      <w:pPr>
        <w:pStyle w:val="FootnoteText"/>
      </w:pPr>
      <w:r>
        <w:rPr>
          <w:rStyle w:val="FootnoteReference"/>
        </w:rPr>
        <w:footnoteRef/>
      </w:r>
      <w:r>
        <w:t xml:space="preserve"> </w:t>
      </w:r>
      <w:r w:rsidR="00612CB7">
        <w:t>Gabbert, 1986</w:t>
      </w:r>
    </w:p>
  </w:footnote>
  <w:footnote w:id="22">
    <w:p w14:paraId="03778ADB" w14:textId="323BE6F4" w:rsidR="003C523A" w:rsidRDefault="003C523A">
      <w:pPr>
        <w:pStyle w:val="FootnoteText"/>
      </w:pPr>
      <w:r>
        <w:rPr>
          <w:rStyle w:val="FootnoteReference"/>
        </w:rPr>
        <w:footnoteRef/>
      </w:r>
      <w:r>
        <w:t xml:space="preserve"> Paus.1.7.3</w:t>
      </w:r>
    </w:p>
  </w:footnote>
  <w:footnote w:id="23">
    <w:p w14:paraId="213942C8" w14:textId="3AAF9FA5" w:rsidR="009B6733" w:rsidRDefault="009B6733">
      <w:pPr>
        <w:pStyle w:val="FootnoteText"/>
      </w:pPr>
      <w:r>
        <w:rPr>
          <w:rStyle w:val="FootnoteReference"/>
        </w:rPr>
        <w:footnoteRef/>
      </w:r>
      <w:r>
        <w:t xml:space="preserve"> </w:t>
      </w:r>
      <w:r w:rsidR="00466144" w:rsidRPr="00466144">
        <w:t>McKechnie</w:t>
      </w:r>
      <w:r w:rsidR="006E14CA">
        <w:t>, 20</w:t>
      </w:r>
      <w:r w:rsidR="00CF203C">
        <w:t>08</w:t>
      </w:r>
    </w:p>
  </w:footnote>
  <w:footnote w:id="24">
    <w:p w14:paraId="0FBE77ED" w14:textId="400675CD" w:rsidR="00AF5BE4" w:rsidRDefault="00AF5BE4">
      <w:pPr>
        <w:pStyle w:val="FootnoteText"/>
      </w:pPr>
      <w:r>
        <w:rPr>
          <w:rStyle w:val="FootnoteReference"/>
        </w:rPr>
        <w:footnoteRef/>
      </w:r>
      <w:r w:rsidR="00466144" w:rsidRPr="00466144">
        <w:t>McKechnie</w:t>
      </w:r>
      <w:r w:rsidR="00153690">
        <w:t>, 2008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0970DA" w14:textId="77777777" w:rsidR="004101CF" w:rsidRDefault="004101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21F35" w14:textId="6C0D7995" w:rsidR="004101CF" w:rsidRDefault="004101CF">
    <w:pPr>
      <w:pStyle w:val="Header"/>
    </w:pPr>
    <w:r>
      <w:t>1501514                                                                                                                                              1,000 words</w:t>
    </w:r>
  </w:p>
  <w:p w14:paraId="1B76A97E" w14:textId="62E8B263" w:rsidR="004101CF" w:rsidRDefault="004101CF">
    <w:pPr>
      <w:pStyle w:val="Header"/>
    </w:pPr>
    <w:r>
      <w:t xml:space="preserve">R. </w:t>
    </w:r>
    <w:r>
      <w:t xml:space="preserve">Neill                                                                                                                                                  </w:t>
    </w:r>
    <w:r>
      <w:t>13/02/18</w:t>
    </w:r>
    <w:bookmarkStart w:id="1" w:name="_GoBack"/>
    <w:bookmarkEnd w:id="1"/>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C887A" w14:textId="77777777" w:rsidR="004101CF" w:rsidRDefault="004101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CCF"/>
    <w:rsid w:val="00004F4D"/>
    <w:rsid w:val="000070A2"/>
    <w:rsid w:val="0004471E"/>
    <w:rsid w:val="000659C7"/>
    <w:rsid w:val="00076879"/>
    <w:rsid w:val="0007753D"/>
    <w:rsid w:val="00084F12"/>
    <w:rsid w:val="00086052"/>
    <w:rsid w:val="00094DD5"/>
    <w:rsid w:val="0009552D"/>
    <w:rsid w:val="000B3C41"/>
    <w:rsid w:val="0010555C"/>
    <w:rsid w:val="0014580D"/>
    <w:rsid w:val="00153690"/>
    <w:rsid w:val="00157256"/>
    <w:rsid w:val="001878EB"/>
    <w:rsid w:val="001A22A9"/>
    <w:rsid w:val="001C7E25"/>
    <w:rsid w:val="001D50BA"/>
    <w:rsid w:val="001E6799"/>
    <w:rsid w:val="001E7109"/>
    <w:rsid w:val="001F495C"/>
    <w:rsid w:val="00220A19"/>
    <w:rsid w:val="00240A04"/>
    <w:rsid w:val="00247825"/>
    <w:rsid w:val="00253D18"/>
    <w:rsid w:val="0026172A"/>
    <w:rsid w:val="002713C3"/>
    <w:rsid w:val="00293111"/>
    <w:rsid w:val="002A69A4"/>
    <w:rsid w:val="002C0CC2"/>
    <w:rsid w:val="002C21A1"/>
    <w:rsid w:val="002C3D1C"/>
    <w:rsid w:val="002C7A31"/>
    <w:rsid w:val="002D1F6F"/>
    <w:rsid w:val="002D7C08"/>
    <w:rsid w:val="002F2A7D"/>
    <w:rsid w:val="00305510"/>
    <w:rsid w:val="00321B7A"/>
    <w:rsid w:val="003245D3"/>
    <w:rsid w:val="00357943"/>
    <w:rsid w:val="00371198"/>
    <w:rsid w:val="00377EAF"/>
    <w:rsid w:val="00386A57"/>
    <w:rsid w:val="003973A4"/>
    <w:rsid w:val="003A6560"/>
    <w:rsid w:val="003C523A"/>
    <w:rsid w:val="003C7BC0"/>
    <w:rsid w:val="003F733E"/>
    <w:rsid w:val="0040294B"/>
    <w:rsid w:val="004101CF"/>
    <w:rsid w:val="00423D3D"/>
    <w:rsid w:val="00461072"/>
    <w:rsid w:val="00466144"/>
    <w:rsid w:val="0046721C"/>
    <w:rsid w:val="004813D0"/>
    <w:rsid w:val="0048157D"/>
    <w:rsid w:val="00484875"/>
    <w:rsid w:val="00491FC8"/>
    <w:rsid w:val="004A58D9"/>
    <w:rsid w:val="004B1FE8"/>
    <w:rsid w:val="004C39A2"/>
    <w:rsid w:val="004D022E"/>
    <w:rsid w:val="004D7F42"/>
    <w:rsid w:val="004F3B0B"/>
    <w:rsid w:val="0056428F"/>
    <w:rsid w:val="0058038A"/>
    <w:rsid w:val="00592923"/>
    <w:rsid w:val="005C78A4"/>
    <w:rsid w:val="005C7DCD"/>
    <w:rsid w:val="005F75AB"/>
    <w:rsid w:val="00612CB7"/>
    <w:rsid w:val="0063658A"/>
    <w:rsid w:val="00642BA2"/>
    <w:rsid w:val="00644730"/>
    <w:rsid w:val="00664AFF"/>
    <w:rsid w:val="0067499A"/>
    <w:rsid w:val="006A6AA8"/>
    <w:rsid w:val="006D6573"/>
    <w:rsid w:val="006E0BA9"/>
    <w:rsid w:val="006E0BB7"/>
    <w:rsid w:val="006E14CA"/>
    <w:rsid w:val="006E2180"/>
    <w:rsid w:val="00702BB0"/>
    <w:rsid w:val="007063C8"/>
    <w:rsid w:val="00725D5C"/>
    <w:rsid w:val="0074190A"/>
    <w:rsid w:val="007720A9"/>
    <w:rsid w:val="00785520"/>
    <w:rsid w:val="007D3A09"/>
    <w:rsid w:val="007D3F45"/>
    <w:rsid w:val="007D701F"/>
    <w:rsid w:val="008101F0"/>
    <w:rsid w:val="00815BBA"/>
    <w:rsid w:val="00842F4F"/>
    <w:rsid w:val="00850A5E"/>
    <w:rsid w:val="00853F46"/>
    <w:rsid w:val="00854B7F"/>
    <w:rsid w:val="00875DB3"/>
    <w:rsid w:val="00890B76"/>
    <w:rsid w:val="008B2B8D"/>
    <w:rsid w:val="008B7471"/>
    <w:rsid w:val="008C39E2"/>
    <w:rsid w:val="008D210F"/>
    <w:rsid w:val="008E18D7"/>
    <w:rsid w:val="009012A5"/>
    <w:rsid w:val="00904BAC"/>
    <w:rsid w:val="00915AA7"/>
    <w:rsid w:val="009420D7"/>
    <w:rsid w:val="0094466F"/>
    <w:rsid w:val="00945510"/>
    <w:rsid w:val="00956C04"/>
    <w:rsid w:val="00957002"/>
    <w:rsid w:val="00966B9B"/>
    <w:rsid w:val="009974D9"/>
    <w:rsid w:val="009A067E"/>
    <w:rsid w:val="009B6733"/>
    <w:rsid w:val="009D1DFE"/>
    <w:rsid w:val="009F7D1C"/>
    <w:rsid w:val="00A04CAA"/>
    <w:rsid w:val="00A06CF2"/>
    <w:rsid w:val="00A10F6A"/>
    <w:rsid w:val="00A11E64"/>
    <w:rsid w:val="00A121CD"/>
    <w:rsid w:val="00A1230F"/>
    <w:rsid w:val="00A23234"/>
    <w:rsid w:val="00A3042B"/>
    <w:rsid w:val="00A42E9A"/>
    <w:rsid w:val="00A4611F"/>
    <w:rsid w:val="00A61B34"/>
    <w:rsid w:val="00A73833"/>
    <w:rsid w:val="00A73B9E"/>
    <w:rsid w:val="00A81CEE"/>
    <w:rsid w:val="00AA44D1"/>
    <w:rsid w:val="00AA6992"/>
    <w:rsid w:val="00AC01B4"/>
    <w:rsid w:val="00AF4AF5"/>
    <w:rsid w:val="00AF5BE4"/>
    <w:rsid w:val="00B15356"/>
    <w:rsid w:val="00B23CCC"/>
    <w:rsid w:val="00B2792F"/>
    <w:rsid w:val="00B33125"/>
    <w:rsid w:val="00B35ADE"/>
    <w:rsid w:val="00B74D3B"/>
    <w:rsid w:val="00B77FFE"/>
    <w:rsid w:val="00B83743"/>
    <w:rsid w:val="00B86B23"/>
    <w:rsid w:val="00BB4D27"/>
    <w:rsid w:val="00BD118B"/>
    <w:rsid w:val="00BD2E66"/>
    <w:rsid w:val="00BE592C"/>
    <w:rsid w:val="00BF5448"/>
    <w:rsid w:val="00C0268D"/>
    <w:rsid w:val="00C233A5"/>
    <w:rsid w:val="00C34302"/>
    <w:rsid w:val="00C44D02"/>
    <w:rsid w:val="00C6373A"/>
    <w:rsid w:val="00C9097F"/>
    <w:rsid w:val="00C917B0"/>
    <w:rsid w:val="00C95455"/>
    <w:rsid w:val="00CC7C9E"/>
    <w:rsid w:val="00CF203C"/>
    <w:rsid w:val="00D22706"/>
    <w:rsid w:val="00D3119E"/>
    <w:rsid w:val="00D61202"/>
    <w:rsid w:val="00D71E9F"/>
    <w:rsid w:val="00D72158"/>
    <w:rsid w:val="00DB09F3"/>
    <w:rsid w:val="00DB0DAA"/>
    <w:rsid w:val="00DC5FD9"/>
    <w:rsid w:val="00DD3601"/>
    <w:rsid w:val="00DE47C1"/>
    <w:rsid w:val="00E03E88"/>
    <w:rsid w:val="00E06F1D"/>
    <w:rsid w:val="00E23FAE"/>
    <w:rsid w:val="00E3762C"/>
    <w:rsid w:val="00E454F4"/>
    <w:rsid w:val="00E7606C"/>
    <w:rsid w:val="00E814DF"/>
    <w:rsid w:val="00E90D5B"/>
    <w:rsid w:val="00E96532"/>
    <w:rsid w:val="00EA3B49"/>
    <w:rsid w:val="00EA441C"/>
    <w:rsid w:val="00EB52D8"/>
    <w:rsid w:val="00EC6CD2"/>
    <w:rsid w:val="00ED121F"/>
    <w:rsid w:val="00EF2B97"/>
    <w:rsid w:val="00EF7F04"/>
    <w:rsid w:val="00F071ED"/>
    <w:rsid w:val="00F10CD4"/>
    <w:rsid w:val="00F15CA2"/>
    <w:rsid w:val="00F22063"/>
    <w:rsid w:val="00F51856"/>
    <w:rsid w:val="00F76909"/>
    <w:rsid w:val="00F76B52"/>
    <w:rsid w:val="00FB4EA1"/>
    <w:rsid w:val="00FB7CCF"/>
    <w:rsid w:val="00FF2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4ABAC0"/>
  <w15:chartTrackingRefBased/>
  <w15:docId w15:val="{4F32105F-312A-417D-8D10-E4E85201F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69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C7E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7E25"/>
    <w:rPr>
      <w:sz w:val="20"/>
      <w:szCs w:val="20"/>
    </w:rPr>
  </w:style>
  <w:style w:type="character" w:styleId="FootnoteReference">
    <w:name w:val="footnote reference"/>
    <w:basedOn w:val="DefaultParagraphFont"/>
    <w:uiPriority w:val="99"/>
    <w:semiHidden/>
    <w:unhideWhenUsed/>
    <w:rsid w:val="001C7E25"/>
    <w:rPr>
      <w:vertAlign w:val="superscript"/>
    </w:rPr>
  </w:style>
  <w:style w:type="character" w:customStyle="1" w:styleId="Heading1Char">
    <w:name w:val="Heading 1 Char"/>
    <w:basedOn w:val="DefaultParagraphFont"/>
    <w:link w:val="Heading1"/>
    <w:uiPriority w:val="9"/>
    <w:rsid w:val="0015369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EB52D8"/>
    <w:rPr>
      <w:color w:val="0563C1" w:themeColor="hyperlink"/>
      <w:u w:val="single"/>
    </w:rPr>
  </w:style>
  <w:style w:type="character" w:styleId="UnresolvedMention">
    <w:name w:val="Unresolved Mention"/>
    <w:basedOn w:val="DefaultParagraphFont"/>
    <w:uiPriority w:val="99"/>
    <w:semiHidden/>
    <w:unhideWhenUsed/>
    <w:rsid w:val="00EB52D8"/>
    <w:rPr>
      <w:color w:val="808080"/>
      <w:shd w:val="clear" w:color="auto" w:fill="E6E6E6"/>
    </w:rPr>
  </w:style>
  <w:style w:type="paragraph" w:styleId="Header">
    <w:name w:val="header"/>
    <w:basedOn w:val="Normal"/>
    <w:link w:val="HeaderChar"/>
    <w:uiPriority w:val="99"/>
    <w:unhideWhenUsed/>
    <w:rsid w:val="004101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1CF"/>
  </w:style>
  <w:style w:type="paragraph" w:styleId="Footer">
    <w:name w:val="footer"/>
    <w:basedOn w:val="Normal"/>
    <w:link w:val="FooterChar"/>
    <w:uiPriority w:val="99"/>
    <w:unhideWhenUsed/>
    <w:rsid w:val="004101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vius.org/articles/place/tarsu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livius.org/articles/place/cilician-gate/"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penelope.uchicago.edu/Thayer/E/Roman/Texts/Strabo/14E*.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033352-3447-430C-9428-3500E0C36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1522</TotalTime>
  <Pages>7</Pages>
  <Words>1334</Words>
  <Characters>7607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Neill (1501514)</dc:creator>
  <cp:keywords/>
  <dc:description/>
  <cp:lastModifiedBy>Rebecca Neill (1501514)</cp:lastModifiedBy>
  <cp:revision>182</cp:revision>
  <dcterms:created xsi:type="dcterms:W3CDTF">2018-02-12T11:32:00Z</dcterms:created>
  <dcterms:modified xsi:type="dcterms:W3CDTF">2018-02-13T19:08:00Z</dcterms:modified>
</cp:coreProperties>
</file>