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7747E" w14:textId="2E1A2ACB" w:rsidR="003E662E" w:rsidRPr="00123ED3" w:rsidRDefault="003E662E">
      <w:pPr>
        <w:rPr>
          <w:sz w:val="32"/>
          <w:szCs w:val="32"/>
        </w:rPr>
      </w:pPr>
      <w:r w:rsidRPr="00123ED3">
        <w:rPr>
          <w:sz w:val="32"/>
          <w:szCs w:val="32"/>
        </w:rPr>
        <w:t xml:space="preserve">Article review of Knapp’s “Thalassocracies in Bronze Age Eastern </w:t>
      </w:r>
      <w:r w:rsidR="00AE5868" w:rsidRPr="00123ED3">
        <w:rPr>
          <w:sz w:val="32"/>
          <w:szCs w:val="32"/>
        </w:rPr>
        <w:t>Mediterranean</w:t>
      </w:r>
      <w:r w:rsidRPr="00123ED3">
        <w:rPr>
          <w:sz w:val="32"/>
          <w:szCs w:val="32"/>
        </w:rPr>
        <w:t xml:space="preserve"> Trade: Making and Breaking of A Myth.</w:t>
      </w:r>
    </w:p>
    <w:p w14:paraId="3B39CA1E" w14:textId="77777777" w:rsidR="00AE5868" w:rsidRDefault="00AE5868"/>
    <w:p w14:paraId="4C42BFCB" w14:textId="4250B2B7" w:rsidR="00FA772B" w:rsidRDefault="004216D9">
      <w:r>
        <w:t>Knapp’s article covers the</w:t>
      </w:r>
      <w:r w:rsidR="009A72BB">
        <w:t xml:space="preserve"> academic</w:t>
      </w:r>
      <w:r>
        <w:t xml:space="preserve"> </w:t>
      </w:r>
      <w:r w:rsidR="00323781">
        <w:t xml:space="preserve">theories around the potential thalassocracies of the Minoan Empire, Mycenae, </w:t>
      </w:r>
      <w:r w:rsidR="00E84363">
        <w:t>Syria</w:t>
      </w:r>
      <w:r w:rsidR="00D568C4">
        <w:t xml:space="preserve"> (“</w:t>
      </w:r>
      <w:r w:rsidR="009A72BB">
        <w:t>C</w:t>
      </w:r>
      <w:r w:rsidR="00D568C4">
        <w:t>anaanite or “</w:t>
      </w:r>
      <w:r w:rsidR="009A72BB">
        <w:t>S</w:t>
      </w:r>
      <w:r w:rsidR="00D568C4">
        <w:t>emitic””</w:t>
      </w:r>
      <w:r w:rsidR="009A72BB">
        <w:rPr>
          <w:rStyle w:val="FootnoteReference"/>
        </w:rPr>
        <w:footnoteReference w:id="1"/>
      </w:r>
      <w:r w:rsidR="00D568C4">
        <w:t>)</w:t>
      </w:r>
      <w:r w:rsidR="00E84363">
        <w:t xml:space="preserve"> and Egypt.</w:t>
      </w:r>
      <w:r w:rsidR="009A72BB">
        <w:t xml:space="preserve"> He then goes on to </w:t>
      </w:r>
      <w:r w:rsidR="00BF1CB1">
        <w:t xml:space="preserve">provide counter arguments to the aforementioned academic theories and </w:t>
      </w:r>
      <w:r w:rsidR="009A72BB">
        <w:t xml:space="preserve">explain why it is unlikely </w:t>
      </w:r>
      <w:r w:rsidR="007E7A55">
        <w:t xml:space="preserve">that any of these </w:t>
      </w:r>
      <w:r w:rsidR="00CD7DEE">
        <w:t>were truly thalassocracies</w:t>
      </w:r>
      <w:r w:rsidR="00295D6E">
        <w:t>, and why it is unlikely that there was a thalassocracy in the eastern mediterranean during the bronze age</w:t>
      </w:r>
      <w:r w:rsidR="00CD7DEE">
        <w:t>.</w:t>
      </w:r>
      <w:r w:rsidR="00770EF3">
        <w:t xml:space="preserve"> </w:t>
      </w:r>
    </w:p>
    <w:p w14:paraId="7B6229ED" w14:textId="0CDD4F4E" w:rsidR="00C96269" w:rsidRDefault="00C96269">
      <w:r>
        <w:t>The article fails to give a definition of thalassocracy, something that would have been useful for clarification, given that the idea of a thalassocracy can have some variation in its exact specifics. Knapp does, however, provide the example of 5</w:t>
      </w:r>
      <w:r w:rsidRPr="00055195">
        <w:rPr>
          <w:vertAlign w:val="superscript"/>
        </w:rPr>
        <w:t>th</w:t>
      </w:r>
      <w:r>
        <w:t xml:space="preserve"> century B.C. Athens, which allows for some useful comparison</w:t>
      </w:r>
      <w:r w:rsidR="007A7AC9">
        <w:t xml:space="preserve">, though Knapp does not invoke it as often as </w:t>
      </w:r>
      <w:r w:rsidR="001B22E4">
        <w:t>to provide a proper comparison throughout the article</w:t>
      </w:r>
      <w:r>
        <w:t>.</w:t>
      </w:r>
      <w:r w:rsidR="00B1003F">
        <w:t xml:space="preserve"> Knapp does, however, invoke the idea that a thalassocracy could also be </w:t>
      </w:r>
      <w:r w:rsidR="00C0504D">
        <w:t xml:space="preserve">caused through trade and trade influence alone, with the express purpose of putting down the idea that this could apply to the bronze age </w:t>
      </w:r>
      <w:r w:rsidR="00791945">
        <w:t>E</w:t>
      </w:r>
      <w:r w:rsidR="00C0504D">
        <w:t xml:space="preserve">astern </w:t>
      </w:r>
      <w:r w:rsidR="00791945">
        <w:t>M</w:t>
      </w:r>
      <w:r w:rsidR="00C0504D">
        <w:t>editerranean.</w:t>
      </w:r>
    </w:p>
    <w:p w14:paraId="65D3A1A3" w14:textId="2377EC3C" w:rsidR="00AE5868" w:rsidRDefault="00133406" w:rsidP="002E3D13">
      <w:r>
        <w:t>Knapp’s arguments against the Minoan thalassocracy are</w:t>
      </w:r>
      <w:r w:rsidR="000C6A71">
        <w:t xml:space="preserve"> </w:t>
      </w:r>
      <w:r w:rsidR="008F453F">
        <w:t xml:space="preserve">the shortest of his arguments, simply arguing that the </w:t>
      </w:r>
      <w:r w:rsidR="003A4219">
        <w:t xml:space="preserve">Minoans never possessed the naval power and reach to </w:t>
      </w:r>
      <w:r w:rsidR="00DC5C40">
        <w:t xml:space="preserve">be considered a thalassocracy, and that the scattered presence of their artistic and cultural influence is </w:t>
      </w:r>
      <w:r w:rsidR="002E3D13">
        <w:t xml:space="preserve">much more likely to be a result of “diverse </w:t>
      </w:r>
      <w:r w:rsidR="002E3D13">
        <w:t>social or political contacts between</w:t>
      </w:r>
      <w:r w:rsidR="002E3D13">
        <w:t xml:space="preserve"> </w:t>
      </w:r>
      <w:r w:rsidR="002E3D13">
        <w:t>Crete and Egypt or the southern Levant.</w:t>
      </w:r>
      <w:r w:rsidR="002E3D13">
        <w:t>”</w:t>
      </w:r>
      <w:r w:rsidR="002E3D13">
        <w:rPr>
          <w:rStyle w:val="FootnoteReference"/>
        </w:rPr>
        <w:footnoteReference w:id="2"/>
      </w:r>
      <w:r w:rsidR="002E3D13">
        <w:t xml:space="preserve"> </w:t>
      </w:r>
      <w:r w:rsidR="002E3D13">
        <w:t xml:space="preserve">Than it is to be </w:t>
      </w:r>
      <w:r w:rsidR="009D3175">
        <w:t>evidence of Minoan naval dominance.</w:t>
      </w:r>
    </w:p>
    <w:p w14:paraId="5D878D13" w14:textId="1326AC15" w:rsidR="00133406" w:rsidRDefault="00133406">
      <w:r>
        <w:t xml:space="preserve">Knapp’s arguments against the Mycenaean thalassocracy </w:t>
      </w:r>
      <w:r w:rsidR="00415947">
        <w:t>hinge around debunking the idea that the Mycenaeans had a monopoly on trade in the eastern Mediterranean</w:t>
      </w:r>
      <w:r w:rsidR="00937968">
        <w:t xml:space="preserve"> through the theory that the Mycenaean objects found across the eastern Mediterranean are traded through </w:t>
      </w:r>
      <w:r w:rsidR="00445AAD">
        <w:t xml:space="preserve">Cyprus, </w:t>
      </w:r>
      <w:r w:rsidR="005E3BB4">
        <w:t>described as “down the line trade”</w:t>
      </w:r>
      <w:r w:rsidR="003C617B">
        <w:rPr>
          <w:rStyle w:val="FootnoteReference"/>
        </w:rPr>
        <w:footnoteReference w:id="3"/>
      </w:r>
      <w:r w:rsidR="005E3BB4">
        <w:t xml:space="preserve"> by Renfrew</w:t>
      </w:r>
      <w:r w:rsidR="00445AAD">
        <w:t xml:space="preserve">, primarily by independent merchants. </w:t>
      </w:r>
    </w:p>
    <w:p w14:paraId="763DAAFE" w14:textId="0F23D299" w:rsidR="00133406" w:rsidRDefault="00133406">
      <w:r>
        <w:t>Knapp's arguments against the Syrian thalassocracy are</w:t>
      </w:r>
      <w:r w:rsidR="000C6A71">
        <w:t xml:space="preserve"> </w:t>
      </w:r>
      <w:r w:rsidR="00037E12">
        <w:t xml:space="preserve">based on taking a different interpretation of the evidence than </w:t>
      </w:r>
      <w:r w:rsidR="00A5150B">
        <w:t xml:space="preserve">the </w:t>
      </w:r>
      <w:r w:rsidR="00255D0B">
        <w:t>archaeologists he disagrees with.</w:t>
      </w:r>
      <w:r w:rsidR="0039006E">
        <w:t xml:space="preserve"> He </w:t>
      </w:r>
      <w:r w:rsidR="00C4759C">
        <w:t>agrees with Yannai (1983)</w:t>
      </w:r>
      <w:r w:rsidR="001A0ED2">
        <w:t xml:space="preserve"> that the most likely circumstance was Cypriot and Levantine merchants acting as </w:t>
      </w:r>
      <w:r w:rsidR="00001BD0">
        <w:t>middlemen</w:t>
      </w:r>
      <w:r w:rsidR="001A0ED2">
        <w:t xml:space="preserve">, as opposed to being </w:t>
      </w:r>
      <w:r w:rsidR="00FC1C3B">
        <w:t>a regional economic hegemon.</w:t>
      </w:r>
      <w:r w:rsidR="002849E4">
        <w:t xml:space="preserve"> He makes particular use of the evidence surrounding t</w:t>
      </w:r>
      <w:r w:rsidR="002849E4" w:rsidRPr="002849E4">
        <w:t>he Cape Gelidonya and Ulu Burun</w:t>
      </w:r>
      <w:r w:rsidR="002849E4">
        <w:t xml:space="preserve"> </w:t>
      </w:r>
      <w:r w:rsidR="002849E4" w:rsidRPr="002849E4">
        <w:t>shipwrecks</w:t>
      </w:r>
      <w:r w:rsidR="002849E4">
        <w:t xml:space="preserve">, </w:t>
      </w:r>
      <w:r w:rsidR="00CF5316">
        <w:t xml:space="preserve">pointing out that their cargo includes Cypriot copper, and that the crew appears to be of </w:t>
      </w:r>
      <w:r w:rsidR="00C859F8">
        <w:t>a number of ethnicities.</w:t>
      </w:r>
      <w:r w:rsidR="00226885">
        <w:t xml:space="preserve"> Additionally, he addresses the idea that a </w:t>
      </w:r>
      <w:r w:rsidR="00226885">
        <w:lastRenderedPageBreak/>
        <w:t>“naval entente”</w:t>
      </w:r>
      <w:r w:rsidR="00226885">
        <w:rPr>
          <w:rStyle w:val="FootnoteReference"/>
        </w:rPr>
        <w:footnoteReference w:id="4"/>
      </w:r>
      <w:r w:rsidR="00226885">
        <w:t xml:space="preserve"> existed, </w:t>
      </w:r>
      <w:r w:rsidR="009416DA">
        <w:t>arguing that the very existence of such a thing would mean that no one power could be a thalassocracy, given that they would lack uncontested oceanic control. This matches his comparison of 5</w:t>
      </w:r>
      <w:r w:rsidR="009416DA" w:rsidRPr="009416DA">
        <w:rPr>
          <w:vertAlign w:val="superscript"/>
        </w:rPr>
        <w:t>th</w:t>
      </w:r>
      <w:r w:rsidR="009416DA">
        <w:t xml:space="preserve"> century Athens, that held its thalassocracy only until the loss of its naval dominance.</w:t>
      </w:r>
    </w:p>
    <w:p w14:paraId="1B84B7D5" w14:textId="68BB1F6A" w:rsidR="00133406" w:rsidRDefault="00133406">
      <w:r>
        <w:t>Knapp’s arguments against the Egyptian thalassocracy are</w:t>
      </w:r>
      <w:r w:rsidR="009107B2">
        <w:t xml:space="preserve"> that there is very little evidence in favour, and that the </w:t>
      </w:r>
      <w:r w:rsidR="00677669">
        <w:t xml:space="preserve">assumption amongst Egyptologists of a level of Egyptian power over Mediterranean trade is </w:t>
      </w:r>
      <w:r w:rsidR="00930F70">
        <w:t>unfounded.</w:t>
      </w:r>
      <w:r w:rsidR="00677669">
        <w:t xml:space="preserve"> </w:t>
      </w:r>
      <w:r w:rsidR="0081662A">
        <w:t>Knapp notes that many of the depict</w:t>
      </w:r>
      <w:r w:rsidR="002D2419">
        <w:t xml:space="preserve">ions of </w:t>
      </w:r>
      <w:r w:rsidR="002D2419">
        <w:t>trading ships</w:t>
      </w:r>
      <w:r w:rsidR="002D2419">
        <w:t xml:space="preserve"> in descriptions and wall paintings</w:t>
      </w:r>
      <w:r w:rsidR="0081662A">
        <w:t xml:space="preserve"> </w:t>
      </w:r>
      <w:r w:rsidR="002D2419">
        <w:t xml:space="preserve">were identified </w:t>
      </w:r>
      <w:r w:rsidR="00932F19">
        <w:t>as Levantine, not Egyptian.</w:t>
      </w:r>
      <w:r w:rsidR="00DC69DE">
        <w:rPr>
          <w:rStyle w:val="FootnoteReference"/>
        </w:rPr>
        <w:footnoteReference w:id="5"/>
      </w:r>
      <w:r w:rsidR="00D43FBF">
        <w:t xml:space="preserve"> </w:t>
      </w:r>
      <w:r w:rsidR="00A34A54">
        <w:t>In his final paragraph on Egypt, Knapp</w:t>
      </w:r>
      <w:r w:rsidR="00D43FBF">
        <w:t xml:space="preserve"> </w:t>
      </w:r>
      <w:r w:rsidR="00A34A54">
        <w:t xml:space="preserve">makes a claim that the extent of Egyptian influence is </w:t>
      </w:r>
      <w:r w:rsidR="00410AED">
        <w:t xml:space="preserve">exaggerated because of the </w:t>
      </w:r>
      <w:r w:rsidR="00103436">
        <w:t xml:space="preserve">Egyptian </w:t>
      </w:r>
      <w:r w:rsidR="00453448">
        <w:t xml:space="preserve">ideology and </w:t>
      </w:r>
      <w:r w:rsidR="002A6C23">
        <w:t xml:space="preserve">depictions of </w:t>
      </w:r>
      <w:r w:rsidR="009F2588">
        <w:t xml:space="preserve">their own </w:t>
      </w:r>
      <w:r w:rsidR="00EE42BA">
        <w:t>power</w:t>
      </w:r>
      <w:r w:rsidR="00780BCD">
        <w:t xml:space="preserve">, quoting Liverani 1990, </w:t>
      </w:r>
      <w:r w:rsidR="00276CFE">
        <w:t>“S</w:t>
      </w:r>
      <w:r w:rsidR="00276CFE">
        <w:t>upplies</w:t>
      </w:r>
      <w:r w:rsidR="00276CFE">
        <w:t xml:space="preserve"> </w:t>
      </w:r>
      <w:r w:rsidR="00276CFE">
        <w:t>that were in fact the result of trade or gift-exchange are recorded and presented as</w:t>
      </w:r>
      <w:r w:rsidR="00276CFE">
        <w:t xml:space="preserve"> </w:t>
      </w:r>
      <w:r w:rsidR="00276CFE">
        <w:t>tribute for the sake of control over the inner Egyptian populace</w:t>
      </w:r>
      <w:r w:rsidR="000A3CF4">
        <w:t>.</w:t>
      </w:r>
      <w:r w:rsidR="00276CFE">
        <w:t>”</w:t>
      </w:r>
      <w:r w:rsidR="0025683A">
        <w:rPr>
          <w:rStyle w:val="FootnoteReference"/>
        </w:rPr>
        <w:footnoteReference w:id="6"/>
      </w:r>
      <w:r w:rsidR="0025683A">
        <w:t xml:space="preserve"> </w:t>
      </w:r>
      <w:r w:rsidR="00921523">
        <w:t>Knapp’s</w:t>
      </w:r>
      <w:r w:rsidR="00E92A9D">
        <w:t xml:space="preserve"> assertion</w:t>
      </w:r>
      <w:r w:rsidR="00453448">
        <w:t>s</w:t>
      </w:r>
      <w:r w:rsidR="00E92A9D">
        <w:t xml:space="preserve"> to this point w</w:t>
      </w:r>
      <w:r w:rsidR="009B0398">
        <w:t>ould back his argument against Egypt</w:t>
      </w:r>
      <w:r w:rsidR="00921523">
        <w:t>ian naval power</w:t>
      </w:r>
      <w:r w:rsidR="009B0398">
        <w:t xml:space="preserve"> well, however </w:t>
      </w:r>
      <w:r w:rsidR="00921523">
        <w:t xml:space="preserve">for such </w:t>
      </w:r>
      <w:r w:rsidR="00080672">
        <w:t>a</w:t>
      </w:r>
      <w:r w:rsidR="0042173A">
        <w:t>n important</w:t>
      </w:r>
      <w:r w:rsidR="00080672">
        <w:t xml:space="preserve"> assertion, </w:t>
      </w:r>
      <w:r w:rsidR="00896824">
        <w:t>this element could have benefited from more attention</w:t>
      </w:r>
      <w:r w:rsidR="00894182">
        <w:t>, as despite having easily the largest-reaching implications of any piece of this study, it received no more than one paragraph</w:t>
      </w:r>
      <w:r w:rsidR="00896824">
        <w:t>.</w:t>
      </w:r>
    </w:p>
    <w:p w14:paraId="704A3E39" w14:textId="2A0EB4C1" w:rsidR="00A57D5A" w:rsidRDefault="00C96269" w:rsidP="00A57D5A">
      <w:r>
        <w:t xml:space="preserve">A throughline in Knapp’s disassembly of the </w:t>
      </w:r>
      <w:r w:rsidR="005B722F">
        <w:t>idea of thalassocracy through trade dominance</w:t>
      </w:r>
      <w:r w:rsidR="00EF0C07">
        <w:t xml:space="preserve"> </w:t>
      </w:r>
      <w:r w:rsidR="00A57D5A">
        <w:t>is</w:t>
      </w:r>
      <w:r w:rsidR="00F64AEE">
        <w:t xml:space="preserve"> that archaeological evidence has </w:t>
      </w:r>
      <w:r w:rsidR="0065209C">
        <w:t>been misinterpreted</w:t>
      </w:r>
      <w:r w:rsidR="00A57D5A">
        <w:t xml:space="preserve">. While some evidence (primarily the </w:t>
      </w:r>
      <w:r w:rsidR="009C1830">
        <w:t xml:space="preserve">presence of large volumes of certain region’s products </w:t>
      </w:r>
      <w:r w:rsidR="00A876C2">
        <w:t xml:space="preserve">in other context, i.e. </w:t>
      </w:r>
      <w:r w:rsidR="009D24A7">
        <w:t>“Mycenaean pottery in the Levanto-Egyptian sphere,”</w:t>
      </w:r>
      <w:r w:rsidR="009D24A7">
        <w:rPr>
          <w:rStyle w:val="FootnoteReference"/>
        </w:rPr>
        <w:footnoteReference w:id="7"/>
      </w:r>
      <w:r w:rsidR="000B6445">
        <w:t>) points towards a trade dominance of certain civilisations</w:t>
      </w:r>
      <w:r w:rsidR="00A2510D">
        <w:t>,</w:t>
      </w:r>
      <w:r w:rsidR="000B6445">
        <w:t xml:space="preserve"> </w:t>
      </w:r>
      <w:r w:rsidR="00A2510D">
        <w:t>Knapp counters this assertion with several counter theories.</w:t>
      </w:r>
    </w:p>
    <w:p w14:paraId="752A8FCB" w14:textId="2188B88B" w:rsidR="00975A11" w:rsidRDefault="00202A8D">
      <w:r>
        <w:t xml:space="preserve">The first of Knapp’s counter theories </w:t>
      </w:r>
      <w:r w:rsidR="00576662">
        <w:t>is that i</w:t>
      </w:r>
      <w:r w:rsidR="005B722F">
        <w:t>nstead of being directly traded, the reason for the reach of many of the various state’s trade goods is that huge volumes are being traded into Cypr</w:t>
      </w:r>
      <w:r w:rsidR="00C61FB5">
        <w:t>us</w:t>
      </w:r>
      <w:r w:rsidR="00F20E0E">
        <w:t>, then sent on several steps further by Cypriot traders.</w:t>
      </w:r>
      <w:r w:rsidR="00A57D5A" w:rsidRPr="00A57D5A">
        <w:t xml:space="preserve"> </w:t>
      </w:r>
      <w:r w:rsidR="00C9255D">
        <w:t xml:space="preserve">The </w:t>
      </w:r>
      <w:r w:rsidR="00975A11">
        <w:t xml:space="preserve">repercussions of this </w:t>
      </w:r>
      <w:r w:rsidR="00A17526">
        <w:t xml:space="preserve">would be a dramatic range extension of local trade routes that would have stretched </w:t>
      </w:r>
      <w:r w:rsidR="00C25BF9">
        <w:t>from the Aegean Sea to Cypr</w:t>
      </w:r>
      <w:r w:rsidR="00C61FB5">
        <w:t>us</w:t>
      </w:r>
      <w:r w:rsidR="00C25BF9">
        <w:t>.</w:t>
      </w:r>
      <w:r w:rsidR="00C61FB5">
        <w:t xml:space="preserve"> This argument draws very heavily upon Yannai </w:t>
      </w:r>
      <w:r w:rsidR="00405A52">
        <w:t>(</w:t>
      </w:r>
      <w:r w:rsidR="00C61FB5">
        <w:t>1983</w:t>
      </w:r>
      <w:r w:rsidR="00405A52">
        <w:t>)</w:t>
      </w:r>
      <w:r w:rsidR="00E2177D">
        <w:t xml:space="preserve">, </w:t>
      </w:r>
      <w:r w:rsidR="00EE6670">
        <w:t xml:space="preserve">unsurprisingly echoing her </w:t>
      </w:r>
      <w:r w:rsidR="007C1140">
        <w:t>work’s statements on the importance of Cyprus in bronze age Eastern Mediterranean trade</w:t>
      </w:r>
      <w:r w:rsidR="00E2177D">
        <w:t>.</w:t>
      </w:r>
    </w:p>
    <w:p w14:paraId="004F6AE7" w14:textId="44BDCA60" w:rsidR="00283A6A" w:rsidRDefault="00975A11">
      <w:r>
        <w:t>Knapp’s second counter</w:t>
      </w:r>
      <w:r w:rsidR="00A57D5A">
        <w:t xml:space="preserve"> argument</w:t>
      </w:r>
      <w:r>
        <w:t xml:space="preserve"> against trade-based thalassocracies is</w:t>
      </w:r>
      <w:r w:rsidR="00A57D5A">
        <w:t xml:space="preserve"> that much of the trading is not government trade, but is in fact the work of independent merchants. If correct, this would dramatically reduce the trade influence that was believed to be possessed by any of the supposedly thalassocratic states</w:t>
      </w:r>
      <w:r w:rsidR="00B6576D">
        <w:t xml:space="preserve">, </w:t>
      </w:r>
      <w:r w:rsidR="00237A54">
        <w:t xml:space="preserve">instead of the states possessing </w:t>
      </w:r>
      <w:r w:rsidR="00C91415">
        <w:t>great</w:t>
      </w:r>
      <w:r w:rsidR="0039405D">
        <w:t xml:space="preserve"> wealth and influence</w:t>
      </w:r>
      <w:r w:rsidR="00BD2ED6">
        <w:t xml:space="preserve"> from extensive trade,</w:t>
      </w:r>
      <w:r w:rsidR="0039405D">
        <w:t xml:space="preserve"> </w:t>
      </w:r>
      <w:r w:rsidR="00C56560">
        <w:t xml:space="preserve">the </w:t>
      </w:r>
      <w:r w:rsidR="00645CD3">
        <w:t xml:space="preserve">benefits of trade are </w:t>
      </w:r>
      <w:r w:rsidR="00645CD3">
        <w:lastRenderedPageBreak/>
        <w:t xml:space="preserve">diluted among the merchants, </w:t>
      </w:r>
      <w:r w:rsidR="00B6576D">
        <w:t xml:space="preserve">reducing the </w:t>
      </w:r>
      <w:r w:rsidR="00645CD3">
        <w:t xml:space="preserve">influence of trade, and the </w:t>
      </w:r>
      <w:r w:rsidR="003E3329">
        <w:t>power of the supposedly thalassocratic state.</w:t>
      </w:r>
    </w:p>
    <w:p w14:paraId="30805A84" w14:textId="29CB12C7" w:rsidR="00873C5C" w:rsidRDefault="005B77DD">
      <w:r>
        <w:t>The article’s conclusion is highly convincing</w:t>
      </w:r>
      <w:r w:rsidR="00873C5C">
        <w:t>.</w:t>
      </w:r>
      <w:r w:rsidR="00322BB6">
        <w:t xml:space="preserve"> The idea of a thalassocracy relies on a relatively uncontested control of the seas, </w:t>
      </w:r>
      <w:r w:rsidR="004B3105">
        <w:t>such as was present in 5</w:t>
      </w:r>
      <w:r w:rsidR="004B3105" w:rsidRPr="004B3105">
        <w:rPr>
          <w:vertAlign w:val="superscript"/>
        </w:rPr>
        <w:t>th</w:t>
      </w:r>
      <w:r w:rsidR="004B3105">
        <w:t xml:space="preserve"> century </w:t>
      </w:r>
      <w:r w:rsidR="001E13F1">
        <w:t xml:space="preserve">B.C. </w:t>
      </w:r>
      <w:r w:rsidR="004B3105">
        <w:t>Athens.</w:t>
      </w:r>
      <w:r w:rsidR="00283A6A">
        <w:t xml:space="preserve"> </w:t>
      </w:r>
      <w:r w:rsidR="00523DF6">
        <w:t xml:space="preserve">As well explained by Knapp, </w:t>
      </w:r>
      <w:r w:rsidR="00420DFA">
        <w:t xml:space="preserve">and pointed to by all available evidence, </w:t>
      </w:r>
      <w:r w:rsidR="00523DF6">
        <w:t>t</w:t>
      </w:r>
      <w:r w:rsidR="00283A6A">
        <w:t>his uncontested control is</w:t>
      </w:r>
      <w:r w:rsidR="00322BB6">
        <w:t xml:space="preserve"> not found in any of the states examined </w:t>
      </w:r>
      <w:r w:rsidR="00523DF6">
        <w:t xml:space="preserve">given as examples, particularly given that they are all being </w:t>
      </w:r>
      <w:r w:rsidR="00B903DD">
        <w:t>supposed to be thalassocracies at the same time</w:t>
      </w:r>
      <w:r w:rsidR="00B417C2">
        <w:t>, as any two equivalent naval powers would prevent the rise of a thalassocracy</w:t>
      </w:r>
      <w:r w:rsidR="00322BB6">
        <w:t>.</w:t>
      </w:r>
      <w:r w:rsidR="00B1003F">
        <w:t xml:space="preserve"> Additionally, Knapp puts in a large amount of effort into debunking a second concept of th</w:t>
      </w:r>
      <w:r w:rsidR="00991B8D">
        <w:t xml:space="preserve">e thalassocracy, </w:t>
      </w:r>
      <w:r w:rsidR="007104E3">
        <w:t>the concept of a thalassocracy through trade hegemony</w:t>
      </w:r>
      <w:r w:rsidR="00512E3D">
        <w:t>, something that he invokes particularly in reference to Hagg and Marinatos’ work on the idea of a Minoan thalassocracy.</w:t>
      </w:r>
      <w:r w:rsidR="000A7395">
        <w:rPr>
          <w:rStyle w:val="FootnoteReference"/>
        </w:rPr>
        <w:footnoteReference w:id="8"/>
      </w:r>
      <w:r w:rsidR="003F721D">
        <w:t xml:space="preserve"> In particular, Knapp </w:t>
      </w:r>
      <w:r w:rsidR="00F37385">
        <w:t>very effectively outlines why the widespread presence of any one culture’s trade influence is not an effective argument for their dominance through sea power.</w:t>
      </w:r>
    </w:p>
    <w:p w14:paraId="41865507" w14:textId="6DA90B2A" w:rsidR="00770EF3" w:rsidRDefault="00FA7F31">
      <w:r>
        <w:t xml:space="preserve">Overall, Knapp is very convincing, he </w:t>
      </w:r>
      <w:r w:rsidR="004E44BB">
        <w:t xml:space="preserve">invokes </w:t>
      </w:r>
      <w:r w:rsidR="00423E45">
        <w:t>an extensive analysis of both the primary sources and the academic analysis of the bronze age Eastern Mediterranean to debunk the idea of the presence of a Thalassocracy in that time.</w:t>
      </w:r>
      <w:r w:rsidR="00BC18C1">
        <w:t xml:space="preserve"> However, his article is slightly held back by </w:t>
      </w:r>
      <w:r w:rsidR="009A4DB8">
        <w:t>a small but notable lack of clarity</w:t>
      </w:r>
      <w:r w:rsidR="00AD2273">
        <w:t xml:space="preserve"> to his criteria in assessing what would make any state a thalassocracy.</w:t>
      </w:r>
    </w:p>
    <w:p w14:paraId="75F5C8B8" w14:textId="77777777" w:rsidR="009A72BB" w:rsidRDefault="009A72BB"/>
    <w:p w14:paraId="4B66CE6A" w14:textId="77777777" w:rsidR="00123ED3" w:rsidRDefault="00123ED3"/>
    <w:p w14:paraId="0365BBD6" w14:textId="77777777" w:rsidR="00123ED3" w:rsidRDefault="00123ED3"/>
    <w:p w14:paraId="2971625E" w14:textId="77777777" w:rsidR="009A72BB" w:rsidRDefault="009A72BB"/>
    <w:p w14:paraId="4BD65A22" w14:textId="3BE972C2" w:rsidR="009A72BB" w:rsidRDefault="009A72BB">
      <w:r>
        <w:t>Bibliography:</w:t>
      </w:r>
    </w:p>
    <w:p w14:paraId="3B148850" w14:textId="77777777" w:rsidR="009A72BB" w:rsidRPr="009A72BB" w:rsidRDefault="009A72BB" w:rsidP="009A72BB">
      <w:r w:rsidRPr="009A72BB">
        <w:t xml:space="preserve">Knapp, A. Bernard. “Thalassocracies in Bronze Age Eastern Mediterranean Trade: Making and Breaking a Myth.” </w:t>
      </w:r>
      <w:r w:rsidRPr="009A72BB">
        <w:rPr>
          <w:i/>
          <w:iCs/>
        </w:rPr>
        <w:t>World Archaeology</w:t>
      </w:r>
      <w:r w:rsidRPr="009A72BB">
        <w:t xml:space="preserve">, vol. 24, no. 3, 1993, pp. 332–47. </w:t>
      </w:r>
      <w:r w:rsidRPr="009A72BB">
        <w:rPr>
          <w:i/>
          <w:iCs/>
        </w:rPr>
        <w:t>JSTOR</w:t>
      </w:r>
      <w:r w:rsidRPr="009A72BB">
        <w:t>, http://www.jstor.org/stable/124712. Accessed 13 Nov. 2025.</w:t>
      </w:r>
    </w:p>
    <w:p w14:paraId="4A5F802C" w14:textId="71913598" w:rsidR="009A72BB" w:rsidRDefault="00D40A60" w:rsidP="00D40A60">
      <w:r w:rsidRPr="00D40A60">
        <w:t xml:space="preserve">Artzy, Michal. "Merchandise and merchantmen: on ships and shipping in the late Bronze Age Levant." </w:t>
      </w:r>
      <w:r w:rsidRPr="00D40A60">
        <w:rPr>
          <w:i/>
          <w:iCs/>
        </w:rPr>
        <w:t>Proceedings of the Second International Cyprological Congress</w:t>
      </w:r>
      <w:r w:rsidRPr="00D40A60">
        <w:t>. 1985.</w:t>
      </w:r>
    </w:p>
    <w:p w14:paraId="5DB2CC08" w14:textId="77777777" w:rsidR="0025683A" w:rsidRPr="0025683A" w:rsidRDefault="0025683A" w:rsidP="0025683A">
      <w:r w:rsidRPr="0025683A">
        <w:t xml:space="preserve">Liverani, M. (1990). </w:t>
      </w:r>
      <w:r w:rsidRPr="0025683A">
        <w:rPr>
          <w:i/>
          <w:iCs/>
        </w:rPr>
        <w:t>Prestige and interest</w:t>
      </w:r>
      <w:r w:rsidRPr="0025683A">
        <w:rPr>
          <w:rFonts w:ascii="Arial" w:hAnsi="Arial" w:cs="Arial"/>
          <w:i/>
          <w:iCs/>
        </w:rPr>
        <w:t> </w:t>
      </w:r>
      <w:r w:rsidRPr="0025683A">
        <w:rPr>
          <w:i/>
          <w:iCs/>
        </w:rPr>
        <w:t>: international relations in the Near East, ca. 1600-1100 B.C.</w:t>
      </w:r>
      <w:r w:rsidRPr="0025683A">
        <w:t xml:space="preserve"> Sargon.</w:t>
      </w:r>
    </w:p>
    <w:p w14:paraId="5BC964F9" w14:textId="4AFC95B8" w:rsidR="002C76C2" w:rsidRDefault="00B862BF" w:rsidP="002C76C2">
      <w:r w:rsidRPr="00B862BF">
        <w:lastRenderedPageBreak/>
        <w:t xml:space="preserve">Renfrew, Colin. "Trade as Action at </w:t>
      </w:r>
      <w:r>
        <w:t>a</w:t>
      </w:r>
      <w:r w:rsidRPr="00B862BF">
        <w:t xml:space="preserve"> </w:t>
      </w:r>
      <w:r w:rsidRPr="00B862BF">
        <w:t>Distance</w:t>
      </w:r>
      <w:r w:rsidRPr="00B862BF">
        <w:t xml:space="preserve">: Questions of Integration and communication, </w:t>
      </w:r>
      <w:r>
        <w:t>in</w:t>
      </w:r>
      <w:r w:rsidRPr="00B862BF">
        <w:t xml:space="preserve"> Ancient Civilisation and Trade."</w:t>
      </w:r>
      <w:r w:rsidR="004B7259">
        <w:t xml:space="preserve"> </w:t>
      </w:r>
      <w:r w:rsidR="004B7259" w:rsidRPr="004B7259">
        <w:t>University of Ne</w:t>
      </w:r>
      <w:r w:rsidR="00010000">
        <w:t>w</w:t>
      </w:r>
      <w:r w:rsidR="004B7259" w:rsidRPr="004B7259">
        <w:t xml:space="preserve"> Mexico Press</w:t>
      </w:r>
      <w:r w:rsidRPr="00B862BF">
        <w:rPr>
          <w:i/>
          <w:iCs/>
        </w:rPr>
        <w:t xml:space="preserve">. </w:t>
      </w:r>
      <w:r w:rsidRPr="004B7259">
        <w:t>New Mexico</w:t>
      </w:r>
      <w:r w:rsidRPr="00B862BF">
        <w:t xml:space="preserve"> (1975).</w:t>
      </w:r>
    </w:p>
    <w:p w14:paraId="69A0C8D2" w14:textId="57089BD8" w:rsidR="002C76C2" w:rsidRDefault="002C76C2" w:rsidP="002C76C2">
      <w:r>
        <w:t xml:space="preserve">Yannai, A, and University of Oxford. Faculty of Literae Humaniores. “Studies on Trade between the Levant and the Aegean in the 14th to 12th Centuries BC.” Thesis (D.Phil.)--University of Oxford, 1984, 1984. </w:t>
      </w:r>
    </w:p>
    <w:p w14:paraId="25D215FC" w14:textId="3D1EDD74" w:rsidR="00BE5DBD" w:rsidRDefault="00BE5DBD" w:rsidP="002C76C2">
      <w:r w:rsidRPr="00BE5DBD">
        <w:t xml:space="preserve">Hägg, Robin., and Marinatos, Nanno. </w:t>
      </w:r>
      <w:r w:rsidRPr="00BE5DBD">
        <w:rPr>
          <w:i/>
          <w:iCs/>
        </w:rPr>
        <w:t>The Minoan Thalassocracy, Myth and Reality</w:t>
      </w:r>
      <w:r w:rsidRPr="00BE5DBD">
        <w:rPr>
          <w:rFonts w:ascii="Arial" w:hAnsi="Arial" w:cs="Arial"/>
          <w:i/>
          <w:iCs/>
        </w:rPr>
        <w:t> </w:t>
      </w:r>
      <w:r w:rsidRPr="00BE5DBD">
        <w:rPr>
          <w:i/>
          <w:iCs/>
        </w:rPr>
        <w:t>: Proceedings of the Third International Symposium at the Swedish Institute in Athens, 31 May-5 June, 1982 / Edited by Robin Ha</w:t>
      </w:r>
      <w:r w:rsidRPr="00BE5DBD">
        <w:rPr>
          <w:rFonts w:ascii="Aptos" w:hAnsi="Aptos" w:cs="Aptos"/>
          <w:i/>
          <w:iCs/>
        </w:rPr>
        <w:t>̈</w:t>
      </w:r>
      <w:r w:rsidRPr="00BE5DBD">
        <w:rPr>
          <w:i/>
          <w:iCs/>
        </w:rPr>
        <w:t>Gg and Nanno Marinatos.</w:t>
      </w:r>
      <w:r w:rsidRPr="00BE5DBD">
        <w:t xml:space="preserve"> Stockholm</w:t>
      </w:r>
      <w:r w:rsidRPr="00BE5DBD">
        <w:rPr>
          <w:rFonts w:ascii="Arial" w:hAnsi="Arial" w:cs="Arial"/>
        </w:rPr>
        <w:t> </w:t>
      </w:r>
      <w:r w:rsidRPr="00BE5DBD">
        <w:t>: Go</w:t>
      </w:r>
      <w:r w:rsidRPr="00BE5DBD">
        <w:rPr>
          <w:rFonts w:ascii="Aptos" w:hAnsi="Aptos" w:cs="Aptos"/>
        </w:rPr>
        <w:t>̈</w:t>
      </w:r>
      <w:r w:rsidRPr="00BE5DBD">
        <w:t>teborg: Svenska Institutet i Athen</w:t>
      </w:r>
      <w:r w:rsidRPr="00BE5DBD">
        <w:rPr>
          <w:rFonts w:ascii="Arial" w:hAnsi="Arial" w:cs="Arial"/>
        </w:rPr>
        <w:t> </w:t>
      </w:r>
      <w:r w:rsidRPr="00BE5DBD">
        <w:t>; distributor, P. A</w:t>
      </w:r>
      <w:r w:rsidRPr="00BE5DBD">
        <w:rPr>
          <w:rFonts w:ascii="Aptos" w:hAnsi="Aptos" w:cs="Aptos"/>
        </w:rPr>
        <w:t>̊</w:t>
      </w:r>
      <w:r w:rsidRPr="00BE5DBD">
        <w:t>stro</w:t>
      </w:r>
      <w:r w:rsidRPr="00BE5DBD">
        <w:rPr>
          <w:rFonts w:ascii="Aptos" w:hAnsi="Aptos" w:cs="Aptos"/>
        </w:rPr>
        <w:t>̈</w:t>
      </w:r>
      <w:r w:rsidRPr="00BE5DBD">
        <w:t>m, 1984. Print. Skrifter Utgivna Av Svenska Institutet i Athen. 4o.</w:t>
      </w:r>
      <w:r w:rsidRPr="00BE5DBD">
        <w:rPr>
          <w:rFonts w:ascii="Arial" w:hAnsi="Arial" w:cs="Arial"/>
        </w:rPr>
        <w:t> </w:t>
      </w:r>
      <w:r w:rsidRPr="00BE5DBD">
        <w:t>; 32.</w:t>
      </w:r>
    </w:p>
    <w:sectPr w:rsidR="00BE5D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4CFF3" w14:textId="77777777" w:rsidR="008602B4" w:rsidRDefault="008602B4" w:rsidP="009A72BB">
      <w:pPr>
        <w:spacing w:after="0" w:line="240" w:lineRule="auto"/>
      </w:pPr>
      <w:r>
        <w:separator/>
      </w:r>
    </w:p>
  </w:endnote>
  <w:endnote w:type="continuationSeparator" w:id="0">
    <w:p w14:paraId="133638A3" w14:textId="77777777" w:rsidR="008602B4" w:rsidRDefault="008602B4" w:rsidP="009A7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C99FB" w14:textId="77777777" w:rsidR="008602B4" w:rsidRDefault="008602B4" w:rsidP="009A72BB">
      <w:pPr>
        <w:spacing w:after="0" w:line="240" w:lineRule="auto"/>
      </w:pPr>
      <w:r>
        <w:separator/>
      </w:r>
    </w:p>
  </w:footnote>
  <w:footnote w:type="continuationSeparator" w:id="0">
    <w:p w14:paraId="60430EEB" w14:textId="77777777" w:rsidR="008602B4" w:rsidRDefault="008602B4" w:rsidP="009A72BB">
      <w:pPr>
        <w:spacing w:after="0" w:line="240" w:lineRule="auto"/>
      </w:pPr>
      <w:r>
        <w:continuationSeparator/>
      </w:r>
    </w:p>
  </w:footnote>
  <w:footnote w:id="1">
    <w:p w14:paraId="3AA699D8" w14:textId="4BD9AF3B" w:rsidR="009A72BB" w:rsidRDefault="009A72BB">
      <w:pPr>
        <w:pStyle w:val="FootnoteText"/>
      </w:pPr>
      <w:r>
        <w:rPr>
          <w:rStyle w:val="FootnoteReference"/>
        </w:rPr>
        <w:footnoteRef/>
      </w:r>
      <w:r>
        <w:t xml:space="preserve"> </w:t>
      </w:r>
      <w:r w:rsidR="00565020">
        <w:t>Knapp</w:t>
      </w:r>
      <w:r w:rsidR="00DC69DE">
        <w:t>,</w:t>
      </w:r>
      <w:r w:rsidR="009D24A7">
        <w:t xml:space="preserve"> 1993</w:t>
      </w:r>
    </w:p>
  </w:footnote>
  <w:footnote w:id="2">
    <w:p w14:paraId="7B364948" w14:textId="4C64806A" w:rsidR="002E3D13" w:rsidRDefault="002E3D13">
      <w:pPr>
        <w:pStyle w:val="FootnoteText"/>
      </w:pPr>
      <w:r>
        <w:rPr>
          <w:rStyle w:val="FootnoteReference"/>
        </w:rPr>
        <w:footnoteRef/>
      </w:r>
      <w:r>
        <w:t xml:space="preserve"> </w:t>
      </w:r>
      <w:r>
        <w:t>Knapp, 1993</w:t>
      </w:r>
    </w:p>
  </w:footnote>
  <w:footnote w:id="3">
    <w:p w14:paraId="706FCE23" w14:textId="368F8A78" w:rsidR="003C617B" w:rsidRDefault="003C617B">
      <w:pPr>
        <w:pStyle w:val="FootnoteText"/>
      </w:pPr>
      <w:r>
        <w:rPr>
          <w:rStyle w:val="FootnoteReference"/>
        </w:rPr>
        <w:footnoteRef/>
      </w:r>
      <w:r>
        <w:t xml:space="preserve"> Renfrew, 1975</w:t>
      </w:r>
    </w:p>
  </w:footnote>
  <w:footnote w:id="4">
    <w:p w14:paraId="2F7B70DD" w14:textId="4AF88FFF" w:rsidR="00226885" w:rsidRDefault="00226885">
      <w:pPr>
        <w:pStyle w:val="FootnoteText"/>
      </w:pPr>
      <w:r>
        <w:rPr>
          <w:rStyle w:val="FootnoteReference"/>
        </w:rPr>
        <w:footnoteRef/>
      </w:r>
      <w:r>
        <w:t xml:space="preserve"> </w:t>
      </w:r>
      <w:r>
        <w:t>Knapp, 1993</w:t>
      </w:r>
    </w:p>
  </w:footnote>
  <w:footnote w:id="5">
    <w:p w14:paraId="454C8157" w14:textId="28B31B0B" w:rsidR="00DC69DE" w:rsidRDefault="00DC69DE">
      <w:pPr>
        <w:pStyle w:val="FootnoteText"/>
      </w:pPr>
      <w:r>
        <w:rPr>
          <w:rStyle w:val="FootnoteReference"/>
        </w:rPr>
        <w:footnoteRef/>
      </w:r>
      <w:r>
        <w:t xml:space="preserve"> </w:t>
      </w:r>
      <w:r w:rsidRPr="00D40A60">
        <w:t>Artzy</w:t>
      </w:r>
      <w:r>
        <w:t>, 1985</w:t>
      </w:r>
    </w:p>
  </w:footnote>
  <w:footnote w:id="6">
    <w:p w14:paraId="7C0104E3" w14:textId="096C1420" w:rsidR="0025683A" w:rsidRDefault="0025683A">
      <w:pPr>
        <w:pStyle w:val="FootnoteText"/>
      </w:pPr>
      <w:r>
        <w:rPr>
          <w:rStyle w:val="FootnoteReference"/>
        </w:rPr>
        <w:footnoteRef/>
      </w:r>
      <w:r>
        <w:t xml:space="preserve"> </w:t>
      </w:r>
      <w:r w:rsidRPr="0025683A">
        <w:t>Liverani,</w:t>
      </w:r>
      <w:r>
        <w:t xml:space="preserve"> 1990</w:t>
      </w:r>
    </w:p>
  </w:footnote>
  <w:footnote w:id="7">
    <w:p w14:paraId="4763180A" w14:textId="7924350F" w:rsidR="009D24A7" w:rsidRDefault="009D24A7">
      <w:pPr>
        <w:pStyle w:val="FootnoteText"/>
      </w:pPr>
      <w:r>
        <w:rPr>
          <w:rStyle w:val="FootnoteReference"/>
        </w:rPr>
        <w:footnoteRef/>
      </w:r>
      <w:r>
        <w:t xml:space="preserve"> </w:t>
      </w:r>
      <w:r>
        <w:t>Knapp</w:t>
      </w:r>
      <w:r w:rsidR="00DC69DE">
        <w:t>,</w:t>
      </w:r>
      <w:r>
        <w:t xml:space="preserve"> 1993</w:t>
      </w:r>
    </w:p>
  </w:footnote>
  <w:footnote w:id="8">
    <w:p w14:paraId="1B6816A5" w14:textId="3105ACD8" w:rsidR="000A7395" w:rsidRDefault="000A7395">
      <w:pPr>
        <w:pStyle w:val="FootnoteText"/>
      </w:pPr>
      <w:r>
        <w:rPr>
          <w:rStyle w:val="FootnoteReference"/>
        </w:rPr>
        <w:footnoteRef/>
      </w:r>
      <w:r>
        <w:t xml:space="preserve"> </w:t>
      </w:r>
      <w:r>
        <w:t>Hagg and Marinatos</w:t>
      </w:r>
      <w:r>
        <w:t xml:space="preserve"> 1982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62E"/>
    <w:rsid w:val="00001BD0"/>
    <w:rsid w:val="00010000"/>
    <w:rsid w:val="00013DCD"/>
    <w:rsid w:val="00034BE4"/>
    <w:rsid w:val="00037E12"/>
    <w:rsid w:val="00055195"/>
    <w:rsid w:val="00080672"/>
    <w:rsid w:val="000915F9"/>
    <w:rsid w:val="000A3CF4"/>
    <w:rsid w:val="000A7395"/>
    <w:rsid w:val="000B6445"/>
    <w:rsid w:val="000C6A71"/>
    <w:rsid w:val="00103436"/>
    <w:rsid w:val="00123ED3"/>
    <w:rsid w:val="00133406"/>
    <w:rsid w:val="00153BE6"/>
    <w:rsid w:val="00174EEC"/>
    <w:rsid w:val="00194228"/>
    <w:rsid w:val="00197374"/>
    <w:rsid w:val="001A0ED2"/>
    <w:rsid w:val="001B22E4"/>
    <w:rsid w:val="001E13F1"/>
    <w:rsid w:val="00202A8D"/>
    <w:rsid w:val="002066F8"/>
    <w:rsid w:val="00224AA5"/>
    <w:rsid w:val="00226885"/>
    <w:rsid w:val="00237A54"/>
    <w:rsid w:val="002407ED"/>
    <w:rsid w:val="00255D0B"/>
    <w:rsid w:val="0025683A"/>
    <w:rsid w:val="002672E0"/>
    <w:rsid w:val="00276CFE"/>
    <w:rsid w:val="00283A6A"/>
    <w:rsid w:val="002849E4"/>
    <w:rsid w:val="00295D6E"/>
    <w:rsid w:val="002A50D7"/>
    <w:rsid w:val="002A6C23"/>
    <w:rsid w:val="002C76C2"/>
    <w:rsid w:val="002D2419"/>
    <w:rsid w:val="002E13AE"/>
    <w:rsid w:val="002E3D13"/>
    <w:rsid w:val="003229F0"/>
    <w:rsid w:val="00322BB6"/>
    <w:rsid w:val="00323781"/>
    <w:rsid w:val="00332424"/>
    <w:rsid w:val="0038500E"/>
    <w:rsid w:val="0039006E"/>
    <w:rsid w:val="0039405D"/>
    <w:rsid w:val="003A4219"/>
    <w:rsid w:val="003C0FF6"/>
    <w:rsid w:val="003C617B"/>
    <w:rsid w:val="003D2842"/>
    <w:rsid w:val="003E3329"/>
    <w:rsid w:val="003E662E"/>
    <w:rsid w:val="003F721D"/>
    <w:rsid w:val="00405A52"/>
    <w:rsid w:val="00410AED"/>
    <w:rsid w:val="00412450"/>
    <w:rsid w:val="00415783"/>
    <w:rsid w:val="00415947"/>
    <w:rsid w:val="00420DFA"/>
    <w:rsid w:val="004216D9"/>
    <w:rsid w:val="0042173A"/>
    <w:rsid w:val="00423E45"/>
    <w:rsid w:val="00445AAD"/>
    <w:rsid w:val="00451470"/>
    <w:rsid w:val="00453448"/>
    <w:rsid w:val="004B3105"/>
    <w:rsid w:val="004B7259"/>
    <w:rsid w:val="004D33E0"/>
    <w:rsid w:val="004E44BB"/>
    <w:rsid w:val="00505D5F"/>
    <w:rsid w:val="00512E3D"/>
    <w:rsid w:val="005151F4"/>
    <w:rsid w:val="00523DF6"/>
    <w:rsid w:val="00533253"/>
    <w:rsid w:val="00565020"/>
    <w:rsid w:val="00576662"/>
    <w:rsid w:val="00586818"/>
    <w:rsid w:val="005913DD"/>
    <w:rsid w:val="005B1B0A"/>
    <w:rsid w:val="005B722F"/>
    <w:rsid w:val="005B77DD"/>
    <w:rsid w:val="005E3BB4"/>
    <w:rsid w:val="00645CD3"/>
    <w:rsid w:val="0065209C"/>
    <w:rsid w:val="00677669"/>
    <w:rsid w:val="00693053"/>
    <w:rsid w:val="006B22A5"/>
    <w:rsid w:val="006B4A95"/>
    <w:rsid w:val="007104E3"/>
    <w:rsid w:val="00770EF3"/>
    <w:rsid w:val="00780BCD"/>
    <w:rsid w:val="00791945"/>
    <w:rsid w:val="007A7AC9"/>
    <w:rsid w:val="007B7D3B"/>
    <w:rsid w:val="007C1140"/>
    <w:rsid w:val="007E7A55"/>
    <w:rsid w:val="007F08FB"/>
    <w:rsid w:val="00806FA7"/>
    <w:rsid w:val="00807306"/>
    <w:rsid w:val="008114C3"/>
    <w:rsid w:val="0081662A"/>
    <w:rsid w:val="008602B4"/>
    <w:rsid w:val="00873C5C"/>
    <w:rsid w:val="00894182"/>
    <w:rsid w:val="00896824"/>
    <w:rsid w:val="008D344E"/>
    <w:rsid w:val="008D694A"/>
    <w:rsid w:val="008F453F"/>
    <w:rsid w:val="009107B2"/>
    <w:rsid w:val="00921523"/>
    <w:rsid w:val="00930F70"/>
    <w:rsid w:val="00932F19"/>
    <w:rsid w:val="00937968"/>
    <w:rsid w:val="009416DA"/>
    <w:rsid w:val="0095621A"/>
    <w:rsid w:val="00975A11"/>
    <w:rsid w:val="00991B8D"/>
    <w:rsid w:val="009A4DB8"/>
    <w:rsid w:val="009A72BB"/>
    <w:rsid w:val="009B0398"/>
    <w:rsid w:val="009C1830"/>
    <w:rsid w:val="009C5634"/>
    <w:rsid w:val="009D24A7"/>
    <w:rsid w:val="009D2B3E"/>
    <w:rsid w:val="009D3175"/>
    <w:rsid w:val="009E6CA4"/>
    <w:rsid w:val="009F2588"/>
    <w:rsid w:val="00A17526"/>
    <w:rsid w:val="00A2510D"/>
    <w:rsid w:val="00A34A54"/>
    <w:rsid w:val="00A43368"/>
    <w:rsid w:val="00A5150B"/>
    <w:rsid w:val="00A57D5A"/>
    <w:rsid w:val="00A876C2"/>
    <w:rsid w:val="00AA0C6C"/>
    <w:rsid w:val="00AC3583"/>
    <w:rsid w:val="00AD2273"/>
    <w:rsid w:val="00AE5868"/>
    <w:rsid w:val="00B03E33"/>
    <w:rsid w:val="00B1003F"/>
    <w:rsid w:val="00B33BD6"/>
    <w:rsid w:val="00B417C2"/>
    <w:rsid w:val="00B6576D"/>
    <w:rsid w:val="00B71603"/>
    <w:rsid w:val="00B8143E"/>
    <w:rsid w:val="00B828B3"/>
    <w:rsid w:val="00B862BF"/>
    <w:rsid w:val="00B903DD"/>
    <w:rsid w:val="00BC18C1"/>
    <w:rsid w:val="00BD2ED6"/>
    <w:rsid w:val="00BE2033"/>
    <w:rsid w:val="00BE5DBD"/>
    <w:rsid w:val="00BF1CB1"/>
    <w:rsid w:val="00C0504D"/>
    <w:rsid w:val="00C25BF9"/>
    <w:rsid w:val="00C409D9"/>
    <w:rsid w:val="00C4759C"/>
    <w:rsid w:val="00C56560"/>
    <w:rsid w:val="00C575F4"/>
    <w:rsid w:val="00C61FB5"/>
    <w:rsid w:val="00C859F8"/>
    <w:rsid w:val="00C91415"/>
    <w:rsid w:val="00C91AEA"/>
    <w:rsid w:val="00C9255D"/>
    <w:rsid w:val="00C96269"/>
    <w:rsid w:val="00CC5395"/>
    <w:rsid w:val="00CD68CA"/>
    <w:rsid w:val="00CD7DEE"/>
    <w:rsid w:val="00CF5316"/>
    <w:rsid w:val="00D40A60"/>
    <w:rsid w:val="00D43FBF"/>
    <w:rsid w:val="00D568C4"/>
    <w:rsid w:val="00D57D49"/>
    <w:rsid w:val="00DC3613"/>
    <w:rsid w:val="00DC5C40"/>
    <w:rsid w:val="00DC69DE"/>
    <w:rsid w:val="00E105D3"/>
    <w:rsid w:val="00E2177D"/>
    <w:rsid w:val="00E21B2F"/>
    <w:rsid w:val="00E23E66"/>
    <w:rsid w:val="00E4791D"/>
    <w:rsid w:val="00E5222A"/>
    <w:rsid w:val="00E84363"/>
    <w:rsid w:val="00E92A9D"/>
    <w:rsid w:val="00EC33EA"/>
    <w:rsid w:val="00EE42BA"/>
    <w:rsid w:val="00EE6670"/>
    <w:rsid w:val="00EF0C07"/>
    <w:rsid w:val="00F12140"/>
    <w:rsid w:val="00F20E0E"/>
    <w:rsid w:val="00F37385"/>
    <w:rsid w:val="00F4421A"/>
    <w:rsid w:val="00F64AEE"/>
    <w:rsid w:val="00FA772B"/>
    <w:rsid w:val="00FA7F31"/>
    <w:rsid w:val="00FC1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BD119"/>
  <w15:chartTrackingRefBased/>
  <w15:docId w15:val="{6F6F7C57-AEB7-4324-92B9-7057E355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6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6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6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6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6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6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6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6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6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6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6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6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6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6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6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6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62E"/>
    <w:rPr>
      <w:rFonts w:eastAsiaTheme="majorEastAsia" w:cstheme="majorBidi"/>
      <w:color w:val="272727" w:themeColor="text1" w:themeTint="D8"/>
    </w:rPr>
  </w:style>
  <w:style w:type="paragraph" w:styleId="Title">
    <w:name w:val="Title"/>
    <w:basedOn w:val="Normal"/>
    <w:next w:val="Normal"/>
    <w:link w:val="TitleChar"/>
    <w:uiPriority w:val="10"/>
    <w:qFormat/>
    <w:rsid w:val="003E66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6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6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6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62E"/>
    <w:pPr>
      <w:spacing w:before="160"/>
      <w:jc w:val="center"/>
    </w:pPr>
    <w:rPr>
      <w:i/>
      <w:iCs/>
      <w:color w:val="404040" w:themeColor="text1" w:themeTint="BF"/>
    </w:rPr>
  </w:style>
  <w:style w:type="character" w:customStyle="1" w:styleId="QuoteChar">
    <w:name w:val="Quote Char"/>
    <w:basedOn w:val="DefaultParagraphFont"/>
    <w:link w:val="Quote"/>
    <w:uiPriority w:val="29"/>
    <w:rsid w:val="003E662E"/>
    <w:rPr>
      <w:i/>
      <w:iCs/>
      <w:color w:val="404040" w:themeColor="text1" w:themeTint="BF"/>
    </w:rPr>
  </w:style>
  <w:style w:type="paragraph" w:styleId="ListParagraph">
    <w:name w:val="List Paragraph"/>
    <w:basedOn w:val="Normal"/>
    <w:uiPriority w:val="34"/>
    <w:qFormat/>
    <w:rsid w:val="003E662E"/>
    <w:pPr>
      <w:ind w:left="720"/>
      <w:contextualSpacing/>
    </w:pPr>
  </w:style>
  <w:style w:type="character" w:styleId="IntenseEmphasis">
    <w:name w:val="Intense Emphasis"/>
    <w:basedOn w:val="DefaultParagraphFont"/>
    <w:uiPriority w:val="21"/>
    <w:qFormat/>
    <w:rsid w:val="003E662E"/>
    <w:rPr>
      <w:i/>
      <w:iCs/>
      <w:color w:val="0F4761" w:themeColor="accent1" w:themeShade="BF"/>
    </w:rPr>
  </w:style>
  <w:style w:type="paragraph" w:styleId="IntenseQuote">
    <w:name w:val="Intense Quote"/>
    <w:basedOn w:val="Normal"/>
    <w:next w:val="Normal"/>
    <w:link w:val="IntenseQuoteChar"/>
    <w:uiPriority w:val="30"/>
    <w:qFormat/>
    <w:rsid w:val="003E6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62E"/>
    <w:rPr>
      <w:i/>
      <w:iCs/>
      <w:color w:val="0F4761" w:themeColor="accent1" w:themeShade="BF"/>
    </w:rPr>
  </w:style>
  <w:style w:type="character" w:styleId="IntenseReference">
    <w:name w:val="Intense Reference"/>
    <w:basedOn w:val="DefaultParagraphFont"/>
    <w:uiPriority w:val="32"/>
    <w:qFormat/>
    <w:rsid w:val="003E662E"/>
    <w:rPr>
      <w:b/>
      <w:bCs/>
      <w:smallCaps/>
      <w:color w:val="0F4761" w:themeColor="accent1" w:themeShade="BF"/>
      <w:spacing w:val="5"/>
    </w:rPr>
  </w:style>
  <w:style w:type="paragraph" w:styleId="FootnoteText">
    <w:name w:val="footnote text"/>
    <w:basedOn w:val="Normal"/>
    <w:link w:val="FootnoteTextChar"/>
    <w:uiPriority w:val="99"/>
    <w:semiHidden/>
    <w:unhideWhenUsed/>
    <w:rsid w:val="009A72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72BB"/>
    <w:rPr>
      <w:sz w:val="20"/>
      <w:szCs w:val="20"/>
    </w:rPr>
  </w:style>
  <w:style w:type="character" w:styleId="FootnoteReference">
    <w:name w:val="footnote reference"/>
    <w:basedOn w:val="DefaultParagraphFont"/>
    <w:uiPriority w:val="99"/>
    <w:semiHidden/>
    <w:unhideWhenUsed/>
    <w:rsid w:val="009A72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93C08-27F4-44A1-AF76-2DBD90D16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4618</TotalTime>
  <Pages>4</Pages>
  <Words>1207</Words>
  <Characters>6886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Edwards (2304623)</dc:creator>
  <cp:keywords/>
  <dc:description/>
  <cp:lastModifiedBy>Robert Edwards (2304623)</cp:lastModifiedBy>
  <cp:revision>201</cp:revision>
  <dcterms:created xsi:type="dcterms:W3CDTF">2025-11-13T14:02:00Z</dcterms:created>
  <dcterms:modified xsi:type="dcterms:W3CDTF">2025-11-16T19:00:00Z</dcterms:modified>
</cp:coreProperties>
</file>