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07D944" w14:textId="4A5CFB2D" w:rsidR="00491F4E" w:rsidRPr="00AB19CF" w:rsidRDefault="00491F4E" w:rsidP="00AB19CF">
      <w:pPr>
        <w:spacing w:line="360" w:lineRule="auto"/>
        <w:jc w:val="both"/>
        <w:rPr>
          <w:rFonts w:ascii="Times New Roman" w:hAnsi="Times New Roman" w:cs="Times New Roman"/>
          <w:b/>
          <w:bCs/>
          <w:sz w:val="24"/>
          <w:szCs w:val="24"/>
        </w:rPr>
      </w:pPr>
    </w:p>
    <w:p w14:paraId="48AE5C70" w14:textId="77777777" w:rsidR="00491F4E" w:rsidRPr="00AB19CF" w:rsidRDefault="00491F4E" w:rsidP="00AB19CF">
      <w:pPr>
        <w:spacing w:line="360" w:lineRule="auto"/>
        <w:jc w:val="both"/>
        <w:rPr>
          <w:rFonts w:ascii="Times New Roman" w:hAnsi="Times New Roman" w:cs="Times New Roman"/>
          <w:b/>
          <w:bCs/>
          <w:sz w:val="24"/>
          <w:szCs w:val="24"/>
        </w:rPr>
      </w:pPr>
    </w:p>
    <w:p w14:paraId="34B0D952" w14:textId="05E86247" w:rsidR="00491F4E" w:rsidRPr="00AB19CF" w:rsidRDefault="00E0647C" w:rsidP="00AB19CF">
      <w:pPr>
        <w:spacing w:line="360" w:lineRule="auto"/>
        <w:jc w:val="both"/>
        <w:rPr>
          <w:rFonts w:ascii="Times New Roman" w:hAnsi="Times New Roman" w:cs="Times New Roman"/>
          <w:b/>
          <w:bCs/>
          <w:sz w:val="24"/>
          <w:szCs w:val="24"/>
        </w:rPr>
      </w:pPr>
      <w:r w:rsidRPr="00AB19CF">
        <w:rPr>
          <w:rFonts w:ascii="Times New Roman" w:hAnsi="Times New Roman" w:cs="Times New Roman"/>
          <w:noProof/>
          <w:sz w:val="24"/>
          <w:szCs w:val="24"/>
        </w:rPr>
        <w:drawing>
          <wp:inline distT="0" distB="0" distL="0" distR="0" wp14:anchorId="5FAFB4D4" wp14:editId="50D5EEEA">
            <wp:extent cx="1630680" cy="906415"/>
            <wp:effectExtent l="0" t="0" r="7620" b="8255"/>
            <wp:docPr id="970159331" name="Picture 2"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32382" cy="907361"/>
                    </a:xfrm>
                    <a:prstGeom prst="rect">
                      <a:avLst/>
                    </a:prstGeom>
                    <a:noFill/>
                    <a:ln>
                      <a:noFill/>
                    </a:ln>
                  </pic:spPr>
                </pic:pic>
              </a:graphicData>
            </a:graphic>
          </wp:inline>
        </w:drawing>
      </w:r>
    </w:p>
    <w:p w14:paraId="01B85BDF" w14:textId="77777777" w:rsidR="00E0647C" w:rsidRPr="00AB19CF" w:rsidRDefault="00E0647C" w:rsidP="00AB19CF">
      <w:pPr>
        <w:spacing w:line="360" w:lineRule="auto"/>
        <w:jc w:val="both"/>
        <w:rPr>
          <w:rFonts w:ascii="Times New Roman" w:hAnsi="Times New Roman" w:cs="Times New Roman"/>
          <w:b/>
          <w:bCs/>
          <w:sz w:val="24"/>
          <w:szCs w:val="24"/>
        </w:rPr>
      </w:pPr>
    </w:p>
    <w:p w14:paraId="056B1DF0" w14:textId="77777777" w:rsidR="00491F4E" w:rsidRPr="00AB19CF" w:rsidRDefault="00491F4E" w:rsidP="001349DD">
      <w:pPr>
        <w:spacing w:line="360" w:lineRule="auto"/>
        <w:jc w:val="center"/>
        <w:rPr>
          <w:rFonts w:ascii="Times New Roman" w:hAnsi="Times New Roman" w:cs="Times New Roman"/>
          <w:b/>
          <w:bCs/>
          <w:sz w:val="24"/>
          <w:szCs w:val="24"/>
        </w:rPr>
      </w:pPr>
    </w:p>
    <w:p w14:paraId="79682F2A" w14:textId="6CD38649" w:rsidR="00491F4E" w:rsidRDefault="0047793C" w:rsidP="001349D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w:t>
      </w:r>
      <w:permStart w:id="1741047464" w:edGrp="everyone"/>
      <w:permEnd w:id="1741047464"/>
      <w:r w:rsidR="00491F4E" w:rsidRPr="00AB19CF">
        <w:rPr>
          <w:rFonts w:ascii="Times New Roman" w:hAnsi="Times New Roman" w:cs="Times New Roman"/>
          <w:b/>
          <w:bCs/>
          <w:sz w:val="24"/>
          <w:szCs w:val="24"/>
        </w:rPr>
        <w:t xml:space="preserve">Financial Management for the </w:t>
      </w:r>
      <w:r>
        <w:rPr>
          <w:rFonts w:ascii="Times New Roman" w:hAnsi="Times New Roman" w:cs="Times New Roman"/>
          <w:b/>
          <w:bCs/>
          <w:sz w:val="24"/>
          <w:szCs w:val="24"/>
        </w:rPr>
        <w:t>Hotel Industry</w:t>
      </w:r>
    </w:p>
    <w:p w14:paraId="36E03A66" w14:textId="0D4EE833" w:rsidR="008C03C4" w:rsidRDefault="008C03C4" w:rsidP="001349D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Assignment 2</w:t>
      </w:r>
    </w:p>
    <w:p w14:paraId="271A30E4" w14:textId="481567BE" w:rsidR="00CA5CAE" w:rsidRDefault="00CA5CAE" w:rsidP="001349DD">
      <w:pPr>
        <w:spacing w:line="360" w:lineRule="auto"/>
        <w:jc w:val="center"/>
        <w:rPr>
          <w:rFonts w:ascii="Times New Roman" w:hAnsi="Times New Roman" w:cs="Times New Roman"/>
          <w:b/>
          <w:bCs/>
          <w:sz w:val="24"/>
          <w:szCs w:val="24"/>
        </w:rPr>
      </w:pPr>
      <w:r w:rsidRPr="00CA5CAE">
        <w:rPr>
          <w:rFonts w:ascii="Times New Roman" w:hAnsi="Times New Roman" w:cs="Times New Roman"/>
          <w:b/>
          <w:bCs/>
          <w:sz w:val="24"/>
          <w:szCs w:val="24"/>
        </w:rPr>
        <w:t>BMIH5007</w:t>
      </w:r>
    </w:p>
    <w:p w14:paraId="5A4C97EC" w14:textId="77777777" w:rsidR="00CA5CAE" w:rsidRDefault="00CA5CAE" w:rsidP="001349DD">
      <w:pPr>
        <w:spacing w:line="360" w:lineRule="auto"/>
        <w:jc w:val="center"/>
        <w:rPr>
          <w:rFonts w:ascii="Times New Roman" w:hAnsi="Times New Roman" w:cs="Times New Roman"/>
          <w:b/>
          <w:bCs/>
          <w:sz w:val="24"/>
          <w:szCs w:val="24"/>
        </w:rPr>
      </w:pPr>
    </w:p>
    <w:p w14:paraId="3F31DA48" w14:textId="77777777" w:rsidR="00CA5CAE" w:rsidRPr="00AB19CF" w:rsidRDefault="00CA5CAE" w:rsidP="001349DD">
      <w:pPr>
        <w:spacing w:line="360" w:lineRule="auto"/>
        <w:jc w:val="center"/>
        <w:rPr>
          <w:rFonts w:ascii="Times New Roman" w:hAnsi="Times New Roman" w:cs="Times New Roman"/>
          <w:b/>
          <w:bCs/>
          <w:sz w:val="24"/>
          <w:szCs w:val="24"/>
        </w:rPr>
      </w:pPr>
    </w:p>
    <w:p w14:paraId="1C1ECE10" w14:textId="315716C9" w:rsidR="00491F4E" w:rsidRPr="00AB19CF" w:rsidRDefault="00CA5CAE" w:rsidP="00CA5CAE">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Student name: Nina Sokhan Kalashnikova</w:t>
      </w:r>
    </w:p>
    <w:p w14:paraId="1EB1A12E" w14:textId="77777777" w:rsidR="00CA5CAE" w:rsidRDefault="00491F4E" w:rsidP="001349DD">
      <w:pPr>
        <w:spacing w:line="360" w:lineRule="auto"/>
        <w:jc w:val="center"/>
        <w:rPr>
          <w:rFonts w:ascii="Times New Roman" w:hAnsi="Times New Roman" w:cs="Times New Roman"/>
          <w:b/>
          <w:bCs/>
          <w:sz w:val="24"/>
          <w:szCs w:val="24"/>
        </w:rPr>
      </w:pPr>
      <w:r w:rsidRPr="00AB19CF">
        <w:rPr>
          <w:rFonts w:ascii="Times New Roman" w:hAnsi="Times New Roman" w:cs="Times New Roman"/>
          <w:b/>
          <w:bCs/>
          <w:sz w:val="24"/>
          <w:szCs w:val="24"/>
        </w:rPr>
        <w:t>Student ID :</w:t>
      </w:r>
      <w:r w:rsidR="00CA5CAE">
        <w:rPr>
          <w:rFonts w:ascii="Times New Roman" w:hAnsi="Times New Roman" w:cs="Times New Roman"/>
          <w:b/>
          <w:bCs/>
          <w:sz w:val="24"/>
          <w:szCs w:val="24"/>
        </w:rPr>
        <w:t xml:space="preserve"> 2234899</w:t>
      </w:r>
    </w:p>
    <w:p w14:paraId="4440680B" w14:textId="353B8444" w:rsidR="00183097" w:rsidRPr="00AB19CF" w:rsidRDefault="00CA5CAE" w:rsidP="001349DD">
      <w:pPr>
        <w:spacing w:line="360" w:lineRule="auto"/>
        <w:jc w:val="center"/>
        <w:rPr>
          <w:rFonts w:ascii="Times New Roman" w:hAnsi="Times New Roman" w:cs="Times New Roman"/>
          <w:b/>
          <w:bCs/>
          <w:sz w:val="24"/>
          <w:szCs w:val="24"/>
        </w:rPr>
      </w:pPr>
      <w:r w:rsidRPr="00CA5CAE">
        <w:rPr>
          <w:rFonts w:ascii="Times New Roman" w:hAnsi="Times New Roman" w:cs="Times New Roman"/>
          <w:b/>
          <w:bCs/>
          <w:sz w:val="24"/>
          <w:szCs w:val="24"/>
        </w:rPr>
        <w:t>Lecturer name: Tristan Hawkins</w:t>
      </w:r>
      <w:r w:rsidR="00183097" w:rsidRPr="00AB19CF">
        <w:rPr>
          <w:rFonts w:ascii="Times New Roman" w:hAnsi="Times New Roman" w:cs="Times New Roman"/>
          <w:b/>
          <w:bCs/>
          <w:sz w:val="24"/>
          <w:szCs w:val="24"/>
        </w:rPr>
        <w:br w:type="page"/>
      </w:r>
    </w:p>
    <w:sdt>
      <w:sdtPr>
        <w:rPr>
          <w:rFonts w:ascii="Times New Roman" w:eastAsiaTheme="minorHAnsi" w:hAnsi="Times New Roman" w:cs="Times New Roman"/>
          <w:color w:val="auto"/>
          <w:kern w:val="2"/>
          <w:sz w:val="24"/>
          <w:szCs w:val="24"/>
          <w14:ligatures w14:val="standardContextual"/>
        </w:rPr>
        <w:id w:val="956758584"/>
        <w:docPartObj>
          <w:docPartGallery w:val="Table of Contents"/>
          <w:docPartUnique/>
        </w:docPartObj>
      </w:sdtPr>
      <w:sdtEndPr>
        <w:rPr>
          <w:b/>
          <w:bCs/>
          <w:noProof/>
        </w:rPr>
      </w:sdtEndPr>
      <w:sdtContent>
        <w:p w14:paraId="09784797" w14:textId="0013037E" w:rsidR="00491F4E" w:rsidRPr="00AB19CF" w:rsidRDefault="00491F4E" w:rsidP="00AB19CF">
          <w:pPr>
            <w:pStyle w:val="TOCHeading"/>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Contents</w:t>
          </w:r>
        </w:p>
        <w:p w14:paraId="218BC69C" w14:textId="16717881" w:rsidR="00AB19CF" w:rsidRDefault="00491F4E">
          <w:pPr>
            <w:pStyle w:val="TOC1"/>
            <w:tabs>
              <w:tab w:val="right" w:leader="dot" w:pos="9016"/>
            </w:tabs>
            <w:rPr>
              <w:rFonts w:eastAsiaTheme="minorEastAsia"/>
              <w:noProof/>
              <w:sz w:val="24"/>
              <w:szCs w:val="24"/>
            </w:rPr>
          </w:pPr>
          <w:r w:rsidRPr="00AB19CF">
            <w:rPr>
              <w:rFonts w:ascii="Times New Roman" w:hAnsi="Times New Roman" w:cs="Times New Roman"/>
              <w:sz w:val="24"/>
              <w:szCs w:val="24"/>
            </w:rPr>
            <w:fldChar w:fldCharType="begin"/>
          </w:r>
          <w:r w:rsidRPr="00AB19CF">
            <w:rPr>
              <w:rFonts w:ascii="Times New Roman" w:hAnsi="Times New Roman" w:cs="Times New Roman"/>
              <w:sz w:val="24"/>
              <w:szCs w:val="24"/>
            </w:rPr>
            <w:instrText xml:space="preserve"> TOC \o "1-3" \h \z \u </w:instrText>
          </w:r>
          <w:r w:rsidRPr="00AB19CF">
            <w:rPr>
              <w:rFonts w:ascii="Times New Roman" w:hAnsi="Times New Roman" w:cs="Times New Roman"/>
              <w:sz w:val="24"/>
              <w:szCs w:val="24"/>
            </w:rPr>
            <w:fldChar w:fldCharType="separate"/>
          </w:r>
          <w:hyperlink w:anchor="_Toc168273923" w:history="1">
            <w:r w:rsidR="00AB19CF" w:rsidRPr="00B52BDC">
              <w:rPr>
                <w:rStyle w:val="Hyperlink"/>
                <w:rFonts w:ascii="Times New Roman" w:hAnsi="Times New Roman" w:cs="Times New Roman"/>
                <w:noProof/>
              </w:rPr>
              <w:t>Introduction</w:t>
            </w:r>
            <w:r w:rsidR="00AB19CF">
              <w:rPr>
                <w:noProof/>
                <w:webHidden/>
              </w:rPr>
              <w:tab/>
            </w:r>
            <w:r w:rsidR="00AB19CF">
              <w:rPr>
                <w:noProof/>
                <w:webHidden/>
              </w:rPr>
              <w:fldChar w:fldCharType="begin"/>
            </w:r>
            <w:r w:rsidR="00AB19CF">
              <w:rPr>
                <w:noProof/>
                <w:webHidden/>
              </w:rPr>
              <w:instrText xml:space="preserve"> PAGEREF _Toc168273923 \h </w:instrText>
            </w:r>
            <w:r w:rsidR="00AB19CF">
              <w:rPr>
                <w:noProof/>
                <w:webHidden/>
              </w:rPr>
            </w:r>
            <w:r w:rsidR="00AB19CF">
              <w:rPr>
                <w:noProof/>
                <w:webHidden/>
              </w:rPr>
              <w:fldChar w:fldCharType="separate"/>
            </w:r>
            <w:r w:rsidR="00AB19CF">
              <w:rPr>
                <w:noProof/>
                <w:webHidden/>
              </w:rPr>
              <w:t>3</w:t>
            </w:r>
            <w:r w:rsidR="00AB19CF">
              <w:rPr>
                <w:noProof/>
                <w:webHidden/>
              </w:rPr>
              <w:fldChar w:fldCharType="end"/>
            </w:r>
          </w:hyperlink>
        </w:p>
        <w:p w14:paraId="0A4F0779" w14:textId="4F269AAD" w:rsidR="00AB19CF" w:rsidRDefault="00000000">
          <w:pPr>
            <w:pStyle w:val="TOC1"/>
            <w:tabs>
              <w:tab w:val="right" w:leader="dot" w:pos="9016"/>
            </w:tabs>
            <w:rPr>
              <w:rFonts w:eastAsiaTheme="minorEastAsia"/>
              <w:noProof/>
              <w:sz w:val="24"/>
              <w:szCs w:val="24"/>
            </w:rPr>
          </w:pPr>
          <w:hyperlink w:anchor="_Toc168273924" w:history="1">
            <w:r w:rsidR="00AB19CF" w:rsidRPr="00B52BDC">
              <w:rPr>
                <w:rStyle w:val="Hyperlink"/>
                <w:rFonts w:ascii="Times New Roman" w:hAnsi="Times New Roman" w:cs="Times New Roman"/>
                <w:noProof/>
              </w:rPr>
              <w:t>Financial Analysis of Urban Heights Hotel</w:t>
            </w:r>
            <w:r w:rsidR="00AB19CF">
              <w:rPr>
                <w:noProof/>
                <w:webHidden/>
              </w:rPr>
              <w:tab/>
            </w:r>
            <w:r w:rsidR="00AB19CF">
              <w:rPr>
                <w:noProof/>
                <w:webHidden/>
              </w:rPr>
              <w:fldChar w:fldCharType="begin"/>
            </w:r>
            <w:r w:rsidR="00AB19CF">
              <w:rPr>
                <w:noProof/>
                <w:webHidden/>
              </w:rPr>
              <w:instrText xml:space="preserve"> PAGEREF _Toc168273924 \h </w:instrText>
            </w:r>
            <w:r w:rsidR="00AB19CF">
              <w:rPr>
                <w:noProof/>
                <w:webHidden/>
              </w:rPr>
            </w:r>
            <w:r w:rsidR="00AB19CF">
              <w:rPr>
                <w:noProof/>
                <w:webHidden/>
              </w:rPr>
              <w:fldChar w:fldCharType="separate"/>
            </w:r>
            <w:r w:rsidR="00AB19CF">
              <w:rPr>
                <w:noProof/>
                <w:webHidden/>
              </w:rPr>
              <w:t>3</w:t>
            </w:r>
            <w:r w:rsidR="00AB19CF">
              <w:rPr>
                <w:noProof/>
                <w:webHidden/>
              </w:rPr>
              <w:fldChar w:fldCharType="end"/>
            </w:r>
          </w:hyperlink>
        </w:p>
        <w:p w14:paraId="14DE544C" w14:textId="4ABC7A6F" w:rsidR="00AB19CF" w:rsidRDefault="00000000">
          <w:pPr>
            <w:pStyle w:val="TOC1"/>
            <w:tabs>
              <w:tab w:val="right" w:leader="dot" w:pos="9016"/>
            </w:tabs>
            <w:rPr>
              <w:rFonts w:eastAsiaTheme="minorEastAsia"/>
              <w:noProof/>
              <w:sz w:val="24"/>
              <w:szCs w:val="24"/>
            </w:rPr>
          </w:pPr>
          <w:hyperlink w:anchor="_Toc168273925" w:history="1">
            <w:r w:rsidR="00AB19CF" w:rsidRPr="00B52BDC">
              <w:rPr>
                <w:rStyle w:val="Hyperlink"/>
                <w:rFonts w:ascii="Times New Roman" w:hAnsi="Times New Roman" w:cs="Times New Roman"/>
                <w:noProof/>
              </w:rPr>
              <w:t>Analysis of Factors Contributing to Declining Profitability at Urban Heights Hotel</w:t>
            </w:r>
            <w:r w:rsidR="00AB19CF">
              <w:rPr>
                <w:noProof/>
                <w:webHidden/>
              </w:rPr>
              <w:tab/>
            </w:r>
            <w:r w:rsidR="00AB19CF">
              <w:rPr>
                <w:noProof/>
                <w:webHidden/>
              </w:rPr>
              <w:fldChar w:fldCharType="begin"/>
            </w:r>
            <w:r w:rsidR="00AB19CF">
              <w:rPr>
                <w:noProof/>
                <w:webHidden/>
              </w:rPr>
              <w:instrText xml:space="preserve"> PAGEREF _Toc168273925 \h </w:instrText>
            </w:r>
            <w:r w:rsidR="00AB19CF">
              <w:rPr>
                <w:noProof/>
                <w:webHidden/>
              </w:rPr>
            </w:r>
            <w:r w:rsidR="00AB19CF">
              <w:rPr>
                <w:noProof/>
                <w:webHidden/>
              </w:rPr>
              <w:fldChar w:fldCharType="separate"/>
            </w:r>
            <w:r w:rsidR="00AB19CF">
              <w:rPr>
                <w:noProof/>
                <w:webHidden/>
              </w:rPr>
              <w:t>5</w:t>
            </w:r>
            <w:r w:rsidR="00AB19CF">
              <w:rPr>
                <w:noProof/>
                <w:webHidden/>
              </w:rPr>
              <w:fldChar w:fldCharType="end"/>
            </w:r>
          </w:hyperlink>
        </w:p>
        <w:p w14:paraId="3054A8F3" w14:textId="662501AC" w:rsidR="00AB19CF" w:rsidRDefault="00000000">
          <w:pPr>
            <w:pStyle w:val="TOC1"/>
            <w:tabs>
              <w:tab w:val="right" w:leader="dot" w:pos="9016"/>
            </w:tabs>
            <w:rPr>
              <w:rFonts w:eastAsiaTheme="minorEastAsia"/>
              <w:noProof/>
              <w:sz w:val="24"/>
              <w:szCs w:val="24"/>
            </w:rPr>
          </w:pPr>
          <w:hyperlink w:anchor="_Toc168273926" w:history="1">
            <w:r w:rsidR="00AB19CF" w:rsidRPr="00B52BDC">
              <w:rPr>
                <w:rStyle w:val="Hyperlink"/>
                <w:rFonts w:ascii="Times New Roman" w:hAnsi="Times New Roman" w:cs="Times New Roman"/>
                <w:noProof/>
              </w:rPr>
              <w:t>The Impact of War and Inflation on the Hotel Industry in the UK</w:t>
            </w:r>
            <w:r w:rsidR="00AB19CF">
              <w:rPr>
                <w:noProof/>
                <w:webHidden/>
              </w:rPr>
              <w:tab/>
            </w:r>
            <w:r w:rsidR="00AB19CF">
              <w:rPr>
                <w:noProof/>
                <w:webHidden/>
              </w:rPr>
              <w:fldChar w:fldCharType="begin"/>
            </w:r>
            <w:r w:rsidR="00AB19CF">
              <w:rPr>
                <w:noProof/>
                <w:webHidden/>
              </w:rPr>
              <w:instrText xml:space="preserve"> PAGEREF _Toc168273926 \h </w:instrText>
            </w:r>
            <w:r w:rsidR="00AB19CF">
              <w:rPr>
                <w:noProof/>
                <w:webHidden/>
              </w:rPr>
            </w:r>
            <w:r w:rsidR="00AB19CF">
              <w:rPr>
                <w:noProof/>
                <w:webHidden/>
              </w:rPr>
              <w:fldChar w:fldCharType="separate"/>
            </w:r>
            <w:r w:rsidR="00AB19CF">
              <w:rPr>
                <w:noProof/>
                <w:webHidden/>
              </w:rPr>
              <w:t>6</w:t>
            </w:r>
            <w:r w:rsidR="00AB19CF">
              <w:rPr>
                <w:noProof/>
                <w:webHidden/>
              </w:rPr>
              <w:fldChar w:fldCharType="end"/>
            </w:r>
          </w:hyperlink>
        </w:p>
        <w:p w14:paraId="3AE234BD" w14:textId="65CE1023" w:rsidR="00AB19CF" w:rsidRDefault="00000000">
          <w:pPr>
            <w:pStyle w:val="TOC1"/>
            <w:tabs>
              <w:tab w:val="right" w:leader="dot" w:pos="9016"/>
            </w:tabs>
            <w:rPr>
              <w:rFonts w:eastAsiaTheme="minorEastAsia"/>
              <w:noProof/>
              <w:sz w:val="24"/>
              <w:szCs w:val="24"/>
            </w:rPr>
          </w:pPr>
          <w:hyperlink w:anchor="_Toc168273927" w:history="1">
            <w:r w:rsidR="00AB19CF" w:rsidRPr="00B52BDC">
              <w:rPr>
                <w:rStyle w:val="Hyperlink"/>
                <w:rFonts w:ascii="Times New Roman" w:hAnsi="Times New Roman" w:cs="Times New Roman"/>
                <w:noProof/>
              </w:rPr>
              <w:t>Comprehensive Turnaround Strategy for Urban Heights Hotel</w:t>
            </w:r>
            <w:r w:rsidR="00AB19CF">
              <w:rPr>
                <w:noProof/>
                <w:webHidden/>
              </w:rPr>
              <w:tab/>
            </w:r>
            <w:r w:rsidR="00AB19CF">
              <w:rPr>
                <w:noProof/>
                <w:webHidden/>
              </w:rPr>
              <w:fldChar w:fldCharType="begin"/>
            </w:r>
            <w:r w:rsidR="00AB19CF">
              <w:rPr>
                <w:noProof/>
                <w:webHidden/>
              </w:rPr>
              <w:instrText xml:space="preserve"> PAGEREF _Toc168273927 \h </w:instrText>
            </w:r>
            <w:r w:rsidR="00AB19CF">
              <w:rPr>
                <w:noProof/>
                <w:webHidden/>
              </w:rPr>
            </w:r>
            <w:r w:rsidR="00AB19CF">
              <w:rPr>
                <w:noProof/>
                <w:webHidden/>
              </w:rPr>
              <w:fldChar w:fldCharType="separate"/>
            </w:r>
            <w:r w:rsidR="00AB19CF">
              <w:rPr>
                <w:noProof/>
                <w:webHidden/>
              </w:rPr>
              <w:t>7</w:t>
            </w:r>
            <w:r w:rsidR="00AB19CF">
              <w:rPr>
                <w:noProof/>
                <w:webHidden/>
              </w:rPr>
              <w:fldChar w:fldCharType="end"/>
            </w:r>
          </w:hyperlink>
        </w:p>
        <w:p w14:paraId="130E14EC" w14:textId="2C8AF5AF" w:rsidR="00AB19CF" w:rsidRDefault="00000000">
          <w:pPr>
            <w:pStyle w:val="TOC1"/>
            <w:tabs>
              <w:tab w:val="right" w:leader="dot" w:pos="9016"/>
            </w:tabs>
            <w:rPr>
              <w:rFonts w:eastAsiaTheme="minorEastAsia"/>
              <w:noProof/>
              <w:sz w:val="24"/>
              <w:szCs w:val="24"/>
            </w:rPr>
          </w:pPr>
          <w:hyperlink w:anchor="_Toc168273928" w:history="1">
            <w:r w:rsidR="00AB19CF" w:rsidRPr="00B52BDC">
              <w:rPr>
                <w:rStyle w:val="Hyperlink"/>
                <w:rFonts w:ascii="Times New Roman" w:hAnsi="Times New Roman" w:cs="Times New Roman"/>
                <w:noProof/>
              </w:rPr>
              <w:t>Recommendations for Addressing Declining Revenue and Managing Risks</w:t>
            </w:r>
            <w:r w:rsidR="00AB19CF">
              <w:rPr>
                <w:noProof/>
                <w:webHidden/>
              </w:rPr>
              <w:tab/>
            </w:r>
            <w:r w:rsidR="00AB19CF">
              <w:rPr>
                <w:noProof/>
                <w:webHidden/>
              </w:rPr>
              <w:fldChar w:fldCharType="begin"/>
            </w:r>
            <w:r w:rsidR="00AB19CF">
              <w:rPr>
                <w:noProof/>
                <w:webHidden/>
              </w:rPr>
              <w:instrText xml:space="preserve"> PAGEREF _Toc168273928 \h </w:instrText>
            </w:r>
            <w:r w:rsidR="00AB19CF">
              <w:rPr>
                <w:noProof/>
                <w:webHidden/>
              </w:rPr>
            </w:r>
            <w:r w:rsidR="00AB19CF">
              <w:rPr>
                <w:noProof/>
                <w:webHidden/>
              </w:rPr>
              <w:fldChar w:fldCharType="separate"/>
            </w:r>
            <w:r w:rsidR="00AB19CF">
              <w:rPr>
                <w:noProof/>
                <w:webHidden/>
              </w:rPr>
              <w:t>9</w:t>
            </w:r>
            <w:r w:rsidR="00AB19CF">
              <w:rPr>
                <w:noProof/>
                <w:webHidden/>
              </w:rPr>
              <w:fldChar w:fldCharType="end"/>
            </w:r>
          </w:hyperlink>
        </w:p>
        <w:p w14:paraId="1E45688B" w14:textId="721ED99C" w:rsidR="00AB19CF" w:rsidRDefault="00000000">
          <w:pPr>
            <w:pStyle w:val="TOC1"/>
            <w:tabs>
              <w:tab w:val="right" w:leader="dot" w:pos="9016"/>
            </w:tabs>
            <w:rPr>
              <w:rFonts w:eastAsiaTheme="minorEastAsia"/>
              <w:noProof/>
              <w:sz w:val="24"/>
              <w:szCs w:val="24"/>
            </w:rPr>
          </w:pPr>
          <w:hyperlink w:anchor="_Toc168273929" w:history="1">
            <w:r w:rsidR="00AB19CF" w:rsidRPr="00B52BDC">
              <w:rPr>
                <w:rStyle w:val="Hyperlink"/>
                <w:rFonts w:ascii="Times New Roman" w:hAnsi="Times New Roman" w:cs="Times New Roman"/>
                <w:noProof/>
              </w:rPr>
              <w:t>Conclusion</w:t>
            </w:r>
            <w:r w:rsidR="00AB19CF">
              <w:rPr>
                <w:noProof/>
                <w:webHidden/>
              </w:rPr>
              <w:tab/>
            </w:r>
            <w:r w:rsidR="00AB19CF">
              <w:rPr>
                <w:noProof/>
                <w:webHidden/>
              </w:rPr>
              <w:fldChar w:fldCharType="begin"/>
            </w:r>
            <w:r w:rsidR="00AB19CF">
              <w:rPr>
                <w:noProof/>
                <w:webHidden/>
              </w:rPr>
              <w:instrText xml:space="preserve"> PAGEREF _Toc168273929 \h </w:instrText>
            </w:r>
            <w:r w:rsidR="00AB19CF">
              <w:rPr>
                <w:noProof/>
                <w:webHidden/>
              </w:rPr>
            </w:r>
            <w:r w:rsidR="00AB19CF">
              <w:rPr>
                <w:noProof/>
                <w:webHidden/>
              </w:rPr>
              <w:fldChar w:fldCharType="separate"/>
            </w:r>
            <w:r w:rsidR="00AB19CF">
              <w:rPr>
                <w:noProof/>
                <w:webHidden/>
              </w:rPr>
              <w:t>10</w:t>
            </w:r>
            <w:r w:rsidR="00AB19CF">
              <w:rPr>
                <w:noProof/>
                <w:webHidden/>
              </w:rPr>
              <w:fldChar w:fldCharType="end"/>
            </w:r>
          </w:hyperlink>
        </w:p>
        <w:p w14:paraId="67C868EC" w14:textId="3DBAD626" w:rsidR="00AB19CF" w:rsidRDefault="00000000">
          <w:pPr>
            <w:pStyle w:val="TOC1"/>
            <w:tabs>
              <w:tab w:val="right" w:leader="dot" w:pos="9016"/>
            </w:tabs>
            <w:rPr>
              <w:rFonts w:eastAsiaTheme="minorEastAsia"/>
              <w:noProof/>
              <w:sz w:val="24"/>
              <w:szCs w:val="24"/>
            </w:rPr>
          </w:pPr>
          <w:hyperlink w:anchor="_Toc168273930" w:history="1">
            <w:r w:rsidR="00AB19CF" w:rsidRPr="00B52BDC">
              <w:rPr>
                <w:rStyle w:val="Hyperlink"/>
                <w:rFonts w:ascii="Times New Roman" w:hAnsi="Times New Roman" w:cs="Times New Roman"/>
                <w:noProof/>
              </w:rPr>
              <w:t>References</w:t>
            </w:r>
            <w:r w:rsidR="00AB19CF">
              <w:rPr>
                <w:noProof/>
                <w:webHidden/>
              </w:rPr>
              <w:tab/>
            </w:r>
            <w:r w:rsidR="00AB19CF">
              <w:rPr>
                <w:noProof/>
                <w:webHidden/>
              </w:rPr>
              <w:fldChar w:fldCharType="begin"/>
            </w:r>
            <w:r w:rsidR="00AB19CF">
              <w:rPr>
                <w:noProof/>
                <w:webHidden/>
              </w:rPr>
              <w:instrText xml:space="preserve"> PAGEREF _Toc168273930 \h </w:instrText>
            </w:r>
            <w:r w:rsidR="00AB19CF">
              <w:rPr>
                <w:noProof/>
                <w:webHidden/>
              </w:rPr>
            </w:r>
            <w:r w:rsidR="00AB19CF">
              <w:rPr>
                <w:noProof/>
                <w:webHidden/>
              </w:rPr>
              <w:fldChar w:fldCharType="separate"/>
            </w:r>
            <w:r w:rsidR="00AB19CF">
              <w:rPr>
                <w:noProof/>
                <w:webHidden/>
              </w:rPr>
              <w:t>12</w:t>
            </w:r>
            <w:r w:rsidR="00AB19CF">
              <w:rPr>
                <w:noProof/>
                <w:webHidden/>
              </w:rPr>
              <w:fldChar w:fldCharType="end"/>
            </w:r>
          </w:hyperlink>
        </w:p>
        <w:p w14:paraId="665F2F10" w14:textId="0E6E0A11" w:rsidR="00491F4E" w:rsidRPr="00AB19CF" w:rsidRDefault="00491F4E"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noProof/>
              <w:sz w:val="24"/>
              <w:szCs w:val="24"/>
            </w:rPr>
            <w:fldChar w:fldCharType="end"/>
          </w:r>
        </w:p>
      </w:sdtContent>
    </w:sdt>
    <w:p w14:paraId="0F36C128" w14:textId="77777777" w:rsidR="00491F4E" w:rsidRPr="00AB19CF" w:rsidRDefault="00491F4E" w:rsidP="00AB19CF">
      <w:pPr>
        <w:spacing w:line="360" w:lineRule="auto"/>
        <w:jc w:val="both"/>
        <w:rPr>
          <w:rFonts w:ascii="Times New Roman" w:eastAsiaTheme="majorEastAsia" w:hAnsi="Times New Roman" w:cs="Times New Roman"/>
          <w:color w:val="0F4761" w:themeColor="accent1" w:themeShade="BF"/>
          <w:sz w:val="24"/>
          <w:szCs w:val="24"/>
        </w:rPr>
      </w:pPr>
      <w:r w:rsidRPr="00AB19CF">
        <w:rPr>
          <w:rFonts w:ascii="Times New Roman" w:hAnsi="Times New Roman" w:cs="Times New Roman"/>
          <w:sz w:val="24"/>
          <w:szCs w:val="24"/>
        </w:rPr>
        <w:br w:type="page"/>
      </w:r>
    </w:p>
    <w:p w14:paraId="5A03FA06" w14:textId="77777777" w:rsidR="00E0647C" w:rsidRPr="00CA5CAE" w:rsidRDefault="00E0647C" w:rsidP="00AB19CF">
      <w:pPr>
        <w:pStyle w:val="Heading1"/>
        <w:spacing w:line="360" w:lineRule="auto"/>
        <w:jc w:val="both"/>
        <w:rPr>
          <w:rFonts w:ascii="Times New Roman" w:hAnsi="Times New Roman" w:cs="Times New Roman"/>
          <w:b/>
          <w:bCs/>
          <w:color w:val="auto"/>
          <w:sz w:val="24"/>
          <w:szCs w:val="24"/>
        </w:rPr>
      </w:pPr>
      <w:bookmarkStart w:id="0" w:name="_Toc168273923"/>
      <w:r w:rsidRPr="00CA5CAE">
        <w:rPr>
          <w:rFonts w:ascii="Times New Roman" w:hAnsi="Times New Roman" w:cs="Times New Roman"/>
          <w:b/>
          <w:bCs/>
          <w:color w:val="auto"/>
          <w:sz w:val="24"/>
          <w:szCs w:val="24"/>
        </w:rPr>
        <w:lastRenderedPageBreak/>
        <w:t>Introduction</w:t>
      </w:r>
      <w:bookmarkEnd w:id="0"/>
    </w:p>
    <w:p w14:paraId="659B9550" w14:textId="77777777" w:rsidR="00E0647C" w:rsidRPr="00AB19CF" w:rsidRDefault="00E0647C"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In this analysis, we explore the financial trajectory of Urban Heights Hotel over the past three years. As the hotel grapples with a concerning decline in revenue and a simultaneous increase in operating expenses, this report aims to dissect the financial performance trends, focusing on revenue, expenses, profitability, liquidity, and solvency, to identify the underlying causes of the hotel's financial distress.</w:t>
      </w:r>
    </w:p>
    <w:p w14:paraId="3F5FF32B" w14:textId="5DD820FA" w:rsidR="001E2888" w:rsidRPr="00AB19CF" w:rsidRDefault="001E2888" w:rsidP="00AB19CF">
      <w:pPr>
        <w:pStyle w:val="Heading1"/>
        <w:spacing w:line="360" w:lineRule="auto"/>
        <w:jc w:val="both"/>
        <w:rPr>
          <w:rFonts w:ascii="Times New Roman" w:hAnsi="Times New Roman" w:cs="Times New Roman"/>
          <w:color w:val="auto"/>
          <w:sz w:val="24"/>
          <w:szCs w:val="24"/>
        </w:rPr>
      </w:pPr>
      <w:bookmarkStart w:id="1" w:name="_Toc168273924"/>
      <w:r w:rsidRPr="00AB19CF">
        <w:rPr>
          <w:rFonts w:ascii="Times New Roman" w:hAnsi="Times New Roman" w:cs="Times New Roman"/>
          <w:color w:val="auto"/>
          <w:sz w:val="24"/>
          <w:szCs w:val="24"/>
        </w:rPr>
        <w:t>Financial Analysis of Urban Heights Hotel</w:t>
      </w:r>
      <w:bookmarkEnd w:id="1"/>
    </w:p>
    <w:p w14:paraId="268C5116" w14:textId="77777777" w:rsidR="001E2888" w:rsidRPr="00AB19CF" w:rsidRDefault="001E2888" w:rsidP="00AB19CF">
      <w:pPr>
        <w:spacing w:line="360" w:lineRule="auto"/>
        <w:jc w:val="both"/>
        <w:rPr>
          <w:rFonts w:ascii="Times New Roman" w:hAnsi="Times New Roman" w:cs="Times New Roman"/>
          <w:b/>
          <w:bCs/>
          <w:sz w:val="24"/>
          <w:szCs w:val="24"/>
        </w:rPr>
      </w:pPr>
      <w:r w:rsidRPr="00AB19CF">
        <w:rPr>
          <w:rFonts w:ascii="Times New Roman" w:hAnsi="Times New Roman" w:cs="Times New Roman"/>
          <w:b/>
          <w:bCs/>
          <w:sz w:val="24"/>
          <w:szCs w:val="24"/>
        </w:rPr>
        <w:t>Revenue and Expense Trends</w:t>
      </w:r>
    </w:p>
    <w:p w14:paraId="1EFCB883" w14:textId="77777777" w:rsidR="001E2888" w:rsidRPr="00AB19CF" w:rsidRDefault="001E2888" w:rsidP="00AB19CF">
      <w:pPr>
        <w:numPr>
          <w:ilvl w:val="0"/>
          <w:numId w:val="9"/>
        </w:numPr>
        <w:spacing w:line="360" w:lineRule="auto"/>
        <w:jc w:val="both"/>
        <w:rPr>
          <w:rFonts w:ascii="Times New Roman" w:hAnsi="Times New Roman" w:cs="Times New Roman"/>
          <w:b/>
          <w:bCs/>
          <w:sz w:val="24"/>
          <w:szCs w:val="24"/>
        </w:rPr>
      </w:pPr>
      <w:r w:rsidRPr="00AB19CF">
        <w:rPr>
          <w:rFonts w:ascii="Times New Roman" w:hAnsi="Times New Roman" w:cs="Times New Roman"/>
          <w:b/>
          <w:bCs/>
          <w:sz w:val="24"/>
          <w:szCs w:val="24"/>
        </w:rPr>
        <w:t xml:space="preserve">Revenue: </w:t>
      </w:r>
      <w:r w:rsidRPr="00AB19CF">
        <w:rPr>
          <w:rFonts w:ascii="Times New Roman" w:hAnsi="Times New Roman" w:cs="Times New Roman"/>
          <w:sz w:val="24"/>
          <w:szCs w:val="24"/>
        </w:rPr>
        <w:t>Revenue has seen a consistent decline over the three years. It decreased from £2,500,000 in 2021 to £2,200,000 in 2022, and further dropped to £1,800,000 in 2023. This represents a total reduction of £700,000 (28%) from 2021 to 2023.</w:t>
      </w:r>
    </w:p>
    <w:p w14:paraId="603F3FF2" w14:textId="77777777" w:rsidR="001E2888" w:rsidRPr="00AB19CF" w:rsidRDefault="001E2888" w:rsidP="00AB19CF">
      <w:pPr>
        <w:numPr>
          <w:ilvl w:val="0"/>
          <w:numId w:val="9"/>
        </w:numPr>
        <w:spacing w:line="360" w:lineRule="auto"/>
        <w:jc w:val="both"/>
        <w:rPr>
          <w:rFonts w:ascii="Times New Roman" w:hAnsi="Times New Roman" w:cs="Times New Roman"/>
          <w:b/>
          <w:bCs/>
          <w:sz w:val="24"/>
          <w:szCs w:val="24"/>
        </w:rPr>
      </w:pPr>
      <w:r w:rsidRPr="00AB19CF">
        <w:rPr>
          <w:rFonts w:ascii="Times New Roman" w:hAnsi="Times New Roman" w:cs="Times New Roman"/>
          <w:b/>
          <w:bCs/>
          <w:sz w:val="24"/>
          <w:szCs w:val="24"/>
        </w:rPr>
        <w:t xml:space="preserve">Operating Expenses: </w:t>
      </w:r>
      <w:r w:rsidRPr="00AB19CF">
        <w:rPr>
          <w:rFonts w:ascii="Times New Roman" w:hAnsi="Times New Roman" w:cs="Times New Roman"/>
          <w:sz w:val="24"/>
          <w:szCs w:val="24"/>
        </w:rPr>
        <w:t>In contrast to declining revenue, operating expenses have increased. Starting at £1,800,000 in 2021, expenses rose to £2,000,000 in 2022 and peaked at £2,300,000 in 2023. This signifies an increase of £500,000 (27.8%) over three years.</w:t>
      </w:r>
    </w:p>
    <w:p w14:paraId="75851641" w14:textId="77777777" w:rsidR="001E2888" w:rsidRPr="00AB19CF" w:rsidRDefault="001E2888"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The inverse relationship between declining revenues and rising expenses is a major concern, as it directly impacts profitability.</w:t>
      </w:r>
    </w:p>
    <w:p w14:paraId="0DB3B8AC" w14:textId="77777777" w:rsidR="001E2888" w:rsidRPr="00AB19CF" w:rsidRDefault="001E2888" w:rsidP="00AB19CF">
      <w:pPr>
        <w:spacing w:line="360" w:lineRule="auto"/>
        <w:jc w:val="both"/>
        <w:rPr>
          <w:rFonts w:ascii="Times New Roman" w:hAnsi="Times New Roman" w:cs="Times New Roman"/>
          <w:b/>
          <w:bCs/>
          <w:sz w:val="24"/>
          <w:szCs w:val="24"/>
        </w:rPr>
      </w:pPr>
      <w:r w:rsidRPr="00AB19CF">
        <w:rPr>
          <w:rFonts w:ascii="Times New Roman" w:hAnsi="Times New Roman" w:cs="Times New Roman"/>
          <w:b/>
          <w:bCs/>
          <w:sz w:val="24"/>
          <w:szCs w:val="24"/>
        </w:rPr>
        <w:t>Profitability Analysis</w:t>
      </w:r>
    </w:p>
    <w:p w14:paraId="6800D16F" w14:textId="77777777" w:rsidR="001E2888" w:rsidRPr="00AB19CF" w:rsidRDefault="001E2888" w:rsidP="00AB19CF">
      <w:pPr>
        <w:numPr>
          <w:ilvl w:val="0"/>
          <w:numId w:val="9"/>
        </w:numPr>
        <w:spacing w:line="360" w:lineRule="auto"/>
        <w:jc w:val="both"/>
        <w:rPr>
          <w:rFonts w:ascii="Times New Roman" w:hAnsi="Times New Roman" w:cs="Times New Roman"/>
          <w:b/>
          <w:bCs/>
          <w:sz w:val="24"/>
          <w:szCs w:val="24"/>
        </w:rPr>
      </w:pPr>
      <w:r w:rsidRPr="00AB19CF">
        <w:rPr>
          <w:rFonts w:ascii="Times New Roman" w:hAnsi="Times New Roman" w:cs="Times New Roman"/>
          <w:b/>
          <w:bCs/>
          <w:sz w:val="24"/>
          <w:szCs w:val="24"/>
        </w:rPr>
        <w:t xml:space="preserve">Net Income: </w:t>
      </w:r>
      <w:r w:rsidRPr="00AB19CF">
        <w:rPr>
          <w:rFonts w:ascii="Times New Roman" w:hAnsi="Times New Roman" w:cs="Times New Roman"/>
          <w:sz w:val="24"/>
          <w:szCs w:val="24"/>
        </w:rPr>
        <w:t>From a healthy £700,000 in 2021, net income plummeted to £200,000 in 2022 and further into a loss of £500,000 in 2023. This drastic change from profit to loss highlights severe operational and financial management issues.</w:t>
      </w:r>
    </w:p>
    <w:p w14:paraId="026F7010" w14:textId="77777777" w:rsidR="001E2888" w:rsidRPr="00AB19CF" w:rsidRDefault="001E2888" w:rsidP="00AB19CF">
      <w:pPr>
        <w:spacing w:line="360" w:lineRule="auto"/>
        <w:jc w:val="both"/>
        <w:rPr>
          <w:rFonts w:ascii="Times New Roman" w:hAnsi="Times New Roman" w:cs="Times New Roman"/>
          <w:b/>
          <w:bCs/>
          <w:sz w:val="24"/>
          <w:szCs w:val="24"/>
        </w:rPr>
      </w:pPr>
      <w:r w:rsidRPr="00AB19CF">
        <w:rPr>
          <w:rFonts w:ascii="Times New Roman" w:hAnsi="Times New Roman" w:cs="Times New Roman"/>
          <w:b/>
          <w:bCs/>
          <w:sz w:val="24"/>
          <w:szCs w:val="24"/>
        </w:rPr>
        <w:t>Liquidity Assessment</w:t>
      </w:r>
    </w:p>
    <w:p w14:paraId="082AB609" w14:textId="77777777" w:rsidR="001E2888" w:rsidRPr="00AB19CF" w:rsidRDefault="001E2888"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Liquidity ratios, primarily the current ratio, can be assessed using cash, receivables, and current liabilities:</w:t>
      </w:r>
    </w:p>
    <w:p w14:paraId="69962ECB" w14:textId="77777777" w:rsidR="001E2888" w:rsidRPr="00AB19CF" w:rsidRDefault="001E2888" w:rsidP="00AB19CF">
      <w:pPr>
        <w:numPr>
          <w:ilvl w:val="0"/>
          <w:numId w:val="9"/>
        </w:num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Cash and Equivalents</w:t>
      </w:r>
      <w:r w:rsidRPr="00AB19CF">
        <w:rPr>
          <w:rFonts w:ascii="Times New Roman" w:hAnsi="Times New Roman" w:cs="Times New Roman"/>
          <w:sz w:val="24"/>
          <w:szCs w:val="24"/>
        </w:rPr>
        <w:t>: There is a sharp decline in cash from £300,000 in 2021 to £100,000 in 2023.</w:t>
      </w:r>
    </w:p>
    <w:p w14:paraId="418E0312" w14:textId="77777777" w:rsidR="001E2888" w:rsidRPr="00AB19CF" w:rsidRDefault="001E2888" w:rsidP="00AB19CF">
      <w:pPr>
        <w:numPr>
          <w:ilvl w:val="0"/>
          <w:numId w:val="9"/>
        </w:num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Accounts Receivable</w:t>
      </w:r>
      <w:r w:rsidRPr="00AB19CF">
        <w:rPr>
          <w:rFonts w:ascii="Times New Roman" w:hAnsi="Times New Roman" w:cs="Times New Roman"/>
          <w:sz w:val="24"/>
          <w:szCs w:val="24"/>
        </w:rPr>
        <w:t>: Also decreased from £150,000 in 2021 to £80,000 in 2023.</w:t>
      </w:r>
    </w:p>
    <w:p w14:paraId="00189239" w14:textId="77777777" w:rsidR="001E2888" w:rsidRPr="00AB19CF" w:rsidRDefault="001E2888" w:rsidP="00AB19CF">
      <w:pPr>
        <w:numPr>
          <w:ilvl w:val="0"/>
          <w:numId w:val="9"/>
        </w:num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Current Liabilities (Accounts Payable)</w:t>
      </w:r>
      <w:r w:rsidRPr="00AB19CF">
        <w:rPr>
          <w:rFonts w:ascii="Times New Roman" w:hAnsi="Times New Roman" w:cs="Times New Roman"/>
          <w:sz w:val="24"/>
          <w:szCs w:val="24"/>
        </w:rPr>
        <w:t>: Have increased from £250,000 in 2021 to £300,000 in 2023.</w:t>
      </w:r>
    </w:p>
    <w:p w14:paraId="49AE4F87" w14:textId="77777777" w:rsidR="001E2888" w:rsidRPr="00AB19CF" w:rsidRDefault="001E2888"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lastRenderedPageBreak/>
        <w:t>These figures suggest worsening liquidity, indicating the hotel’s reduced capability to cover short-term liabilities with short-term assets.</w:t>
      </w:r>
    </w:p>
    <w:p w14:paraId="3F2DB813" w14:textId="77777777" w:rsidR="001E2888" w:rsidRPr="00AB19CF" w:rsidRDefault="001E2888" w:rsidP="00AB19CF">
      <w:pPr>
        <w:spacing w:line="360" w:lineRule="auto"/>
        <w:jc w:val="both"/>
        <w:rPr>
          <w:rFonts w:ascii="Times New Roman" w:hAnsi="Times New Roman" w:cs="Times New Roman"/>
          <w:b/>
          <w:bCs/>
          <w:sz w:val="24"/>
          <w:szCs w:val="24"/>
        </w:rPr>
      </w:pPr>
      <w:r w:rsidRPr="00AB19CF">
        <w:rPr>
          <w:rFonts w:ascii="Times New Roman" w:hAnsi="Times New Roman" w:cs="Times New Roman"/>
          <w:b/>
          <w:bCs/>
          <w:sz w:val="24"/>
          <w:szCs w:val="24"/>
        </w:rPr>
        <w:t>Solvency Review</w:t>
      </w:r>
    </w:p>
    <w:p w14:paraId="57FB83B2" w14:textId="77777777" w:rsidR="001E2888" w:rsidRPr="00AB19CF" w:rsidRDefault="001E2888"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Solvency relates to the company's ability to meet its long-term debts and financial obligations. Key metrics include:</w:t>
      </w:r>
    </w:p>
    <w:p w14:paraId="66F838DA" w14:textId="77777777" w:rsidR="001E2888" w:rsidRPr="00AB19CF" w:rsidRDefault="001E2888" w:rsidP="00AB19CF">
      <w:pPr>
        <w:numPr>
          <w:ilvl w:val="0"/>
          <w:numId w:val="9"/>
        </w:numPr>
        <w:spacing w:line="360" w:lineRule="auto"/>
        <w:jc w:val="both"/>
        <w:rPr>
          <w:rFonts w:ascii="Times New Roman" w:hAnsi="Times New Roman" w:cs="Times New Roman"/>
          <w:b/>
          <w:bCs/>
          <w:sz w:val="24"/>
          <w:szCs w:val="24"/>
        </w:rPr>
      </w:pPr>
      <w:r w:rsidRPr="00AB19CF">
        <w:rPr>
          <w:rFonts w:ascii="Times New Roman" w:hAnsi="Times New Roman" w:cs="Times New Roman"/>
          <w:b/>
          <w:bCs/>
          <w:sz w:val="24"/>
          <w:szCs w:val="24"/>
        </w:rPr>
        <w:t xml:space="preserve">Long-term Debt: </w:t>
      </w:r>
      <w:r w:rsidRPr="00AB19CF">
        <w:rPr>
          <w:rFonts w:ascii="Times New Roman" w:hAnsi="Times New Roman" w:cs="Times New Roman"/>
          <w:sz w:val="24"/>
          <w:szCs w:val="24"/>
        </w:rPr>
        <w:t>Remained constant at £3,000,000 through the years.</w:t>
      </w:r>
    </w:p>
    <w:p w14:paraId="5BA9E054" w14:textId="77777777" w:rsidR="001E2888" w:rsidRPr="00AB19CF" w:rsidRDefault="001E2888" w:rsidP="00AB19CF">
      <w:pPr>
        <w:numPr>
          <w:ilvl w:val="0"/>
          <w:numId w:val="9"/>
        </w:numPr>
        <w:spacing w:line="360" w:lineRule="auto"/>
        <w:jc w:val="both"/>
        <w:rPr>
          <w:rFonts w:ascii="Times New Roman" w:hAnsi="Times New Roman" w:cs="Times New Roman"/>
          <w:b/>
          <w:bCs/>
          <w:sz w:val="24"/>
          <w:szCs w:val="24"/>
        </w:rPr>
      </w:pPr>
      <w:r w:rsidRPr="00AB19CF">
        <w:rPr>
          <w:rFonts w:ascii="Times New Roman" w:hAnsi="Times New Roman" w:cs="Times New Roman"/>
          <w:b/>
          <w:bCs/>
          <w:sz w:val="24"/>
          <w:szCs w:val="24"/>
        </w:rPr>
        <w:t xml:space="preserve">Equity: </w:t>
      </w:r>
      <w:r w:rsidRPr="00AB19CF">
        <w:rPr>
          <w:rFonts w:ascii="Times New Roman" w:hAnsi="Times New Roman" w:cs="Times New Roman"/>
          <w:sz w:val="24"/>
          <w:szCs w:val="24"/>
        </w:rPr>
        <w:t>Decreased from £2,200,000 in 2021 to £1,380,000 in 2023, a drop of 37.3%, which signifies diminishing owner’s equity and a weakening financial foundation.</w:t>
      </w:r>
    </w:p>
    <w:p w14:paraId="1F0FEE41" w14:textId="77777777" w:rsidR="001E2888" w:rsidRPr="00AB19CF" w:rsidRDefault="001E2888"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The constant level of long-term debt against declining equity raises concerns regarding the hotel's long-term financial health and its ability to continue operations without restructuring debts or equity.</w:t>
      </w:r>
    </w:p>
    <w:p w14:paraId="1DCC057E" w14:textId="77777777" w:rsidR="00F62AAE" w:rsidRPr="00AB19CF" w:rsidRDefault="00F62AAE" w:rsidP="00AB19CF">
      <w:pPr>
        <w:spacing w:line="360" w:lineRule="auto"/>
        <w:jc w:val="both"/>
        <w:rPr>
          <w:rFonts w:ascii="Times New Roman" w:hAnsi="Times New Roman" w:cs="Times New Roman"/>
          <w:b/>
          <w:bCs/>
          <w:sz w:val="24"/>
          <w:szCs w:val="24"/>
        </w:rPr>
      </w:pPr>
      <w:r w:rsidRPr="00AB19CF">
        <w:rPr>
          <w:rFonts w:ascii="Times New Roman" w:hAnsi="Times New Roman" w:cs="Times New Roman"/>
          <w:b/>
          <w:bCs/>
          <w:sz w:val="24"/>
          <w:szCs w:val="24"/>
        </w:rPr>
        <w:t>Others calculation</w:t>
      </w:r>
    </w:p>
    <w:p w14:paraId="680C9A36" w14:textId="768FC9DB" w:rsidR="00F62AAE" w:rsidRPr="00CA5CAE" w:rsidRDefault="00F62AAE" w:rsidP="00AB19CF">
      <w:pPr>
        <w:spacing w:line="360" w:lineRule="auto"/>
        <w:jc w:val="both"/>
        <w:rPr>
          <w:rFonts w:ascii="Times New Roman" w:hAnsi="Times New Roman" w:cs="Times New Roman"/>
          <w:b/>
          <w:bCs/>
          <w:sz w:val="24"/>
          <w:szCs w:val="24"/>
        </w:rPr>
      </w:pPr>
      <m:oMathPara>
        <m:oMath>
          <m:r>
            <m:rPr>
              <m:sty m:val="bi"/>
            </m:rPr>
            <w:rPr>
              <w:rFonts w:ascii="Cambria Math" w:hAnsi="Cambria Math" w:cs="Times New Roman"/>
              <w:sz w:val="24"/>
              <w:szCs w:val="24"/>
            </w:rPr>
            <m:t>Current Ratio=</m:t>
          </m:r>
          <m:f>
            <m:fPr>
              <m:ctrlPr>
                <w:rPr>
                  <w:rFonts w:ascii="Cambria Math" w:hAnsi="Cambria Math" w:cs="Times New Roman"/>
                  <w:b/>
                  <w:bCs/>
                  <w:i/>
                  <w:sz w:val="24"/>
                  <w:szCs w:val="24"/>
                </w:rPr>
              </m:ctrlPr>
            </m:fPr>
            <m:num>
              <m:r>
                <m:rPr>
                  <m:sty m:val="bi"/>
                </m:rPr>
                <w:rPr>
                  <w:rFonts w:ascii="Cambria Math" w:hAnsi="Cambria Math" w:cs="Times New Roman"/>
                  <w:sz w:val="24"/>
                  <w:szCs w:val="24"/>
                </w:rPr>
                <m:t xml:space="preserve">Current Assets </m:t>
              </m:r>
            </m:num>
            <m:den>
              <m:r>
                <m:rPr>
                  <m:sty m:val="bi"/>
                </m:rPr>
                <w:rPr>
                  <w:rFonts w:ascii="Cambria Math" w:hAnsi="Cambria Math" w:cs="Times New Roman"/>
                  <w:sz w:val="24"/>
                  <w:szCs w:val="24"/>
                </w:rPr>
                <m:t xml:space="preserve">Current Liabilities </m:t>
              </m:r>
            </m:den>
          </m:f>
        </m:oMath>
      </m:oMathPara>
    </w:p>
    <w:p w14:paraId="4684E8DA" w14:textId="77777777" w:rsidR="00F62AAE" w:rsidRPr="00AB19CF" w:rsidRDefault="00F62AAE"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2021</w:t>
      </w:r>
      <w:r w:rsidRPr="00AB19CF">
        <w:rPr>
          <w:rFonts w:ascii="Times New Roman" w:hAnsi="Times New Roman" w:cs="Times New Roman"/>
          <w:sz w:val="24"/>
          <w:szCs w:val="24"/>
        </w:rPr>
        <w:t>: £450,000/ £250,000=1.8</w:t>
      </w:r>
    </w:p>
    <w:p w14:paraId="73E5C7DD" w14:textId="77777777" w:rsidR="00F62AAE" w:rsidRPr="00AB19CF" w:rsidRDefault="00F62AAE"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2022</w:t>
      </w:r>
      <w:r w:rsidRPr="00AB19CF">
        <w:rPr>
          <w:rFonts w:ascii="Times New Roman" w:hAnsi="Times New Roman" w:cs="Times New Roman"/>
          <w:sz w:val="24"/>
          <w:szCs w:val="24"/>
        </w:rPr>
        <w:t>: £300,000/£270,000=1.11</w:t>
      </w:r>
    </w:p>
    <w:p w14:paraId="51314CDD" w14:textId="77777777" w:rsidR="00F62AAE" w:rsidRPr="00AB19CF" w:rsidRDefault="00F62AAE"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2023</w:t>
      </w:r>
      <w:r w:rsidRPr="00AB19CF">
        <w:rPr>
          <w:rFonts w:ascii="Times New Roman" w:hAnsi="Times New Roman" w:cs="Times New Roman"/>
          <w:sz w:val="24"/>
          <w:szCs w:val="24"/>
        </w:rPr>
        <w:t>: £180,000/£300,000=0.6</w:t>
      </w:r>
    </w:p>
    <w:p w14:paraId="6B5EA38F" w14:textId="77777777" w:rsidR="00F62AAE" w:rsidRPr="00AB19CF" w:rsidRDefault="00F62AAE" w:rsidP="00AB19CF">
      <w:pPr>
        <w:spacing w:line="360" w:lineRule="auto"/>
        <w:jc w:val="both"/>
        <w:rPr>
          <w:rFonts w:ascii="Times New Roman" w:hAnsi="Times New Roman" w:cs="Times New Roman"/>
          <w:sz w:val="24"/>
          <w:szCs w:val="24"/>
        </w:rPr>
      </w:pPr>
      <m:oMathPara>
        <m:oMath>
          <m:r>
            <m:rPr>
              <m:sty m:val="b"/>
            </m:rPr>
            <w:rPr>
              <w:rFonts w:ascii="Cambria Math" w:hAnsi="Cambria Math" w:cs="Times New Roman"/>
              <w:sz w:val="24"/>
              <w:szCs w:val="24"/>
            </w:rPr>
            <m:t xml:space="preserve">Debt to Equity Ratio </m:t>
          </m:r>
          <m:r>
            <m:rPr>
              <m:sty m:val="bi"/>
            </m:rPr>
            <w:rPr>
              <w:rFonts w:ascii="Cambria Math" w:hAnsi="Cambria Math" w:cs="Times New Roman"/>
              <w:sz w:val="24"/>
              <w:szCs w:val="24"/>
            </w:rPr>
            <m:t>=</m:t>
          </m:r>
          <m:f>
            <m:fPr>
              <m:ctrlPr>
                <w:rPr>
                  <w:rFonts w:ascii="Cambria Math" w:hAnsi="Cambria Math" w:cs="Times New Roman"/>
                  <w:b/>
                  <w:bCs/>
                  <w:i/>
                  <w:sz w:val="24"/>
                  <w:szCs w:val="24"/>
                </w:rPr>
              </m:ctrlPr>
            </m:fPr>
            <m:num>
              <m:r>
                <m:rPr>
                  <m:sty m:val="b"/>
                </m:rPr>
                <w:rPr>
                  <w:rFonts w:ascii="Cambria Math" w:hAnsi="Cambria Math" w:cs="Times New Roman"/>
                  <w:sz w:val="24"/>
                  <w:szCs w:val="24"/>
                </w:rPr>
                <m:t>Total Liabilities</m:t>
              </m:r>
              <m:r>
                <m:rPr>
                  <m:sty m:val="bi"/>
                </m:rPr>
                <w:rPr>
                  <w:rFonts w:ascii="Cambria Math" w:hAnsi="Cambria Math" w:cs="Times New Roman"/>
                  <w:sz w:val="24"/>
                  <w:szCs w:val="24"/>
                </w:rPr>
                <m:t xml:space="preserve"> </m:t>
              </m:r>
            </m:num>
            <m:den>
              <m:r>
                <m:rPr>
                  <m:sty m:val="b"/>
                </m:rPr>
                <w:rPr>
                  <w:rFonts w:ascii="Cambria Math" w:hAnsi="Cambria Math" w:cs="Times New Roman"/>
                  <w:sz w:val="24"/>
                  <w:szCs w:val="24"/>
                </w:rPr>
                <m:t>Total Equity</m:t>
              </m:r>
              <m:r>
                <m:rPr>
                  <m:sty m:val="bi"/>
                </m:rPr>
                <w:rPr>
                  <w:rFonts w:ascii="Cambria Math" w:hAnsi="Cambria Math" w:cs="Times New Roman"/>
                  <w:sz w:val="24"/>
                  <w:szCs w:val="24"/>
                </w:rPr>
                <m:t xml:space="preserve"> </m:t>
              </m:r>
            </m:den>
          </m:f>
        </m:oMath>
      </m:oMathPara>
    </w:p>
    <w:p w14:paraId="28B586A8" w14:textId="77777777" w:rsidR="00F62AAE" w:rsidRPr="00AB19CF" w:rsidRDefault="00F62AAE"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2021</w:t>
      </w:r>
      <w:r w:rsidRPr="00AB19CF">
        <w:rPr>
          <w:rFonts w:ascii="Times New Roman" w:hAnsi="Times New Roman" w:cs="Times New Roman"/>
          <w:sz w:val="24"/>
          <w:szCs w:val="24"/>
        </w:rPr>
        <w:t>: £3,250,000/£2,200,000=1.48</w:t>
      </w:r>
    </w:p>
    <w:p w14:paraId="56FBAF79" w14:textId="77777777" w:rsidR="00F62AAE" w:rsidRPr="00AB19CF" w:rsidRDefault="00F62AAE"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2022</w:t>
      </w:r>
      <w:r w:rsidRPr="00AB19CF">
        <w:rPr>
          <w:rFonts w:ascii="Times New Roman" w:hAnsi="Times New Roman" w:cs="Times New Roman"/>
          <w:sz w:val="24"/>
          <w:szCs w:val="24"/>
        </w:rPr>
        <w:t>: £3,270,00/1,830,000=1.79</w:t>
      </w:r>
    </w:p>
    <w:p w14:paraId="1087AA00" w14:textId="77777777" w:rsidR="00F62AAE" w:rsidRPr="00AB19CF" w:rsidRDefault="00F62AAE"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2023</w:t>
      </w:r>
      <w:r w:rsidRPr="00AB19CF">
        <w:rPr>
          <w:rFonts w:ascii="Times New Roman" w:hAnsi="Times New Roman" w:cs="Times New Roman"/>
          <w:sz w:val="24"/>
          <w:szCs w:val="24"/>
        </w:rPr>
        <w:t>: £3,300,000/£1,380,000=2.39</w:t>
      </w:r>
    </w:p>
    <w:p w14:paraId="3F916AD6" w14:textId="77777777" w:rsidR="00F62AAE" w:rsidRPr="00AB19CF" w:rsidRDefault="00F62AAE" w:rsidP="00AB19CF">
      <w:pPr>
        <w:spacing w:line="360" w:lineRule="auto"/>
        <w:jc w:val="both"/>
        <w:rPr>
          <w:rFonts w:ascii="Times New Roman" w:hAnsi="Times New Roman" w:cs="Times New Roman"/>
          <w:sz w:val="24"/>
          <w:szCs w:val="24"/>
        </w:rPr>
      </w:pPr>
      <m:oMathPara>
        <m:oMath>
          <m:r>
            <m:rPr>
              <m:sty m:val="b"/>
            </m:rPr>
            <w:rPr>
              <w:rFonts w:ascii="Cambria Math" w:hAnsi="Cambria Math" w:cs="Times New Roman"/>
              <w:sz w:val="24"/>
              <w:szCs w:val="24"/>
            </w:rPr>
            <m:t xml:space="preserve">Net Profit Margin </m:t>
          </m:r>
          <m:r>
            <m:rPr>
              <m:sty m:val="bi"/>
            </m:rPr>
            <w:rPr>
              <w:rFonts w:ascii="Cambria Math" w:hAnsi="Cambria Math" w:cs="Times New Roman"/>
              <w:sz w:val="24"/>
              <w:szCs w:val="24"/>
            </w:rPr>
            <m:t>=</m:t>
          </m:r>
          <m:f>
            <m:fPr>
              <m:ctrlPr>
                <w:rPr>
                  <w:rFonts w:ascii="Cambria Math" w:hAnsi="Cambria Math" w:cs="Times New Roman"/>
                  <w:b/>
                  <w:bCs/>
                  <w:i/>
                  <w:sz w:val="24"/>
                  <w:szCs w:val="24"/>
                </w:rPr>
              </m:ctrlPr>
            </m:fPr>
            <m:num>
              <m:r>
                <m:rPr>
                  <m:sty m:val="bi"/>
                </m:rPr>
                <w:rPr>
                  <w:rFonts w:ascii="Cambria Math" w:hAnsi="Cambria Math" w:cs="Times New Roman"/>
                  <w:sz w:val="24"/>
                  <w:szCs w:val="24"/>
                </w:rPr>
                <m:t xml:space="preserve">Net Income </m:t>
              </m:r>
            </m:num>
            <m:den>
              <m:r>
                <m:rPr>
                  <m:sty m:val="bi"/>
                </m:rPr>
                <w:rPr>
                  <w:rFonts w:ascii="Cambria Math" w:hAnsi="Cambria Math" w:cs="Times New Roman"/>
                  <w:sz w:val="24"/>
                  <w:szCs w:val="24"/>
                </w:rPr>
                <m:t xml:space="preserve">Revenue  </m:t>
              </m:r>
            </m:den>
          </m:f>
        </m:oMath>
      </m:oMathPara>
    </w:p>
    <w:p w14:paraId="7FBC1F2F" w14:textId="77777777" w:rsidR="00F62AAE" w:rsidRPr="00AB19CF" w:rsidRDefault="00F62AAE"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2021</w:t>
      </w:r>
      <w:r w:rsidRPr="00AB19CF">
        <w:rPr>
          <w:rFonts w:ascii="Times New Roman" w:hAnsi="Times New Roman" w:cs="Times New Roman"/>
          <w:sz w:val="24"/>
          <w:szCs w:val="24"/>
        </w:rPr>
        <w:t>: £700,000/£2,500,000=0.28</w:t>
      </w:r>
    </w:p>
    <w:p w14:paraId="6F055A30" w14:textId="77777777" w:rsidR="00F62AAE" w:rsidRPr="00AB19CF" w:rsidRDefault="00F62AAE"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2022</w:t>
      </w:r>
      <w:r w:rsidRPr="00AB19CF">
        <w:rPr>
          <w:rFonts w:ascii="Times New Roman" w:hAnsi="Times New Roman" w:cs="Times New Roman"/>
          <w:sz w:val="24"/>
          <w:szCs w:val="24"/>
        </w:rPr>
        <w:t>: £200,000/£2,200,000=0.090</w:t>
      </w:r>
    </w:p>
    <w:p w14:paraId="3B61D70D" w14:textId="77777777" w:rsidR="00F62AAE" w:rsidRPr="00AB19CF" w:rsidRDefault="00F62AAE"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2023</w:t>
      </w:r>
      <w:r w:rsidRPr="00AB19CF">
        <w:rPr>
          <w:rFonts w:ascii="Times New Roman" w:hAnsi="Times New Roman" w:cs="Times New Roman"/>
          <w:sz w:val="24"/>
          <w:szCs w:val="24"/>
        </w:rPr>
        <w:t>: −£500,000/£1,800,000=−0.2778</w:t>
      </w:r>
    </w:p>
    <w:p w14:paraId="3383F20D" w14:textId="2E81FD6B" w:rsidR="00F62AAE" w:rsidRPr="00AB19CF" w:rsidRDefault="00F62AAE" w:rsidP="00AB19CF">
      <w:pPr>
        <w:spacing w:line="360" w:lineRule="auto"/>
        <w:jc w:val="both"/>
        <w:rPr>
          <w:rFonts w:ascii="Times New Roman" w:hAnsi="Times New Roman" w:cs="Times New Roman"/>
          <w:b/>
          <w:bCs/>
          <w:sz w:val="24"/>
          <w:szCs w:val="24"/>
          <w:u w:val="single"/>
        </w:rPr>
      </w:pPr>
      <w:r w:rsidRPr="00AB19CF">
        <w:rPr>
          <w:rFonts w:ascii="Times New Roman" w:hAnsi="Times New Roman" w:cs="Times New Roman"/>
          <w:b/>
          <w:bCs/>
          <w:sz w:val="24"/>
          <w:szCs w:val="24"/>
          <w:u w:val="single"/>
        </w:rPr>
        <w:lastRenderedPageBreak/>
        <w:t xml:space="preserve">Recommendation regarding the ratios </w:t>
      </w:r>
    </w:p>
    <w:p w14:paraId="67E9BEE0" w14:textId="3D1E4C7E" w:rsidR="00F62AAE" w:rsidRPr="00AB19CF" w:rsidRDefault="00F62AAE"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 xml:space="preserve">The hotel must first resolve its cash problems. A worrisome decline from 1.8 in 2021 to 0.6 in 2023 indicates a potential failure to meet short-term commitments. Stricter control of receivables and reduction of needless operating expenditures should be prioritized as immediate actions to improve cash flow. Renegotiating supplier contracts and launching energy-saving programs are two examples of cost-control methods that may </w:t>
      </w:r>
      <w:r w:rsidR="00C57551" w:rsidRPr="00AB19CF">
        <w:rPr>
          <w:rFonts w:ascii="Times New Roman" w:hAnsi="Times New Roman" w:cs="Times New Roman"/>
          <w:sz w:val="24"/>
          <w:szCs w:val="24"/>
        </w:rPr>
        <w:t>assist in bringing</w:t>
      </w:r>
      <w:r w:rsidRPr="00AB19CF">
        <w:rPr>
          <w:rFonts w:ascii="Times New Roman" w:hAnsi="Times New Roman" w:cs="Times New Roman"/>
          <w:sz w:val="24"/>
          <w:szCs w:val="24"/>
        </w:rPr>
        <w:t xml:space="preserve"> down costs.</w:t>
      </w:r>
      <w:r w:rsidR="00C0504E">
        <w:rPr>
          <w:rFonts w:ascii="Times New Roman" w:hAnsi="Times New Roman" w:cs="Times New Roman"/>
          <w:sz w:val="24"/>
          <w:szCs w:val="24"/>
        </w:rPr>
        <w:t xml:space="preserve"> </w:t>
      </w:r>
      <w:r w:rsidRPr="00AB19CF">
        <w:rPr>
          <w:rFonts w:ascii="Times New Roman" w:hAnsi="Times New Roman" w:cs="Times New Roman"/>
          <w:sz w:val="24"/>
          <w:szCs w:val="24"/>
        </w:rPr>
        <w:t xml:space="preserve">Also, in 2023, the </w:t>
      </w:r>
      <w:r w:rsidR="00C57551" w:rsidRPr="00AB19CF">
        <w:rPr>
          <w:rFonts w:ascii="Times New Roman" w:hAnsi="Times New Roman" w:cs="Times New Roman"/>
          <w:sz w:val="24"/>
          <w:szCs w:val="24"/>
        </w:rPr>
        <w:t>debt-to-equity</w:t>
      </w:r>
      <w:r w:rsidRPr="00AB19CF">
        <w:rPr>
          <w:rFonts w:ascii="Times New Roman" w:hAnsi="Times New Roman" w:cs="Times New Roman"/>
          <w:sz w:val="24"/>
          <w:szCs w:val="24"/>
        </w:rPr>
        <w:t xml:space="preserve"> ratio hit 2.39, which means that debt financing was heavily used. To lessen the impact of this risk, the hotel should look into equity financing or refinancing to see if they can get lower interest rates. Also, to make sure the hotel can handle the payments, the debt structure and payback plan need to be carefully reviewed. Third, immediately implementing measures to increase revenue is necessary since the net profit margin will fall from 28% in 2021 to -27.8% in 2023. By offering off-peak season packages and increasing the size of its event facilities, the hotel may diversify its income sources. Another way to boost occupancy rates and draw in more customers is to provide better service and more up-to-date facilities.</w:t>
      </w:r>
    </w:p>
    <w:p w14:paraId="360805BD" w14:textId="77777777" w:rsidR="001E2888" w:rsidRPr="00AB19CF" w:rsidRDefault="001E2888" w:rsidP="00AB19CF">
      <w:pPr>
        <w:pStyle w:val="Heading1"/>
        <w:spacing w:line="360" w:lineRule="auto"/>
        <w:jc w:val="both"/>
        <w:rPr>
          <w:rFonts w:ascii="Times New Roman" w:hAnsi="Times New Roman" w:cs="Times New Roman"/>
          <w:color w:val="auto"/>
          <w:sz w:val="24"/>
          <w:szCs w:val="24"/>
        </w:rPr>
      </w:pPr>
      <w:bookmarkStart w:id="2" w:name="_Toc168273925"/>
      <w:r w:rsidRPr="00AB19CF">
        <w:rPr>
          <w:rFonts w:ascii="Times New Roman" w:hAnsi="Times New Roman" w:cs="Times New Roman"/>
          <w:color w:val="auto"/>
          <w:sz w:val="24"/>
          <w:szCs w:val="24"/>
        </w:rPr>
        <w:t>Analysis of Factors Contributing to Declining Profitability at Urban Heights Hotel</w:t>
      </w:r>
      <w:bookmarkEnd w:id="2"/>
    </w:p>
    <w:p w14:paraId="24D414A1" w14:textId="77777777" w:rsidR="001E2888" w:rsidRPr="00AB19CF" w:rsidRDefault="001E2888"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Urban Heights Hotel has experienced significant financial difficulties over the past three years, with declining revenues and increasing expenses leading to a loss in profitability. This analysis aims to identify the key factors behind this decline by considering real-world events and the broader economic context.</w:t>
      </w:r>
    </w:p>
    <w:p w14:paraId="77281B42" w14:textId="77777777" w:rsidR="001E2888" w:rsidRPr="00AB19CF" w:rsidRDefault="001E2888" w:rsidP="00AB19CF">
      <w:pPr>
        <w:spacing w:line="360" w:lineRule="auto"/>
        <w:jc w:val="both"/>
        <w:rPr>
          <w:rFonts w:ascii="Times New Roman" w:hAnsi="Times New Roman" w:cs="Times New Roman"/>
          <w:b/>
          <w:bCs/>
          <w:sz w:val="24"/>
          <w:szCs w:val="24"/>
        </w:rPr>
      </w:pPr>
      <w:r w:rsidRPr="00AB19CF">
        <w:rPr>
          <w:rFonts w:ascii="Times New Roman" w:hAnsi="Times New Roman" w:cs="Times New Roman"/>
          <w:b/>
          <w:bCs/>
          <w:sz w:val="24"/>
          <w:szCs w:val="24"/>
        </w:rPr>
        <w:t>Impact of Global Economic Trends</w:t>
      </w:r>
    </w:p>
    <w:p w14:paraId="58AAAAB6" w14:textId="77777777" w:rsidR="001E2888" w:rsidRPr="00AB19CF" w:rsidRDefault="001E2888"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The global economy has faced numerous challenges recently, which have directly impacted the hospitality industry, including Urban Heights Hotel. These challenges include:</w:t>
      </w:r>
    </w:p>
    <w:p w14:paraId="2663EC26" w14:textId="605A6640" w:rsidR="001E2888" w:rsidRPr="00AB19CF" w:rsidRDefault="001E2888"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Inflationary Pressures</w:t>
      </w:r>
      <w:r w:rsidRPr="00AB19CF">
        <w:rPr>
          <w:rFonts w:ascii="Times New Roman" w:hAnsi="Times New Roman" w:cs="Times New Roman"/>
          <w:sz w:val="24"/>
          <w:szCs w:val="24"/>
        </w:rPr>
        <w:t>: Rising inflation rates across many countries have increased operating costs for hotels</w:t>
      </w:r>
      <w:r w:rsidR="001A3B7E" w:rsidRPr="00AB19CF">
        <w:rPr>
          <w:rFonts w:ascii="Times New Roman" w:hAnsi="Times New Roman" w:cs="Times New Roman"/>
          <w:sz w:val="24"/>
          <w:szCs w:val="24"/>
        </w:rPr>
        <w:t xml:space="preserve"> (Sauvage, 2023)</w:t>
      </w:r>
      <w:r w:rsidRPr="00AB19CF">
        <w:rPr>
          <w:rFonts w:ascii="Times New Roman" w:hAnsi="Times New Roman" w:cs="Times New Roman"/>
          <w:sz w:val="24"/>
          <w:szCs w:val="24"/>
        </w:rPr>
        <w:t>. Costs for energy, food, and labor have surged, which is evident in the increased operating expenses at Urban Heights Hotel from £1,800,000 in 2021 to £2,300,000 in 2023. These inflationary pressures reduce profit margins as costs rise faster than revenues.</w:t>
      </w:r>
    </w:p>
    <w:p w14:paraId="62673416" w14:textId="43F589A8" w:rsidR="001E2888" w:rsidRPr="00AB19CF" w:rsidRDefault="001E2888"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Interest Rate Fluctuations</w:t>
      </w:r>
      <w:r w:rsidRPr="00AB19CF">
        <w:rPr>
          <w:rFonts w:ascii="Times New Roman" w:hAnsi="Times New Roman" w:cs="Times New Roman"/>
          <w:sz w:val="24"/>
          <w:szCs w:val="24"/>
        </w:rPr>
        <w:t>: Central banks in several countries have raised interest rates to combat inflation</w:t>
      </w:r>
      <w:r w:rsidR="001A3B7E" w:rsidRPr="00AB19CF">
        <w:rPr>
          <w:rFonts w:ascii="Times New Roman" w:hAnsi="Times New Roman" w:cs="Times New Roman"/>
          <w:sz w:val="24"/>
          <w:szCs w:val="24"/>
        </w:rPr>
        <w:t xml:space="preserve"> (Imf.org., 2023)</w:t>
      </w:r>
      <w:r w:rsidRPr="00AB19CF">
        <w:rPr>
          <w:rFonts w:ascii="Times New Roman" w:hAnsi="Times New Roman" w:cs="Times New Roman"/>
          <w:sz w:val="24"/>
          <w:szCs w:val="24"/>
        </w:rPr>
        <w:t xml:space="preserve">. For businesses with debt, such as Urban Heights Hotel, this </w:t>
      </w:r>
      <w:r w:rsidRPr="00AB19CF">
        <w:rPr>
          <w:rFonts w:ascii="Times New Roman" w:hAnsi="Times New Roman" w:cs="Times New Roman"/>
          <w:sz w:val="24"/>
          <w:szCs w:val="24"/>
        </w:rPr>
        <w:lastRenderedPageBreak/>
        <w:t>increases the cost of servicing debt. Despite long-term debt remaining constant, the cost associated with this debt could have increased, impacting net income.</w:t>
      </w:r>
    </w:p>
    <w:p w14:paraId="2C46185E" w14:textId="1EA53C42" w:rsidR="001E2888" w:rsidRPr="00AB19CF" w:rsidRDefault="001E2888" w:rsidP="00AB19CF">
      <w:pPr>
        <w:spacing w:line="360" w:lineRule="auto"/>
        <w:jc w:val="both"/>
        <w:rPr>
          <w:rFonts w:ascii="Times New Roman" w:hAnsi="Times New Roman" w:cs="Times New Roman"/>
          <w:sz w:val="24"/>
          <w:szCs w:val="24"/>
        </w:rPr>
      </w:pPr>
      <w:r w:rsidRPr="00AB19CF">
        <w:rPr>
          <w:rFonts w:ascii="Times New Roman" w:hAnsi="Times New Roman" w:cs="Times New Roman"/>
          <w:b/>
          <w:bCs/>
          <w:sz w:val="24"/>
          <w:szCs w:val="24"/>
        </w:rPr>
        <w:t>Economic Slowdowns</w:t>
      </w:r>
      <w:r w:rsidRPr="00AB19CF">
        <w:rPr>
          <w:rFonts w:ascii="Times New Roman" w:hAnsi="Times New Roman" w:cs="Times New Roman"/>
          <w:sz w:val="24"/>
          <w:szCs w:val="24"/>
        </w:rPr>
        <w:t>: Economic slowdowns reduce disposable income and consumer spending, directly affecting the hospitality sector. People travel less and spend less on luxury services such as dining and events, which could explain the hotel’s declining revenues</w:t>
      </w:r>
      <w:r w:rsidR="001A3B7E" w:rsidRPr="00AB19CF">
        <w:rPr>
          <w:rFonts w:ascii="Times New Roman" w:hAnsi="Times New Roman" w:cs="Times New Roman"/>
          <w:sz w:val="24"/>
          <w:szCs w:val="24"/>
        </w:rPr>
        <w:t xml:space="preserve"> (</w:t>
      </w:r>
      <w:r w:rsidR="001A3B7E" w:rsidRPr="00AB19CF">
        <w:rPr>
          <w:rFonts w:ascii="Times New Roman" w:eastAsia="Times New Roman" w:hAnsi="Times New Roman" w:cs="Times New Roman"/>
          <w:kern w:val="0"/>
          <w:sz w:val="24"/>
          <w:szCs w:val="24"/>
          <w14:ligatures w14:val="none"/>
        </w:rPr>
        <w:t>Kalra et al. 2024)</w:t>
      </w:r>
      <w:r w:rsidRPr="00AB19CF">
        <w:rPr>
          <w:rFonts w:ascii="Times New Roman" w:hAnsi="Times New Roman" w:cs="Times New Roman"/>
          <w:sz w:val="24"/>
          <w:szCs w:val="24"/>
        </w:rPr>
        <w:t>.</w:t>
      </w:r>
    </w:p>
    <w:p w14:paraId="267BBC2D" w14:textId="77777777" w:rsidR="00CA48B2" w:rsidRPr="00AB19CF" w:rsidRDefault="00CA48B2" w:rsidP="00AB19CF">
      <w:pPr>
        <w:pStyle w:val="Heading1"/>
        <w:spacing w:line="360" w:lineRule="auto"/>
        <w:jc w:val="both"/>
        <w:rPr>
          <w:rFonts w:ascii="Times New Roman" w:hAnsi="Times New Roman" w:cs="Times New Roman"/>
          <w:color w:val="auto"/>
          <w:sz w:val="24"/>
          <w:szCs w:val="24"/>
        </w:rPr>
      </w:pPr>
      <w:bookmarkStart w:id="3" w:name="_Toc168273926"/>
      <w:r w:rsidRPr="00AB19CF">
        <w:rPr>
          <w:rFonts w:ascii="Times New Roman" w:hAnsi="Times New Roman" w:cs="Times New Roman"/>
          <w:color w:val="auto"/>
          <w:sz w:val="24"/>
          <w:szCs w:val="24"/>
        </w:rPr>
        <w:t>The Impact of War and Inflation on the Hotel Industry in the UK</w:t>
      </w:r>
      <w:bookmarkEnd w:id="3"/>
    </w:p>
    <w:p w14:paraId="73EECA55" w14:textId="77777777" w:rsidR="00CA48B2" w:rsidRPr="00AB19CF" w:rsidRDefault="00CA48B2"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In the case of the UK, it is apparent that events such as wars and inflation play a huge role in the overall economy and even more specifically, the hotel industry. There is a decrease in flow of tourists and visitors to other countries during some periods of time because of conflicts, which effects their stay in hotels via instances of decreasing on occupancy rate. This impact is maximized in cities that depend much on travelers who visit such places from different parts of the world. For instance, the study conducted by Gozgor et al. (2022) notes that geopolitical risk has a direct negative bearing on the available tourism surplus in the affected zones.</w:t>
      </w:r>
    </w:p>
    <w:p w14:paraId="4DC8725B" w14:textId="7411B5F5" w:rsidR="00CA48B2" w:rsidRPr="00AB19CF" w:rsidRDefault="00CA48B2"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 xml:space="preserve">Fluctuating inflation works in this respect as a catalyst to the problems experienced in the operation of hotels since it affects all aspects such as energy cost, food cost, and </w:t>
      </w:r>
      <w:r w:rsidR="00C57551" w:rsidRPr="00AB19CF">
        <w:rPr>
          <w:rFonts w:ascii="Times New Roman" w:hAnsi="Times New Roman" w:cs="Times New Roman"/>
          <w:sz w:val="24"/>
          <w:szCs w:val="24"/>
        </w:rPr>
        <w:t>labor</w:t>
      </w:r>
      <w:r w:rsidRPr="00AB19CF">
        <w:rPr>
          <w:rFonts w:ascii="Times New Roman" w:hAnsi="Times New Roman" w:cs="Times New Roman"/>
          <w:sz w:val="24"/>
          <w:szCs w:val="24"/>
        </w:rPr>
        <w:t xml:space="preserve"> costs. These factors increase expenses, and similarly to the increase of room rates, when operating costs rise more quickly than the rate at which the resort can raise its prices for its rooms. As experienced in </w:t>
      </w:r>
      <w:r w:rsidR="00C57551" w:rsidRPr="00AB19CF">
        <w:rPr>
          <w:rFonts w:ascii="Times New Roman" w:hAnsi="Times New Roman" w:cs="Times New Roman"/>
          <w:sz w:val="24"/>
          <w:szCs w:val="24"/>
        </w:rPr>
        <w:t>previous</w:t>
      </w:r>
      <w:r w:rsidRPr="00AB19CF">
        <w:rPr>
          <w:rFonts w:ascii="Times New Roman" w:hAnsi="Times New Roman" w:cs="Times New Roman"/>
          <w:sz w:val="24"/>
          <w:szCs w:val="24"/>
        </w:rPr>
        <w:t xml:space="preserve"> periods, the operating expenses of the hotels in the current inflationary environment in the UK have recorded an upward trend, which poses a threat to the overall profitability of the hotels.</w:t>
      </w:r>
    </w:p>
    <w:p w14:paraId="1DD7FA75" w14:textId="78A458E7" w:rsidR="00CA48B2" w:rsidRPr="00AB19CF" w:rsidRDefault="00CA48B2"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Also domestic tourism is an area that may be impacted since the purchasing power of residents’ income is reduced as a result of inflation, imply lower spending power resulting to lower spending on travel and accommodation. Economic crises also affect customers who opt for low-end products, and thus the mid and high-ended brands in particular, such as mid-range and luxury hotels (Kalra et al.p.2024).</w:t>
      </w:r>
    </w:p>
    <w:p w14:paraId="3C963E28" w14:textId="77777777" w:rsidR="008C03F2" w:rsidRPr="00AB19CF" w:rsidRDefault="008C03F2" w:rsidP="00AB19CF">
      <w:pPr>
        <w:pStyle w:val="Heading1"/>
        <w:spacing w:line="360" w:lineRule="auto"/>
        <w:jc w:val="both"/>
        <w:rPr>
          <w:rFonts w:ascii="Times New Roman" w:hAnsi="Times New Roman" w:cs="Times New Roman"/>
          <w:color w:val="auto"/>
          <w:sz w:val="24"/>
          <w:szCs w:val="24"/>
        </w:rPr>
      </w:pPr>
      <w:bookmarkStart w:id="4" w:name="_Toc168273927"/>
      <w:r w:rsidRPr="00AB19CF">
        <w:rPr>
          <w:rFonts w:ascii="Times New Roman" w:hAnsi="Times New Roman" w:cs="Times New Roman"/>
          <w:color w:val="auto"/>
          <w:sz w:val="24"/>
          <w:szCs w:val="24"/>
        </w:rPr>
        <w:t>Comprehensive Turnaround Strategy for Urban Heights Hotel</w:t>
      </w:r>
      <w:bookmarkEnd w:id="4"/>
    </w:p>
    <w:p w14:paraId="6ADB572D" w14:textId="77777777" w:rsidR="008C03F2" w:rsidRPr="00AB19CF" w:rsidRDefault="008C03F2"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 xml:space="preserve">The Urban Heights Hotel has faced a sharp decline in financial performance, evidenced by falling revenues and rising operational costs, necessitating a comprehensive strategy to reverse </w:t>
      </w:r>
      <w:r w:rsidRPr="00AB19CF">
        <w:rPr>
          <w:rFonts w:ascii="Times New Roman" w:hAnsi="Times New Roman" w:cs="Times New Roman"/>
          <w:sz w:val="24"/>
          <w:szCs w:val="24"/>
        </w:rPr>
        <w:lastRenderedPageBreak/>
        <w:t>these trends. This strategy involves a multi-dimensional approach to stabilize cash flow, enhance revenue, improve operational efficiencies, and reposition the brand in the market.</w:t>
      </w:r>
    </w:p>
    <w:tbl>
      <w:tblPr>
        <w:tblStyle w:val="TableGrid"/>
        <w:tblW w:w="0" w:type="auto"/>
        <w:tblLook w:val="04A0" w:firstRow="1" w:lastRow="0" w:firstColumn="1" w:lastColumn="0" w:noHBand="0" w:noVBand="1"/>
      </w:tblPr>
      <w:tblGrid>
        <w:gridCol w:w="3005"/>
        <w:gridCol w:w="3005"/>
        <w:gridCol w:w="3006"/>
      </w:tblGrid>
      <w:tr w:rsidR="0076700B" w:rsidRPr="00AB19CF" w14:paraId="5A5DFDA8" w14:textId="77777777" w:rsidTr="0076700B">
        <w:tc>
          <w:tcPr>
            <w:tcW w:w="3005" w:type="dxa"/>
          </w:tcPr>
          <w:p w14:paraId="72986090" w14:textId="37EE86CC" w:rsidR="0076700B" w:rsidRPr="00AB19CF" w:rsidRDefault="0076700B" w:rsidP="00AB19CF">
            <w:pPr>
              <w:spacing w:line="360" w:lineRule="auto"/>
              <w:jc w:val="both"/>
              <w:rPr>
                <w:rFonts w:ascii="Times New Roman" w:hAnsi="Times New Roman" w:cs="Times New Roman"/>
                <w:b/>
                <w:bCs/>
                <w:i/>
                <w:iCs/>
                <w:sz w:val="24"/>
                <w:szCs w:val="24"/>
              </w:rPr>
            </w:pPr>
            <w:r w:rsidRPr="00AB19CF">
              <w:rPr>
                <w:rFonts w:ascii="Times New Roman" w:hAnsi="Times New Roman" w:cs="Times New Roman"/>
                <w:b/>
                <w:bCs/>
                <w:i/>
                <w:iCs/>
                <w:sz w:val="24"/>
                <w:szCs w:val="24"/>
              </w:rPr>
              <w:t>Strategy Category</w:t>
            </w:r>
          </w:p>
        </w:tc>
        <w:tc>
          <w:tcPr>
            <w:tcW w:w="3005" w:type="dxa"/>
          </w:tcPr>
          <w:p w14:paraId="5ABD7A95" w14:textId="54B61AFF" w:rsidR="0076700B" w:rsidRPr="00AB19CF" w:rsidRDefault="0076700B" w:rsidP="00AB19CF">
            <w:pPr>
              <w:spacing w:line="360" w:lineRule="auto"/>
              <w:jc w:val="both"/>
              <w:rPr>
                <w:rFonts w:ascii="Times New Roman" w:hAnsi="Times New Roman" w:cs="Times New Roman"/>
                <w:b/>
                <w:bCs/>
                <w:i/>
                <w:iCs/>
                <w:sz w:val="24"/>
                <w:szCs w:val="24"/>
              </w:rPr>
            </w:pPr>
            <w:r w:rsidRPr="00AB19CF">
              <w:rPr>
                <w:rFonts w:ascii="Times New Roman" w:hAnsi="Times New Roman" w:cs="Times New Roman"/>
                <w:b/>
                <w:bCs/>
                <w:i/>
                <w:iCs/>
                <w:sz w:val="24"/>
                <w:szCs w:val="24"/>
              </w:rPr>
              <w:t>Action Plan</w:t>
            </w:r>
          </w:p>
        </w:tc>
        <w:tc>
          <w:tcPr>
            <w:tcW w:w="3006" w:type="dxa"/>
          </w:tcPr>
          <w:p w14:paraId="32149327" w14:textId="69368F23" w:rsidR="0076700B" w:rsidRPr="00AB19CF" w:rsidRDefault="0076700B" w:rsidP="00AB19CF">
            <w:pPr>
              <w:spacing w:line="360" w:lineRule="auto"/>
              <w:jc w:val="both"/>
              <w:rPr>
                <w:rFonts w:ascii="Times New Roman" w:hAnsi="Times New Roman" w:cs="Times New Roman"/>
                <w:b/>
                <w:bCs/>
                <w:i/>
                <w:iCs/>
                <w:sz w:val="24"/>
                <w:szCs w:val="24"/>
              </w:rPr>
            </w:pPr>
            <w:r w:rsidRPr="00AB19CF">
              <w:rPr>
                <w:rFonts w:ascii="Times New Roman" w:hAnsi="Times New Roman" w:cs="Times New Roman"/>
                <w:b/>
                <w:bCs/>
                <w:i/>
                <w:iCs/>
                <w:sz w:val="24"/>
                <w:szCs w:val="24"/>
              </w:rPr>
              <w:t>Expected Outcome</w:t>
            </w:r>
          </w:p>
        </w:tc>
      </w:tr>
      <w:tr w:rsidR="0076700B" w:rsidRPr="00AB19CF" w14:paraId="212375A6" w14:textId="77777777" w:rsidTr="0076700B">
        <w:tc>
          <w:tcPr>
            <w:tcW w:w="3005" w:type="dxa"/>
          </w:tcPr>
          <w:p w14:paraId="62D9029A" w14:textId="6D1E1E22" w:rsidR="0076700B" w:rsidRPr="00AB19CF" w:rsidRDefault="0076700B"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Stabilizing Cash Flow</w:t>
            </w:r>
          </w:p>
        </w:tc>
        <w:tc>
          <w:tcPr>
            <w:tcW w:w="3005" w:type="dxa"/>
          </w:tcPr>
          <w:p w14:paraId="4E7E5609" w14:textId="7D6CE5A1"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Manage cash flow strategically through financial restoration.</w:t>
            </w:r>
          </w:p>
          <w:p w14:paraId="6A65A93C" w14:textId="77777777"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Negotiate with creditors for extension of maturities or reduction of interest rates.</w:t>
            </w:r>
          </w:p>
          <w:p w14:paraId="7529E505" w14:textId="77777777"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Identify and cut non-essential expenses.</w:t>
            </w:r>
          </w:p>
          <w:p w14:paraId="1D8731D3" w14:textId="77777777"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Sell underutilized assets.</w:t>
            </w:r>
          </w:p>
          <w:p w14:paraId="3A45AF5A" w14:textId="36CACF80"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Outsource services like laundry and cleaning.</w:t>
            </w:r>
          </w:p>
        </w:tc>
        <w:tc>
          <w:tcPr>
            <w:tcW w:w="3006" w:type="dxa"/>
          </w:tcPr>
          <w:p w14:paraId="172639E0" w14:textId="77777777"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Reduction in financial stress.</w:t>
            </w:r>
          </w:p>
          <w:p w14:paraId="5BEBF456" w14:textId="77777777"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 xml:space="preserve"> Improved cash flow.</w:t>
            </w:r>
          </w:p>
          <w:p w14:paraId="70D7BDE8" w14:textId="77777777"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Lower operational costs.</w:t>
            </w:r>
          </w:p>
          <w:p w14:paraId="1E64EEA2" w14:textId="403949F9"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Reliable and quality service delivery.</w:t>
            </w:r>
          </w:p>
        </w:tc>
      </w:tr>
      <w:tr w:rsidR="0076700B" w:rsidRPr="00AB19CF" w14:paraId="5B908A79" w14:textId="77777777" w:rsidTr="0076700B">
        <w:tc>
          <w:tcPr>
            <w:tcW w:w="3005" w:type="dxa"/>
          </w:tcPr>
          <w:p w14:paraId="68652F01" w14:textId="50C7D766" w:rsidR="0076700B" w:rsidRPr="00AB19CF" w:rsidRDefault="0076700B"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Optimizing Operating Efficiency</w:t>
            </w:r>
          </w:p>
        </w:tc>
        <w:tc>
          <w:tcPr>
            <w:tcW w:w="3005" w:type="dxa"/>
          </w:tcPr>
          <w:p w14:paraId="545A7D56" w14:textId="7810643D"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Incorporate technology in operations (e.g., self-check-in/out systems, room keys).</w:t>
            </w:r>
          </w:p>
          <w:p w14:paraId="7BCB84B5" w14:textId="77777777"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Reduce unnecessary front desk staff.</w:t>
            </w:r>
          </w:p>
          <w:p w14:paraId="7B5554CA" w14:textId="77777777"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 xml:space="preserve"> Focus on employee development.</w:t>
            </w:r>
          </w:p>
          <w:p w14:paraId="0CC92111" w14:textId="68D13D94"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Implement effective inventory management and maintenance practices.</w:t>
            </w:r>
          </w:p>
        </w:tc>
        <w:tc>
          <w:tcPr>
            <w:tcW w:w="3006" w:type="dxa"/>
          </w:tcPr>
          <w:p w14:paraId="2DAE066F" w14:textId="77777777"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Increased operational efficiency.</w:t>
            </w:r>
          </w:p>
          <w:p w14:paraId="32A5EA14" w14:textId="77777777"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Enhanced guest comfort and satisfaction.</w:t>
            </w:r>
          </w:p>
          <w:p w14:paraId="21C813E1" w14:textId="77777777"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Boosted employee morale and alignment with business goals.</w:t>
            </w:r>
          </w:p>
          <w:p w14:paraId="1B064BA4" w14:textId="77F58A50"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Reduced expenses and improved customer service.</w:t>
            </w:r>
          </w:p>
        </w:tc>
      </w:tr>
      <w:tr w:rsidR="0076700B" w:rsidRPr="00AB19CF" w14:paraId="271304E6" w14:textId="77777777" w:rsidTr="0076700B">
        <w:tc>
          <w:tcPr>
            <w:tcW w:w="3005" w:type="dxa"/>
          </w:tcPr>
          <w:p w14:paraId="531D3120" w14:textId="2F475E28" w:rsidR="0076700B" w:rsidRPr="00AB19CF" w:rsidRDefault="0076700B"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Strengthening Brand and Market Position</w:t>
            </w:r>
          </w:p>
        </w:tc>
        <w:tc>
          <w:tcPr>
            <w:tcW w:w="3005" w:type="dxa"/>
          </w:tcPr>
          <w:p w14:paraId="3C2D766A" w14:textId="77777777"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Conduct a comprehensive brand refresh (e.g., renovating guest areas, modernizing facilities).</w:t>
            </w:r>
          </w:p>
          <w:p w14:paraId="01DD0EEE" w14:textId="77777777"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lastRenderedPageBreak/>
              <w:t xml:space="preserve">Enhance customer engagement through personalized services and effective communication. </w:t>
            </w:r>
          </w:p>
          <w:p w14:paraId="21F28B6B" w14:textId="189269D3"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Form strategic partnerships with local businesses, tourism boards, and event organizers.</w:t>
            </w:r>
          </w:p>
        </w:tc>
        <w:tc>
          <w:tcPr>
            <w:tcW w:w="3006" w:type="dxa"/>
          </w:tcPr>
          <w:p w14:paraId="71CB23FD" w14:textId="77777777"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lastRenderedPageBreak/>
              <w:t>Improved brand image and market position.</w:t>
            </w:r>
          </w:p>
          <w:p w14:paraId="177BCA74" w14:textId="77777777"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Increased customer satisfaction and loyalty.</w:t>
            </w:r>
          </w:p>
          <w:p w14:paraId="70DB45D6" w14:textId="5BF9C15C"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lastRenderedPageBreak/>
              <w:t>Higher visibility and guest attraction through shared marketing efforts.</w:t>
            </w:r>
          </w:p>
        </w:tc>
      </w:tr>
      <w:tr w:rsidR="0076700B" w:rsidRPr="00AB19CF" w14:paraId="2C0FFBE6" w14:textId="77777777" w:rsidTr="0076700B">
        <w:tc>
          <w:tcPr>
            <w:tcW w:w="3005" w:type="dxa"/>
          </w:tcPr>
          <w:p w14:paraId="0E09BBA9" w14:textId="6A5FB7CD" w:rsidR="0076700B" w:rsidRPr="00AB19CF" w:rsidRDefault="0076700B"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lastRenderedPageBreak/>
              <w:t>Expanding Market Reach Through Strategic Alliances and Partnerships</w:t>
            </w:r>
          </w:p>
        </w:tc>
        <w:tc>
          <w:tcPr>
            <w:tcW w:w="3005" w:type="dxa"/>
          </w:tcPr>
          <w:p w14:paraId="7F8A11F5" w14:textId="77777777"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Establish partnerships with corporate entities, local businesses, and travel agencies.</w:t>
            </w:r>
          </w:p>
          <w:p w14:paraId="2D44155E" w14:textId="77777777"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Work with companies to be their preferred lodging partner for business travel and events.</w:t>
            </w:r>
          </w:p>
          <w:p w14:paraId="26710A7A" w14:textId="5471CFF7" w:rsidR="0076700B" w:rsidRPr="00AB19CF" w:rsidRDefault="0076700B" w:rsidP="00AB19CF">
            <w:pPr>
              <w:pStyle w:val="ListParagraph"/>
              <w:numPr>
                <w:ilvl w:val="0"/>
                <w:numId w:val="21"/>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 xml:space="preserve"> Partner with local tour agents and cultural institutions for package deals.</w:t>
            </w:r>
          </w:p>
        </w:tc>
        <w:tc>
          <w:tcPr>
            <w:tcW w:w="3006" w:type="dxa"/>
          </w:tcPr>
          <w:p w14:paraId="52AA3695" w14:textId="77777777"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Steady flow of bookings, especially during off-season periods.</w:t>
            </w:r>
          </w:p>
          <w:p w14:paraId="77D27648" w14:textId="77777777"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 xml:space="preserve"> Increased occupancy rates.</w:t>
            </w:r>
          </w:p>
          <w:p w14:paraId="4C68652C" w14:textId="77777777"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Enhanced visibility within networks.</w:t>
            </w:r>
          </w:p>
          <w:p w14:paraId="59ABBA1E" w14:textId="75580298" w:rsidR="0076700B" w:rsidRPr="00AB19CF" w:rsidRDefault="0076700B" w:rsidP="00AB19CF">
            <w:pPr>
              <w:pStyle w:val="ListParagraph"/>
              <w:numPr>
                <w:ilvl w:val="0"/>
                <w:numId w:val="20"/>
              </w:num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New revenue streams generated.</w:t>
            </w:r>
          </w:p>
        </w:tc>
      </w:tr>
    </w:tbl>
    <w:p w14:paraId="3911E493" w14:textId="77777777" w:rsidR="0076700B" w:rsidRPr="00AB19CF" w:rsidRDefault="0076700B" w:rsidP="00AB19CF">
      <w:pPr>
        <w:spacing w:line="360" w:lineRule="auto"/>
        <w:jc w:val="both"/>
        <w:rPr>
          <w:rFonts w:ascii="Times New Roman" w:hAnsi="Times New Roman" w:cs="Times New Roman"/>
          <w:sz w:val="24"/>
          <w:szCs w:val="24"/>
        </w:rPr>
      </w:pPr>
    </w:p>
    <w:p w14:paraId="5D9C92D1" w14:textId="77777777" w:rsidR="00CA48B2" w:rsidRDefault="00CA48B2" w:rsidP="00AB19CF">
      <w:pPr>
        <w:pStyle w:val="Heading1"/>
        <w:spacing w:line="360" w:lineRule="auto"/>
        <w:jc w:val="both"/>
        <w:rPr>
          <w:rFonts w:ascii="Times New Roman" w:hAnsi="Times New Roman" w:cs="Times New Roman"/>
          <w:color w:val="auto"/>
          <w:sz w:val="24"/>
          <w:szCs w:val="24"/>
        </w:rPr>
      </w:pPr>
      <w:bookmarkStart w:id="5" w:name="_Toc168273928"/>
      <w:r w:rsidRPr="00AB19CF">
        <w:rPr>
          <w:rFonts w:ascii="Times New Roman" w:hAnsi="Times New Roman" w:cs="Times New Roman"/>
          <w:color w:val="auto"/>
          <w:sz w:val="24"/>
          <w:szCs w:val="24"/>
        </w:rPr>
        <w:t>Recommendations for Addressing Declining Revenue and Managing Risks</w:t>
      </w:r>
      <w:bookmarkEnd w:id="5"/>
    </w:p>
    <w:p w14:paraId="51E79959" w14:textId="77777777" w:rsidR="00330948" w:rsidRPr="00967E85" w:rsidRDefault="00330948" w:rsidP="00330948">
      <w:pPr>
        <w:spacing w:line="360" w:lineRule="auto"/>
        <w:jc w:val="both"/>
        <w:rPr>
          <w:rFonts w:ascii="Times New Roman" w:hAnsi="Times New Roman" w:cs="Times New Roman"/>
          <w:b/>
          <w:bCs/>
          <w:sz w:val="24"/>
          <w:szCs w:val="24"/>
        </w:rPr>
      </w:pPr>
      <w:r w:rsidRPr="00967E85">
        <w:rPr>
          <w:rFonts w:ascii="Times New Roman" w:hAnsi="Times New Roman" w:cs="Times New Roman"/>
          <w:b/>
          <w:bCs/>
          <w:sz w:val="24"/>
          <w:szCs w:val="24"/>
        </w:rPr>
        <w:t>Comprehending the Decline in Revenue</w:t>
      </w:r>
    </w:p>
    <w:p w14:paraId="3CF2C1A6" w14:textId="798090E4" w:rsidR="00330948" w:rsidRPr="00330948" w:rsidRDefault="00330948" w:rsidP="00330948">
      <w:pPr>
        <w:spacing w:line="360" w:lineRule="auto"/>
        <w:jc w:val="both"/>
        <w:rPr>
          <w:rFonts w:ascii="Times New Roman" w:hAnsi="Times New Roman" w:cs="Times New Roman"/>
          <w:sz w:val="24"/>
          <w:szCs w:val="24"/>
        </w:rPr>
      </w:pPr>
      <w:r w:rsidRPr="00330948">
        <w:rPr>
          <w:rFonts w:ascii="Times New Roman" w:hAnsi="Times New Roman" w:cs="Times New Roman"/>
          <w:sz w:val="24"/>
          <w:szCs w:val="24"/>
        </w:rPr>
        <w:t xml:space="preserve">There exist multiple factors that can be ascribed to the decrease in revenue generation at Urban Heights Hotel. The </w:t>
      </w:r>
      <w:r w:rsidR="00C57551" w:rsidRPr="00330948">
        <w:rPr>
          <w:rFonts w:ascii="Times New Roman" w:hAnsi="Times New Roman" w:cs="Times New Roman"/>
          <w:sz w:val="24"/>
          <w:szCs w:val="24"/>
        </w:rPr>
        <w:t>unfavorable</w:t>
      </w:r>
      <w:r w:rsidRPr="00330948">
        <w:rPr>
          <w:rFonts w:ascii="Times New Roman" w:hAnsi="Times New Roman" w:cs="Times New Roman"/>
          <w:sz w:val="24"/>
          <w:szCs w:val="24"/>
        </w:rPr>
        <w:t xml:space="preserve"> economic and environmental factors encompass competition, recession, inflation, departure from conventional business practices, rivalry within the lodging industry, specific occurrences such as the ongoing COVID-19 pandemic, and others (Sauvage, 2023; Kalra et al., 2024). Additionally, there has been a progressive increase in operating expenses, including </w:t>
      </w:r>
      <w:r w:rsidR="00C57551" w:rsidRPr="00330948">
        <w:rPr>
          <w:rFonts w:ascii="Times New Roman" w:hAnsi="Times New Roman" w:cs="Times New Roman"/>
          <w:sz w:val="24"/>
          <w:szCs w:val="24"/>
        </w:rPr>
        <w:t>labor</w:t>
      </w:r>
      <w:r w:rsidRPr="00330948">
        <w:rPr>
          <w:rFonts w:ascii="Times New Roman" w:hAnsi="Times New Roman" w:cs="Times New Roman"/>
          <w:sz w:val="24"/>
          <w:szCs w:val="24"/>
        </w:rPr>
        <w:t xml:space="preserve"> and energy costs, which have collectively resulted in the elimination of profitability (Imf.org, 2023).</w:t>
      </w:r>
    </w:p>
    <w:p w14:paraId="47FBE0BC" w14:textId="77777777" w:rsidR="00330948" w:rsidRPr="00967E85" w:rsidRDefault="00330948" w:rsidP="00330948">
      <w:pPr>
        <w:spacing w:line="360" w:lineRule="auto"/>
        <w:jc w:val="both"/>
        <w:rPr>
          <w:rFonts w:ascii="Times New Roman" w:hAnsi="Times New Roman" w:cs="Times New Roman"/>
          <w:b/>
          <w:bCs/>
          <w:sz w:val="24"/>
          <w:szCs w:val="24"/>
        </w:rPr>
      </w:pPr>
      <w:r w:rsidRPr="00967E85">
        <w:rPr>
          <w:rFonts w:ascii="Times New Roman" w:hAnsi="Times New Roman" w:cs="Times New Roman"/>
          <w:b/>
          <w:bCs/>
          <w:sz w:val="24"/>
          <w:szCs w:val="24"/>
        </w:rPr>
        <w:lastRenderedPageBreak/>
        <w:t>Risk Management Approaches</w:t>
      </w:r>
    </w:p>
    <w:p w14:paraId="24E96790" w14:textId="05D64ABF" w:rsidR="00330948" w:rsidRPr="00330948" w:rsidRDefault="00330948" w:rsidP="00330948">
      <w:pPr>
        <w:spacing w:line="360" w:lineRule="auto"/>
        <w:jc w:val="both"/>
        <w:rPr>
          <w:rFonts w:ascii="Times New Roman" w:hAnsi="Times New Roman" w:cs="Times New Roman"/>
          <w:sz w:val="24"/>
          <w:szCs w:val="24"/>
        </w:rPr>
      </w:pPr>
      <w:r w:rsidRPr="00330948">
        <w:rPr>
          <w:rFonts w:ascii="Times New Roman" w:hAnsi="Times New Roman" w:cs="Times New Roman"/>
          <w:sz w:val="24"/>
          <w:szCs w:val="24"/>
        </w:rPr>
        <w:t xml:space="preserve">As the aforementioned results demonstrate, in order to prevent such dangers and maintain viable business operations, it is critical to employ the proper risk management strategy. A select few of these include the capacity to evaluate risks emanating from diverse sources, such as technological disruptions, economic recessions, and geopolitical unrest. One approach to risk </w:t>
      </w:r>
      <w:r w:rsidR="00CA5CAE" w:rsidRPr="00330948">
        <w:rPr>
          <w:rFonts w:ascii="Times New Roman" w:hAnsi="Times New Roman" w:cs="Times New Roman"/>
          <w:sz w:val="24"/>
          <w:szCs w:val="24"/>
        </w:rPr>
        <w:t>prioritization</w:t>
      </w:r>
      <w:r w:rsidRPr="00330948">
        <w:rPr>
          <w:rFonts w:ascii="Times New Roman" w:hAnsi="Times New Roman" w:cs="Times New Roman"/>
          <w:sz w:val="24"/>
          <w:szCs w:val="24"/>
        </w:rPr>
        <w:t xml:space="preserve"> is the </w:t>
      </w:r>
      <w:r w:rsidR="00CA5CAE" w:rsidRPr="00330948">
        <w:rPr>
          <w:rFonts w:ascii="Times New Roman" w:hAnsi="Times New Roman" w:cs="Times New Roman"/>
          <w:sz w:val="24"/>
          <w:szCs w:val="24"/>
        </w:rPr>
        <w:t>utilization</w:t>
      </w:r>
      <w:r w:rsidRPr="00330948">
        <w:rPr>
          <w:rFonts w:ascii="Times New Roman" w:hAnsi="Times New Roman" w:cs="Times New Roman"/>
          <w:sz w:val="24"/>
          <w:szCs w:val="24"/>
        </w:rPr>
        <w:t xml:space="preserve"> of a risk assessment matrix, which considers both the likelihood and impact of partic</w:t>
      </w:r>
      <w:permStart w:id="501165816" w:edGrp="everyone"/>
      <w:permEnd w:id="501165816"/>
      <w:r w:rsidRPr="00330948">
        <w:rPr>
          <w:rFonts w:ascii="Times New Roman" w:hAnsi="Times New Roman" w:cs="Times New Roman"/>
          <w:sz w:val="24"/>
          <w:szCs w:val="24"/>
        </w:rPr>
        <w:t>ular risks (Kimes, 2011).</w:t>
      </w:r>
    </w:p>
    <w:p w14:paraId="2936BBEE" w14:textId="77777777" w:rsidR="00330948" w:rsidRPr="00967E85" w:rsidRDefault="00330948" w:rsidP="00330948">
      <w:pPr>
        <w:spacing w:line="360" w:lineRule="auto"/>
        <w:jc w:val="both"/>
        <w:rPr>
          <w:rFonts w:ascii="Times New Roman" w:hAnsi="Times New Roman" w:cs="Times New Roman"/>
          <w:b/>
          <w:bCs/>
          <w:sz w:val="24"/>
          <w:szCs w:val="24"/>
        </w:rPr>
      </w:pPr>
      <w:r w:rsidRPr="00967E85">
        <w:rPr>
          <w:rFonts w:ascii="Times New Roman" w:hAnsi="Times New Roman" w:cs="Times New Roman"/>
          <w:b/>
          <w:bCs/>
          <w:sz w:val="24"/>
          <w:szCs w:val="24"/>
        </w:rPr>
        <w:t>Activities During the Off-Season</w:t>
      </w:r>
    </w:p>
    <w:p w14:paraId="33D47147" w14:textId="6927CAA4" w:rsidR="00330948" w:rsidRPr="00330948" w:rsidRDefault="00330948" w:rsidP="00330948">
      <w:pPr>
        <w:spacing w:line="360" w:lineRule="auto"/>
        <w:jc w:val="both"/>
        <w:rPr>
          <w:rFonts w:ascii="Times New Roman" w:hAnsi="Times New Roman" w:cs="Times New Roman"/>
          <w:sz w:val="24"/>
          <w:szCs w:val="24"/>
        </w:rPr>
      </w:pPr>
      <w:r w:rsidRPr="00330948">
        <w:rPr>
          <w:rFonts w:ascii="Times New Roman" w:hAnsi="Times New Roman" w:cs="Times New Roman"/>
          <w:sz w:val="24"/>
          <w:szCs w:val="24"/>
        </w:rPr>
        <w:t xml:space="preserve">Hotels ought to </w:t>
      </w:r>
      <w:r w:rsidR="00CA5CAE" w:rsidRPr="00330948">
        <w:rPr>
          <w:rFonts w:ascii="Times New Roman" w:hAnsi="Times New Roman" w:cs="Times New Roman"/>
          <w:sz w:val="24"/>
          <w:szCs w:val="24"/>
        </w:rPr>
        <w:t>prioritize</w:t>
      </w:r>
      <w:r w:rsidRPr="00330948">
        <w:rPr>
          <w:rFonts w:ascii="Times New Roman" w:hAnsi="Times New Roman" w:cs="Times New Roman"/>
          <w:sz w:val="24"/>
          <w:szCs w:val="24"/>
        </w:rPr>
        <w:t xml:space="preserve"> increasing occupancy rates during off-seasons by implementing promotional strategies and other relevant appeals, such as establishing partnerships with local businesses. To attract a greater number of customers, the proposal entails modifying pricing policies to incorporate flexible pricing and additional services, such as the pricing of packaged services. Moreover, and notably, during periods of low tide, scheduled maintenance and staff training can be carried out, ensuring that the subsequent season, </w:t>
      </w:r>
      <w:r w:rsidR="00CA5CAE" w:rsidRPr="00330948">
        <w:rPr>
          <w:rFonts w:ascii="Times New Roman" w:hAnsi="Times New Roman" w:cs="Times New Roman"/>
          <w:sz w:val="24"/>
          <w:szCs w:val="24"/>
        </w:rPr>
        <w:t>characterized</w:t>
      </w:r>
      <w:r w:rsidRPr="00330948">
        <w:rPr>
          <w:rFonts w:ascii="Times New Roman" w:hAnsi="Times New Roman" w:cs="Times New Roman"/>
          <w:sz w:val="24"/>
          <w:szCs w:val="24"/>
        </w:rPr>
        <w:t xml:space="preserve"> by high tide, can deliver exceptional levels of service (Hudson, 2009).</w:t>
      </w:r>
    </w:p>
    <w:p w14:paraId="780A8622" w14:textId="77777777" w:rsidR="00330948" w:rsidRPr="00967E85" w:rsidRDefault="00330948" w:rsidP="00330948">
      <w:pPr>
        <w:spacing w:line="360" w:lineRule="auto"/>
        <w:jc w:val="both"/>
        <w:rPr>
          <w:rFonts w:ascii="Times New Roman" w:hAnsi="Times New Roman" w:cs="Times New Roman"/>
          <w:b/>
          <w:bCs/>
          <w:sz w:val="24"/>
          <w:szCs w:val="24"/>
        </w:rPr>
      </w:pPr>
      <w:r w:rsidRPr="00967E85">
        <w:rPr>
          <w:rFonts w:ascii="Times New Roman" w:hAnsi="Times New Roman" w:cs="Times New Roman"/>
          <w:b/>
          <w:bCs/>
          <w:sz w:val="24"/>
          <w:szCs w:val="24"/>
        </w:rPr>
        <w:t>Supervising Operations</w:t>
      </w:r>
    </w:p>
    <w:p w14:paraId="46C8C248" w14:textId="31A9AF57" w:rsidR="00330948" w:rsidRPr="00330948" w:rsidRDefault="00330948" w:rsidP="00330948">
      <w:pPr>
        <w:spacing w:line="360" w:lineRule="auto"/>
        <w:jc w:val="both"/>
        <w:rPr>
          <w:rFonts w:ascii="Times New Roman" w:hAnsi="Times New Roman" w:cs="Times New Roman"/>
          <w:sz w:val="24"/>
          <w:szCs w:val="24"/>
        </w:rPr>
      </w:pPr>
      <w:r w:rsidRPr="00330948">
        <w:rPr>
          <w:rFonts w:ascii="Times New Roman" w:hAnsi="Times New Roman" w:cs="Times New Roman"/>
          <w:sz w:val="24"/>
          <w:szCs w:val="24"/>
        </w:rPr>
        <w:t xml:space="preserve">During off-peak periods, effective management involves not only seeking out additional revenue streams but also establishing cash reserves to </w:t>
      </w:r>
      <w:r w:rsidR="00CA5CAE" w:rsidRPr="00330948">
        <w:rPr>
          <w:rFonts w:ascii="Times New Roman" w:hAnsi="Times New Roman" w:cs="Times New Roman"/>
          <w:sz w:val="24"/>
          <w:szCs w:val="24"/>
        </w:rPr>
        <w:t>minimize</w:t>
      </w:r>
      <w:r w:rsidRPr="00330948">
        <w:rPr>
          <w:rFonts w:ascii="Times New Roman" w:hAnsi="Times New Roman" w:cs="Times New Roman"/>
          <w:sz w:val="24"/>
          <w:szCs w:val="24"/>
        </w:rPr>
        <w:t xml:space="preserve"> expenses. This may entail establishing collaborations with travel companies to ensure group sales or the ability to reserve spaces for local events or functions. Continual operational expenses represent an additional domain in which cost reduction strategies can be implemented, such as retrofitting energy-efficient systems onto the production line.</w:t>
      </w:r>
    </w:p>
    <w:p w14:paraId="48552748" w14:textId="77777777" w:rsidR="00CA48B2" w:rsidRPr="00AB19CF" w:rsidRDefault="00CA48B2" w:rsidP="00AB19CF">
      <w:pPr>
        <w:spacing w:line="360" w:lineRule="auto"/>
        <w:jc w:val="both"/>
        <w:rPr>
          <w:rFonts w:ascii="Times New Roman" w:hAnsi="Times New Roman" w:cs="Times New Roman"/>
          <w:b/>
          <w:bCs/>
          <w:sz w:val="24"/>
          <w:szCs w:val="24"/>
        </w:rPr>
      </w:pPr>
      <w:r w:rsidRPr="00AB19CF">
        <w:rPr>
          <w:rFonts w:ascii="Times New Roman" w:hAnsi="Times New Roman" w:cs="Times New Roman"/>
          <w:b/>
          <w:bCs/>
          <w:sz w:val="24"/>
          <w:szCs w:val="24"/>
        </w:rPr>
        <w:t>Identifying and Prioritizing Risks</w:t>
      </w:r>
    </w:p>
    <w:p w14:paraId="359F29F3" w14:textId="77777777" w:rsidR="00CA48B2" w:rsidRPr="00AB19CF" w:rsidRDefault="00CA48B2" w:rsidP="00AB19CF">
      <w:pPr>
        <w:spacing w:line="360" w:lineRule="auto"/>
        <w:jc w:val="both"/>
        <w:rPr>
          <w:rFonts w:ascii="Times New Roman" w:hAnsi="Times New Roman" w:cs="Times New Roman"/>
          <w:i/>
          <w:iCs/>
          <w:sz w:val="24"/>
          <w:szCs w:val="24"/>
        </w:rPr>
      </w:pPr>
      <w:r w:rsidRPr="00AB19CF">
        <w:rPr>
          <w:rFonts w:ascii="Times New Roman" w:hAnsi="Times New Roman" w:cs="Times New Roman"/>
          <w:i/>
          <w:iCs/>
          <w:sz w:val="24"/>
          <w:szCs w:val="24"/>
        </w:rPr>
        <w:t>Operational Risks Impacting Hotel Reputation</w:t>
      </w:r>
    </w:p>
    <w:p w14:paraId="36191BEE" w14:textId="77777777" w:rsidR="00CA48B2" w:rsidRDefault="00CA48B2"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Operational risks can significantly influence the reputation of hotels, particularly in areas such as customer service, safety, and hygiene. Negative guest experiences due to poor service, safety concerns, or unsanitary conditions can quickly tarnish a hotel's reputation, leading to decreased bookings and revenue (Sainaghi, 2020). The front desk, housekeeping, and food and beverage services are the most impacted areas.</w:t>
      </w:r>
    </w:p>
    <w:p w14:paraId="7972D2CC" w14:textId="77777777" w:rsidR="00CA5CAE" w:rsidRPr="00AB19CF" w:rsidRDefault="00CA5CAE" w:rsidP="00AB19CF">
      <w:pPr>
        <w:spacing w:line="360" w:lineRule="auto"/>
        <w:jc w:val="both"/>
        <w:rPr>
          <w:rFonts w:ascii="Times New Roman" w:hAnsi="Times New Roman" w:cs="Times New Roman"/>
          <w:sz w:val="24"/>
          <w:szCs w:val="24"/>
        </w:rPr>
      </w:pPr>
    </w:p>
    <w:p w14:paraId="7C514C54" w14:textId="00C8B85A" w:rsidR="00CA48B2" w:rsidRPr="00CA5CAE" w:rsidRDefault="00CA48B2" w:rsidP="00AB19CF">
      <w:pPr>
        <w:spacing w:line="360" w:lineRule="auto"/>
        <w:jc w:val="both"/>
        <w:rPr>
          <w:rStyle w:val="cursor-pointer"/>
          <w:rFonts w:ascii="Times New Roman" w:hAnsi="Times New Roman" w:cs="Times New Roman"/>
          <w:b/>
          <w:bCs/>
          <w:i/>
          <w:iCs/>
          <w:sz w:val="24"/>
          <w:szCs w:val="24"/>
        </w:rPr>
      </w:pPr>
      <w:r w:rsidRPr="00CA5CAE">
        <w:rPr>
          <w:rStyle w:val="cursor-pointer"/>
          <w:rFonts w:ascii="Times New Roman" w:hAnsi="Times New Roman" w:cs="Times New Roman"/>
          <w:b/>
          <w:bCs/>
          <w:i/>
          <w:iCs/>
          <w:sz w:val="24"/>
          <w:szCs w:val="24"/>
        </w:rPr>
        <w:lastRenderedPageBreak/>
        <w:t xml:space="preserve">Financial risk </w:t>
      </w:r>
    </w:p>
    <w:p w14:paraId="55EA2EAC" w14:textId="30003467" w:rsidR="00CA48B2" w:rsidRPr="00AB19CF" w:rsidRDefault="00CA48B2" w:rsidP="00AB19CF">
      <w:pPr>
        <w:spacing w:line="360" w:lineRule="auto"/>
        <w:jc w:val="both"/>
        <w:rPr>
          <w:rStyle w:val="cursor-pointer"/>
          <w:rFonts w:ascii="Times New Roman" w:hAnsi="Times New Roman" w:cs="Times New Roman"/>
          <w:sz w:val="24"/>
          <w:szCs w:val="24"/>
        </w:rPr>
      </w:pPr>
      <w:r w:rsidRPr="00AB19CF">
        <w:rPr>
          <w:rStyle w:val="cursor-pointer"/>
          <w:rFonts w:ascii="Times New Roman" w:hAnsi="Times New Roman" w:cs="Times New Roman"/>
          <w:sz w:val="24"/>
          <w:szCs w:val="24"/>
        </w:rPr>
        <w:t xml:space="preserve">Financial risks that could threaten a hotel include high levels of debts especially during the low peaks in the hotel’s business cycle. Every hotel, including the Urban Heights Hotel, is suited to have large debts; however, the organization should ensure that it runs these debts effectively to avoid facing financial challenges when the hotel is experiencing low traffic. Thus, during such situations, cash flow is likely to be considerably low, and coupled with the existing challenges of servicing debts, create immense pressure on the overall quality of service provision in the hotel (Baker &amp; Powell, 2020). Debts and bad loans are some of the significant risks that can threaten the existence of a business; therefore, the right financial management measures like restructuring debt or modifying the loan’s terms and conditions are critical (Brigham and Ehrhardt, 2019). </w:t>
      </w:r>
    </w:p>
    <w:p w14:paraId="72085325" w14:textId="77777777" w:rsidR="00E0647C" w:rsidRPr="00CA5CAE" w:rsidRDefault="00E0647C" w:rsidP="00AB19CF">
      <w:pPr>
        <w:pStyle w:val="Heading1"/>
        <w:spacing w:line="360" w:lineRule="auto"/>
        <w:jc w:val="both"/>
        <w:rPr>
          <w:rFonts w:ascii="Times New Roman" w:hAnsi="Times New Roman" w:cs="Times New Roman"/>
          <w:b/>
          <w:bCs/>
          <w:color w:val="auto"/>
          <w:sz w:val="24"/>
          <w:szCs w:val="24"/>
        </w:rPr>
      </w:pPr>
      <w:bookmarkStart w:id="6" w:name="_Toc168273929"/>
      <w:r w:rsidRPr="00CA5CAE">
        <w:rPr>
          <w:rFonts w:ascii="Times New Roman" w:hAnsi="Times New Roman" w:cs="Times New Roman"/>
          <w:b/>
          <w:bCs/>
          <w:color w:val="auto"/>
          <w:sz w:val="24"/>
          <w:szCs w:val="24"/>
        </w:rPr>
        <w:t>Conclusion</w:t>
      </w:r>
      <w:bookmarkEnd w:id="6"/>
    </w:p>
    <w:p w14:paraId="41670A9A" w14:textId="77777777" w:rsidR="00C0504E" w:rsidRDefault="00E0647C" w:rsidP="00AB19CF">
      <w:pPr>
        <w:spacing w:line="360" w:lineRule="auto"/>
        <w:jc w:val="both"/>
        <w:rPr>
          <w:rFonts w:ascii="Times New Roman" w:hAnsi="Times New Roman" w:cs="Times New Roman"/>
          <w:sz w:val="24"/>
          <w:szCs w:val="24"/>
        </w:rPr>
      </w:pPr>
      <w:r w:rsidRPr="00AB19CF">
        <w:rPr>
          <w:rFonts w:ascii="Times New Roman" w:hAnsi="Times New Roman" w:cs="Times New Roman"/>
          <w:sz w:val="24"/>
          <w:szCs w:val="24"/>
        </w:rPr>
        <w:t>Urban Heights Hotel's financial struggles mirror a complex interplay of global economic shifts and industry-specific challenges. The declining profitability, exacerbated by rising expenses and faltering revenue, underscores the need for a strategic overhaul. This report recommends a multidimensional strategy focusing on cost management, revenue optimization, and technological integration to navigate out of financial duress and enhance competitiveness in a turbulent market.</w:t>
      </w:r>
    </w:p>
    <w:p w14:paraId="446AAF7F" w14:textId="01735A97" w:rsidR="00C0504E" w:rsidRDefault="00C0504E" w:rsidP="00AB19CF">
      <w:pPr>
        <w:spacing w:line="360" w:lineRule="auto"/>
        <w:jc w:val="both"/>
        <w:rPr>
          <w:rFonts w:ascii="Times New Roman" w:hAnsi="Times New Roman" w:cs="Times New Roman"/>
          <w:sz w:val="24"/>
          <w:szCs w:val="24"/>
        </w:rPr>
      </w:pPr>
      <w:r>
        <w:rPr>
          <w:rFonts w:ascii="Times New Roman" w:hAnsi="Times New Roman" w:cs="Times New Roman"/>
          <w:sz w:val="24"/>
          <w:szCs w:val="24"/>
        </w:rPr>
        <w:br/>
      </w:r>
    </w:p>
    <w:p w14:paraId="5F4F54C1" w14:textId="77777777" w:rsidR="00C0504E" w:rsidRDefault="00C0504E">
      <w:pPr>
        <w:rPr>
          <w:rFonts w:ascii="Times New Roman" w:hAnsi="Times New Roman" w:cs="Times New Roman"/>
          <w:sz w:val="24"/>
          <w:szCs w:val="24"/>
        </w:rPr>
      </w:pPr>
      <w:r>
        <w:rPr>
          <w:rFonts w:ascii="Times New Roman" w:hAnsi="Times New Roman" w:cs="Times New Roman"/>
          <w:sz w:val="24"/>
          <w:szCs w:val="24"/>
        </w:rPr>
        <w:br w:type="page"/>
      </w:r>
    </w:p>
    <w:p w14:paraId="315DAB02" w14:textId="77777777" w:rsidR="00E0647C" w:rsidRPr="00AB19CF" w:rsidRDefault="00E0647C" w:rsidP="00AB19CF">
      <w:pPr>
        <w:spacing w:line="360" w:lineRule="auto"/>
        <w:jc w:val="both"/>
        <w:rPr>
          <w:rFonts w:ascii="Times New Roman" w:hAnsi="Times New Roman" w:cs="Times New Roman"/>
          <w:sz w:val="24"/>
          <w:szCs w:val="24"/>
        </w:rPr>
      </w:pPr>
    </w:p>
    <w:p w14:paraId="2937E256" w14:textId="7F4E3B3C" w:rsidR="00A564E9" w:rsidRPr="00AB19CF" w:rsidRDefault="00491F4E" w:rsidP="00AB19CF">
      <w:pPr>
        <w:pStyle w:val="Heading1"/>
        <w:spacing w:line="360" w:lineRule="auto"/>
        <w:jc w:val="both"/>
        <w:rPr>
          <w:rFonts w:ascii="Times New Roman" w:hAnsi="Times New Roman" w:cs="Times New Roman"/>
          <w:sz w:val="24"/>
          <w:szCs w:val="24"/>
        </w:rPr>
      </w:pPr>
      <w:bookmarkStart w:id="7" w:name="_Toc168273930"/>
      <w:r w:rsidRPr="00AB19CF">
        <w:rPr>
          <w:rFonts w:ascii="Times New Roman" w:hAnsi="Times New Roman" w:cs="Times New Roman"/>
          <w:sz w:val="24"/>
          <w:szCs w:val="24"/>
        </w:rPr>
        <w:t>References</w:t>
      </w:r>
      <w:bookmarkEnd w:id="7"/>
      <w:r w:rsidRPr="00AB19CF">
        <w:rPr>
          <w:rFonts w:ascii="Times New Roman" w:hAnsi="Times New Roman" w:cs="Times New Roman"/>
          <w:sz w:val="24"/>
          <w:szCs w:val="24"/>
        </w:rPr>
        <w:t xml:space="preserve"> </w:t>
      </w:r>
    </w:p>
    <w:p w14:paraId="6F998D10" w14:textId="77777777" w:rsidR="00491F4E" w:rsidRPr="00AB19CF" w:rsidRDefault="00491F4E" w:rsidP="00AB19CF">
      <w:pPr>
        <w:pStyle w:val="ListParagraph"/>
        <w:numPr>
          <w:ilvl w:val="0"/>
          <w:numId w:val="10"/>
        </w:numPr>
        <w:spacing w:after="0" w:line="360" w:lineRule="auto"/>
        <w:jc w:val="both"/>
        <w:rPr>
          <w:rFonts w:ascii="Times New Roman" w:eastAsia="Times New Roman" w:hAnsi="Times New Roman" w:cs="Times New Roman"/>
          <w:kern w:val="0"/>
          <w:sz w:val="24"/>
          <w:szCs w:val="24"/>
          <w14:ligatures w14:val="none"/>
        </w:rPr>
      </w:pPr>
      <w:r w:rsidRPr="00AB19CF">
        <w:rPr>
          <w:rFonts w:ascii="Times New Roman" w:eastAsia="Times New Roman" w:hAnsi="Times New Roman" w:cs="Times New Roman"/>
          <w:kern w:val="0"/>
          <w:sz w:val="24"/>
          <w:szCs w:val="24"/>
          <w14:ligatures w14:val="none"/>
        </w:rPr>
        <w:t xml:space="preserve">Altman, E.I. and Hotchkiss, E., 2010. </w:t>
      </w:r>
      <w:r w:rsidRPr="00AB19CF">
        <w:rPr>
          <w:rFonts w:ascii="Times New Roman" w:eastAsia="Times New Roman" w:hAnsi="Times New Roman" w:cs="Times New Roman"/>
          <w:i/>
          <w:iCs/>
          <w:kern w:val="0"/>
          <w:sz w:val="24"/>
          <w:szCs w:val="24"/>
          <w14:ligatures w14:val="none"/>
        </w:rPr>
        <w:t>Corporate financial distress and bankruptcy: Predict and avoid bankruptcy, analyze and invest in distressed debt</w:t>
      </w:r>
      <w:r w:rsidRPr="00AB19CF">
        <w:rPr>
          <w:rFonts w:ascii="Times New Roman" w:eastAsia="Times New Roman" w:hAnsi="Times New Roman" w:cs="Times New Roman"/>
          <w:kern w:val="0"/>
          <w:sz w:val="24"/>
          <w:szCs w:val="24"/>
          <w14:ligatures w14:val="none"/>
        </w:rPr>
        <w:t xml:space="preserve"> (Vol. 289). John Wiley &amp; Sons.</w:t>
      </w:r>
    </w:p>
    <w:p w14:paraId="70C58F5A" w14:textId="77777777" w:rsidR="00491F4E" w:rsidRPr="00AB19CF" w:rsidRDefault="00491F4E" w:rsidP="00AB19CF">
      <w:pPr>
        <w:pStyle w:val="ListParagraph"/>
        <w:numPr>
          <w:ilvl w:val="0"/>
          <w:numId w:val="10"/>
        </w:numPr>
        <w:spacing w:after="0" w:line="360" w:lineRule="auto"/>
        <w:jc w:val="both"/>
        <w:rPr>
          <w:rFonts w:ascii="Times New Roman" w:eastAsia="Times New Roman" w:hAnsi="Times New Roman" w:cs="Times New Roman"/>
          <w:kern w:val="0"/>
          <w:sz w:val="24"/>
          <w:szCs w:val="24"/>
          <w14:ligatures w14:val="none"/>
        </w:rPr>
      </w:pPr>
      <w:r w:rsidRPr="00AB19CF">
        <w:rPr>
          <w:rFonts w:ascii="Times New Roman" w:eastAsia="Times New Roman" w:hAnsi="Times New Roman" w:cs="Times New Roman"/>
          <w:kern w:val="0"/>
          <w:sz w:val="24"/>
          <w:szCs w:val="24"/>
          <w14:ligatures w14:val="none"/>
        </w:rPr>
        <w:t xml:space="preserve">Bashir, M. and Verma, R., 2016. Airbnb disruptive business model innovation: Assessing the impact on hotel industry. </w:t>
      </w:r>
      <w:r w:rsidRPr="00AB19CF">
        <w:rPr>
          <w:rFonts w:ascii="Times New Roman" w:eastAsia="Times New Roman" w:hAnsi="Times New Roman" w:cs="Times New Roman"/>
          <w:i/>
          <w:iCs/>
          <w:kern w:val="0"/>
          <w:sz w:val="24"/>
          <w:szCs w:val="24"/>
          <w14:ligatures w14:val="none"/>
        </w:rPr>
        <w:t>International Journal of Applied Business and Economic Research</w:t>
      </w:r>
      <w:r w:rsidRPr="00AB19CF">
        <w:rPr>
          <w:rFonts w:ascii="Times New Roman" w:eastAsia="Times New Roman" w:hAnsi="Times New Roman" w:cs="Times New Roman"/>
          <w:kern w:val="0"/>
          <w:sz w:val="24"/>
          <w:szCs w:val="24"/>
          <w14:ligatures w14:val="none"/>
        </w:rPr>
        <w:t xml:space="preserve">, </w:t>
      </w:r>
      <w:r w:rsidRPr="00AB19CF">
        <w:rPr>
          <w:rFonts w:ascii="Times New Roman" w:eastAsia="Times New Roman" w:hAnsi="Times New Roman" w:cs="Times New Roman"/>
          <w:i/>
          <w:iCs/>
          <w:kern w:val="0"/>
          <w:sz w:val="24"/>
          <w:szCs w:val="24"/>
          <w14:ligatures w14:val="none"/>
        </w:rPr>
        <w:t>14</w:t>
      </w:r>
      <w:r w:rsidRPr="00AB19CF">
        <w:rPr>
          <w:rFonts w:ascii="Times New Roman" w:eastAsia="Times New Roman" w:hAnsi="Times New Roman" w:cs="Times New Roman"/>
          <w:kern w:val="0"/>
          <w:sz w:val="24"/>
          <w:szCs w:val="24"/>
          <w14:ligatures w14:val="none"/>
        </w:rPr>
        <w:t>(4), pp.2595-2604.</w:t>
      </w:r>
    </w:p>
    <w:p w14:paraId="6619694D" w14:textId="77777777" w:rsidR="00491F4E" w:rsidRPr="00AB19CF" w:rsidRDefault="00491F4E" w:rsidP="00AB19CF">
      <w:pPr>
        <w:pStyle w:val="ListParagraph"/>
        <w:numPr>
          <w:ilvl w:val="0"/>
          <w:numId w:val="10"/>
        </w:numPr>
        <w:spacing w:after="0" w:line="360" w:lineRule="auto"/>
        <w:jc w:val="both"/>
        <w:rPr>
          <w:rFonts w:ascii="Times New Roman" w:eastAsia="Times New Roman" w:hAnsi="Times New Roman" w:cs="Times New Roman"/>
          <w:kern w:val="0"/>
          <w:sz w:val="24"/>
          <w:szCs w:val="24"/>
          <w14:ligatures w14:val="none"/>
        </w:rPr>
      </w:pPr>
      <w:r w:rsidRPr="00AB19CF">
        <w:rPr>
          <w:rFonts w:ascii="Times New Roman" w:eastAsia="Times New Roman" w:hAnsi="Times New Roman" w:cs="Times New Roman"/>
          <w:kern w:val="0"/>
          <w:sz w:val="24"/>
          <w:szCs w:val="24"/>
          <w14:ligatures w14:val="none"/>
        </w:rPr>
        <w:t xml:space="preserve">Biederman, P.S. and Lai, J., 2008. Travel and tourism: An industry primer. </w:t>
      </w:r>
      <w:r w:rsidRPr="00AB19CF">
        <w:rPr>
          <w:rFonts w:ascii="Times New Roman" w:eastAsia="Times New Roman" w:hAnsi="Times New Roman" w:cs="Times New Roman"/>
          <w:i/>
          <w:iCs/>
          <w:kern w:val="0"/>
          <w:sz w:val="24"/>
          <w:szCs w:val="24"/>
          <w14:ligatures w14:val="none"/>
        </w:rPr>
        <w:t>(No Title)</w:t>
      </w:r>
      <w:r w:rsidRPr="00AB19CF">
        <w:rPr>
          <w:rFonts w:ascii="Times New Roman" w:eastAsia="Times New Roman" w:hAnsi="Times New Roman" w:cs="Times New Roman"/>
          <w:kern w:val="0"/>
          <w:sz w:val="24"/>
          <w:szCs w:val="24"/>
          <w14:ligatures w14:val="none"/>
        </w:rPr>
        <w:t>.</w:t>
      </w:r>
    </w:p>
    <w:p w14:paraId="77E9A7AE" w14:textId="77777777" w:rsidR="00491F4E" w:rsidRPr="00AB19CF" w:rsidRDefault="00491F4E" w:rsidP="00AB19CF">
      <w:pPr>
        <w:pStyle w:val="ListParagraph"/>
        <w:numPr>
          <w:ilvl w:val="0"/>
          <w:numId w:val="10"/>
        </w:numPr>
        <w:spacing w:after="0" w:line="360" w:lineRule="auto"/>
        <w:jc w:val="both"/>
        <w:rPr>
          <w:rFonts w:ascii="Times New Roman" w:eastAsia="Times New Roman" w:hAnsi="Times New Roman" w:cs="Times New Roman"/>
          <w:kern w:val="0"/>
          <w:sz w:val="24"/>
          <w:szCs w:val="24"/>
          <w14:ligatures w14:val="none"/>
        </w:rPr>
      </w:pPr>
      <w:r w:rsidRPr="00AB19CF">
        <w:rPr>
          <w:rFonts w:ascii="Times New Roman" w:eastAsia="Times New Roman" w:hAnsi="Times New Roman" w:cs="Times New Roman"/>
          <w:kern w:val="0"/>
          <w:sz w:val="24"/>
          <w:szCs w:val="24"/>
          <w14:ligatures w14:val="none"/>
        </w:rPr>
        <w:t xml:space="preserve">Baker, H.K. and English, P. eds., 2011. </w:t>
      </w:r>
      <w:r w:rsidRPr="00AB19CF">
        <w:rPr>
          <w:rFonts w:ascii="Times New Roman" w:eastAsia="Times New Roman" w:hAnsi="Times New Roman" w:cs="Times New Roman"/>
          <w:i/>
          <w:iCs/>
          <w:kern w:val="0"/>
          <w:sz w:val="24"/>
          <w:szCs w:val="24"/>
          <w14:ligatures w14:val="none"/>
        </w:rPr>
        <w:t>Capital budgeting valuation: financial analysis for today's investment projects</w:t>
      </w:r>
      <w:r w:rsidRPr="00AB19CF">
        <w:rPr>
          <w:rFonts w:ascii="Times New Roman" w:eastAsia="Times New Roman" w:hAnsi="Times New Roman" w:cs="Times New Roman"/>
          <w:kern w:val="0"/>
          <w:sz w:val="24"/>
          <w:szCs w:val="24"/>
          <w14:ligatures w14:val="none"/>
        </w:rPr>
        <w:t>. John Wiley &amp; Sons.</w:t>
      </w:r>
    </w:p>
    <w:p w14:paraId="59D2AFF3" w14:textId="77777777" w:rsidR="00491F4E" w:rsidRPr="00AB19CF" w:rsidRDefault="00491F4E" w:rsidP="00AB19CF">
      <w:pPr>
        <w:pStyle w:val="ListParagraph"/>
        <w:numPr>
          <w:ilvl w:val="0"/>
          <w:numId w:val="10"/>
        </w:numPr>
        <w:spacing w:after="0" w:line="360" w:lineRule="auto"/>
        <w:jc w:val="both"/>
        <w:rPr>
          <w:rFonts w:ascii="Times New Roman" w:eastAsia="Times New Roman" w:hAnsi="Times New Roman" w:cs="Times New Roman"/>
          <w:kern w:val="0"/>
          <w:sz w:val="24"/>
          <w:szCs w:val="24"/>
          <w14:ligatures w14:val="none"/>
        </w:rPr>
      </w:pPr>
      <w:r w:rsidRPr="00AB19CF">
        <w:rPr>
          <w:rFonts w:ascii="Times New Roman" w:eastAsia="Times New Roman" w:hAnsi="Times New Roman" w:cs="Times New Roman"/>
          <w:kern w:val="0"/>
          <w:sz w:val="24"/>
          <w:szCs w:val="24"/>
          <w14:ligatures w14:val="none"/>
        </w:rPr>
        <w:t xml:space="preserve">Grodach, C. and Ehrenfeucht, R., 2015. </w:t>
      </w:r>
      <w:r w:rsidRPr="00AB19CF">
        <w:rPr>
          <w:rFonts w:ascii="Times New Roman" w:eastAsia="Times New Roman" w:hAnsi="Times New Roman" w:cs="Times New Roman"/>
          <w:i/>
          <w:iCs/>
          <w:kern w:val="0"/>
          <w:sz w:val="24"/>
          <w:szCs w:val="24"/>
          <w14:ligatures w14:val="none"/>
        </w:rPr>
        <w:t>Urban Revitalization: Remaking cities in a changing world</w:t>
      </w:r>
      <w:r w:rsidRPr="00AB19CF">
        <w:rPr>
          <w:rFonts w:ascii="Times New Roman" w:eastAsia="Times New Roman" w:hAnsi="Times New Roman" w:cs="Times New Roman"/>
          <w:kern w:val="0"/>
          <w:sz w:val="24"/>
          <w:szCs w:val="24"/>
          <w14:ligatures w14:val="none"/>
        </w:rPr>
        <w:t>. Routledge.</w:t>
      </w:r>
    </w:p>
    <w:p w14:paraId="02B4F34B" w14:textId="77777777" w:rsidR="00491F4E" w:rsidRPr="00AB19CF" w:rsidRDefault="00491F4E" w:rsidP="00AB19CF">
      <w:pPr>
        <w:pStyle w:val="ListParagraph"/>
        <w:numPr>
          <w:ilvl w:val="0"/>
          <w:numId w:val="10"/>
        </w:numPr>
        <w:spacing w:after="0" w:line="360" w:lineRule="auto"/>
        <w:jc w:val="both"/>
        <w:rPr>
          <w:rFonts w:ascii="Times New Roman" w:eastAsia="Times New Roman" w:hAnsi="Times New Roman" w:cs="Times New Roman"/>
          <w:kern w:val="0"/>
          <w:sz w:val="24"/>
          <w:szCs w:val="24"/>
          <w14:ligatures w14:val="none"/>
        </w:rPr>
      </w:pPr>
      <w:r w:rsidRPr="00AB19CF">
        <w:rPr>
          <w:rFonts w:ascii="Times New Roman" w:eastAsia="Times New Roman" w:hAnsi="Times New Roman" w:cs="Times New Roman"/>
          <w:kern w:val="0"/>
          <w:sz w:val="24"/>
          <w:szCs w:val="24"/>
          <w14:ligatures w14:val="none"/>
        </w:rPr>
        <w:t xml:space="preserve">Gozgor, G., Lau, M.C.K., Zeng, Y., Yan, C. and Lin, Z., 2022. The impact of geopolitical risks on tourism supply in developing economies: The moderating role of social globalization. </w:t>
      </w:r>
      <w:r w:rsidRPr="00AB19CF">
        <w:rPr>
          <w:rFonts w:ascii="Times New Roman" w:eastAsia="Times New Roman" w:hAnsi="Times New Roman" w:cs="Times New Roman"/>
          <w:i/>
          <w:iCs/>
          <w:kern w:val="0"/>
          <w:sz w:val="24"/>
          <w:szCs w:val="24"/>
          <w14:ligatures w14:val="none"/>
        </w:rPr>
        <w:t>Journal of Travel Research</w:t>
      </w:r>
      <w:r w:rsidRPr="00AB19CF">
        <w:rPr>
          <w:rFonts w:ascii="Times New Roman" w:eastAsia="Times New Roman" w:hAnsi="Times New Roman" w:cs="Times New Roman"/>
          <w:kern w:val="0"/>
          <w:sz w:val="24"/>
          <w:szCs w:val="24"/>
          <w14:ligatures w14:val="none"/>
        </w:rPr>
        <w:t xml:space="preserve">, </w:t>
      </w:r>
      <w:r w:rsidRPr="00AB19CF">
        <w:rPr>
          <w:rFonts w:ascii="Times New Roman" w:eastAsia="Times New Roman" w:hAnsi="Times New Roman" w:cs="Times New Roman"/>
          <w:i/>
          <w:iCs/>
          <w:kern w:val="0"/>
          <w:sz w:val="24"/>
          <w:szCs w:val="24"/>
          <w14:ligatures w14:val="none"/>
        </w:rPr>
        <w:t>61</w:t>
      </w:r>
      <w:r w:rsidRPr="00AB19CF">
        <w:rPr>
          <w:rFonts w:ascii="Times New Roman" w:eastAsia="Times New Roman" w:hAnsi="Times New Roman" w:cs="Times New Roman"/>
          <w:kern w:val="0"/>
          <w:sz w:val="24"/>
          <w:szCs w:val="24"/>
          <w14:ligatures w14:val="none"/>
        </w:rPr>
        <w:t>(4), pp.872-886.</w:t>
      </w:r>
    </w:p>
    <w:p w14:paraId="72E63AF1" w14:textId="77777777" w:rsidR="00491F4E" w:rsidRPr="00AB19CF" w:rsidRDefault="00491F4E" w:rsidP="00AB19CF">
      <w:pPr>
        <w:pStyle w:val="ListParagraph"/>
        <w:numPr>
          <w:ilvl w:val="0"/>
          <w:numId w:val="10"/>
        </w:numPr>
        <w:spacing w:after="0" w:line="360" w:lineRule="auto"/>
        <w:jc w:val="both"/>
        <w:rPr>
          <w:rFonts w:ascii="Times New Roman" w:eastAsia="Times New Roman" w:hAnsi="Times New Roman" w:cs="Times New Roman"/>
          <w:kern w:val="0"/>
          <w:sz w:val="24"/>
          <w:szCs w:val="24"/>
          <w14:ligatures w14:val="none"/>
        </w:rPr>
      </w:pPr>
      <w:r w:rsidRPr="00AB19CF">
        <w:rPr>
          <w:rFonts w:ascii="Times New Roman" w:eastAsia="Times New Roman" w:hAnsi="Times New Roman" w:cs="Times New Roman"/>
          <w:kern w:val="0"/>
          <w:sz w:val="24"/>
          <w:szCs w:val="24"/>
          <w14:ligatures w14:val="none"/>
        </w:rPr>
        <w:t xml:space="preserve">Hudson, S., 2009. </w:t>
      </w:r>
      <w:r w:rsidRPr="00AB19CF">
        <w:rPr>
          <w:rFonts w:ascii="Times New Roman" w:eastAsia="Times New Roman" w:hAnsi="Times New Roman" w:cs="Times New Roman"/>
          <w:i/>
          <w:iCs/>
          <w:kern w:val="0"/>
          <w:sz w:val="24"/>
          <w:szCs w:val="24"/>
          <w14:ligatures w14:val="none"/>
        </w:rPr>
        <w:t>Tourism and hospitality marketing: a global perspective</w:t>
      </w:r>
      <w:r w:rsidRPr="00AB19CF">
        <w:rPr>
          <w:rFonts w:ascii="Times New Roman" w:eastAsia="Times New Roman" w:hAnsi="Times New Roman" w:cs="Times New Roman"/>
          <w:kern w:val="0"/>
          <w:sz w:val="24"/>
          <w:szCs w:val="24"/>
          <w14:ligatures w14:val="none"/>
        </w:rPr>
        <w:t>. Sage.</w:t>
      </w:r>
    </w:p>
    <w:p w14:paraId="05702053" w14:textId="77777777" w:rsidR="00491F4E" w:rsidRPr="00AB19CF" w:rsidRDefault="00491F4E" w:rsidP="00AB19CF">
      <w:pPr>
        <w:pStyle w:val="ListParagraph"/>
        <w:numPr>
          <w:ilvl w:val="0"/>
          <w:numId w:val="10"/>
        </w:numPr>
        <w:spacing w:after="0" w:line="360" w:lineRule="auto"/>
        <w:jc w:val="both"/>
        <w:rPr>
          <w:rFonts w:ascii="Times New Roman" w:eastAsia="Times New Roman" w:hAnsi="Times New Roman" w:cs="Times New Roman"/>
          <w:kern w:val="0"/>
          <w:sz w:val="24"/>
          <w:szCs w:val="24"/>
          <w14:ligatures w14:val="none"/>
        </w:rPr>
      </w:pPr>
      <w:r w:rsidRPr="00AB19CF">
        <w:rPr>
          <w:rFonts w:ascii="Times New Roman" w:eastAsia="Times New Roman" w:hAnsi="Times New Roman" w:cs="Times New Roman"/>
          <w:kern w:val="0"/>
          <w:sz w:val="24"/>
          <w:szCs w:val="24"/>
          <w14:ligatures w14:val="none"/>
        </w:rPr>
        <w:t xml:space="preserve">Heizer, J., Render, B. and Munson, C., 2020. </w:t>
      </w:r>
      <w:r w:rsidRPr="00AB19CF">
        <w:rPr>
          <w:rFonts w:ascii="Times New Roman" w:eastAsia="Times New Roman" w:hAnsi="Times New Roman" w:cs="Times New Roman"/>
          <w:i/>
          <w:iCs/>
          <w:kern w:val="0"/>
          <w:sz w:val="24"/>
          <w:szCs w:val="24"/>
          <w14:ligatures w14:val="none"/>
        </w:rPr>
        <w:t>Operations management: sustainability and supply chain management</w:t>
      </w:r>
      <w:r w:rsidRPr="00AB19CF">
        <w:rPr>
          <w:rFonts w:ascii="Times New Roman" w:eastAsia="Times New Roman" w:hAnsi="Times New Roman" w:cs="Times New Roman"/>
          <w:kern w:val="0"/>
          <w:sz w:val="24"/>
          <w:szCs w:val="24"/>
          <w14:ligatures w14:val="none"/>
        </w:rPr>
        <w:t>. Pearson.</w:t>
      </w:r>
    </w:p>
    <w:p w14:paraId="3994C26E" w14:textId="77777777" w:rsidR="00491F4E" w:rsidRPr="00AB19CF" w:rsidRDefault="00491F4E" w:rsidP="00AB19CF">
      <w:pPr>
        <w:pStyle w:val="muitypography-root"/>
        <w:numPr>
          <w:ilvl w:val="0"/>
          <w:numId w:val="10"/>
        </w:numPr>
        <w:spacing w:line="360" w:lineRule="auto"/>
        <w:jc w:val="both"/>
      </w:pPr>
      <w:r w:rsidRPr="00AB19CF">
        <w:t xml:space="preserve">Imf.org., 2023. Higher-for-Longer Interest Rate Environment is Squeezing More Borrowers. </w:t>
      </w:r>
      <w:r w:rsidRPr="00AB19CF">
        <w:rPr>
          <w:i/>
          <w:iCs/>
        </w:rPr>
        <w:t>IMF</w:t>
      </w:r>
      <w:r w:rsidRPr="00AB19CF">
        <w:t xml:space="preserve"> [online]. Available from: </w:t>
      </w:r>
      <w:hyperlink r:id="rId9" w:history="1">
        <w:r w:rsidRPr="00AB19CF">
          <w:rPr>
            <w:rStyle w:val="Hyperlink"/>
          </w:rPr>
          <w:t>https://www.imf.org/en/Blogs/Articles/2023/10/10/higher-for-longer-interest-rate-environment-is-squeezing-more-borrowers</w:t>
        </w:r>
      </w:hyperlink>
      <w:r w:rsidRPr="00AB19CF">
        <w:t xml:space="preserve">  [Accessed 12 May 2024].</w:t>
      </w:r>
    </w:p>
    <w:p w14:paraId="1AF3CB3B" w14:textId="77777777" w:rsidR="00491F4E" w:rsidRPr="00AB19CF" w:rsidRDefault="00491F4E" w:rsidP="00AB19CF">
      <w:pPr>
        <w:pStyle w:val="muitypography-root"/>
        <w:numPr>
          <w:ilvl w:val="0"/>
          <w:numId w:val="10"/>
        </w:numPr>
        <w:spacing w:line="360" w:lineRule="auto"/>
        <w:jc w:val="both"/>
      </w:pPr>
      <w:r w:rsidRPr="00AB19CF">
        <w:t xml:space="preserve">Kalra, S., Bhogal, S., Aggarwal, P., Singh, M. and Bali, H.K., 2024, March. Management and use of artificial intelligence for recovery in the Indian hospitality and tourism industry during COVID-19. In </w:t>
      </w:r>
      <w:r w:rsidRPr="00AB19CF">
        <w:rPr>
          <w:i/>
          <w:iCs/>
        </w:rPr>
        <w:t>AIP Conference Proceedings</w:t>
      </w:r>
      <w:r w:rsidRPr="00AB19CF">
        <w:t xml:space="preserve"> (Vol. 2816, No. 1). AIP Publishing.</w:t>
      </w:r>
    </w:p>
    <w:p w14:paraId="15C86509" w14:textId="77777777" w:rsidR="00491F4E" w:rsidRPr="00AB19CF" w:rsidRDefault="00491F4E" w:rsidP="00AB19CF">
      <w:pPr>
        <w:pStyle w:val="ListParagraph"/>
        <w:numPr>
          <w:ilvl w:val="0"/>
          <w:numId w:val="10"/>
        </w:numPr>
        <w:spacing w:after="0" w:line="360" w:lineRule="auto"/>
        <w:jc w:val="both"/>
        <w:rPr>
          <w:rFonts w:ascii="Times New Roman" w:eastAsia="Times New Roman" w:hAnsi="Times New Roman" w:cs="Times New Roman"/>
          <w:kern w:val="0"/>
          <w:sz w:val="24"/>
          <w:szCs w:val="24"/>
          <w14:ligatures w14:val="none"/>
        </w:rPr>
      </w:pPr>
      <w:r w:rsidRPr="00AB19CF">
        <w:rPr>
          <w:rFonts w:ascii="Times New Roman" w:eastAsia="Times New Roman" w:hAnsi="Times New Roman" w:cs="Times New Roman"/>
          <w:kern w:val="0"/>
          <w:sz w:val="24"/>
          <w:szCs w:val="24"/>
          <w14:ligatures w14:val="none"/>
        </w:rPr>
        <w:t xml:space="preserve">Kimes, S.E., 2011. The future of hotel revenue management. </w:t>
      </w:r>
      <w:r w:rsidRPr="00AB19CF">
        <w:rPr>
          <w:rFonts w:ascii="Times New Roman" w:eastAsia="Times New Roman" w:hAnsi="Times New Roman" w:cs="Times New Roman"/>
          <w:i/>
          <w:iCs/>
          <w:kern w:val="0"/>
          <w:sz w:val="24"/>
          <w:szCs w:val="24"/>
          <w14:ligatures w14:val="none"/>
        </w:rPr>
        <w:t>Journal of Revenue and Pricing Management</w:t>
      </w:r>
      <w:r w:rsidRPr="00AB19CF">
        <w:rPr>
          <w:rFonts w:ascii="Times New Roman" w:eastAsia="Times New Roman" w:hAnsi="Times New Roman" w:cs="Times New Roman"/>
          <w:kern w:val="0"/>
          <w:sz w:val="24"/>
          <w:szCs w:val="24"/>
          <w14:ligatures w14:val="none"/>
        </w:rPr>
        <w:t xml:space="preserve">, </w:t>
      </w:r>
      <w:r w:rsidRPr="00AB19CF">
        <w:rPr>
          <w:rFonts w:ascii="Times New Roman" w:eastAsia="Times New Roman" w:hAnsi="Times New Roman" w:cs="Times New Roman"/>
          <w:i/>
          <w:iCs/>
          <w:kern w:val="0"/>
          <w:sz w:val="24"/>
          <w:szCs w:val="24"/>
          <w14:ligatures w14:val="none"/>
        </w:rPr>
        <w:t>10</w:t>
      </w:r>
      <w:r w:rsidRPr="00AB19CF">
        <w:rPr>
          <w:rFonts w:ascii="Times New Roman" w:eastAsia="Times New Roman" w:hAnsi="Times New Roman" w:cs="Times New Roman"/>
          <w:kern w:val="0"/>
          <w:sz w:val="24"/>
          <w:szCs w:val="24"/>
          <w14:ligatures w14:val="none"/>
        </w:rPr>
        <w:t>, pp.62-72.</w:t>
      </w:r>
    </w:p>
    <w:p w14:paraId="43D8D280" w14:textId="77777777" w:rsidR="00491F4E" w:rsidRPr="00AB19CF" w:rsidRDefault="00491F4E" w:rsidP="00AB19CF">
      <w:pPr>
        <w:pStyle w:val="ListParagraph"/>
        <w:numPr>
          <w:ilvl w:val="0"/>
          <w:numId w:val="10"/>
        </w:numPr>
        <w:spacing w:after="0" w:line="360" w:lineRule="auto"/>
        <w:jc w:val="both"/>
        <w:rPr>
          <w:rFonts w:ascii="Times New Roman" w:hAnsi="Times New Roman" w:cs="Times New Roman"/>
          <w:sz w:val="24"/>
          <w:szCs w:val="24"/>
        </w:rPr>
      </w:pPr>
      <w:r w:rsidRPr="00AB19CF">
        <w:rPr>
          <w:rFonts w:ascii="Times New Roman" w:hAnsi="Times New Roman" w:cs="Times New Roman"/>
          <w:sz w:val="24"/>
          <w:szCs w:val="24"/>
        </w:rPr>
        <w:t xml:space="preserve">Sauvage, M., 2023. The Impact of Inflation on the Hospitality Industry. </w:t>
      </w:r>
      <w:r w:rsidRPr="00AB19CF">
        <w:rPr>
          <w:rFonts w:ascii="Times New Roman" w:hAnsi="Times New Roman" w:cs="Times New Roman"/>
          <w:i/>
          <w:iCs/>
          <w:sz w:val="24"/>
          <w:szCs w:val="24"/>
        </w:rPr>
        <w:t>LHC International</w:t>
      </w:r>
      <w:r w:rsidRPr="00AB19CF">
        <w:rPr>
          <w:rFonts w:ascii="Times New Roman" w:hAnsi="Times New Roman" w:cs="Times New Roman"/>
          <w:sz w:val="24"/>
          <w:szCs w:val="24"/>
        </w:rPr>
        <w:t xml:space="preserve"> [online]. Available from: </w:t>
      </w:r>
      <w:hyperlink r:id="rId10" w:history="1">
        <w:r w:rsidRPr="00AB19CF">
          <w:rPr>
            <w:rStyle w:val="Hyperlink"/>
            <w:rFonts w:ascii="Times New Roman" w:hAnsi="Times New Roman" w:cs="Times New Roman"/>
            <w:sz w:val="24"/>
            <w:szCs w:val="24"/>
          </w:rPr>
          <w:t>https://lhc-international.com/en/the-impact-inflation-on-the-hospitality-industry/</w:t>
        </w:r>
      </w:hyperlink>
      <w:r w:rsidRPr="00AB19CF">
        <w:rPr>
          <w:rFonts w:ascii="Times New Roman" w:hAnsi="Times New Roman" w:cs="Times New Roman"/>
          <w:sz w:val="24"/>
          <w:szCs w:val="24"/>
        </w:rPr>
        <w:t>. [Accessed 13 May 2024].</w:t>
      </w:r>
    </w:p>
    <w:p w14:paraId="7010563C" w14:textId="77777777" w:rsidR="00491F4E" w:rsidRPr="00AB19CF" w:rsidRDefault="00491F4E" w:rsidP="00AB19CF">
      <w:pPr>
        <w:pStyle w:val="ListParagraph"/>
        <w:numPr>
          <w:ilvl w:val="0"/>
          <w:numId w:val="10"/>
        </w:numPr>
        <w:spacing w:after="0" w:line="360" w:lineRule="auto"/>
        <w:jc w:val="both"/>
        <w:rPr>
          <w:rFonts w:ascii="Times New Roman" w:eastAsia="Times New Roman" w:hAnsi="Times New Roman" w:cs="Times New Roman"/>
          <w:kern w:val="0"/>
          <w:sz w:val="24"/>
          <w:szCs w:val="24"/>
          <w14:ligatures w14:val="none"/>
        </w:rPr>
      </w:pPr>
      <w:r w:rsidRPr="00AB19CF">
        <w:rPr>
          <w:rFonts w:ascii="Times New Roman" w:eastAsia="Times New Roman" w:hAnsi="Times New Roman" w:cs="Times New Roman"/>
          <w:kern w:val="0"/>
          <w:sz w:val="24"/>
          <w:szCs w:val="24"/>
          <w14:ligatures w14:val="none"/>
        </w:rPr>
        <w:lastRenderedPageBreak/>
        <w:t xml:space="preserve">Pine, B.J. and Gilmore, J.H., 2011. </w:t>
      </w:r>
      <w:r w:rsidRPr="00AB19CF">
        <w:rPr>
          <w:rFonts w:ascii="Times New Roman" w:eastAsia="Times New Roman" w:hAnsi="Times New Roman" w:cs="Times New Roman"/>
          <w:i/>
          <w:iCs/>
          <w:kern w:val="0"/>
          <w:sz w:val="24"/>
          <w:szCs w:val="24"/>
          <w14:ligatures w14:val="none"/>
        </w:rPr>
        <w:t>The experience economy</w:t>
      </w:r>
      <w:r w:rsidRPr="00AB19CF">
        <w:rPr>
          <w:rFonts w:ascii="Times New Roman" w:eastAsia="Times New Roman" w:hAnsi="Times New Roman" w:cs="Times New Roman"/>
          <w:kern w:val="0"/>
          <w:sz w:val="24"/>
          <w:szCs w:val="24"/>
          <w14:ligatures w14:val="none"/>
        </w:rPr>
        <w:t>. Harvard Business Press.</w:t>
      </w:r>
    </w:p>
    <w:p w14:paraId="3DC91E8E" w14:textId="77777777" w:rsidR="00491F4E" w:rsidRPr="00AB19CF" w:rsidRDefault="00491F4E" w:rsidP="00AB19CF">
      <w:pPr>
        <w:pStyle w:val="ListParagraph"/>
        <w:numPr>
          <w:ilvl w:val="0"/>
          <w:numId w:val="10"/>
        </w:numPr>
        <w:spacing w:after="0" w:line="360" w:lineRule="auto"/>
        <w:jc w:val="both"/>
        <w:rPr>
          <w:rFonts w:ascii="Times New Roman" w:eastAsia="Times New Roman" w:hAnsi="Times New Roman" w:cs="Times New Roman"/>
          <w:kern w:val="0"/>
          <w:sz w:val="24"/>
          <w:szCs w:val="24"/>
          <w14:ligatures w14:val="none"/>
        </w:rPr>
      </w:pPr>
      <w:r w:rsidRPr="00AB19CF">
        <w:rPr>
          <w:rFonts w:ascii="Times New Roman" w:eastAsia="Times New Roman" w:hAnsi="Times New Roman" w:cs="Times New Roman"/>
          <w:kern w:val="0"/>
          <w:sz w:val="24"/>
          <w:szCs w:val="24"/>
          <w14:ligatures w14:val="none"/>
        </w:rPr>
        <w:t xml:space="preserve">Quinn, J.B., 2020. Strategic outsourcing: leveraging knowledge capabilities. </w:t>
      </w:r>
      <w:r w:rsidRPr="00AB19CF">
        <w:rPr>
          <w:rFonts w:ascii="Times New Roman" w:eastAsia="Times New Roman" w:hAnsi="Times New Roman" w:cs="Times New Roman"/>
          <w:i/>
          <w:iCs/>
          <w:kern w:val="0"/>
          <w:sz w:val="24"/>
          <w:szCs w:val="24"/>
          <w14:ligatures w14:val="none"/>
        </w:rPr>
        <w:t>MIT Sloan Management Review</w:t>
      </w:r>
      <w:r w:rsidRPr="00AB19CF">
        <w:rPr>
          <w:rFonts w:ascii="Times New Roman" w:eastAsia="Times New Roman" w:hAnsi="Times New Roman" w:cs="Times New Roman"/>
          <w:kern w:val="0"/>
          <w:sz w:val="24"/>
          <w:szCs w:val="24"/>
          <w14:ligatures w14:val="none"/>
        </w:rPr>
        <w:t>.</w:t>
      </w:r>
    </w:p>
    <w:p w14:paraId="67A5F0A5" w14:textId="77777777" w:rsidR="00491F4E" w:rsidRPr="00AB19CF" w:rsidRDefault="00491F4E" w:rsidP="00AB19CF">
      <w:pPr>
        <w:pStyle w:val="ListParagraph"/>
        <w:numPr>
          <w:ilvl w:val="0"/>
          <w:numId w:val="10"/>
        </w:numPr>
        <w:spacing w:after="0" w:line="360" w:lineRule="auto"/>
        <w:jc w:val="both"/>
        <w:rPr>
          <w:rFonts w:ascii="Times New Roman" w:eastAsia="Times New Roman" w:hAnsi="Times New Roman" w:cs="Times New Roman"/>
          <w:kern w:val="0"/>
          <w:sz w:val="24"/>
          <w:szCs w:val="24"/>
          <w14:ligatures w14:val="none"/>
        </w:rPr>
      </w:pPr>
      <w:r w:rsidRPr="00AB19CF">
        <w:rPr>
          <w:rFonts w:ascii="Times New Roman" w:eastAsia="Times New Roman" w:hAnsi="Times New Roman" w:cs="Times New Roman"/>
          <w:kern w:val="0"/>
          <w:sz w:val="24"/>
          <w:szCs w:val="24"/>
          <w14:ligatures w14:val="none"/>
        </w:rPr>
        <w:t xml:space="preserve">Tsai, H., Song, H. and Wong, K.K., 2009. Tourism and hotel competitiveness research. </w:t>
      </w:r>
      <w:r w:rsidRPr="00AB19CF">
        <w:rPr>
          <w:rFonts w:ascii="Times New Roman" w:eastAsia="Times New Roman" w:hAnsi="Times New Roman" w:cs="Times New Roman"/>
          <w:i/>
          <w:iCs/>
          <w:kern w:val="0"/>
          <w:sz w:val="24"/>
          <w:szCs w:val="24"/>
          <w14:ligatures w14:val="none"/>
        </w:rPr>
        <w:t>Journal of travel &amp; tourism marketing</w:t>
      </w:r>
      <w:r w:rsidRPr="00AB19CF">
        <w:rPr>
          <w:rFonts w:ascii="Times New Roman" w:eastAsia="Times New Roman" w:hAnsi="Times New Roman" w:cs="Times New Roman"/>
          <w:kern w:val="0"/>
          <w:sz w:val="24"/>
          <w:szCs w:val="24"/>
          <w14:ligatures w14:val="none"/>
        </w:rPr>
        <w:t xml:space="preserve">, </w:t>
      </w:r>
      <w:r w:rsidRPr="00AB19CF">
        <w:rPr>
          <w:rFonts w:ascii="Times New Roman" w:eastAsia="Times New Roman" w:hAnsi="Times New Roman" w:cs="Times New Roman"/>
          <w:i/>
          <w:iCs/>
          <w:kern w:val="0"/>
          <w:sz w:val="24"/>
          <w:szCs w:val="24"/>
          <w14:ligatures w14:val="none"/>
        </w:rPr>
        <w:t>26</w:t>
      </w:r>
      <w:r w:rsidRPr="00AB19CF">
        <w:rPr>
          <w:rFonts w:ascii="Times New Roman" w:eastAsia="Times New Roman" w:hAnsi="Times New Roman" w:cs="Times New Roman"/>
          <w:kern w:val="0"/>
          <w:sz w:val="24"/>
          <w:szCs w:val="24"/>
          <w14:ligatures w14:val="none"/>
        </w:rPr>
        <w:t>(5-6), pp.522-546.</w:t>
      </w:r>
    </w:p>
    <w:p w14:paraId="6EED7F70" w14:textId="77777777" w:rsidR="00491F4E" w:rsidRPr="00AB19CF" w:rsidRDefault="00491F4E" w:rsidP="00AB19CF">
      <w:pPr>
        <w:spacing w:line="360" w:lineRule="auto"/>
        <w:jc w:val="both"/>
        <w:rPr>
          <w:rFonts w:ascii="Times New Roman" w:hAnsi="Times New Roman" w:cs="Times New Roman"/>
          <w:sz w:val="24"/>
          <w:szCs w:val="24"/>
        </w:rPr>
      </w:pPr>
    </w:p>
    <w:sectPr w:rsidR="00491F4E" w:rsidRPr="00AB19CF" w:rsidSect="001E2888">
      <w:type w:val="continuous"/>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028C36" w14:textId="77777777" w:rsidR="00C95147" w:rsidRDefault="00C95147" w:rsidP="00491F4E">
      <w:pPr>
        <w:spacing w:after="0" w:line="240" w:lineRule="auto"/>
      </w:pPr>
      <w:r>
        <w:separator/>
      </w:r>
    </w:p>
  </w:endnote>
  <w:endnote w:type="continuationSeparator" w:id="0">
    <w:p w14:paraId="49437A08" w14:textId="77777777" w:rsidR="00C95147" w:rsidRDefault="00C95147" w:rsidP="00491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9C1401" w14:textId="77777777" w:rsidR="00C95147" w:rsidRDefault="00C95147" w:rsidP="00491F4E">
      <w:pPr>
        <w:spacing w:after="0" w:line="240" w:lineRule="auto"/>
      </w:pPr>
      <w:r>
        <w:separator/>
      </w:r>
    </w:p>
  </w:footnote>
  <w:footnote w:type="continuationSeparator" w:id="0">
    <w:p w14:paraId="2C8754C2" w14:textId="77777777" w:rsidR="00C95147" w:rsidRDefault="00C95147" w:rsidP="00491F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46D52"/>
    <w:multiLevelType w:val="multilevel"/>
    <w:tmpl w:val="78FA6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0F6BA0"/>
    <w:multiLevelType w:val="multilevel"/>
    <w:tmpl w:val="4588E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7D67B1"/>
    <w:multiLevelType w:val="multilevel"/>
    <w:tmpl w:val="5EECF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E6668B"/>
    <w:multiLevelType w:val="multilevel"/>
    <w:tmpl w:val="75A23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015A74"/>
    <w:multiLevelType w:val="hybridMultilevel"/>
    <w:tmpl w:val="D5BAB8E8"/>
    <w:lvl w:ilvl="0" w:tplc="0409000D">
      <w:start w:val="1"/>
      <w:numFmt w:val="bullet"/>
      <w:lvlText w:val=""/>
      <w:lvlJc w:val="left"/>
      <w:pPr>
        <w:ind w:left="360" w:hanging="360"/>
      </w:pPr>
      <w:rPr>
        <w:rFonts w:ascii="Wingdings" w:hAnsi="Wingding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3EF455AC"/>
    <w:multiLevelType w:val="hybridMultilevel"/>
    <w:tmpl w:val="CAA49AAC"/>
    <w:lvl w:ilvl="0" w:tplc="04090009">
      <w:start w:val="1"/>
      <w:numFmt w:val="bullet"/>
      <w:lvlText w:val=""/>
      <w:lvlJc w:val="left"/>
      <w:pPr>
        <w:ind w:left="360" w:hanging="360"/>
      </w:pPr>
      <w:rPr>
        <w:rFonts w:ascii="Wingdings" w:hAnsi="Wingding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409608F4"/>
    <w:multiLevelType w:val="hybridMultilevel"/>
    <w:tmpl w:val="47D0877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40CB72A8"/>
    <w:multiLevelType w:val="multilevel"/>
    <w:tmpl w:val="CBBA2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4356D89"/>
    <w:multiLevelType w:val="multilevel"/>
    <w:tmpl w:val="C22C9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75065C"/>
    <w:multiLevelType w:val="hybridMultilevel"/>
    <w:tmpl w:val="86644D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EC5CA5"/>
    <w:multiLevelType w:val="hybridMultilevel"/>
    <w:tmpl w:val="C542EA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CE24B4A"/>
    <w:multiLevelType w:val="multilevel"/>
    <w:tmpl w:val="11B0C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E6F3A53"/>
    <w:multiLevelType w:val="hybridMultilevel"/>
    <w:tmpl w:val="98321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0B9002C"/>
    <w:multiLevelType w:val="hybridMultilevel"/>
    <w:tmpl w:val="47DC1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65C439F"/>
    <w:multiLevelType w:val="multilevel"/>
    <w:tmpl w:val="D1926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CF15232"/>
    <w:multiLevelType w:val="multilevel"/>
    <w:tmpl w:val="CFD49B90"/>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6" w15:restartNumberingAfterBreak="0">
    <w:nsid w:val="60CF3C85"/>
    <w:multiLevelType w:val="hybridMultilevel"/>
    <w:tmpl w:val="78608FE0"/>
    <w:lvl w:ilvl="0" w:tplc="04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7" w15:restartNumberingAfterBreak="0">
    <w:nsid w:val="68C8131B"/>
    <w:multiLevelType w:val="multilevel"/>
    <w:tmpl w:val="674A1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49D0A17"/>
    <w:multiLevelType w:val="multilevel"/>
    <w:tmpl w:val="99780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9A04CE6"/>
    <w:multiLevelType w:val="multilevel"/>
    <w:tmpl w:val="987EA0B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0" w15:restartNumberingAfterBreak="0">
    <w:nsid w:val="7E1F4A82"/>
    <w:multiLevelType w:val="multilevel"/>
    <w:tmpl w:val="557E1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49177916">
    <w:abstractNumId w:val="20"/>
  </w:num>
  <w:num w:numId="2" w16cid:durableId="805439977">
    <w:abstractNumId w:val="2"/>
  </w:num>
  <w:num w:numId="3" w16cid:durableId="594676226">
    <w:abstractNumId w:val="19"/>
  </w:num>
  <w:num w:numId="4" w16cid:durableId="858735333">
    <w:abstractNumId w:val="14"/>
  </w:num>
  <w:num w:numId="5" w16cid:durableId="44187421">
    <w:abstractNumId w:val="3"/>
  </w:num>
  <w:num w:numId="6" w16cid:durableId="100422536">
    <w:abstractNumId w:val="11"/>
  </w:num>
  <w:num w:numId="7" w16cid:durableId="528882589">
    <w:abstractNumId w:val="18"/>
  </w:num>
  <w:num w:numId="8" w16cid:durableId="719477145">
    <w:abstractNumId w:val="0"/>
  </w:num>
  <w:num w:numId="9" w16cid:durableId="308486305">
    <w:abstractNumId w:val="15"/>
  </w:num>
  <w:num w:numId="10" w16cid:durableId="1649355174">
    <w:abstractNumId w:val="10"/>
  </w:num>
  <w:num w:numId="11" w16cid:durableId="1605846663">
    <w:abstractNumId w:val="17"/>
  </w:num>
  <w:num w:numId="12" w16cid:durableId="741952461">
    <w:abstractNumId w:val="1"/>
  </w:num>
  <w:num w:numId="13" w16cid:durableId="178667749">
    <w:abstractNumId w:val="7"/>
  </w:num>
  <w:num w:numId="14" w16cid:durableId="853882896">
    <w:abstractNumId w:val="8"/>
  </w:num>
  <w:num w:numId="15" w16cid:durableId="335423028">
    <w:abstractNumId w:val="13"/>
  </w:num>
  <w:num w:numId="16" w16cid:durableId="199560510">
    <w:abstractNumId w:val="9"/>
  </w:num>
  <w:num w:numId="17" w16cid:durableId="1381593007">
    <w:abstractNumId w:val="12"/>
  </w:num>
  <w:num w:numId="18" w16cid:durableId="30422687">
    <w:abstractNumId w:val="6"/>
  </w:num>
  <w:num w:numId="19" w16cid:durableId="1989552068">
    <w:abstractNumId w:val="16"/>
  </w:num>
  <w:num w:numId="20" w16cid:durableId="1853177635">
    <w:abstractNumId w:val="4"/>
  </w:num>
  <w:num w:numId="21" w16cid:durableId="16946504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ocumentProtection w:edit="readOnly" w:formatting="1" w:enforcement="1" w:cryptProviderType="rsaAES" w:cryptAlgorithmClass="hash" w:cryptAlgorithmType="typeAny" w:cryptAlgorithmSid="14" w:cryptSpinCount="100000" w:hash="FpbLRXzMSiedsYKfpDcn8p8oOVcivD+kMTj3UQFdiDHG/dwAIE/9fJ7eJyVbZNoiL0+l2NJhCaYqSDLZawFKhg==" w:salt="gu3iGFBCb8KA2KNQ4V771A=="/>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2888"/>
    <w:rsid w:val="0004387C"/>
    <w:rsid w:val="00046354"/>
    <w:rsid w:val="000800A2"/>
    <w:rsid w:val="00080DAB"/>
    <w:rsid w:val="000A11A5"/>
    <w:rsid w:val="001349DD"/>
    <w:rsid w:val="00145DD3"/>
    <w:rsid w:val="00172DA1"/>
    <w:rsid w:val="00183097"/>
    <w:rsid w:val="001A3B7E"/>
    <w:rsid w:val="001E2888"/>
    <w:rsid w:val="00224DCB"/>
    <w:rsid w:val="00224E2E"/>
    <w:rsid w:val="002512CA"/>
    <w:rsid w:val="002B458A"/>
    <w:rsid w:val="00301485"/>
    <w:rsid w:val="0031110B"/>
    <w:rsid w:val="00320753"/>
    <w:rsid w:val="00330948"/>
    <w:rsid w:val="0036490D"/>
    <w:rsid w:val="00383C38"/>
    <w:rsid w:val="003A38AC"/>
    <w:rsid w:val="003B4237"/>
    <w:rsid w:val="004263E5"/>
    <w:rsid w:val="0047793C"/>
    <w:rsid w:val="00491F4E"/>
    <w:rsid w:val="004F4911"/>
    <w:rsid w:val="00611AB6"/>
    <w:rsid w:val="00643B78"/>
    <w:rsid w:val="006448DF"/>
    <w:rsid w:val="00682466"/>
    <w:rsid w:val="006B0D46"/>
    <w:rsid w:val="006E4E02"/>
    <w:rsid w:val="007441D7"/>
    <w:rsid w:val="0074642D"/>
    <w:rsid w:val="0076700B"/>
    <w:rsid w:val="00782674"/>
    <w:rsid w:val="00790D57"/>
    <w:rsid w:val="007E7D6F"/>
    <w:rsid w:val="00812AE8"/>
    <w:rsid w:val="00815F70"/>
    <w:rsid w:val="00847AE3"/>
    <w:rsid w:val="008B5145"/>
    <w:rsid w:val="008C03C4"/>
    <w:rsid w:val="008C03F2"/>
    <w:rsid w:val="009072AB"/>
    <w:rsid w:val="00967E85"/>
    <w:rsid w:val="00995A88"/>
    <w:rsid w:val="009C15D8"/>
    <w:rsid w:val="00A564E9"/>
    <w:rsid w:val="00A96A57"/>
    <w:rsid w:val="00AB19CF"/>
    <w:rsid w:val="00B672BC"/>
    <w:rsid w:val="00BE2317"/>
    <w:rsid w:val="00C0504E"/>
    <w:rsid w:val="00C57551"/>
    <w:rsid w:val="00C95147"/>
    <w:rsid w:val="00CA48B2"/>
    <w:rsid w:val="00CA5CAE"/>
    <w:rsid w:val="00D0165A"/>
    <w:rsid w:val="00D2078A"/>
    <w:rsid w:val="00D325AB"/>
    <w:rsid w:val="00D86D1E"/>
    <w:rsid w:val="00E0647C"/>
    <w:rsid w:val="00E51214"/>
    <w:rsid w:val="00E57A18"/>
    <w:rsid w:val="00EF17B4"/>
    <w:rsid w:val="00EF1D67"/>
    <w:rsid w:val="00F62AAE"/>
    <w:rsid w:val="00FB64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8FCC9"/>
  <w15:chartTrackingRefBased/>
  <w15:docId w15:val="{B817432B-39B8-4C21-A5F5-9039FFBF5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8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28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28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28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8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8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8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8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8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8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28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28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28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8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8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8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8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888"/>
    <w:rPr>
      <w:rFonts w:eastAsiaTheme="majorEastAsia" w:cstheme="majorBidi"/>
      <w:color w:val="272727" w:themeColor="text1" w:themeTint="D8"/>
    </w:rPr>
  </w:style>
  <w:style w:type="paragraph" w:styleId="Title">
    <w:name w:val="Title"/>
    <w:basedOn w:val="Normal"/>
    <w:next w:val="Normal"/>
    <w:link w:val="TitleChar"/>
    <w:uiPriority w:val="10"/>
    <w:qFormat/>
    <w:rsid w:val="001E28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8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8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8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888"/>
    <w:pPr>
      <w:spacing w:before="160"/>
      <w:jc w:val="center"/>
    </w:pPr>
    <w:rPr>
      <w:i/>
      <w:iCs/>
      <w:color w:val="404040" w:themeColor="text1" w:themeTint="BF"/>
    </w:rPr>
  </w:style>
  <w:style w:type="character" w:customStyle="1" w:styleId="QuoteChar">
    <w:name w:val="Quote Char"/>
    <w:basedOn w:val="DefaultParagraphFont"/>
    <w:link w:val="Quote"/>
    <w:uiPriority w:val="29"/>
    <w:rsid w:val="001E2888"/>
    <w:rPr>
      <w:i/>
      <w:iCs/>
      <w:color w:val="404040" w:themeColor="text1" w:themeTint="BF"/>
    </w:rPr>
  </w:style>
  <w:style w:type="paragraph" w:styleId="ListParagraph">
    <w:name w:val="List Paragraph"/>
    <w:basedOn w:val="Normal"/>
    <w:uiPriority w:val="34"/>
    <w:qFormat/>
    <w:rsid w:val="001E2888"/>
    <w:pPr>
      <w:ind w:left="720"/>
      <w:contextualSpacing/>
    </w:pPr>
  </w:style>
  <w:style w:type="character" w:styleId="IntenseEmphasis">
    <w:name w:val="Intense Emphasis"/>
    <w:basedOn w:val="DefaultParagraphFont"/>
    <w:uiPriority w:val="21"/>
    <w:qFormat/>
    <w:rsid w:val="001E2888"/>
    <w:rPr>
      <w:i/>
      <w:iCs/>
      <w:color w:val="0F4761" w:themeColor="accent1" w:themeShade="BF"/>
    </w:rPr>
  </w:style>
  <w:style w:type="paragraph" w:styleId="IntenseQuote">
    <w:name w:val="Intense Quote"/>
    <w:basedOn w:val="Normal"/>
    <w:next w:val="Normal"/>
    <w:link w:val="IntenseQuoteChar"/>
    <w:uiPriority w:val="30"/>
    <w:qFormat/>
    <w:rsid w:val="001E28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2888"/>
    <w:rPr>
      <w:i/>
      <w:iCs/>
      <w:color w:val="0F4761" w:themeColor="accent1" w:themeShade="BF"/>
    </w:rPr>
  </w:style>
  <w:style w:type="character" w:styleId="IntenseReference">
    <w:name w:val="Intense Reference"/>
    <w:basedOn w:val="DefaultParagraphFont"/>
    <w:uiPriority w:val="32"/>
    <w:qFormat/>
    <w:rsid w:val="001E2888"/>
    <w:rPr>
      <w:b/>
      <w:bCs/>
      <w:smallCaps/>
      <w:color w:val="0F4761" w:themeColor="accent1" w:themeShade="BF"/>
      <w:spacing w:val="5"/>
    </w:rPr>
  </w:style>
  <w:style w:type="paragraph" w:styleId="NormalWeb">
    <w:name w:val="Normal (Web)"/>
    <w:basedOn w:val="Normal"/>
    <w:uiPriority w:val="99"/>
    <w:unhideWhenUsed/>
    <w:rsid w:val="0068246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491F4E"/>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491F4E"/>
    <w:pPr>
      <w:spacing w:after="100"/>
    </w:pPr>
  </w:style>
  <w:style w:type="character" w:styleId="Hyperlink">
    <w:name w:val="Hyperlink"/>
    <w:basedOn w:val="DefaultParagraphFont"/>
    <w:uiPriority w:val="99"/>
    <w:unhideWhenUsed/>
    <w:rsid w:val="00491F4E"/>
    <w:rPr>
      <w:color w:val="467886" w:themeColor="hyperlink"/>
      <w:u w:val="single"/>
    </w:rPr>
  </w:style>
  <w:style w:type="paragraph" w:customStyle="1" w:styleId="muitypography-root">
    <w:name w:val="muitypography-root"/>
    <w:basedOn w:val="Normal"/>
    <w:rsid w:val="00491F4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491F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1F4E"/>
  </w:style>
  <w:style w:type="paragraph" w:styleId="Footer">
    <w:name w:val="footer"/>
    <w:basedOn w:val="Normal"/>
    <w:link w:val="FooterChar"/>
    <w:uiPriority w:val="99"/>
    <w:unhideWhenUsed/>
    <w:rsid w:val="00491F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1F4E"/>
  </w:style>
  <w:style w:type="paragraph" w:styleId="z-TopofForm">
    <w:name w:val="HTML Top of Form"/>
    <w:basedOn w:val="Normal"/>
    <w:next w:val="Normal"/>
    <w:link w:val="z-TopofFormChar"/>
    <w:hidden/>
    <w:uiPriority w:val="99"/>
    <w:semiHidden/>
    <w:unhideWhenUsed/>
    <w:rsid w:val="00E0647C"/>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E0647C"/>
    <w:rPr>
      <w:rFonts w:ascii="Arial" w:eastAsia="Times New Roman" w:hAnsi="Arial" w:cs="Arial"/>
      <w:vanish/>
      <w:kern w:val="0"/>
      <w:sz w:val="16"/>
      <w:szCs w:val="16"/>
      <w14:ligatures w14:val="none"/>
    </w:rPr>
  </w:style>
  <w:style w:type="table" w:styleId="TableGrid">
    <w:name w:val="Table Grid"/>
    <w:basedOn w:val="TableNormal"/>
    <w:uiPriority w:val="39"/>
    <w:rsid w:val="009C15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C15D8"/>
    <w:rPr>
      <w:b/>
      <w:bCs/>
    </w:rPr>
  </w:style>
  <w:style w:type="table" w:styleId="GridTable3-Accent6">
    <w:name w:val="Grid Table 3 Accent 6"/>
    <w:basedOn w:val="TableNormal"/>
    <w:uiPriority w:val="48"/>
    <w:rsid w:val="009C15D8"/>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character" w:customStyle="1" w:styleId="cursor-pointer">
    <w:name w:val="cursor-pointer"/>
    <w:basedOn w:val="DefaultParagraphFont"/>
    <w:rsid w:val="00D0165A"/>
  </w:style>
  <w:style w:type="character" w:styleId="PlaceholderText">
    <w:name w:val="Placeholder Text"/>
    <w:basedOn w:val="DefaultParagraphFont"/>
    <w:uiPriority w:val="99"/>
    <w:semiHidden/>
    <w:rsid w:val="00643B78"/>
    <w:rPr>
      <w:color w:val="666666"/>
    </w:rPr>
  </w:style>
  <w:style w:type="paragraph" w:styleId="TOC2">
    <w:name w:val="toc 2"/>
    <w:basedOn w:val="Normal"/>
    <w:next w:val="Normal"/>
    <w:autoRedefine/>
    <w:uiPriority w:val="39"/>
    <w:unhideWhenUsed/>
    <w:rsid w:val="008C03F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063547">
      <w:bodyDiv w:val="1"/>
      <w:marLeft w:val="0"/>
      <w:marRight w:val="0"/>
      <w:marTop w:val="0"/>
      <w:marBottom w:val="0"/>
      <w:divBdr>
        <w:top w:val="none" w:sz="0" w:space="0" w:color="auto"/>
        <w:left w:val="none" w:sz="0" w:space="0" w:color="auto"/>
        <w:bottom w:val="none" w:sz="0" w:space="0" w:color="auto"/>
        <w:right w:val="none" w:sz="0" w:space="0" w:color="auto"/>
      </w:divBdr>
    </w:div>
    <w:div w:id="153648021">
      <w:bodyDiv w:val="1"/>
      <w:marLeft w:val="0"/>
      <w:marRight w:val="0"/>
      <w:marTop w:val="0"/>
      <w:marBottom w:val="0"/>
      <w:divBdr>
        <w:top w:val="none" w:sz="0" w:space="0" w:color="auto"/>
        <w:left w:val="none" w:sz="0" w:space="0" w:color="auto"/>
        <w:bottom w:val="none" w:sz="0" w:space="0" w:color="auto"/>
        <w:right w:val="none" w:sz="0" w:space="0" w:color="auto"/>
      </w:divBdr>
    </w:div>
    <w:div w:id="176311751">
      <w:bodyDiv w:val="1"/>
      <w:marLeft w:val="0"/>
      <w:marRight w:val="0"/>
      <w:marTop w:val="0"/>
      <w:marBottom w:val="0"/>
      <w:divBdr>
        <w:top w:val="none" w:sz="0" w:space="0" w:color="auto"/>
        <w:left w:val="none" w:sz="0" w:space="0" w:color="auto"/>
        <w:bottom w:val="none" w:sz="0" w:space="0" w:color="auto"/>
        <w:right w:val="none" w:sz="0" w:space="0" w:color="auto"/>
      </w:divBdr>
    </w:div>
    <w:div w:id="207227856">
      <w:bodyDiv w:val="1"/>
      <w:marLeft w:val="0"/>
      <w:marRight w:val="0"/>
      <w:marTop w:val="0"/>
      <w:marBottom w:val="0"/>
      <w:divBdr>
        <w:top w:val="none" w:sz="0" w:space="0" w:color="auto"/>
        <w:left w:val="none" w:sz="0" w:space="0" w:color="auto"/>
        <w:bottom w:val="none" w:sz="0" w:space="0" w:color="auto"/>
        <w:right w:val="none" w:sz="0" w:space="0" w:color="auto"/>
      </w:divBdr>
    </w:div>
    <w:div w:id="370812126">
      <w:bodyDiv w:val="1"/>
      <w:marLeft w:val="0"/>
      <w:marRight w:val="0"/>
      <w:marTop w:val="0"/>
      <w:marBottom w:val="0"/>
      <w:divBdr>
        <w:top w:val="none" w:sz="0" w:space="0" w:color="auto"/>
        <w:left w:val="none" w:sz="0" w:space="0" w:color="auto"/>
        <w:bottom w:val="none" w:sz="0" w:space="0" w:color="auto"/>
        <w:right w:val="none" w:sz="0" w:space="0" w:color="auto"/>
      </w:divBdr>
    </w:div>
    <w:div w:id="454178047">
      <w:bodyDiv w:val="1"/>
      <w:marLeft w:val="0"/>
      <w:marRight w:val="0"/>
      <w:marTop w:val="0"/>
      <w:marBottom w:val="0"/>
      <w:divBdr>
        <w:top w:val="none" w:sz="0" w:space="0" w:color="auto"/>
        <w:left w:val="none" w:sz="0" w:space="0" w:color="auto"/>
        <w:bottom w:val="none" w:sz="0" w:space="0" w:color="auto"/>
        <w:right w:val="none" w:sz="0" w:space="0" w:color="auto"/>
      </w:divBdr>
      <w:divsChild>
        <w:div w:id="495729205">
          <w:marLeft w:val="0"/>
          <w:marRight w:val="0"/>
          <w:marTop w:val="0"/>
          <w:marBottom w:val="0"/>
          <w:divBdr>
            <w:top w:val="single" w:sz="2" w:space="0" w:color="E3E3E3"/>
            <w:left w:val="single" w:sz="2" w:space="0" w:color="E3E3E3"/>
            <w:bottom w:val="single" w:sz="2" w:space="0" w:color="E3E3E3"/>
            <w:right w:val="single" w:sz="2" w:space="0" w:color="E3E3E3"/>
          </w:divBdr>
          <w:divsChild>
            <w:div w:id="2107532603">
              <w:marLeft w:val="0"/>
              <w:marRight w:val="0"/>
              <w:marTop w:val="0"/>
              <w:marBottom w:val="0"/>
              <w:divBdr>
                <w:top w:val="single" w:sz="2" w:space="0" w:color="E3E3E3"/>
                <w:left w:val="single" w:sz="2" w:space="0" w:color="E3E3E3"/>
                <w:bottom w:val="single" w:sz="2" w:space="0" w:color="E3E3E3"/>
                <w:right w:val="single" w:sz="2" w:space="0" w:color="E3E3E3"/>
              </w:divBdr>
              <w:divsChild>
                <w:div w:id="660155298">
                  <w:marLeft w:val="0"/>
                  <w:marRight w:val="0"/>
                  <w:marTop w:val="0"/>
                  <w:marBottom w:val="0"/>
                  <w:divBdr>
                    <w:top w:val="single" w:sz="2" w:space="0" w:color="E3E3E3"/>
                    <w:left w:val="single" w:sz="2" w:space="0" w:color="E3E3E3"/>
                    <w:bottom w:val="single" w:sz="2" w:space="0" w:color="E3E3E3"/>
                    <w:right w:val="single" w:sz="2" w:space="0" w:color="E3E3E3"/>
                  </w:divBdr>
                  <w:divsChild>
                    <w:div w:id="529418336">
                      <w:marLeft w:val="0"/>
                      <w:marRight w:val="0"/>
                      <w:marTop w:val="0"/>
                      <w:marBottom w:val="0"/>
                      <w:divBdr>
                        <w:top w:val="single" w:sz="2" w:space="0" w:color="E3E3E3"/>
                        <w:left w:val="single" w:sz="2" w:space="0" w:color="E3E3E3"/>
                        <w:bottom w:val="single" w:sz="2" w:space="0" w:color="E3E3E3"/>
                        <w:right w:val="single" w:sz="2" w:space="0" w:color="E3E3E3"/>
                      </w:divBdr>
                      <w:divsChild>
                        <w:div w:id="2091652639">
                          <w:marLeft w:val="0"/>
                          <w:marRight w:val="0"/>
                          <w:marTop w:val="0"/>
                          <w:marBottom w:val="0"/>
                          <w:divBdr>
                            <w:top w:val="single" w:sz="2" w:space="0" w:color="E3E3E3"/>
                            <w:left w:val="single" w:sz="2" w:space="0" w:color="E3E3E3"/>
                            <w:bottom w:val="single" w:sz="2" w:space="0" w:color="E3E3E3"/>
                            <w:right w:val="single" w:sz="2" w:space="0" w:color="E3E3E3"/>
                          </w:divBdr>
                          <w:divsChild>
                            <w:div w:id="874076640">
                              <w:marLeft w:val="0"/>
                              <w:marRight w:val="0"/>
                              <w:marTop w:val="0"/>
                              <w:marBottom w:val="0"/>
                              <w:divBdr>
                                <w:top w:val="single" w:sz="2" w:space="0" w:color="E3E3E3"/>
                                <w:left w:val="single" w:sz="2" w:space="0" w:color="E3E3E3"/>
                                <w:bottom w:val="single" w:sz="2" w:space="0" w:color="E3E3E3"/>
                                <w:right w:val="single" w:sz="2" w:space="0" w:color="E3E3E3"/>
                              </w:divBdr>
                              <w:divsChild>
                                <w:div w:id="1150824416">
                                  <w:marLeft w:val="0"/>
                                  <w:marRight w:val="0"/>
                                  <w:marTop w:val="100"/>
                                  <w:marBottom w:val="100"/>
                                  <w:divBdr>
                                    <w:top w:val="single" w:sz="2" w:space="0" w:color="E3E3E3"/>
                                    <w:left w:val="single" w:sz="2" w:space="0" w:color="E3E3E3"/>
                                    <w:bottom w:val="single" w:sz="2" w:space="0" w:color="E3E3E3"/>
                                    <w:right w:val="single" w:sz="2" w:space="0" w:color="E3E3E3"/>
                                  </w:divBdr>
                                  <w:divsChild>
                                    <w:div w:id="1673602799">
                                      <w:marLeft w:val="0"/>
                                      <w:marRight w:val="0"/>
                                      <w:marTop w:val="0"/>
                                      <w:marBottom w:val="0"/>
                                      <w:divBdr>
                                        <w:top w:val="single" w:sz="2" w:space="0" w:color="E3E3E3"/>
                                        <w:left w:val="single" w:sz="2" w:space="0" w:color="E3E3E3"/>
                                        <w:bottom w:val="single" w:sz="2" w:space="0" w:color="E3E3E3"/>
                                        <w:right w:val="single" w:sz="2" w:space="0" w:color="E3E3E3"/>
                                      </w:divBdr>
                                      <w:divsChild>
                                        <w:div w:id="57940329">
                                          <w:marLeft w:val="0"/>
                                          <w:marRight w:val="0"/>
                                          <w:marTop w:val="0"/>
                                          <w:marBottom w:val="0"/>
                                          <w:divBdr>
                                            <w:top w:val="single" w:sz="2" w:space="0" w:color="E3E3E3"/>
                                            <w:left w:val="single" w:sz="2" w:space="0" w:color="E3E3E3"/>
                                            <w:bottom w:val="single" w:sz="2" w:space="0" w:color="E3E3E3"/>
                                            <w:right w:val="single" w:sz="2" w:space="0" w:color="E3E3E3"/>
                                          </w:divBdr>
                                          <w:divsChild>
                                            <w:div w:id="1520312219">
                                              <w:marLeft w:val="0"/>
                                              <w:marRight w:val="0"/>
                                              <w:marTop w:val="0"/>
                                              <w:marBottom w:val="0"/>
                                              <w:divBdr>
                                                <w:top w:val="single" w:sz="2" w:space="0" w:color="E3E3E3"/>
                                                <w:left w:val="single" w:sz="2" w:space="0" w:color="E3E3E3"/>
                                                <w:bottom w:val="single" w:sz="2" w:space="0" w:color="E3E3E3"/>
                                                <w:right w:val="single" w:sz="2" w:space="0" w:color="E3E3E3"/>
                                              </w:divBdr>
                                              <w:divsChild>
                                                <w:div w:id="136995125">
                                                  <w:marLeft w:val="0"/>
                                                  <w:marRight w:val="0"/>
                                                  <w:marTop w:val="0"/>
                                                  <w:marBottom w:val="0"/>
                                                  <w:divBdr>
                                                    <w:top w:val="single" w:sz="2" w:space="0" w:color="E3E3E3"/>
                                                    <w:left w:val="single" w:sz="2" w:space="0" w:color="E3E3E3"/>
                                                    <w:bottom w:val="single" w:sz="2" w:space="0" w:color="E3E3E3"/>
                                                    <w:right w:val="single" w:sz="2" w:space="0" w:color="E3E3E3"/>
                                                  </w:divBdr>
                                                  <w:divsChild>
                                                    <w:div w:id="1405837799">
                                                      <w:marLeft w:val="0"/>
                                                      <w:marRight w:val="0"/>
                                                      <w:marTop w:val="0"/>
                                                      <w:marBottom w:val="0"/>
                                                      <w:divBdr>
                                                        <w:top w:val="single" w:sz="2" w:space="0" w:color="E3E3E3"/>
                                                        <w:left w:val="single" w:sz="2" w:space="0" w:color="E3E3E3"/>
                                                        <w:bottom w:val="single" w:sz="2" w:space="0" w:color="E3E3E3"/>
                                                        <w:right w:val="single" w:sz="2" w:space="0" w:color="E3E3E3"/>
                                                      </w:divBdr>
                                                      <w:divsChild>
                                                        <w:div w:id="9221864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15218658">
          <w:marLeft w:val="0"/>
          <w:marRight w:val="0"/>
          <w:marTop w:val="0"/>
          <w:marBottom w:val="0"/>
          <w:divBdr>
            <w:top w:val="none" w:sz="0" w:space="0" w:color="auto"/>
            <w:left w:val="none" w:sz="0" w:space="0" w:color="auto"/>
            <w:bottom w:val="none" w:sz="0" w:space="0" w:color="auto"/>
            <w:right w:val="none" w:sz="0" w:space="0" w:color="auto"/>
          </w:divBdr>
          <w:divsChild>
            <w:div w:id="1591502043">
              <w:marLeft w:val="0"/>
              <w:marRight w:val="0"/>
              <w:marTop w:val="100"/>
              <w:marBottom w:val="100"/>
              <w:divBdr>
                <w:top w:val="single" w:sz="2" w:space="0" w:color="E3E3E3"/>
                <w:left w:val="single" w:sz="2" w:space="0" w:color="E3E3E3"/>
                <w:bottom w:val="single" w:sz="2" w:space="0" w:color="E3E3E3"/>
                <w:right w:val="single" w:sz="2" w:space="0" w:color="E3E3E3"/>
              </w:divBdr>
              <w:divsChild>
                <w:div w:id="11220428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18351054">
      <w:bodyDiv w:val="1"/>
      <w:marLeft w:val="0"/>
      <w:marRight w:val="0"/>
      <w:marTop w:val="0"/>
      <w:marBottom w:val="0"/>
      <w:divBdr>
        <w:top w:val="none" w:sz="0" w:space="0" w:color="auto"/>
        <w:left w:val="none" w:sz="0" w:space="0" w:color="auto"/>
        <w:bottom w:val="none" w:sz="0" w:space="0" w:color="auto"/>
        <w:right w:val="none" w:sz="0" w:space="0" w:color="auto"/>
      </w:divBdr>
    </w:div>
    <w:div w:id="592518377">
      <w:bodyDiv w:val="1"/>
      <w:marLeft w:val="0"/>
      <w:marRight w:val="0"/>
      <w:marTop w:val="0"/>
      <w:marBottom w:val="0"/>
      <w:divBdr>
        <w:top w:val="none" w:sz="0" w:space="0" w:color="auto"/>
        <w:left w:val="none" w:sz="0" w:space="0" w:color="auto"/>
        <w:bottom w:val="none" w:sz="0" w:space="0" w:color="auto"/>
        <w:right w:val="none" w:sz="0" w:space="0" w:color="auto"/>
      </w:divBdr>
      <w:divsChild>
        <w:div w:id="597326573">
          <w:marLeft w:val="0"/>
          <w:marRight w:val="0"/>
          <w:marTop w:val="0"/>
          <w:marBottom w:val="0"/>
          <w:divBdr>
            <w:top w:val="single" w:sz="2" w:space="0" w:color="E3E3E3"/>
            <w:left w:val="single" w:sz="2" w:space="0" w:color="E3E3E3"/>
            <w:bottom w:val="single" w:sz="2" w:space="0" w:color="E3E3E3"/>
            <w:right w:val="single" w:sz="2" w:space="0" w:color="E3E3E3"/>
          </w:divBdr>
          <w:divsChild>
            <w:div w:id="1818455722">
              <w:marLeft w:val="0"/>
              <w:marRight w:val="0"/>
              <w:marTop w:val="100"/>
              <w:marBottom w:val="100"/>
              <w:divBdr>
                <w:top w:val="single" w:sz="2" w:space="0" w:color="E3E3E3"/>
                <w:left w:val="single" w:sz="2" w:space="0" w:color="E3E3E3"/>
                <w:bottom w:val="single" w:sz="2" w:space="0" w:color="E3E3E3"/>
                <w:right w:val="single" w:sz="2" w:space="0" w:color="E3E3E3"/>
              </w:divBdr>
              <w:divsChild>
                <w:div w:id="546842092">
                  <w:marLeft w:val="0"/>
                  <w:marRight w:val="0"/>
                  <w:marTop w:val="0"/>
                  <w:marBottom w:val="0"/>
                  <w:divBdr>
                    <w:top w:val="single" w:sz="2" w:space="0" w:color="E3E3E3"/>
                    <w:left w:val="single" w:sz="2" w:space="0" w:color="E3E3E3"/>
                    <w:bottom w:val="single" w:sz="2" w:space="0" w:color="E3E3E3"/>
                    <w:right w:val="single" w:sz="2" w:space="0" w:color="E3E3E3"/>
                  </w:divBdr>
                  <w:divsChild>
                    <w:div w:id="66346905">
                      <w:marLeft w:val="0"/>
                      <w:marRight w:val="0"/>
                      <w:marTop w:val="0"/>
                      <w:marBottom w:val="0"/>
                      <w:divBdr>
                        <w:top w:val="single" w:sz="2" w:space="0" w:color="E3E3E3"/>
                        <w:left w:val="single" w:sz="2" w:space="0" w:color="E3E3E3"/>
                        <w:bottom w:val="single" w:sz="2" w:space="0" w:color="E3E3E3"/>
                        <w:right w:val="single" w:sz="2" w:space="0" w:color="E3E3E3"/>
                      </w:divBdr>
                      <w:divsChild>
                        <w:div w:id="2011174737">
                          <w:marLeft w:val="0"/>
                          <w:marRight w:val="0"/>
                          <w:marTop w:val="0"/>
                          <w:marBottom w:val="0"/>
                          <w:divBdr>
                            <w:top w:val="single" w:sz="2" w:space="0" w:color="E3E3E3"/>
                            <w:left w:val="single" w:sz="2" w:space="0" w:color="E3E3E3"/>
                            <w:bottom w:val="single" w:sz="2" w:space="0" w:color="E3E3E3"/>
                            <w:right w:val="single" w:sz="2" w:space="0" w:color="E3E3E3"/>
                          </w:divBdr>
                          <w:divsChild>
                            <w:div w:id="1091196380">
                              <w:marLeft w:val="0"/>
                              <w:marRight w:val="0"/>
                              <w:marTop w:val="0"/>
                              <w:marBottom w:val="0"/>
                              <w:divBdr>
                                <w:top w:val="single" w:sz="2" w:space="0" w:color="E3E3E3"/>
                                <w:left w:val="single" w:sz="2" w:space="0" w:color="E3E3E3"/>
                                <w:bottom w:val="single" w:sz="2" w:space="0" w:color="E3E3E3"/>
                                <w:right w:val="single" w:sz="2" w:space="0" w:color="E3E3E3"/>
                              </w:divBdr>
                              <w:divsChild>
                                <w:div w:id="804738409">
                                  <w:marLeft w:val="0"/>
                                  <w:marRight w:val="0"/>
                                  <w:marTop w:val="0"/>
                                  <w:marBottom w:val="0"/>
                                  <w:divBdr>
                                    <w:top w:val="single" w:sz="2" w:space="0" w:color="E3E3E3"/>
                                    <w:left w:val="single" w:sz="2" w:space="0" w:color="E3E3E3"/>
                                    <w:bottom w:val="single" w:sz="2" w:space="0" w:color="E3E3E3"/>
                                    <w:right w:val="single" w:sz="2" w:space="0" w:color="E3E3E3"/>
                                  </w:divBdr>
                                  <w:divsChild>
                                    <w:div w:id="13436265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72493295">
      <w:bodyDiv w:val="1"/>
      <w:marLeft w:val="0"/>
      <w:marRight w:val="0"/>
      <w:marTop w:val="0"/>
      <w:marBottom w:val="0"/>
      <w:divBdr>
        <w:top w:val="none" w:sz="0" w:space="0" w:color="auto"/>
        <w:left w:val="none" w:sz="0" w:space="0" w:color="auto"/>
        <w:bottom w:val="none" w:sz="0" w:space="0" w:color="auto"/>
        <w:right w:val="none" w:sz="0" w:space="0" w:color="auto"/>
      </w:divBdr>
    </w:div>
    <w:div w:id="871654124">
      <w:bodyDiv w:val="1"/>
      <w:marLeft w:val="0"/>
      <w:marRight w:val="0"/>
      <w:marTop w:val="0"/>
      <w:marBottom w:val="0"/>
      <w:divBdr>
        <w:top w:val="none" w:sz="0" w:space="0" w:color="auto"/>
        <w:left w:val="none" w:sz="0" w:space="0" w:color="auto"/>
        <w:bottom w:val="none" w:sz="0" w:space="0" w:color="auto"/>
        <w:right w:val="none" w:sz="0" w:space="0" w:color="auto"/>
      </w:divBdr>
    </w:div>
    <w:div w:id="879976244">
      <w:bodyDiv w:val="1"/>
      <w:marLeft w:val="0"/>
      <w:marRight w:val="0"/>
      <w:marTop w:val="0"/>
      <w:marBottom w:val="0"/>
      <w:divBdr>
        <w:top w:val="none" w:sz="0" w:space="0" w:color="auto"/>
        <w:left w:val="none" w:sz="0" w:space="0" w:color="auto"/>
        <w:bottom w:val="none" w:sz="0" w:space="0" w:color="auto"/>
        <w:right w:val="none" w:sz="0" w:space="0" w:color="auto"/>
      </w:divBdr>
    </w:div>
    <w:div w:id="984821251">
      <w:bodyDiv w:val="1"/>
      <w:marLeft w:val="0"/>
      <w:marRight w:val="0"/>
      <w:marTop w:val="0"/>
      <w:marBottom w:val="0"/>
      <w:divBdr>
        <w:top w:val="none" w:sz="0" w:space="0" w:color="auto"/>
        <w:left w:val="none" w:sz="0" w:space="0" w:color="auto"/>
        <w:bottom w:val="none" w:sz="0" w:space="0" w:color="auto"/>
        <w:right w:val="none" w:sz="0" w:space="0" w:color="auto"/>
      </w:divBdr>
    </w:div>
    <w:div w:id="1022169215">
      <w:bodyDiv w:val="1"/>
      <w:marLeft w:val="0"/>
      <w:marRight w:val="0"/>
      <w:marTop w:val="0"/>
      <w:marBottom w:val="0"/>
      <w:divBdr>
        <w:top w:val="none" w:sz="0" w:space="0" w:color="auto"/>
        <w:left w:val="none" w:sz="0" w:space="0" w:color="auto"/>
        <w:bottom w:val="none" w:sz="0" w:space="0" w:color="auto"/>
        <w:right w:val="none" w:sz="0" w:space="0" w:color="auto"/>
      </w:divBdr>
    </w:div>
    <w:div w:id="1075011826">
      <w:bodyDiv w:val="1"/>
      <w:marLeft w:val="0"/>
      <w:marRight w:val="0"/>
      <w:marTop w:val="0"/>
      <w:marBottom w:val="0"/>
      <w:divBdr>
        <w:top w:val="none" w:sz="0" w:space="0" w:color="auto"/>
        <w:left w:val="none" w:sz="0" w:space="0" w:color="auto"/>
        <w:bottom w:val="none" w:sz="0" w:space="0" w:color="auto"/>
        <w:right w:val="none" w:sz="0" w:space="0" w:color="auto"/>
      </w:divBdr>
    </w:div>
    <w:div w:id="1244097667">
      <w:bodyDiv w:val="1"/>
      <w:marLeft w:val="0"/>
      <w:marRight w:val="0"/>
      <w:marTop w:val="0"/>
      <w:marBottom w:val="0"/>
      <w:divBdr>
        <w:top w:val="none" w:sz="0" w:space="0" w:color="auto"/>
        <w:left w:val="none" w:sz="0" w:space="0" w:color="auto"/>
        <w:bottom w:val="none" w:sz="0" w:space="0" w:color="auto"/>
        <w:right w:val="none" w:sz="0" w:space="0" w:color="auto"/>
      </w:divBdr>
    </w:div>
    <w:div w:id="1306934484">
      <w:bodyDiv w:val="1"/>
      <w:marLeft w:val="0"/>
      <w:marRight w:val="0"/>
      <w:marTop w:val="0"/>
      <w:marBottom w:val="0"/>
      <w:divBdr>
        <w:top w:val="none" w:sz="0" w:space="0" w:color="auto"/>
        <w:left w:val="none" w:sz="0" w:space="0" w:color="auto"/>
        <w:bottom w:val="none" w:sz="0" w:space="0" w:color="auto"/>
        <w:right w:val="none" w:sz="0" w:space="0" w:color="auto"/>
      </w:divBdr>
    </w:div>
    <w:div w:id="1340111570">
      <w:bodyDiv w:val="1"/>
      <w:marLeft w:val="0"/>
      <w:marRight w:val="0"/>
      <w:marTop w:val="0"/>
      <w:marBottom w:val="0"/>
      <w:divBdr>
        <w:top w:val="none" w:sz="0" w:space="0" w:color="auto"/>
        <w:left w:val="none" w:sz="0" w:space="0" w:color="auto"/>
        <w:bottom w:val="none" w:sz="0" w:space="0" w:color="auto"/>
        <w:right w:val="none" w:sz="0" w:space="0" w:color="auto"/>
      </w:divBdr>
    </w:div>
    <w:div w:id="1353142362">
      <w:bodyDiv w:val="1"/>
      <w:marLeft w:val="0"/>
      <w:marRight w:val="0"/>
      <w:marTop w:val="0"/>
      <w:marBottom w:val="0"/>
      <w:divBdr>
        <w:top w:val="none" w:sz="0" w:space="0" w:color="auto"/>
        <w:left w:val="none" w:sz="0" w:space="0" w:color="auto"/>
        <w:bottom w:val="none" w:sz="0" w:space="0" w:color="auto"/>
        <w:right w:val="none" w:sz="0" w:space="0" w:color="auto"/>
      </w:divBdr>
    </w:div>
    <w:div w:id="1534919888">
      <w:bodyDiv w:val="1"/>
      <w:marLeft w:val="0"/>
      <w:marRight w:val="0"/>
      <w:marTop w:val="0"/>
      <w:marBottom w:val="0"/>
      <w:divBdr>
        <w:top w:val="none" w:sz="0" w:space="0" w:color="auto"/>
        <w:left w:val="none" w:sz="0" w:space="0" w:color="auto"/>
        <w:bottom w:val="none" w:sz="0" w:space="0" w:color="auto"/>
        <w:right w:val="none" w:sz="0" w:space="0" w:color="auto"/>
      </w:divBdr>
    </w:div>
    <w:div w:id="1581018590">
      <w:bodyDiv w:val="1"/>
      <w:marLeft w:val="0"/>
      <w:marRight w:val="0"/>
      <w:marTop w:val="0"/>
      <w:marBottom w:val="0"/>
      <w:divBdr>
        <w:top w:val="none" w:sz="0" w:space="0" w:color="auto"/>
        <w:left w:val="none" w:sz="0" w:space="0" w:color="auto"/>
        <w:bottom w:val="none" w:sz="0" w:space="0" w:color="auto"/>
        <w:right w:val="none" w:sz="0" w:space="0" w:color="auto"/>
      </w:divBdr>
    </w:div>
    <w:div w:id="1626697244">
      <w:bodyDiv w:val="1"/>
      <w:marLeft w:val="0"/>
      <w:marRight w:val="0"/>
      <w:marTop w:val="0"/>
      <w:marBottom w:val="0"/>
      <w:divBdr>
        <w:top w:val="none" w:sz="0" w:space="0" w:color="auto"/>
        <w:left w:val="none" w:sz="0" w:space="0" w:color="auto"/>
        <w:bottom w:val="none" w:sz="0" w:space="0" w:color="auto"/>
        <w:right w:val="none" w:sz="0" w:space="0" w:color="auto"/>
      </w:divBdr>
    </w:div>
    <w:div w:id="1722095038">
      <w:bodyDiv w:val="1"/>
      <w:marLeft w:val="0"/>
      <w:marRight w:val="0"/>
      <w:marTop w:val="0"/>
      <w:marBottom w:val="0"/>
      <w:divBdr>
        <w:top w:val="none" w:sz="0" w:space="0" w:color="auto"/>
        <w:left w:val="none" w:sz="0" w:space="0" w:color="auto"/>
        <w:bottom w:val="none" w:sz="0" w:space="0" w:color="auto"/>
        <w:right w:val="none" w:sz="0" w:space="0" w:color="auto"/>
      </w:divBdr>
    </w:div>
    <w:div w:id="1726875551">
      <w:bodyDiv w:val="1"/>
      <w:marLeft w:val="0"/>
      <w:marRight w:val="0"/>
      <w:marTop w:val="0"/>
      <w:marBottom w:val="0"/>
      <w:divBdr>
        <w:top w:val="none" w:sz="0" w:space="0" w:color="auto"/>
        <w:left w:val="none" w:sz="0" w:space="0" w:color="auto"/>
        <w:bottom w:val="none" w:sz="0" w:space="0" w:color="auto"/>
        <w:right w:val="none" w:sz="0" w:space="0" w:color="auto"/>
      </w:divBdr>
    </w:div>
    <w:div w:id="1772509936">
      <w:bodyDiv w:val="1"/>
      <w:marLeft w:val="0"/>
      <w:marRight w:val="0"/>
      <w:marTop w:val="0"/>
      <w:marBottom w:val="0"/>
      <w:divBdr>
        <w:top w:val="none" w:sz="0" w:space="0" w:color="auto"/>
        <w:left w:val="none" w:sz="0" w:space="0" w:color="auto"/>
        <w:bottom w:val="none" w:sz="0" w:space="0" w:color="auto"/>
        <w:right w:val="none" w:sz="0" w:space="0" w:color="auto"/>
      </w:divBdr>
    </w:div>
    <w:div w:id="1828134779">
      <w:bodyDiv w:val="1"/>
      <w:marLeft w:val="0"/>
      <w:marRight w:val="0"/>
      <w:marTop w:val="0"/>
      <w:marBottom w:val="0"/>
      <w:divBdr>
        <w:top w:val="none" w:sz="0" w:space="0" w:color="auto"/>
        <w:left w:val="none" w:sz="0" w:space="0" w:color="auto"/>
        <w:bottom w:val="none" w:sz="0" w:space="0" w:color="auto"/>
        <w:right w:val="none" w:sz="0" w:space="0" w:color="auto"/>
      </w:divBdr>
    </w:div>
    <w:div w:id="1878352861">
      <w:bodyDiv w:val="1"/>
      <w:marLeft w:val="0"/>
      <w:marRight w:val="0"/>
      <w:marTop w:val="0"/>
      <w:marBottom w:val="0"/>
      <w:divBdr>
        <w:top w:val="none" w:sz="0" w:space="0" w:color="auto"/>
        <w:left w:val="none" w:sz="0" w:space="0" w:color="auto"/>
        <w:bottom w:val="none" w:sz="0" w:space="0" w:color="auto"/>
        <w:right w:val="none" w:sz="0" w:space="0" w:color="auto"/>
      </w:divBdr>
    </w:div>
    <w:div w:id="1917133014">
      <w:bodyDiv w:val="1"/>
      <w:marLeft w:val="0"/>
      <w:marRight w:val="0"/>
      <w:marTop w:val="0"/>
      <w:marBottom w:val="0"/>
      <w:divBdr>
        <w:top w:val="none" w:sz="0" w:space="0" w:color="auto"/>
        <w:left w:val="none" w:sz="0" w:space="0" w:color="auto"/>
        <w:bottom w:val="none" w:sz="0" w:space="0" w:color="auto"/>
        <w:right w:val="none" w:sz="0" w:space="0" w:color="auto"/>
      </w:divBdr>
    </w:div>
    <w:div w:id="2056999878">
      <w:bodyDiv w:val="1"/>
      <w:marLeft w:val="0"/>
      <w:marRight w:val="0"/>
      <w:marTop w:val="0"/>
      <w:marBottom w:val="0"/>
      <w:divBdr>
        <w:top w:val="none" w:sz="0" w:space="0" w:color="auto"/>
        <w:left w:val="none" w:sz="0" w:space="0" w:color="auto"/>
        <w:bottom w:val="none" w:sz="0" w:space="0" w:color="auto"/>
        <w:right w:val="none" w:sz="0" w:space="0" w:color="auto"/>
      </w:divBdr>
    </w:div>
    <w:div w:id="2076852950">
      <w:bodyDiv w:val="1"/>
      <w:marLeft w:val="0"/>
      <w:marRight w:val="0"/>
      <w:marTop w:val="0"/>
      <w:marBottom w:val="0"/>
      <w:divBdr>
        <w:top w:val="none" w:sz="0" w:space="0" w:color="auto"/>
        <w:left w:val="none" w:sz="0" w:space="0" w:color="auto"/>
        <w:bottom w:val="none" w:sz="0" w:space="0" w:color="auto"/>
        <w:right w:val="none" w:sz="0" w:space="0" w:color="auto"/>
      </w:divBdr>
    </w:div>
    <w:div w:id="2116552064">
      <w:bodyDiv w:val="1"/>
      <w:marLeft w:val="0"/>
      <w:marRight w:val="0"/>
      <w:marTop w:val="0"/>
      <w:marBottom w:val="0"/>
      <w:divBdr>
        <w:top w:val="none" w:sz="0" w:space="0" w:color="auto"/>
        <w:left w:val="none" w:sz="0" w:space="0" w:color="auto"/>
        <w:bottom w:val="none" w:sz="0" w:space="0" w:color="auto"/>
        <w:right w:val="none" w:sz="0" w:space="0" w:color="auto"/>
      </w:divBdr>
    </w:div>
    <w:div w:id="211979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lhc-international.com/en/the-impact-inflation-on-the-hospitality-industry/" TargetMode="External"/><Relationship Id="rId4" Type="http://schemas.openxmlformats.org/officeDocument/2006/relationships/settings" Target="settings.xml"/><Relationship Id="rId9" Type="http://schemas.openxmlformats.org/officeDocument/2006/relationships/hyperlink" Target="https://www.imf.org/en/Blogs/Articles/2023/10/10/higher-for-longer-interest-rate-environment-is-squeezing-more-borrow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5BF7BF-3C7F-442E-8723-F922DC766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12</Pages>
  <Words>2682</Words>
  <Characters>15292</Characters>
  <Application>Microsoft Office Word</Application>
  <DocSecurity>8</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Muhtasin Sadat Alvee</dc:creator>
  <cp:keywords/>
  <dc:description/>
  <cp:lastModifiedBy>NINA RICCI</cp:lastModifiedBy>
  <cp:revision>26</cp:revision>
  <dcterms:created xsi:type="dcterms:W3CDTF">2024-05-12T23:53:00Z</dcterms:created>
  <dcterms:modified xsi:type="dcterms:W3CDTF">2024-06-05T15:20:00Z</dcterms:modified>
</cp:coreProperties>
</file>