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AA14A9" w14:textId="77777777" w:rsidR="00884B60" w:rsidRDefault="00000000">
      <w:pPr>
        <w:jc w:val="center"/>
      </w:pPr>
      <w:r>
        <w:rPr>
          <w:noProof/>
        </w:rPr>
        <w:drawing>
          <wp:anchor distT="0" distB="0" distL="114300" distR="114300" simplePos="0" relativeHeight="251658240" behindDoc="1" locked="0" layoutInCell="1" allowOverlap="1" wp14:anchorId="635E8A8C" wp14:editId="68B25EA8">
            <wp:simplePos x="0" y="0"/>
            <wp:positionH relativeFrom="margin">
              <wp:posOffset>-883920</wp:posOffset>
            </wp:positionH>
            <wp:positionV relativeFrom="paragraph">
              <wp:posOffset>-1432560</wp:posOffset>
            </wp:positionV>
            <wp:extent cx="7794313" cy="10561320"/>
            <wp:effectExtent l="0" t="0" r="0" b="0"/>
            <wp:wrapNone/>
            <wp:docPr id="1730279382" name="Picture 2" descr="Service Improvement - Modern Line Style Illustration Wit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rvice Improvement - Modern Line Style Illustration With ..."/>
                    <pic:cNvPicPr>
                      <a:picLocks noChangeAspect="1" noChangeArrowheads="1"/>
                    </pic:cNvPicPr>
                  </pic:nvPicPr>
                  <pic:blipFill>
                    <a:blip r:embed="rId8">
                      <a:alphaModFix amt="20000"/>
                      <a:extLst>
                        <a:ext uri="{28A0092B-C50C-407E-A947-70E740481C1C}">
                          <a14:useLocalDpi xmlns:a14="http://schemas.microsoft.com/office/drawing/2010/main" val="0"/>
                        </a:ext>
                      </a:extLst>
                    </a:blip>
                    <a:srcRect/>
                    <a:stretch>
                      <a:fillRect/>
                    </a:stretch>
                  </pic:blipFill>
                  <pic:spPr bwMode="auto">
                    <a:xfrm>
                      <a:off x="0" y="0"/>
                      <a:ext cx="7813364" cy="10587134"/>
                    </a:xfrm>
                    <a:prstGeom prst="rect">
                      <a:avLst/>
                    </a:prstGeom>
                    <a:noFill/>
                    <a:ln>
                      <a:noFill/>
                    </a:ln>
                  </pic:spPr>
                </pic:pic>
              </a:graphicData>
            </a:graphic>
            <wp14:sizeRelH relativeFrom="page">
              <wp14:pctWidth>0</wp14:pctWidth>
            </wp14:sizeRelH>
            <wp14:sizeRelV relativeFrom="page">
              <wp14:pctHeight>0</wp14:pctHeight>
            </wp14:sizeRelV>
          </wp:anchor>
        </w:drawing>
      </w:r>
      <w:r>
        <w:rPr>
          <w:b/>
          <w:sz w:val="36"/>
        </w:rPr>
        <w:t>Service Improvement Report</w:t>
      </w:r>
    </w:p>
    <w:p w14:paraId="38E751B1" w14:textId="77777777" w:rsidR="00884B60" w:rsidRDefault="00000000">
      <w:pPr>
        <w:jc w:val="center"/>
        <w:rPr>
          <w:b/>
          <w:sz w:val="30"/>
        </w:rPr>
      </w:pPr>
      <w:r>
        <w:rPr>
          <w:b/>
          <w:sz w:val="30"/>
        </w:rPr>
        <w:t>Quality Assurance Failure in Maternity Care: Shrewsbury and Telford Hospital NHS Trust</w:t>
      </w:r>
    </w:p>
    <w:p w14:paraId="1D35C9EC" w14:textId="77777777" w:rsidR="00884B60" w:rsidRDefault="00884B60">
      <w:pPr>
        <w:jc w:val="center"/>
        <w:rPr>
          <w:b/>
          <w:sz w:val="30"/>
        </w:rPr>
      </w:pPr>
    </w:p>
    <w:p w14:paraId="33901550" w14:textId="77777777" w:rsidR="00884B60" w:rsidRDefault="00884B60">
      <w:pPr>
        <w:jc w:val="center"/>
        <w:rPr>
          <w:b/>
          <w:sz w:val="30"/>
        </w:rPr>
      </w:pPr>
    </w:p>
    <w:p w14:paraId="398E68D7" w14:textId="77777777" w:rsidR="00884B60" w:rsidRDefault="00884B60">
      <w:pPr>
        <w:jc w:val="center"/>
        <w:rPr>
          <w:b/>
          <w:sz w:val="30"/>
        </w:rPr>
      </w:pPr>
    </w:p>
    <w:p w14:paraId="2758E496" w14:textId="77777777" w:rsidR="00884B60" w:rsidRDefault="00884B60">
      <w:pPr>
        <w:jc w:val="center"/>
      </w:pPr>
    </w:p>
    <w:p w14:paraId="18461839" w14:textId="77777777" w:rsidR="00884B60" w:rsidRDefault="00884B60"/>
    <w:tbl>
      <w:tblPr>
        <w:tblStyle w:val="TableGrid"/>
        <w:tblW w:w="0" w:type="auto"/>
        <w:jc w:val="center"/>
        <w:tblLook w:val="04A0" w:firstRow="1" w:lastRow="0" w:firstColumn="1" w:lastColumn="0" w:noHBand="0" w:noVBand="1"/>
      </w:tblPr>
      <w:tblGrid>
        <w:gridCol w:w="2965"/>
        <w:gridCol w:w="6385"/>
      </w:tblGrid>
      <w:tr w:rsidR="00884B60" w14:paraId="140611AB" w14:textId="77777777">
        <w:trPr>
          <w:jc w:val="center"/>
        </w:trPr>
        <w:tc>
          <w:tcPr>
            <w:tcW w:w="2965" w:type="dxa"/>
            <w:shd w:val="clear" w:color="auto" w:fill="D9EAF7"/>
          </w:tcPr>
          <w:p w14:paraId="541C125B" w14:textId="77777777" w:rsidR="00884B60" w:rsidRDefault="00000000">
            <w:pPr>
              <w:spacing w:after="20" w:line="240" w:lineRule="auto"/>
              <w:rPr>
                <w:bCs/>
                <w:color w:val="000000" w:themeColor="text1"/>
                <w:sz w:val="40"/>
                <w:szCs w:val="48"/>
              </w:rPr>
            </w:pPr>
            <w:proofErr w:type="spellStart"/>
            <w:r>
              <w:rPr>
                <w:bCs/>
                <w:color w:val="000000" w:themeColor="text1"/>
                <w:sz w:val="40"/>
                <w:szCs w:val="48"/>
              </w:rPr>
              <w:t>Programme</w:t>
            </w:r>
            <w:proofErr w:type="spellEnd"/>
          </w:p>
        </w:tc>
        <w:tc>
          <w:tcPr>
            <w:tcW w:w="6385" w:type="dxa"/>
          </w:tcPr>
          <w:p w14:paraId="53F90A1E" w14:textId="77777777" w:rsidR="00884B60" w:rsidRDefault="00000000">
            <w:pPr>
              <w:spacing w:after="20" w:line="240" w:lineRule="auto"/>
              <w:rPr>
                <w:bCs/>
                <w:color w:val="000000" w:themeColor="text1"/>
                <w:sz w:val="40"/>
                <w:szCs w:val="48"/>
              </w:rPr>
            </w:pPr>
            <w:r>
              <w:rPr>
                <w:bCs/>
                <w:color w:val="000000" w:themeColor="text1"/>
                <w:sz w:val="40"/>
                <w:szCs w:val="48"/>
              </w:rPr>
              <w:t>MSc Public Health and Social Care in Practice</w:t>
            </w:r>
          </w:p>
        </w:tc>
      </w:tr>
      <w:tr w:rsidR="00884B60" w14:paraId="5D2DA756" w14:textId="77777777">
        <w:trPr>
          <w:jc w:val="center"/>
        </w:trPr>
        <w:tc>
          <w:tcPr>
            <w:tcW w:w="2965" w:type="dxa"/>
            <w:shd w:val="clear" w:color="auto" w:fill="D9EAF7"/>
          </w:tcPr>
          <w:p w14:paraId="47E08EC2" w14:textId="77777777" w:rsidR="00884B60" w:rsidRDefault="00000000">
            <w:pPr>
              <w:spacing w:after="20" w:line="240" w:lineRule="auto"/>
              <w:rPr>
                <w:bCs/>
                <w:color w:val="000000" w:themeColor="text1"/>
                <w:sz w:val="40"/>
                <w:szCs w:val="48"/>
              </w:rPr>
            </w:pPr>
            <w:r>
              <w:rPr>
                <w:bCs/>
                <w:color w:val="000000" w:themeColor="text1"/>
                <w:sz w:val="40"/>
                <w:szCs w:val="48"/>
              </w:rPr>
              <w:t>Module</w:t>
            </w:r>
          </w:p>
        </w:tc>
        <w:tc>
          <w:tcPr>
            <w:tcW w:w="6385" w:type="dxa"/>
          </w:tcPr>
          <w:p w14:paraId="0CD186D1" w14:textId="77777777" w:rsidR="00884B60" w:rsidRDefault="00000000">
            <w:pPr>
              <w:spacing w:after="20" w:line="240" w:lineRule="auto"/>
              <w:rPr>
                <w:bCs/>
                <w:color w:val="000000" w:themeColor="text1"/>
                <w:sz w:val="40"/>
                <w:szCs w:val="48"/>
              </w:rPr>
            </w:pPr>
            <w:r>
              <w:rPr>
                <w:bCs/>
                <w:color w:val="000000" w:themeColor="text1"/>
                <w:sz w:val="40"/>
                <w:szCs w:val="48"/>
              </w:rPr>
              <w:t>LCHS7006 Quality Assurance and Service Improvements</w:t>
            </w:r>
          </w:p>
        </w:tc>
      </w:tr>
      <w:tr w:rsidR="00884B60" w14:paraId="7B20C3F7" w14:textId="77777777">
        <w:trPr>
          <w:jc w:val="center"/>
        </w:trPr>
        <w:tc>
          <w:tcPr>
            <w:tcW w:w="2965" w:type="dxa"/>
            <w:shd w:val="clear" w:color="auto" w:fill="D9EAF7"/>
          </w:tcPr>
          <w:p w14:paraId="3B797CE9" w14:textId="77777777" w:rsidR="00884B60" w:rsidRDefault="00000000">
            <w:pPr>
              <w:spacing w:after="20" w:line="240" w:lineRule="auto"/>
              <w:rPr>
                <w:bCs/>
                <w:color w:val="000000" w:themeColor="text1"/>
                <w:sz w:val="40"/>
                <w:szCs w:val="48"/>
              </w:rPr>
            </w:pPr>
            <w:r>
              <w:rPr>
                <w:bCs/>
                <w:color w:val="000000" w:themeColor="text1"/>
                <w:sz w:val="40"/>
                <w:szCs w:val="48"/>
              </w:rPr>
              <w:t>Assignment</w:t>
            </w:r>
          </w:p>
        </w:tc>
        <w:tc>
          <w:tcPr>
            <w:tcW w:w="6385" w:type="dxa"/>
          </w:tcPr>
          <w:p w14:paraId="3EB9DB59" w14:textId="77777777" w:rsidR="00884B60" w:rsidRDefault="00000000">
            <w:pPr>
              <w:spacing w:after="20" w:line="240" w:lineRule="auto"/>
              <w:rPr>
                <w:bCs/>
                <w:color w:val="000000" w:themeColor="text1"/>
                <w:sz w:val="40"/>
                <w:szCs w:val="48"/>
              </w:rPr>
            </w:pPr>
            <w:r>
              <w:rPr>
                <w:bCs/>
                <w:color w:val="000000" w:themeColor="text1"/>
                <w:sz w:val="40"/>
                <w:szCs w:val="48"/>
              </w:rPr>
              <w:t>Component 2 Service Improvement Report</w:t>
            </w:r>
          </w:p>
        </w:tc>
      </w:tr>
      <w:tr w:rsidR="00884B60" w14:paraId="4789242E" w14:textId="77777777">
        <w:trPr>
          <w:jc w:val="center"/>
        </w:trPr>
        <w:tc>
          <w:tcPr>
            <w:tcW w:w="2965" w:type="dxa"/>
            <w:shd w:val="clear" w:color="auto" w:fill="D9EAF7"/>
          </w:tcPr>
          <w:p w14:paraId="330AC461" w14:textId="77777777" w:rsidR="00884B60" w:rsidRDefault="00000000">
            <w:pPr>
              <w:spacing w:after="20" w:line="240" w:lineRule="auto"/>
              <w:rPr>
                <w:bCs/>
                <w:color w:val="000000" w:themeColor="text1"/>
                <w:sz w:val="40"/>
                <w:szCs w:val="48"/>
              </w:rPr>
            </w:pPr>
            <w:r>
              <w:rPr>
                <w:bCs/>
                <w:color w:val="000000" w:themeColor="text1"/>
                <w:sz w:val="40"/>
                <w:szCs w:val="48"/>
              </w:rPr>
              <w:t>Student name</w:t>
            </w:r>
          </w:p>
        </w:tc>
        <w:tc>
          <w:tcPr>
            <w:tcW w:w="6385" w:type="dxa"/>
          </w:tcPr>
          <w:p w14:paraId="3F1C9B93" w14:textId="77777777" w:rsidR="00884B60" w:rsidRDefault="00000000">
            <w:pPr>
              <w:spacing w:after="20" w:line="240" w:lineRule="auto"/>
              <w:rPr>
                <w:bCs/>
                <w:color w:val="000000" w:themeColor="text1"/>
                <w:sz w:val="40"/>
                <w:szCs w:val="48"/>
              </w:rPr>
            </w:pPr>
            <w:r>
              <w:rPr>
                <w:bCs/>
                <w:color w:val="000000" w:themeColor="text1"/>
                <w:sz w:val="40"/>
                <w:szCs w:val="48"/>
              </w:rPr>
              <w:t>Syed Md Raihanul Hoque</w:t>
            </w:r>
          </w:p>
        </w:tc>
      </w:tr>
      <w:tr w:rsidR="00884B60" w14:paraId="01A72C2B" w14:textId="77777777">
        <w:trPr>
          <w:jc w:val="center"/>
        </w:trPr>
        <w:tc>
          <w:tcPr>
            <w:tcW w:w="2965" w:type="dxa"/>
            <w:shd w:val="clear" w:color="auto" w:fill="D9EAF7"/>
          </w:tcPr>
          <w:p w14:paraId="733DC104" w14:textId="77777777" w:rsidR="00884B60" w:rsidRDefault="00000000">
            <w:pPr>
              <w:spacing w:after="20" w:line="240" w:lineRule="auto"/>
              <w:rPr>
                <w:bCs/>
                <w:color w:val="000000" w:themeColor="text1"/>
                <w:sz w:val="40"/>
                <w:szCs w:val="48"/>
              </w:rPr>
            </w:pPr>
            <w:r>
              <w:rPr>
                <w:bCs/>
                <w:color w:val="000000" w:themeColor="text1"/>
                <w:sz w:val="40"/>
                <w:szCs w:val="48"/>
              </w:rPr>
              <w:t>Student ID</w:t>
            </w:r>
          </w:p>
        </w:tc>
        <w:tc>
          <w:tcPr>
            <w:tcW w:w="6385" w:type="dxa"/>
          </w:tcPr>
          <w:p w14:paraId="23229B29" w14:textId="77777777" w:rsidR="00884B60" w:rsidRDefault="00000000">
            <w:pPr>
              <w:spacing w:after="20" w:line="240" w:lineRule="auto"/>
              <w:rPr>
                <w:bCs/>
                <w:color w:val="000000" w:themeColor="text1"/>
                <w:sz w:val="40"/>
                <w:szCs w:val="48"/>
              </w:rPr>
            </w:pPr>
            <w:r>
              <w:rPr>
                <w:bCs/>
                <w:color w:val="000000" w:themeColor="text1"/>
                <w:sz w:val="40"/>
                <w:szCs w:val="48"/>
              </w:rPr>
              <w:t>2521856</w:t>
            </w:r>
          </w:p>
        </w:tc>
      </w:tr>
      <w:tr w:rsidR="00884B60" w14:paraId="2F9450EE" w14:textId="77777777">
        <w:trPr>
          <w:jc w:val="center"/>
        </w:trPr>
        <w:tc>
          <w:tcPr>
            <w:tcW w:w="2965" w:type="dxa"/>
            <w:shd w:val="clear" w:color="auto" w:fill="D9EAF7"/>
          </w:tcPr>
          <w:p w14:paraId="055630E9" w14:textId="77777777" w:rsidR="00884B60" w:rsidRDefault="00000000">
            <w:pPr>
              <w:spacing w:after="20" w:line="240" w:lineRule="auto"/>
              <w:rPr>
                <w:bCs/>
                <w:color w:val="000000" w:themeColor="text1"/>
                <w:sz w:val="40"/>
                <w:szCs w:val="48"/>
              </w:rPr>
            </w:pPr>
            <w:r>
              <w:rPr>
                <w:bCs/>
                <w:color w:val="000000" w:themeColor="text1"/>
                <w:sz w:val="40"/>
                <w:szCs w:val="48"/>
              </w:rPr>
              <w:t>Lecturer</w:t>
            </w:r>
          </w:p>
        </w:tc>
        <w:tc>
          <w:tcPr>
            <w:tcW w:w="6385" w:type="dxa"/>
          </w:tcPr>
          <w:p w14:paraId="569F1277" w14:textId="77777777" w:rsidR="00884B60" w:rsidRDefault="00000000">
            <w:pPr>
              <w:spacing w:after="20" w:line="240" w:lineRule="auto"/>
              <w:rPr>
                <w:bCs/>
                <w:color w:val="000000" w:themeColor="text1"/>
                <w:sz w:val="40"/>
                <w:szCs w:val="48"/>
              </w:rPr>
            </w:pPr>
            <w:r>
              <w:rPr>
                <w:bCs/>
                <w:color w:val="000000" w:themeColor="text1"/>
                <w:sz w:val="40"/>
                <w:szCs w:val="48"/>
              </w:rPr>
              <w:t>Dr Fahad Khan</w:t>
            </w:r>
          </w:p>
        </w:tc>
      </w:tr>
      <w:tr w:rsidR="00884B60" w14:paraId="07316D9D" w14:textId="77777777">
        <w:trPr>
          <w:jc w:val="center"/>
        </w:trPr>
        <w:tc>
          <w:tcPr>
            <w:tcW w:w="2965" w:type="dxa"/>
            <w:shd w:val="clear" w:color="auto" w:fill="D9EAF7"/>
          </w:tcPr>
          <w:p w14:paraId="67F1920D" w14:textId="77777777" w:rsidR="00884B60" w:rsidRDefault="00000000">
            <w:pPr>
              <w:spacing w:after="20" w:line="240" w:lineRule="auto"/>
              <w:rPr>
                <w:bCs/>
                <w:color w:val="000000" w:themeColor="text1"/>
                <w:sz w:val="40"/>
                <w:szCs w:val="48"/>
              </w:rPr>
            </w:pPr>
            <w:r>
              <w:rPr>
                <w:bCs/>
                <w:color w:val="000000" w:themeColor="text1"/>
                <w:sz w:val="40"/>
                <w:szCs w:val="48"/>
              </w:rPr>
              <w:t>Approximate word count</w:t>
            </w:r>
          </w:p>
        </w:tc>
        <w:tc>
          <w:tcPr>
            <w:tcW w:w="6385" w:type="dxa"/>
          </w:tcPr>
          <w:p w14:paraId="397CE386" w14:textId="0226FA92" w:rsidR="00884B60" w:rsidRDefault="008D0753">
            <w:r w:rsidRPr="008D0753">
              <w:rPr>
                <w:sz w:val="40"/>
                <w:szCs w:val="40"/>
              </w:rPr>
              <w:t>3194</w:t>
            </w:r>
          </w:p>
        </w:tc>
      </w:tr>
      <w:tr w:rsidR="003C509E" w14:paraId="0F65554F" w14:textId="77777777">
        <w:trPr>
          <w:jc w:val="center"/>
        </w:trPr>
        <w:tc>
          <w:tcPr>
            <w:tcW w:w="2965" w:type="dxa"/>
            <w:shd w:val="clear" w:color="auto" w:fill="D9EAF7"/>
          </w:tcPr>
          <w:p w14:paraId="4509C17D" w14:textId="5EE42FF7" w:rsidR="003C509E" w:rsidRDefault="003C509E">
            <w:pPr>
              <w:spacing w:after="20" w:line="240" w:lineRule="auto"/>
              <w:rPr>
                <w:bCs/>
                <w:color w:val="000000" w:themeColor="text1"/>
                <w:sz w:val="40"/>
                <w:szCs w:val="48"/>
              </w:rPr>
            </w:pPr>
            <w:r>
              <w:rPr>
                <w:bCs/>
                <w:color w:val="000000" w:themeColor="text1"/>
                <w:sz w:val="40"/>
                <w:szCs w:val="48"/>
              </w:rPr>
              <w:t>Submission Date</w:t>
            </w:r>
          </w:p>
        </w:tc>
        <w:tc>
          <w:tcPr>
            <w:tcW w:w="6385" w:type="dxa"/>
          </w:tcPr>
          <w:p w14:paraId="2250C369" w14:textId="6841B755" w:rsidR="003C509E" w:rsidRPr="008D0753" w:rsidRDefault="00B445D5">
            <w:pPr>
              <w:rPr>
                <w:sz w:val="40"/>
                <w:szCs w:val="40"/>
              </w:rPr>
            </w:pPr>
            <w:r>
              <w:rPr>
                <w:sz w:val="40"/>
                <w:szCs w:val="40"/>
              </w:rPr>
              <w:t>23</w:t>
            </w:r>
            <w:r w:rsidR="00167BFF" w:rsidRPr="00167BFF">
              <w:rPr>
                <w:sz w:val="40"/>
                <w:szCs w:val="40"/>
                <w:vertAlign w:val="superscript"/>
              </w:rPr>
              <w:t>rd</w:t>
            </w:r>
            <w:r w:rsidRPr="00167BFF">
              <w:rPr>
                <w:sz w:val="40"/>
                <w:szCs w:val="40"/>
                <w:vertAlign w:val="superscript"/>
              </w:rPr>
              <w:t xml:space="preserve"> </w:t>
            </w:r>
            <w:r>
              <w:rPr>
                <w:sz w:val="40"/>
                <w:szCs w:val="40"/>
              </w:rPr>
              <w:t>July, 2026</w:t>
            </w:r>
          </w:p>
        </w:tc>
      </w:tr>
    </w:tbl>
    <w:p w14:paraId="0E46E306" w14:textId="77777777" w:rsidR="00884B60" w:rsidRDefault="00000000">
      <w:r>
        <w:br w:type="page"/>
      </w:r>
    </w:p>
    <w:sdt>
      <w:sdtPr>
        <w:rPr>
          <w:rFonts w:ascii="Arial" w:eastAsia="Arial" w:hAnsi="Arial" w:cstheme="minorBidi"/>
          <w:b w:val="0"/>
          <w:bCs w:val="0"/>
          <w:color w:val="auto"/>
          <w:sz w:val="22"/>
          <w:szCs w:val="22"/>
        </w:rPr>
        <w:id w:val="-1948460700"/>
        <w:docPartObj>
          <w:docPartGallery w:val="Table of Contents"/>
          <w:docPartUnique/>
        </w:docPartObj>
      </w:sdtPr>
      <w:sdtEndPr>
        <w:rPr>
          <w:noProof/>
        </w:rPr>
      </w:sdtEndPr>
      <w:sdtContent>
        <w:p w14:paraId="50801F7E" w14:textId="77777777" w:rsidR="00884B60" w:rsidRDefault="00000000">
          <w:pPr>
            <w:pStyle w:val="TOCHeading"/>
            <w:rPr>
              <w:rFonts w:ascii="Arial" w:hAnsi="Arial" w:cs="Arial"/>
              <w:sz w:val="22"/>
              <w:szCs w:val="22"/>
            </w:rPr>
          </w:pPr>
          <w:r>
            <w:rPr>
              <w:rFonts w:ascii="Arial" w:hAnsi="Arial" w:cs="Arial"/>
              <w:sz w:val="22"/>
              <w:szCs w:val="22"/>
            </w:rPr>
            <w:t>Table of Contents</w:t>
          </w:r>
        </w:p>
        <w:p w14:paraId="2D104943" w14:textId="42F3D588" w:rsidR="008D0753" w:rsidRDefault="00000000">
          <w:pPr>
            <w:pStyle w:val="TOC1"/>
            <w:tabs>
              <w:tab w:val="right" w:leader="dot" w:pos="9350"/>
            </w:tabs>
            <w:rPr>
              <w:rFonts w:asciiTheme="minorHAnsi" w:eastAsiaTheme="minorEastAsia" w:hAnsiTheme="minorHAnsi"/>
              <w:noProof/>
              <w:kern w:val="2"/>
              <w:sz w:val="24"/>
              <w:szCs w:val="24"/>
              <w14:ligatures w14:val="standardContextual"/>
            </w:rPr>
          </w:pPr>
          <w:r>
            <w:rPr>
              <w:rFonts w:cs="Arial"/>
            </w:rPr>
            <w:fldChar w:fldCharType="begin"/>
          </w:r>
          <w:r>
            <w:rPr>
              <w:rFonts w:cs="Arial"/>
            </w:rPr>
            <w:instrText xml:space="preserve"> TOC \o "1-3" \h \z \u </w:instrText>
          </w:r>
          <w:r>
            <w:rPr>
              <w:rFonts w:cs="Arial"/>
            </w:rPr>
            <w:fldChar w:fldCharType="separate"/>
          </w:r>
          <w:hyperlink w:anchor="_Toc235710330" w:history="1">
            <w:r w:rsidR="008D0753" w:rsidRPr="00545F62">
              <w:rPr>
                <w:rStyle w:val="Hyperlink"/>
                <w:rFonts w:cs="Arial"/>
                <w:noProof/>
              </w:rPr>
              <w:t>1. Introduction</w:t>
            </w:r>
            <w:r w:rsidR="008D0753">
              <w:rPr>
                <w:noProof/>
                <w:webHidden/>
              </w:rPr>
              <w:tab/>
            </w:r>
            <w:r w:rsidR="008D0753">
              <w:rPr>
                <w:noProof/>
                <w:webHidden/>
              </w:rPr>
              <w:fldChar w:fldCharType="begin"/>
            </w:r>
            <w:r w:rsidR="008D0753">
              <w:rPr>
                <w:noProof/>
                <w:webHidden/>
              </w:rPr>
              <w:instrText xml:space="preserve"> PAGEREF _Toc235710330 \h </w:instrText>
            </w:r>
            <w:r w:rsidR="008D0753">
              <w:rPr>
                <w:noProof/>
                <w:webHidden/>
              </w:rPr>
            </w:r>
            <w:r w:rsidR="008D0753">
              <w:rPr>
                <w:noProof/>
                <w:webHidden/>
              </w:rPr>
              <w:fldChar w:fldCharType="separate"/>
            </w:r>
            <w:r w:rsidR="008D0753">
              <w:rPr>
                <w:noProof/>
                <w:webHidden/>
              </w:rPr>
              <w:t>3</w:t>
            </w:r>
            <w:r w:rsidR="008D0753">
              <w:rPr>
                <w:noProof/>
                <w:webHidden/>
              </w:rPr>
              <w:fldChar w:fldCharType="end"/>
            </w:r>
          </w:hyperlink>
        </w:p>
        <w:p w14:paraId="64D74DC1" w14:textId="63E62258" w:rsidR="008D0753" w:rsidRDefault="008D0753">
          <w:pPr>
            <w:pStyle w:val="TOC1"/>
            <w:tabs>
              <w:tab w:val="right" w:leader="dot" w:pos="9350"/>
            </w:tabs>
            <w:rPr>
              <w:rFonts w:asciiTheme="minorHAnsi" w:eastAsiaTheme="minorEastAsia" w:hAnsiTheme="minorHAnsi"/>
              <w:noProof/>
              <w:kern w:val="2"/>
              <w:sz w:val="24"/>
              <w:szCs w:val="24"/>
              <w14:ligatures w14:val="standardContextual"/>
            </w:rPr>
          </w:pPr>
          <w:hyperlink w:anchor="_Toc235710331" w:history="1">
            <w:r w:rsidRPr="00545F62">
              <w:rPr>
                <w:rStyle w:val="Hyperlink"/>
                <w:rFonts w:cs="Arial"/>
                <w:noProof/>
              </w:rPr>
              <w:t>2. Critical Root Cause and Improvement Analysis</w:t>
            </w:r>
            <w:r>
              <w:rPr>
                <w:noProof/>
                <w:webHidden/>
              </w:rPr>
              <w:tab/>
            </w:r>
            <w:r>
              <w:rPr>
                <w:noProof/>
                <w:webHidden/>
              </w:rPr>
              <w:fldChar w:fldCharType="begin"/>
            </w:r>
            <w:r>
              <w:rPr>
                <w:noProof/>
                <w:webHidden/>
              </w:rPr>
              <w:instrText xml:space="preserve"> PAGEREF _Toc235710331 \h </w:instrText>
            </w:r>
            <w:r>
              <w:rPr>
                <w:noProof/>
                <w:webHidden/>
              </w:rPr>
            </w:r>
            <w:r>
              <w:rPr>
                <w:noProof/>
                <w:webHidden/>
              </w:rPr>
              <w:fldChar w:fldCharType="separate"/>
            </w:r>
            <w:r>
              <w:rPr>
                <w:noProof/>
                <w:webHidden/>
              </w:rPr>
              <w:t>5</w:t>
            </w:r>
            <w:r>
              <w:rPr>
                <w:noProof/>
                <w:webHidden/>
              </w:rPr>
              <w:fldChar w:fldCharType="end"/>
            </w:r>
          </w:hyperlink>
        </w:p>
        <w:p w14:paraId="32CECAB8" w14:textId="083191D0" w:rsidR="008D0753" w:rsidRDefault="008D0753">
          <w:pPr>
            <w:pStyle w:val="TOC2"/>
            <w:tabs>
              <w:tab w:val="right" w:leader="dot" w:pos="9350"/>
            </w:tabs>
            <w:rPr>
              <w:rFonts w:asciiTheme="minorHAnsi" w:eastAsiaTheme="minorEastAsia" w:hAnsiTheme="minorHAnsi"/>
              <w:noProof/>
              <w:kern w:val="2"/>
              <w:sz w:val="24"/>
              <w:szCs w:val="24"/>
              <w14:ligatures w14:val="standardContextual"/>
            </w:rPr>
          </w:pPr>
          <w:hyperlink w:anchor="_Toc235710332" w:history="1">
            <w:r w:rsidRPr="00545F62">
              <w:rPr>
                <w:rStyle w:val="Hyperlink"/>
                <w:rFonts w:cs="Arial"/>
                <w:noProof/>
              </w:rPr>
              <w:t>2.1 Donabedian model</w:t>
            </w:r>
            <w:r>
              <w:rPr>
                <w:noProof/>
                <w:webHidden/>
              </w:rPr>
              <w:tab/>
            </w:r>
            <w:r>
              <w:rPr>
                <w:noProof/>
                <w:webHidden/>
              </w:rPr>
              <w:fldChar w:fldCharType="begin"/>
            </w:r>
            <w:r>
              <w:rPr>
                <w:noProof/>
                <w:webHidden/>
              </w:rPr>
              <w:instrText xml:space="preserve"> PAGEREF _Toc235710332 \h </w:instrText>
            </w:r>
            <w:r>
              <w:rPr>
                <w:noProof/>
                <w:webHidden/>
              </w:rPr>
            </w:r>
            <w:r>
              <w:rPr>
                <w:noProof/>
                <w:webHidden/>
              </w:rPr>
              <w:fldChar w:fldCharType="separate"/>
            </w:r>
            <w:r>
              <w:rPr>
                <w:noProof/>
                <w:webHidden/>
              </w:rPr>
              <w:t>5</w:t>
            </w:r>
            <w:r>
              <w:rPr>
                <w:noProof/>
                <w:webHidden/>
              </w:rPr>
              <w:fldChar w:fldCharType="end"/>
            </w:r>
          </w:hyperlink>
        </w:p>
        <w:p w14:paraId="4243B402" w14:textId="3135E2A5" w:rsidR="008D0753" w:rsidRDefault="008D0753">
          <w:pPr>
            <w:pStyle w:val="TOC2"/>
            <w:tabs>
              <w:tab w:val="right" w:leader="dot" w:pos="9350"/>
            </w:tabs>
            <w:rPr>
              <w:rFonts w:asciiTheme="minorHAnsi" w:eastAsiaTheme="minorEastAsia" w:hAnsiTheme="minorHAnsi"/>
              <w:noProof/>
              <w:kern w:val="2"/>
              <w:sz w:val="24"/>
              <w:szCs w:val="24"/>
              <w14:ligatures w14:val="standardContextual"/>
            </w:rPr>
          </w:pPr>
          <w:hyperlink w:anchor="_Toc235710333" w:history="1">
            <w:r w:rsidRPr="00545F62">
              <w:rPr>
                <w:rStyle w:val="Hyperlink"/>
                <w:rFonts w:cs="Arial"/>
                <w:noProof/>
              </w:rPr>
              <w:t>2.2 Fishbone and 5 Whys analysis</w:t>
            </w:r>
            <w:r>
              <w:rPr>
                <w:noProof/>
                <w:webHidden/>
              </w:rPr>
              <w:tab/>
            </w:r>
            <w:r>
              <w:rPr>
                <w:noProof/>
                <w:webHidden/>
              </w:rPr>
              <w:fldChar w:fldCharType="begin"/>
            </w:r>
            <w:r>
              <w:rPr>
                <w:noProof/>
                <w:webHidden/>
              </w:rPr>
              <w:instrText xml:space="preserve"> PAGEREF _Toc235710333 \h </w:instrText>
            </w:r>
            <w:r>
              <w:rPr>
                <w:noProof/>
                <w:webHidden/>
              </w:rPr>
            </w:r>
            <w:r>
              <w:rPr>
                <w:noProof/>
                <w:webHidden/>
              </w:rPr>
              <w:fldChar w:fldCharType="separate"/>
            </w:r>
            <w:r>
              <w:rPr>
                <w:noProof/>
                <w:webHidden/>
              </w:rPr>
              <w:t>6</w:t>
            </w:r>
            <w:r>
              <w:rPr>
                <w:noProof/>
                <w:webHidden/>
              </w:rPr>
              <w:fldChar w:fldCharType="end"/>
            </w:r>
          </w:hyperlink>
        </w:p>
        <w:p w14:paraId="3A5D8F49" w14:textId="1327F636" w:rsidR="008D0753" w:rsidRDefault="008D0753">
          <w:pPr>
            <w:pStyle w:val="TOC2"/>
            <w:tabs>
              <w:tab w:val="right" w:leader="dot" w:pos="9350"/>
            </w:tabs>
            <w:rPr>
              <w:rFonts w:asciiTheme="minorHAnsi" w:eastAsiaTheme="minorEastAsia" w:hAnsiTheme="minorHAnsi"/>
              <w:noProof/>
              <w:kern w:val="2"/>
              <w:sz w:val="24"/>
              <w:szCs w:val="24"/>
              <w14:ligatures w14:val="standardContextual"/>
            </w:rPr>
          </w:pPr>
          <w:hyperlink w:anchor="_Toc235710334" w:history="1">
            <w:r w:rsidRPr="00545F62">
              <w:rPr>
                <w:rStyle w:val="Hyperlink"/>
                <w:rFonts w:cs="Arial"/>
                <w:noProof/>
              </w:rPr>
              <w:t>2.3 Strengths, Weaknesses, Opportunities and Threats (SWOT) analysis</w:t>
            </w:r>
            <w:r>
              <w:rPr>
                <w:noProof/>
                <w:webHidden/>
              </w:rPr>
              <w:tab/>
            </w:r>
            <w:r>
              <w:rPr>
                <w:noProof/>
                <w:webHidden/>
              </w:rPr>
              <w:fldChar w:fldCharType="begin"/>
            </w:r>
            <w:r>
              <w:rPr>
                <w:noProof/>
                <w:webHidden/>
              </w:rPr>
              <w:instrText xml:space="preserve"> PAGEREF _Toc235710334 \h </w:instrText>
            </w:r>
            <w:r>
              <w:rPr>
                <w:noProof/>
                <w:webHidden/>
              </w:rPr>
            </w:r>
            <w:r>
              <w:rPr>
                <w:noProof/>
                <w:webHidden/>
              </w:rPr>
              <w:fldChar w:fldCharType="separate"/>
            </w:r>
            <w:r>
              <w:rPr>
                <w:noProof/>
                <w:webHidden/>
              </w:rPr>
              <w:t>8</w:t>
            </w:r>
            <w:r>
              <w:rPr>
                <w:noProof/>
                <w:webHidden/>
              </w:rPr>
              <w:fldChar w:fldCharType="end"/>
            </w:r>
          </w:hyperlink>
        </w:p>
        <w:p w14:paraId="324EC634" w14:textId="209B22E8" w:rsidR="008D0753" w:rsidRDefault="008D0753">
          <w:pPr>
            <w:pStyle w:val="TOC2"/>
            <w:tabs>
              <w:tab w:val="right" w:leader="dot" w:pos="9350"/>
            </w:tabs>
            <w:rPr>
              <w:rFonts w:asciiTheme="minorHAnsi" w:eastAsiaTheme="minorEastAsia" w:hAnsiTheme="minorHAnsi"/>
              <w:noProof/>
              <w:kern w:val="2"/>
              <w:sz w:val="24"/>
              <w:szCs w:val="24"/>
              <w14:ligatures w14:val="standardContextual"/>
            </w:rPr>
          </w:pPr>
          <w:hyperlink w:anchor="_Toc235710335" w:history="1">
            <w:r w:rsidRPr="00545F62">
              <w:rPr>
                <w:rStyle w:val="Hyperlink"/>
                <w:rFonts w:cs="Arial"/>
                <w:noProof/>
              </w:rPr>
              <w:t>2.4 Plan-Do-Study-Act (PDSA) and Kotter change model</w:t>
            </w:r>
            <w:r>
              <w:rPr>
                <w:noProof/>
                <w:webHidden/>
              </w:rPr>
              <w:tab/>
            </w:r>
            <w:r>
              <w:rPr>
                <w:noProof/>
                <w:webHidden/>
              </w:rPr>
              <w:fldChar w:fldCharType="begin"/>
            </w:r>
            <w:r>
              <w:rPr>
                <w:noProof/>
                <w:webHidden/>
              </w:rPr>
              <w:instrText xml:space="preserve"> PAGEREF _Toc235710335 \h </w:instrText>
            </w:r>
            <w:r>
              <w:rPr>
                <w:noProof/>
                <w:webHidden/>
              </w:rPr>
            </w:r>
            <w:r>
              <w:rPr>
                <w:noProof/>
                <w:webHidden/>
              </w:rPr>
              <w:fldChar w:fldCharType="separate"/>
            </w:r>
            <w:r>
              <w:rPr>
                <w:noProof/>
                <w:webHidden/>
              </w:rPr>
              <w:t>9</w:t>
            </w:r>
            <w:r>
              <w:rPr>
                <w:noProof/>
                <w:webHidden/>
              </w:rPr>
              <w:fldChar w:fldCharType="end"/>
            </w:r>
          </w:hyperlink>
        </w:p>
        <w:p w14:paraId="131674D6" w14:textId="07334E91" w:rsidR="008D0753" w:rsidRDefault="008D0753">
          <w:pPr>
            <w:pStyle w:val="TOC2"/>
            <w:tabs>
              <w:tab w:val="right" w:leader="dot" w:pos="9350"/>
            </w:tabs>
            <w:rPr>
              <w:rFonts w:asciiTheme="minorHAnsi" w:eastAsiaTheme="minorEastAsia" w:hAnsiTheme="minorHAnsi"/>
              <w:noProof/>
              <w:kern w:val="2"/>
              <w:sz w:val="24"/>
              <w:szCs w:val="24"/>
              <w14:ligatures w14:val="standardContextual"/>
            </w:rPr>
          </w:pPr>
          <w:hyperlink w:anchor="_Toc235710336" w:history="1">
            <w:r w:rsidRPr="00545F62">
              <w:rPr>
                <w:rStyle w:val="Hyperlink"/>
                <w:rFonts w:cs="Arial"/>
                <w:noProof/>
              </w:rPr>
              <w:t>2.5 Benchmarking and impact on service provision</w:t>
            </w:r>
            <w:r>
              <w:rPr>
                <w:noProof/>
                <w:webHidden/>
              </w:rPr>
              <w:tab/>
            </w:r>
            <w:r>
              <w:rPr>
                <w:noProof/>
                <w:webHidden/>
              </w:rPr>
              <w:fldChar w:fldCharType="begin"/>
            </w:r>
            <w:r>
              <w:rPr>
                <w:noProof/>
                <w:webHidden/>
              </w:rPr>
              <w:instrText xml:space="preserve"> PAGEREF _Toc235710336 \h </w:instrText>
            </w:r>
            <w:r>
              <w:rPr>
                <w:noProof/>
                <w:webHidden/>
              </w:rPr>
            </w:r>
            <w:r>
              <w:rPr>
                <w:noProof/>
                <w:webHidden/>
              </w:rPr>
              <w:fldChar w:fldCharType="separate"/>
            </w:r>
            <w:r>
              <w:rPr>
                <w:noProof/>
                <w:webHidden/>
              </w:rPr>
              <w:t>10</w:t>
            </w:r>
            <w:r>
              <w:rPr>
                <w:noProof/>
                <w:webHidden/>
              </w:rPr>
              <w:fldChar w:fldCharType="end"/>
            </w:r>
          </w:hyperlink>
        </w:p>
        <w:p w14:paraId="5F8CF534" w14:textId="4BE0E82F" w:rsidR="008D0753" w:rsidRDefault="008D0753">
          <w:pPr>
            <w:pStyle w:val="TOC1"/>
            <w:tabs>
              <w:tab w:val="right" w:leader="dot" w:pos="9350"/>
            </w:tabs>
            <w:rPr>
              <w:rFonts w:asciiTheme="minorHAnsi" w:eastAsiaTheme="minorEastAsia" w:hAnsiTheme="minorHAnsi"/>
              <w:noProof/>
              <w:kern w:val="2"/>
              <w:sz w:val="24"/>
              <w:szCs w:val="24"/>
              <w14:ligatures w14:val="standardContextual"/>
            </w:rPr>
          </w:pPr>
          <w:hyperlink w:anchor="_Toc235710337" w:history="1">
            <w:r w:rsidRPr="00545F62">
              <w:rPr>
                <w:rStyle w:val="Hyperlink"/>
                <w:rFonts w:cs="Arial"/>
                <w:noProof/>
              </w:rPr>
              <w:t>3. Recommendations</w:t>
            </w:r>
            <w:r>
              <w:rPr>
                <w:noProof/>
                <w:webHidden/>
              </w:rPr>
              <w:tab/>
            </w:r>
            <w:r>
              <w:rPr>
                <w:noProof/>
                <w:webHidden/>
              </w:rPr>
              <w:fldChar w:fldCharType="begin"/>
            </w:r>
            <w:r>
              <w:rPr>
                <w:noProof/>
                <w:webHidden/>
              </w:rPr>
              <w:instrText xml:space="preserve"> PAGEREF _Toc235710337 \h </w:instrText>
            </w:r>
            <w:r>
              <w:rPr>
                <w:noProof/>
                <w:webHidden/>
              </w:rPr>
            </w:r>
            <w:r>
              <w:rPr>
                <w:noProof/>
                <w:webHidden/>
              </w:rPr>
              <w:fldChar w:fldCharType="separate"/>
            </w:r>
            <w:r>
              <w:rPr>
                <w:noProof/>
                <w:webHidden/>
              </w:rPr>
              <w:t>12</w:t>
            </w:r>
            <w:r>
              <w:rPr>
                <w:noProof/>
                <w:webHidden/>
              </w:rPr>
              <w:fldChar w:fldCharType="end"/>
            </w:r>
          </w:hyperlink>
        </w:p>
        <w:p w14:paraId="3DA7C653" w14:textId="1F787825" w:rsidR="008D0753" w:rsidRDefault="008D0753">
          <w:pPr>
            <w:pStyle w:val="TOC1"/>
            <w:tabs>
              <w:tab w:val="right" w:leader="dot" w:pos="9350"/>
            </w:tabs>
            <w:rPr>
              <w:rFonts w:asciiTheme="minorHAnsi" w:eastAsiaTheme="minorEastAsia" w:hAnsiTheme="minorHAnsi"/>
              <w:noProof/>
              <w:kern w:val="2"/>
              <w:sz w:val="24"/>
              <w:szCs w:val="24"/>
              <w14:ligatures w14:val="standardContextual"/>
            </w:rPr>
          </w:pPr>
          <w:hyperlink w:anchor="_Toc235710338" w:history="1">
            <w:r w:rsidRPr="00545F62">
              <w:rPr>
                <w:rStyle w:val="Hyperlink"/>
                <w:rFonts w:cs="Arial"/>
                <w:noProof/>
              </w:rPr>
              <w:t>4. Conclusion</w:t>
            </w:r>
            <w:r>
              <w:rPr>
                <w:noProof/>
                <w:webHidden/>
              </w:rPr>
              <w:tab/>
            </w:r>
            <w:r>
              <w:rPr>
                <w:noProof/>
                <w:webHidden/>
              </w:rPr>
              <w:fldChar w:fldCharType="begin"/>
            </w:r>
            <w:r>
              <w:rPr>
                <w:noProof/>
                <w:webHidden/>
              </w:rPr>
              <w:instrText xml:space="preserve"> PAGEREF _Toc235710338 \h </w:instrText>
            </w:r>
            <w:r>
              <w:rPr>
                <w:noProof/>
                <w:webHidden/>
              </w:rPr>
            </w:r>
            <w:r>
              <w:rPr>
                <w:noProof/>
                <w:webHidden/>
              </w:rPr>
              <w:fldChar w:fldCharType="separate"/>
            </w:r>
            <w:r>
              <w:rPr>
                <w:noProof/>
                <w:webHidden/>
              </w:rPr>
              <w:t>14</w:t>
            </w:r>
            <w:r>
              <w:rPr>
                <w:noProof/>
                <w:webHidden/>
              </w:rPr>
              <w:fldChar w:fldCharType="end"/>
            </w:r>
          </w:hyperlink>
        </w:p>
        <w:p w14:paraId="68703059" w14:textId="54104898" w:rsidR="008D0753" w:rsidRDefault="008D0753">
          <w:pPr>
            <w:pStyle w:val="TOC1"/>
            <w:tabs>
              <w:tab w:val="right" w:leader="dot" w:pos="9350"/>
            </w:tabs>
            <w:rPr>
              <w:rFonts w:asciiTheme="minorHAnsi" w:eastAsiaTheme="minorEastAsia" w:hAnsiTheme="minorHAnsi"/>
              <w:noProof/>
              <w:kern w:val="2"/>
              <w:sz w:val="24"/>
              <w:szCs w:val="24"/>
              <w14:ligatures w14:val="standardContextual"/>
            </w:rPr>
          </w:pPr>
          <w:hyperlink w:anchor="_Toc235710339" w:history="1">
            <w:r w:rsidRPr="00545F62">
              <w:rPr>
                <w:rStyle w:val="Hyperlink"/>
                <w:rFonts w:cs="Arial"/>
                <w:noProof/>
              </w:rPr>
              <w:t>References</w:t>
            </w:r>
            <w:r>
              <w:rPr>
                <w:noProof/>
                <w:webHidden/>
              </w:rPr>
              <w:tab/>
            </w:r>
            <w:r>
              <w:rPr>
                <w:noProof/>
                <w:webHidden/>
              </w:rPr>
              <w:fldChar w:fldCharType="begin"/>
            </w:r>
            <w:r>
              <w:rPr>
                <w:noProof/>
                <w:webHidden/>
              </w:rPr>
              <w:instrText xml:space="preserve"> PAGEREF _Toc235710339 \h </w:instrText>
            </w:r>
            <w:r>
              <w:rPr>
                <w:noProof/>
                <w:webHidden/>
              </w:rPr>
            </w:r>
            <w:r>
              <w:rPr>
                <w:noProof/>
                <w:webHidden/>
              </w:rPr>
              <w:fldChar w:fldCharType="separate"/>
            </w:r>
            <w:r>
              <w:rPr>
                <w:noProof/>
                <w:webHidden/>
              </w:rPr>
              <w:t>15</w:t>
            </w:r>
            <w:r>
              <w:rPr>
                <w:noProof/>
                <w:webHidden/>
              </w:rPr>
              <w:fldChar w:fldCharType="end"/>
            </w:r>
          </w:hyperlink>
        </w:p>
        <w:p w14:paraId="7A5D9873" w14:textId="32FBAA23" w:rsidR="00884B60" w:rsidRDefault="00000000">
          <w:r>
            <w:rPr>
              <w:rFonts w:cs="Arial"/>
              <w:b/>
              <w:bCs/>
              <w:noProof/>
            </w:rPr>
            <w:fldChar w:fldCharType="end"/>
          </w:r>
        </w:p>
      </w:sdtContent>
    </w:sdt>
    <w:p w14:paraId="73AE5FBF" w14:textId="77777777" w:rsidR="00884B60" w:rsidRDefault="00884B60"/>
    <w:p w14:paraId="039C18DA" w14:textId="77777777" w:rsidR="00884B60" w:rsidRDefault="00000000">
      <w:pPr>
        <w:spacing w:after="200" w:line="276" w:lineRule="auto"/>
      </w:pPr>
      <w:r>
        <w:br w:type="page"/>
      </w:r>
    </w:p>
    <w:p w14:paraId="16721D6B" w14:textId="77777777" w:rsidR="00884B60" w:rsidRDefault="00000000">
      <w:pPr>
        <w:pStyle w:val="Heading1"/>
        <w:rPr>
          <w:rFonts w:ascii="Arial" w:hAnsi="Arial" w:cs="Arial"/>
        </w:rPr>
      </w:pPr>
      <w:bookmarkStart w:id="0" w:name="_Toc235710330"/>
      <w:r>
        <w:rPr>
          <w:rFonts w:ascii="Arial" w:hAnsi="Arial" w:cs="Arial"/>
        </w:rPr>
        <w:lastRenderedPageBreak/>
        <w:t>1. Introduction</w:t>
      </w:r>
      <w:bookmarkEnd w:id="0"/>
    </w:p>
    <w:p w14:paraId="44E7D8CF" w14:textId="77777777" w:rsidR="00347007" w:rsidRDefault="00347007">
      <w:pPr>
        <w:jc w:val="both"/>
      </w:pPr>
      <w:r w:rsidRPr="00347007">
        <w:t xml:space="preserve">The Shrewsbury and Telford Hospital NHS Trust maternity scandal reflects a significant quality assurance failure, as there had been clear indicators of harm over a decade but this was not translated into safer practice, enhanced accountability or even </w:t>
      </w:r>
      <w:proofErr w:type="spellStart"/>
      <w:r w:rsidRPr="00347007">
        <w:t>organisational</w:t>
      </w:r>
      <w:proofErr w:type="spellEnd"/>
      <w:r w:rsidRPr="00347007">
        <w:t xml:space="preserve"> learning. The </w:t>
      </w:r>
      <w:proofErr w:type="spellStart"/>
      <w:r w:rsidRPr="00347007">
        <w:t>Ockenden</w:t>
      </w:r>
      <w:proofErr w:type="spellEnd"/>
      <w:r w:rsidRPr="00347007">
        <w:t xml:space="preserve"> Review analyzed 1,486 families and 1,592 clinical incidents, as early as 1973 and found surrogacy and inadequate care, poor listening, lack of escalation and incident learning (Ockenden, 2020; </w:t>
      </w:r>
      <w:proofErr w:type="spellStart"/>
      <w:r w:rsidRPr="00347007">
        <w:t>Ockenden</w:t>
      </w:r>
      <w:proofErr w:type="spellEnd"/>
      <w:r w:rsidRPr="00347007">
        <w:t>, 2022). Expanding on the previous case diagnosis, the scandal may not be just viewed as a complex of separate clinical mistakes, but a failure in the system where the weak governance, unsafe escalation, workforce pressure, policy implementation lapses and defensive culture were coordinated over time (Reason, 2000; Wiegmann et al., 2022).</w:t>
      </w:r>
    </w:p>
    <w:p w14:paraId="69FAA7E8" w14:textId="0929FEF8" w:rsidR="00347007" w:rsidRDefault="00347007">
      <w:pPr>
        <w:jc w:val="both"/>
      </w:pPr>
      <w:r w:rsidRPr="00347007">
        <w:t xml:space="preserve"> The problem is crucial as maternity services are supposed to offer safe, caring and fair treatment during a time when the clinical risk and emotional deficits are the highest. Avoidable deaths, lifetime injuries, psychological trauma as well as loss of social confidence can be caused by failure in fetus monitoring, triage, senior review, communication, incident learning. National policy has advocated safer, more </w:t>
      </w:r>
      <w:proofErr w:type="spellStart"/>
      <w:r w:rsidRPr="00347007">
        <w:t>personalised</w:t>
      </w:r>
      <w:proofErr w:type="spellEnd"/>
      <w:r w:rsidRPr="00347007">
        <w:t xml:space="preserve"> maternity care, and national evidence on the matter recorded by the Care Quality Commission (CQC) still reported flaws in maternity safety, leadership, staffing and listening to women and families (National Maternity Review, 2016; Care Quality Commission, 2024; Care Quality Commission, 2025a; Care Quality Commission, 2025b; NHS England, 2026). </w:t>
      </w:r>
    </w:p>
    <w:p w14:paraId="1190B859" w14:textId="0D755997" w:rsidR="00347007" w:rsidRDefault="00347007">
      <w:pPr>
        <w:jc w:val="both"/>
      </w:pPr>
      <w:r w:rsidRPr="00347007">
        <w:t>The analysis applies Donabedian's model, Fishbone and 5 Whys, Strengths, Weaknesses, Opportunities and Threats (SWOT), Plan-Do-Study-Act (PDSA) and Kotter's change model as critical lenses. It describes the relationship between structure, process, culture, policy and accountability and then gives suggestions on priorities around workforce capacity, emergency obstetric services, governance, accountability and community awareness. The benchmarking section is structured in alignment with the original case diagnosis in such a way that the local gaps may be compared with the national maternity safety expectations.</w:t>
      </w:r>
    </w:p>
    <w:p w14:paraId="7AA3BC53" w14:textId="77777777" w:rsidR="00884B60" w:rsidRDefault="00000000">
      <w:pPr>
        <w:jc w:val="center"/>
      </w:pPr>
      <w:r>
        <w:rPr>
          <w:noProof/>
        </w:rPr>
        <w:lastRenderedPageBreak/>
        <w:drawing>
          <wp:inline distT="0" distB="0" distL="0" distR="0" wp14:anchorId="42C970E3" wp14:editId="79A206F8">
            <wp:extent cx="6022554" cy="3058795"/>
            <wp:effectExtent l="0" t="0" r="0" b="8255"/>
            <wp:docPr id="4175393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35949" cy="3065598"/>
                    </a:xfrm>
                    <a:prstGeom prst="rect">
                      <a:avLst/>
                    </a:prstGeom>
                    <a:noFill/>
                  </pic:spPr>
                </pic:pic>
              </a:graphicData>
            </a:graphic>
          </wp:inline>
        </w:drawing>
      </w:r>
    </w:p>
    <w:p w14:paraId="767CC7D1" w14:textId="77777777" w:rsidR="00884B60" w:rsidRDefault="00000000">
      <w:pPr>
        <w:spacing w:line="240" w:lineRule="auto"/>
        <w:jc w:val="center"/>
      </w:pPr>
      <w:r>
        <w:t>Figure 1. SaTH maternity quality assurance timeline. Source: Author's analysis based on Ockenden (2020; 2022).</w:t>
      </w:r>
    </w:p>
    <w:p w14:paraId="3B4FE72A" w14:textId="77777777" w:rsidR="00347007" w:rsidRDefault="00347007">
      <w:pPr>
        <w:jc w:val="both"/>
      </w:pPr>
      <w:r w:rsidRPr="00347007">
        <w:t xml:space="preserve">As demonstrated in Figure 1, </w:t>
      </w:r>
      <w:proofErr w:type="spellStart"/>
      <w:r w:rsidRPr="00347007">
        <w:t>SaTH</w:t>
      </w:r>
      <w:proofErr w:type="spellEnd"/>
      <w:r w:rsidRPr="00347007">
        <w:t xml:space="preserve"> needed system memory and confidence, rather than re-publication of new guidance. The timeline is helpful in understanding that the quality failure was accruing: there was early warning information available, but not reliably held by the </w:t>
      </w:r>
      <w:proofErr w:type="spellStart"/>
      <w:r w:rsidRPr="00347007">
        <w:t>organisation</w:t>
      </w:r>
      <w:proofErr w:type="spellEnd"/>
      <w:r w:rsidRPr="00347007">
        <w:t>, escalated, and acted on.</w:t>
      </w:r>
    </w:p>
    <w:p w14:paraId="2BCDE8AC" w14:textId="77777777" w:rsidR="00884B60" w:rsidRDefault="00000000">
      <w:r>
        <w:rPr>
          <w:noProof/>
        </w:rPr>
        <w:drawing>
          <wp:inline distT="0" distB="0" distL="0" distR="0" wp14:anchorId="5031E12B" wp14:editId="1AB29159">
            <wp:extent cx="6252210" cy="3031067"/>
            <wp:effectExtent l="0" t="0" r="0" b="0"/>
            <wp:docPr id="12008048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88019" cy="3048427"/>
                    </a:xfrm>
                    <a:prstGeom prst="rect">
                      <a:avLst/>
                    </a:prstGeom>
                    <a:noFill/>
                  </pic:spPr>
                </pic:pic>
              </a:graphicData>
            </a:graphic>
          </wp:inline>
        </w:drawing>
      </w:r>
    </w:p>
    <w:p w14:paraId="1563D046" w14:textId="77777777" w:rsidR="00884B60" w:rsidRDefault="00000000">
      <w:pPr>
        <w:spacing w:line="240" w:lineRule="auto"/>
        <w:jc w:val="center"/>
      </w:pPr>
      <w:r>
        <w:t>Figure 2. Failure chain from signals to repeated harm. Source: Author's analysis based on Ockenden (2022) and Reason (2000).</w:t>
      </w:r>
    </w:p>
    <w:p w14:paraId="54F4E603" w14:textId="77777777" w:rsidR="00347007" w:rsidRDefault="00347007">
      <w:pPr>
        <w:jc w:val="both"/>
      </w:pPr>
      <w:r w:rsidRPr="00347007">
        <w:lastRenderedPageBreak/>
        <w:t>As shown in Figure 2, the decisive weakness was the gap between warning signals and verified safer practice. This is significant in that, a service can seem to be exploring occurrences and yet, it is incapable of demonstrating that there has been a learner modification of frontline routines.</w:t>
      </w:r>
    </w:p>
    <w:p w14:paraId="126D7624" w14:textId="77777777" w:rsidR="00884B60" w:rsidRDefault="00000000">
      <w:pPr>
        <w:pStyle w:val="Heading1"/>
        <w:spacing w:before="160" w:after="100"/>
        <w:rPr>
          <w:rFonts w:ascii="Arial" w:hAnsi="Arial" w:cs="Arial"/>
        </w:rPr>
      </w:pPr>
      <w:bookmarkStart w:id="1" w:name="_Toc235710331"/>
      <w:r>
        <w:rPr>
          <w:rFonts w:ascii="Arial" w:hAnsi="Arial" w:cs="Arial"/>
        </w:rPr>
        <w:t>2. Critical Root Cause and Improvement Analysis</w:t>
      </w:r>
      <w:bookmarkEnd w:id="1"/>
    </w:p>
    <w:p w14:paraId="36E27409" w14:textId="77777777" w:rsidR="00347007" w:rsidRDefault="00347007">
      <w:pPr>
        <w:jc w:val="both"/>
      </w:pPr>
      <w:r w:rsidRPr="00347007">
        <w:t xml:space="preserve">The tools used discuss various levels of the issue. Donabedian ties resources and government to results; Fishbone, or Ishikawa, ties interacting causes together; 5 Whys tests more deeply failed learning; Strengths, Weaknesses, Opportunities and Threats (SWOT) ties internal fallacies to external risks; and Plan-Do-Study-Act (PDSA) with Kotter ties diagnosis to improvement and change leadership under test (Donabedian, 1988; </w:t>
      </w:r>
      <w:proofErr w:type="spellStart"/>
      <w:r w:rsidRPr="00347007">
        <w:t>Ayanian</w:t>
      </w:r>
      <w:proofErr w:type="spellEnd"/>
      <w:r w:rsidRPr="00347007">
        <w:t xml:space="preserve"> and Markel, 2016; Ishikawa, 1985; Helms and Nixon, 2010; Kotter, 1996; Langley et al., 2009; Taylor et al., 2014). </w:t>
      </w:r>
    </w:p>
    <w:p w14:paraId="2D567507" w14:textId="68D462E2" w:rsidR="00347007" w:rsidRDefault="00347007">
      <w:pPr>
        <w:jc w:val="both"/>
      </w:pPr>
      <w:r w:rsidRPr="00347007">
        <w:t>These tools still require caution. Fishbone can leave causes unranked, SWOT can transform culture into an issue of planning, PDSA can degenerate to paperwork in case outcome measures are not strong. Convergence with models therefore makes the difference between weak and weak escalation, weak learning, underused family concerns, workforce pressure and Board assurance that did not test changed practice, which all make the difference. See Table 1 for further details.</w:t>
      </w:r>
    </w:p>
    <w:p w14:paraId="3CA718E1" w14:textId="77777777" w:rsidR="00884B60" w:rsidRDefault="00000000">
      <w:pPr>
        <w:pStyle w:val="Heading2"/>
        <w:spacing w:before="100" w:after="100"/>
        <w:rPr>
          <w:rFonts w:ascii="Arial" w:hAnsi="Arial" w:cs="Arial"/>
        </w:rPr>
      </w:pPr>
      <w:bookmarkStart w:id="2" w:name="_Toc235710332"/>
      <w:r>
        <w:rPr>
          <w:rFonts w:ascii="Arial" w:hAnsi="Arial" w:cs="Arial"/>
        </w:rPr>
        <w:t>2.1 Donabedian model</w:t>
      </w:r>
      <w:bookmarkEnd w:id="2"/>
    </w:p>
    <w:p w14:paraId="49C86534" w14:textId="77777777" w:rsidR="00347007" w:rsidRDefault="00347007">
      <w:pPr>
        <w:jc w:val="both"/>
      </w:pPr>
      <w:r w:rsidRPr="00347007">
        <w:t xml:space="preserve">The model by Donabedian is applicable since the failure of </w:t>
      </w:r>
      <w:proofErr w:type="spellStart"/>
      <w:r w:rsidRPr="00347007">
        <w:t>SaTH</w:t>
      </w:r>
      <w:proofErr w:type="spellEnd"/>
      <w:r w:rsidRPr="00347007">
        <w:t xml:space="preserve"> cannot be narrowed down to a single unsafe act and subsequent literature indicates that the model structure-process-outcome of healthcare is still relevant in the analysis of healthcare quality (Donabedian, 1988; </w:t>
      </w:r>
      <w:proofErr w:type="spellStart"/>
      <w:r w:rsidRPr="00347007">
        <w:t>Ayanian</w:t>
      </w:r>
      <w:proofErr w:type="spellEnd"/>
      <w:r w:rsidRPr="00347007">
        <w:t xml:space="preserve"> and Markel, 2016). It had structural shortcomings such as its staffing capacity, the availability of older obstetricians, audit closure, training, Board control and inadequate use of family intelligence. Process weaknesses included fetal monitoring, triage, escalation, incident review, complaint handling and action tracking. Outcomes included avoidable death and injury, distress, loss of trust and staff moral injury (Ockenden, 2022; Kirkup, 2022). </w:t>
      </w:r>
    </w:p>
    <w:p w14:paraId="610AF596" w14:textId="7C7C5B52" w:rsidR="00347007" w:rsidRDefault="00347007">
      <w:pPr>
        <w:jc w:val="both"/>
      </w:pPr>
      <w:r w:rsidRPr="00347007">
        <w:t>The model lacks the adaptation of maternity care since it is not linear. Staffing gaps, triage delay, communication pressure and defensive complaint handling can reinforce one another. Donabedian is then best complemented with systems safety and implementation theory, which is illustrated in Table 1 (Reason, 2000; Vincent and Amalberti, 2016; Damschroder et al., 2022).</w:t>
      </w:r>
    </w:p>
    <w:p w14:paraId="3EDCF089" w14:textId="3D0487B8" w:rsidR="00884B60" w:rsidRDefault="00000000">
      <w:pPr>
        <w:keepNext/>
        <w:spacing w:after="60"/>
        <w:jc w:val="both"/>
        <w:rPr>
          <w:iCs/>
          <w:sz w:val="32"/>
          <w:szCs w:val="32"/>
        </w:rPr>
      </w:pPr>
      <w:r>
        <w:rPr>
          <w:iCs/>
          <w:szCs w:val="32"/>
        </w:rPr>
        <w:lastRenderedPageBreak/>
        <w:t xml:space="preserve">Table 1. Donabedian analysis of </w:t>
      </w:r>
      <w:proofErr w:type="spellStart"/>
      <w:r>
        <w:rPr>
          <w:iCs/>
          <w:szCs w:val="32"/>
        </w:rPr>
        <w:t>SaTH</w:t>
      </w:r>
      <w:proofErr w:type="spellEnd"/>
      <w:r>
        <w:rPr>
          <w:iCs/>
          <w:szCs w:val="32"/>
        </w:rPr>
        <w:t xml:space="preserve"> quality failure.</w:t>
      </w:r>
    </w:p>
    <w:tbl>
      <w:tblPr>
        <w:tblStyle w:val="TableGrid"/>
        <w:tblW w:w="0" w:type="auto"/>
        <w:jc w:val="center"/>
        <w:tblLook w:val="04A0" w:firstRow="1" w:lastRow="0" w:firstColumn="1" w:lastColumn="0" w:noHBand="0" w:noVBand="1"/>
      </w:tblPr>
      <w:tblGrid>
        <w:gridCol w:w="2338"/>
        <w:gridCol w:w="2337"/>
        <w:gridCol w:w="2337"/>
        <w:gridCol w:w="2338"/>
      </w:tblGrid>
      <w:tr w:rsidR="00884B60" w:rsidRPr="00347007" w14:paraId="1364D116" w14:textId="77777777">
        <w:trPr>
          <w:tblHeader/>
          <w:jc w:val="center"/>
        </w:trPr>
        <w:tc>
          <w:tcPr>
            <w:tcW w:w="2340" w:type="dxa"/>
            <w:shd w:val="clear" w:color="auto" w:fill="D9EAF7"/>
          </w:tcPr>
          <w:p w14:paraId="618B2D69" w14:textId="77777777" w:rsidR="00884B60" w:rsidRPr="00347007" w:rsidRDefault="00000000" w:rsidP="00347007">
            <w:pPr>
              <w:spacing w:after="0"/>
              <w:rPr>
                <w:szCs w:val="52"/>
              </w:rPr>
            </w:pPr>
            <w:r w:rsidRPr="00347007">
              <w:rPr>
                <w:b/>
                <w:szCs w:val="52"/>
              </w:rPr>
              <w:t>Dimension</w:t>
            </w:r>
          </w:p>
        </w:tc>
        <w:tc>
          <w:tcPr>
            <w:tcW w:w="2340" w:type="dxa"/>
            <w:shd w:val="clear" w:color="auto" w:fill="D9EAF7"/>
          </w:tcPr>
          <w:p w14:paraId="3359F8CD" w14:textId="77777777" w:rsidR="00884B60" w:rsidRPr="00347007" w:rsidRDefault="00000000" w:rsidP="00347007">
            <w:pPr>
              <w:spacing w:after="0"/>
              <w:rPr>
                <w:szCs w:val="52"/>
              </w:rPr>
            </w:pPr>
            <w:r w:rsidRPr="00347007">
              <w:rPr>
                <w:b/>
                <w:szCs w:val="52"/>
              </w:rPr>
              <w:t>Expected quality function</w:t>
            </w:r>
          </w:p>
        </w:tc>
        <w:tc>
          <w:tcPr>
            <w:tcW w:w="2340" w:type="dxa"/>
            <w:shd w:val="clear" w:color="auto" w:fill="D9EAF7"/>
          </w:tcPr>
          <w:p w14:paraId="1DAA9A48" w14:textId="77777777" w:rsidR="00884B60" w:rsidRPr="00347007" w:rsidRDefault="00000000" w:rsidP="00347007">
            <w:pPr>
              <w:spacing w:after="0"/>
              <w:rPr>
                <w:szCs w:val="52"/>
              </w:rPr>
            </w:pPr>
            <w:r w:rsidRPr="00347007">
              <w:rPr>
                <w:b/>
                <w:szCs w:val="52"/>
              </w:rPr>
              <w:t>SaTH weakness</w:t>
            </w:r>
          </w:p>
        </w:tc>
        <w:tc>
          <w:tcPr>
            <w:tcW w:w="2340" w:type="dxa"/>
            <w:shd w:val="clear" w:color="auto" w:fill="D9EAF7"/>
          </w:tcPr>
          <w:p w14:paraId="34ED6C69" w14:textId="77777777" w:rsidR="00884B60" w:rsidRPr="00347007" w:rsidRDefault="00000000" w:rsidP="00347007">
            <w:pPr>
              <w:spacing w:after="0"/>
              <w:rPr>
                <w:szCs w:val="52"/>
              </w:rPr>
            </w:pPr>
            <w:r w:rsidRPr="00347007">
              <w:rPr>
                <w:b/>
                <w:szCs w:val="52"/>
              </w:rPr>
              <w:t>Critical judgement</w:t>
            </w:r>
          </w:p>
        </w:tc>
      </w:tr>
      <w:tr w:rsidR="00884B60" w:rsidRPr="00347007" w14:paraId="2C64486D" w14:textId="77777777">
        <w:trPr>
          <w:jc w:val="center"/>
        </w:trPr>
        <w:tc>
          <w:tcPr>
            <w:tcW w:w="2340" w:type="dxa"/>
          </w:tcPr>
          <w:p w14:paraId="1DB603C6" w14:textId="77777777" w:rsidR="00884B60" w:rsidRPr="00347007" w:rsidRDefault="00000000" w:rsidP="00347007">
            <w:pPr>
              <w:spacing w:after="0"/>
              <w:rPr>
                <w:szCs w:val="52"/>
              </w:rPr>
            </w:pPr>
            <w:r w:rsidRPr="00347007">
              <w:rPr>
                <w:szCs w:val="52"/>
              </w:rPr>
              <w:t>Structure</w:t>
            </w:r>
          </w:p>
        </w:tc>
        <w:tc>
          <w:tcPr>
            <w:tcW w:w="2340" w:type="dxa"/>
          </w:tcPr>
          <w:p w14:paraId="6ABB810B" w14:textId="77777777" w:rsidR="00884B60" w:rsidRPr="00347007" w:rsidRDefault="00000000" w:rsidP="00347007">
            <w:pPr>
              <w:spacing w:after="0"/>
              <w:rPr>
                <w:szCs w:val="52"/>
              </w:rPr>
            </w:pPr>
            <w:r w:rsidRPr="00347007">
              <w:rPr>
                <w:szCs w:val="52"/>
              </w:rPr>
              <w:t>Staffing, governance, audit, leadership and family voice.</w:t>
            </w:r>
          </w:p>
        </w:tc>
        <w:tc>
          <w:tcPr>
            <w:tcW w:w="2340" w:type="dxa"/>
          </w:tcPr>
          <w:p w14:paraId="36527317" w14:textId="77777777" w:rsidR="00884B60" w:rsidRPr="00347007" w:rsidRDefault="00000000" w:rsidP="00347007">
            <w:pPr>
              <w:spacing w:after="0"/>
              <w:rPr>
                <w:szCs w:val="52"/>
              </w:rPr>
            </w:pPr>
            <w:r w:rsidRPr="00347007">
              <w:rPr>
                <w:szCs w:val="52"/>
              </w:rPr>
              <w:t>Systems existed, but did not expose recurring risk early enough.</w:t>
            </w:r>
          </w:p>
        </w:tc>
        <w:tc>
          <w:tcPr>
            <w:tcW w:w="2340" w:type="dxa"/>
          </w:tcPr>
          <w:p w14:paraId="14160902" w14:textId="77777777" w:rsidR="00884B60" w:rsidRPr="00347007" w:rsidRDefault="00000000" w:rsidP="00347007">
            <w:pPr>
              <w:spacing w:after="0"/>
              <w:rPr>
                <w:szCs w:val="52"/>
              </w:rPr>
            </w:pPr>
            <w:r w:rsidRPr="00347007">
              <w:rPr>
                <w:szCs w:val="52"/>
              </w:rPr>
              <w:t>Assurance architecture did not operate as reliable control.</w:t>
            </w:r>
          </w:p>
        </w:tc>
      </w:tr>
      <w:tr w:rsidR="00884B60" w:rsidRPr="00347007" w14:paraId="7F87731E" w14:textId="77777777">
        <w:trPr>
          <w:jc w:val="center"/>
        </w:trPr>
        <w:tc>
          <w:tcPr>
            <w:tcW w:w="2340" w:type="dxa"/>
          </w:tcPr>
          <w:p w14:paraId="1E3B4801" w14:textId="77777777" w:rsidR="00884B60" w:rsidRPr="00347007" w:rsidRDefault="00000000" w:rsidP="00347007">
            <w:pPr>
              <w:spacing w:after="0"/>
              <w:rPr>
                <w:szCs w:val="52"/>
              </w:rPr>
            </w:pPr>
            <w:r w:rsidRPr="00347007">
              <w:rPr>
                <w:szCs w:val="52"/>
              </w:rPr>
              <w:t>Process</w:t>
            </w:r>
          </w:p>
        </w:tc>
        <w:tc>
          <w:tcPr>
            <w:tcW w:w="2340" w:type="dxa"/>
          </w:tcPr>
          <w:p w14:paraId="63461000" w14:textId="77777777" w:rsidR="00884B60" w:rsidRPr="00347007" w:rsidRDefault="00000000" w:rsidP="00347007">
            <w:pPr>
              <w:spacing w:after="0"/>
              <w:rPr>
                <w:szCs w:val="52"/>
              </w:rPr>
            </w:pPr>
            <w:r w:rsidRPr="00347007">
              <w:rPr>
                <w:szCs w:val="52"/>
              </w:rPr>
              <w:t>Risk review, fetal monitoring, escalation, triage and incident learning.</w:t>
            </w:r>
          </w:p>
        </w:tc>
        <w:tc>
          <w:tcPr>
            <w:tcW w:w="2340" w:type="dxa"/>
          </w:tcPr>
          <w:p w14:paraId="11E0AE56" w14:textId="77777777" w:rsidR="00884B60" w:rsidRPr="00347007" w:rsidRDefault="00000000" w:rsidP="00347007">
            <w:pPr>
              <w:spacing w:after="0"/>
              <w:rPr>
                <w:szCs w:val="52"/>
              </w:rPr>
            </w:pPr>
            <w:r w:rsidRPr="00347007">
              <w:rPr>
                <w:szCs w:val="52"/>
              </w:rPr>
              <w:t>Warning signals were not consistently converted into changed routines.</w:t>
            </w:r>
          </w:p>
        </w:tc>
        <w:tc>
          <w:tcPr>
            <w:tcW w:w="2340" w:type="dxa"/>
          </w:tcPr>
          <w:p w14:paraId="738CE704" w14:textId="77777777" w:rsidR="00884B60" w:rsidRPr="00347007" w:rsidRDefault="00000000" w:rsidP="00347007">
            <w:pPr>
              <w:spacing w:after="0"/>
              <w:rPr>
                <w:szCs w:val="52"/>
              </w:rPr>
            </w:pPr>
            <w:r w:rsidRPr="00347007">
              <w:rPr>
                <w:szCs w:val="52"/>
              </w:rPr>
              <w:t>The core failure was implementation, not policy absence.</w:t>
            </w:r>
          </w:p>
        </w:tc>
      </w:tr>
      <w:tr w:rsidR="00884B60" w:rsidRPr="00347007" w14:paraId="21E12401" w14:textId="77777777">
        <w:trPr>
          <w:jc w:val="center"/>
        </w:trPr>
        <w:tc>
          <w:tcPr>
            <w:tcW w:w="2340" w:type="dxa"/>
          </w:tcPr>
          <w:p w14:paraId="0A58510B" w14:textId="77777777" w:rsidR="00884B60" w:rsidRPr="00347007" w:rsidRDefault="00000000" w:rsidP="00347007">
            <w:pPr>
              <w:spacing w:after="0"/>
              <w:rPr>
                <w:szCs w:val="52"/>
              </w:rPr>
            </w:pPr>
            <w:r w:rsidRPr="00347007">
              <w:rPr>
                <w:szCs w:val="52"/>
              </w:rPr>
              <w:t>Outcome</w:t>
            </w:r>
          </w:p>
        </w:tc>
        <w:tc>
          <w:tcPr>
            <w:tcW w:w="2340" w:type="dxa"/>
          </w:tcPr>
          <w:p w14:paraId="7929D24F" w14:textId="77777777" w:rsidR="00884B60" w:rsidRPr="00347007" w:rsidRDefault="00000000" w:rsidP="00347007">
            <w:pPr>
              <w:spacing w:after="0"/>
              <w:rPr>
                <w:szCs w:val="52"/>
              </w:rPr>
            </w:pPr>
            <w:r w:rsidRPr="00347007">
              <w:rPr>
                <w:szCs w:val="52"/>
              </w:rPr>
              <w:t>Safer births, trust, equity and learning.</w:t>
            </w:r>
          </w:p>
        </w:tc>
        <w:tc>
          <w:tcPr>
            <w:tcW w:w="2340" w:type="dxa"/>
          </w:tcPr>
          <w:p w14:paraId="54760D32" w14:textId="77777777" w:rsidR="00884B60" w:rsidRPr="00347007" w:rsidRDefault="00000000" w:rsidP="00347007">
            <w:pPr>
              <w:spacing w:after="0"/>
              <w:rPr>
                <w:szCs w:val="52"/>
              </w:rPr>
            </w:pPr>
            <w:r w:rsidRPr="00347007">
              <w:rPr>
                <w:szCs w:val="52"/>
              </w:rPr>
              <w:t>Avoidable harm, distress and loss of trust persisted.</w:t>
            </w:r>
          </w:p>
        </w:tc>
        <w:tc>
          <w:tcPr>
            <w:tcW w:w="2340" w:type="dxa"/>
          </w:tcPr>
          <w:p w14:paraId="4FE5119A" w14:textId="77777777" w:rsidR="00884B60" w:rsidRPr="00347007" w:rsidRDefault="00000000" w:rsidP="00347007">
            <w:pPr>
              <w:spacing w:after="0"/>
              <w:rPr>
                <w:szCs w:val="52"/>
              </w:rPr>
            </w:pPr>
            <w:r w:rsidRPr="00347007">
              <w:rPr>
                <w:szCs w:val="52"/>
              </w:rPr>
              <w:t>Outcomes show clinical, moral and relational failure.</w:t>
            </w:r>
          </w:p>
        </w:tc>
      </w:tr>
    </w:tbl>
    <w:p w14:paraId="552EF2C9" w14:textId="71D77069" w:rsidR="00884B60" w:rsidRPr="00347007" w:rsidRDefault="00000000">
      <w:pPr>
        <w:spacing w:line="240" w:lineRule="auto"/>
        <w:jc w:val="center"/>
        <w:rPr>
          <w:sz w:val="28"/>
          <w:szCs w:val="28"/>
        </w:rPr>
      </w:pPr>
      <w:r w:rsidRPr="00347007">
        <w:rPr>
          <w:i/>
          <w:szCs w:val="28"/>
        </w:rPr>
        <w:t>Source: Donabedian (1988) and Ockenden (2022).</w:t>
      </w:r>
    </w:p>
    <w:p w14:paraId="5E7F348A" w14:textId="6588CD59" w:rsidR="00C03B23" w:rsidRDefault="00C03B23">
      <w:pPr>
        <w:jc w:val="both"/>
      </w:pPr>
      <w:r w:rsidRPr="00C03B23">
        <w:t xml:space="preserve">As </w:t>
      </w:r>
      <w:r>
        <w:t xml:space="preserve">shown in </w:t>
      </w:r>
      <w:r w:rsidRPr="00C03B23">
        <w:t>Table 1</w:t>
      </w:r>
      <w:r>
        <w:t xml:space="preserve">, </w:t>
      </w:r>
      <w:r w:rsidRPr="00C03B23">
        <w:t xml:space="preserve">structural and process frailties supported unsafe outcomes and, this is why the </w:t>
      </w:r>
      <w:proofErr w:type="spellStart"/>
      <w:r w:rsidRPr="00C03B23">
        <w:t>SaTH</w:t>
      </w:r>
      <w:proofErr w:type="spellEnd"/>
      <w:r w:rsidRPr="00C03B23">
        <w:t xml:space="preserve"> case is to be viewed as the assurance failure as opposed to a single clinical error.</w:t>
      </w:r>
    </w:p>
    <w:p w14:paraId="71D55277" w14:textId="77777777" w:rsidR="00884B60" w:rsidRDefault="00000000">
      <w:pPr>
        <w:pStyle w:val="Heading2"/>
        <w:spacing w:before="100" w:after="100"/>
        <w:rPr>
          <w:rFonts w:ascii="Arial" w:hAnsi="Arial" w:cs="Arial"/>
        </w:rPr>
      </w:pPr>
      <w:bookmarkStart w:id="3" w:name="_Toc235710333"/>
      <w:r>
        <w:rPr>
          <w:rFonts w:ascii="Arial" w:hAnsi="Arial" w:cs="Arial"/>
        </w:rPr>
        <w:t>2.2 Fishbone and 5 Whys analysis</w:t>
      </w:r>
      <w:bookmarkEnd w:id="3"/>
    </w:p>
    <w:p w14:paraId="64005416" w14:textId="77777777" w:rsidR="00C03B23" w:rsidRDefault="00C03B23">
      <w:pPr>
        <w:jc w:val="both"/>
      </w:pPr>
      <w:r w:rsidRPr="00C03B23">
        <w:t xml:space="preserve">The Fishbone analysis reveals that workforce, clinical process, policy use, governance, culture, data and learning supported each other as depicted in Figure 3. The previous systems diagnosis employed the Swiss Cheese Model to demonstrate how various barriers combined in failure (Reason, 2000; Wiegmann et al., 2022). Nevertheless, it does not give a reason why the holes remained open. Repeated risk </w:t>
      </w:r>
      <w:proofErr w:type="spellStart"/>
      <w:r w:rsidRPr="00C03B23">
        <w:t>normalisation</w:t>
      </w:r>
      <w:proofErr w:type="spellEnd"/>
      <w:r w:rsidRPr="00C03B23">
        <w:t xml:space="preserve"> at </w:t>
      </w:r>
      <w:proofErr w:type="spellStart"/>
      <w:r w:rsidRPr="00C03B23">
        <w:t>SaTH</w:t>
      </w:r>
      <w:proofErr w:type="spellEnd"/>
      <w:r w:rsidRPr="00C03B23">
        <w:t xml:space="preserve"> was facilitated by poor investigation, defensive culture and non-closeout of audits, and is consistent with clinical risk analysis literature indicating that safety issues tend to be caused by the interaction of </w:t>
      </w:r>
      <w:proofErr w:type="spellStart"/>
      <w:r w:rsidRPr="00C03B23">
        <w:t>organisational</w:t>
      </w:r>
      <w:proofErr w:type="spellEnd"/>
      <w:r w:rsidRPr="00C03B23">
        <w:t xml:space="preserve"> and clinical factors as opposed to isolated errors (Vincent, Taylor-Adams and Stanhope, 1998). </w:t>
      </w:r>
    </w:p>
    <w:p w14:paraId="127A3023" w14:textId="6824B9FF" w:rsidR="00C03B23" w:rsidRDefault="00C03B23">
      <w:pPr>
        <w:jc w:val="both"/>
      </w:pPr>
      <w:r w:rsidRPr="00C03B23">
        <w:t>Table 2 has employed the 5 Whys to go beyond the causes listing. Risk was not regularly identified or escalated as severe incidents and family issues did not always result in an independent learning, proved action or Board-level challenge (</w:t>
      </w:r>
      <w:proofErr w:type="spellStart"/>
      <w:r w:rsidRPr="00C03B23">
        <w:t>Ockenden</w:t>
      </w:r>
      <w:proofErr w:type="spellEnd"/>
      <w:r w:rsidRPr="00C03B23">
        <w:t xml:space="preserve">, 2022; NHS England, 2022a). The literature on patient safety cautions that when there is individual blame then there is a danger of deflection of blame to the system and yet, </w:t>
      </w:r>
      <w:proofErr w:type="spellStart"/>
      <w:r w:rsidRPr="00C03B23">
        <w:t>SaTH</w:t>
      </w:r>
      <w:proofErr w:type="spellEnd"/>
      <w:r w:rsidRPr="00C03B23">
        <w:t xml:space="preserve"> reveals that defocusing responsibility can occur with language systems without accountability (</w:t>
      </w:r>
      <w:proofErr w:type="spellStart"/>
      <w:r w:rsidRPr="00C03B23">
        <w:t>Leape</w:t>
      </w:r>
      <w:proofErr w:type="spellEnd"/>
      <w:r w:rsidRPr="00C03B23">
        <w:t>, 1994; Institute of Medicine, 2001).</w:t>
      </w:r>
    </w:p>
    <w:p w14:paraId="19FD089E" w14:textId="77777777" w:rsidR="00884B60" w:rsidRDefault="00000000">
      <w:pPr>
        <w:jc w:val="center"/>
      </w:pPr>
      <w:r>
        <w:rPr>
          <w:noProof/>
        </w:rPr>
        <w:lastRenderedPageBreak/>
        <w:drawing>
          <wp:inline distT="0" distB="0" distL="0" distR="0" wp14:anchorId="65542D22" wp14:editId="69C21D3C">
            <wp:extent cx="6270171" cy="4342998"/>
            <wp:effectExtent l="0" t="0" r="0" b="635"/>
            <wp:docPr id="214592617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04482" cy="4366763"/>
                    </a:xfrm>
                    <a:prstGeom prst="rect">
                      <a:avLst/>
                    </a:prstGeom>
                    <a:noFill/>
                  </pic:spPr>
                </pic:pic>
              </a:graphicData>
            </a:graphic>
          </wp:inline>
        </w:drawing>
      </w:r>
    </w:p>
    <w:p w14:paraId="1B405038" w14:textId="77777777" w:rsidR="00884B60" w:rsidRDefault="00000000">
      <w:pPr>
        <w:spacing w:line="240" w:lineRule="auto"/>
        <w:jc w:val="center"/>
      </w:pPr>
      <w:r>
        <w:t>Figure 3. Fishbone analysis of interacting root causes. Source: Author's analysis based on Ishikawa (1985) and Ockenden (2022).</w:t>
      </w:r>
    </w:p>
    <w:p w14:paraId="52DF21A2" w14:textId="77777777" w:rsidR="00C03B23" w:rsidRDefault="00C03B23">
      <w:pPr>
        <w:jc w:val="both"/>
      </w:pPr>
      <w:r w:rsidRPr="00C03B23">
        <w:t xml:space="preserve">As shown in Figure 3, the Fishbone analysis links workforce, clinical process, culture, data and governance weaknesses. Its advantage is that it demonstrates interaction between causes, but it has a limitation that it also requires </w:t>
      </w:r>
      <w:proofErr w:type="spellStart"/>
      <w:r w:rsidRPr="00C03B23">
        <w:t>Ockenden</w:t>
      </w:r>
      <w:proofErr w:type="spellEnd"/>
      <w:r w:rsidRPr="00C03B23">
        <w:t xml:space="preserve"> and benchmarking evidence to determine the causes that need to be </w:t>
      </w:r>
      <w:proofErr w:type="spellStart"/>
      <w:r w:rsidRPr="00C03B23">
        <w:t>prioritised</w:t>
      </w:r>
      <w:proofErr w:type="spellEnd"/>
      <w:r w:rsidRPr="00C03B23">
        <w:t>.</w:t>
      </w:r>
    </w:p>
    <w:p w14:paraId="64693126" w14:textId="7F24FE85" w:rsidR="00884B60" w:rsidRDefault="00000000">
      <w:pPr>
        <w:jc w:val="both"/>
        <w:rPr>
          <w:iCs/>
        </w:rPr>
      </w:pPr>
      <w:r>
        <w:rPr>
          <w:iCs/>
          <w:szCs w:val="32"/>
        </w:rPr>
        <w:t>Table 2</w:t>
      </w:r>
      <w:r w:rsidR="00C03B23">
        <w:rPr>
          <w:iCs/>
          <w:szCs w:val="32"/>
        </w:rPr>
        <w:t xml:space="preserve">: </w:t>
      </w:r>
      <w:r>
        <w:rPr>
          <w:iCs/>
          <w:szCs w:val="32"/>
        </w:rPr>
        <w:t xml:space="preserve"> 5 Whys analysis of the </w:t>
      </w:r>
      <w:proofErr w:type="spellStart"/>
      <w:r>
        <w:rPr>
          <w:iCs/>
          <w:szCs w:val="32"/>
        </w:rPr>
        <w:t>SaTH</w:t>
      </w:r>
      <w:proofErr w:type="spellEnd"/>
      <w:r>
        <w:rPr>
          <w:iCs/>
          <w:szCs w:val="32"/>
        </w:rPr>
        <w:t xml:space="preserve"> learning failure.</w:t>
      </w:r>
    </w:p>
    <w:tbl>
      <w:tblPr>
        <w:tblStyle w:val="TableGrid"/>
        <w:tblW w:w="0" w:type="auto"/>
        <w:jc w:val="center"/>
        <w:tblLook w:val="04A0" w:firstRow="1" w:lastRow="0" w:firstColumn="1" w:lastColumn="0" w:noHBand="0" w:noVBand="1"/>
      </w:tblPr>
      <w:tblGrid>
        <w:gridCol w:w="4675"/>
        <w:gridCol w:w="4675"/>
      </w:tblGrid>
      <w:tr w:rsidR="00884B60" w14:paraId="52B45FBC" w14:textId="77777777">
        <w:trPr>
          <w:tblHeader/>
          <w:jc w:val="center"/>
        </w:trPr>
        <w:tc>
          <w:tcPr>
            <w:tcW w:w="4680" w:type="dxa"/>
            <w:shd w:val="clear" w:color="auto" w:fill="D9EAF7"/>
          </w:tcPr>
          <w:p w14:paraId="272FAE09" w14:textId="77777777" w:rsidR="00884B60" w:rsidRDefault="00000000" w:rsidP="00C03B23">
            <w:pPr>
              <w:spacing w:after="0"/>
              <w:rPr>
                <w:szCs w:val="44"/>
              </w:rPr>
            </w:pPr>
            <w:r>
              <w:rPr>
                <w:b/>
                <w:szCs w:val="44"/>
              </w:rPr>
              <w:t>5 Whys question</w:t>
            </w:r>
          </w:p>
        </w:tc>
        <w:tc>
          <w:tcPr>
            <w:tcW w:w="4680" w:type="dxa"/>
            <w:shd w:val="clear" w:color="auto" w:fill="D9EAF7"/>
          </w:tcPr>
          <w:p w14:paraId="6B345BD8" w14:textId="77777777" w:rsidR="00884B60" w:rsidRDefault="00000000" w:rsidP="00C03B23">
            <w:pPr>
              <w:spacing w:after="0"/>
              <w:rPr>
                <w:szCs w:val="44"/>
              </w:rPr>
            </w:pPr>
            <w:r>
              <w:rPr>
                <w:b/>
                <w:szCs w:val="44"/>
              </w:rPr>
              <w:t>Case-specific answer</w:t>
            </w:r>
          </w:p>
        </w:tc>
      </w:tr>
      <w:tr w:rsidR="00884B60" w14:paraId="66F9E422" w14:textId="77777777">
        <w:trPr>
          <w:jc w:val="center"/>
        </w:trPr>
        <w:tc>
          <w:tcPr>
            <w:tcW w:w="4680" w:type="dxa"/>
          </w:tcPr>
          <w:p w14:paraId="6CC98949" w14:textId="77777777" w:rsidR="00884B60" w:rsidRDefault="00000000" w:rsidP="00C03B23">
            <w:pPr>
              <w:spacing w:after="0"/>
              <w:rPr>
                <w:szCs w:val="44"/>
              </w:rPr>
            </w:pPr>
            <w:r>
              <w:rPr>
                <w:szCs w:val="44"/>
              </w:rPr>
              <w:t>Why did harm recur?</w:t>
            </w:r>
          </w:p>
        </w:tc>
        <w:tc>
          <w:tcPr>
            <w:tcW w:w="4680" w:type="dxa"/>
          </w:tcPr>
          <w:p w14:paraId="0AA49522" w14:textId="77777777" w:rsidR="00884B60" w:rsidRDefault="00000000" w:rsidP="00C03B23">
            <w:pPr>
              <w:spacing w:after="0"/>
              <w:rPr>
                <w:szCs w:val="44"/>
              </w:rPr>
            </w:pPr>
            <w:r>
              <w:rPr>
                <w:szCs w:val="44"/>
              </w:rPr>
              <w:t>Risk signals and family concerns were not escalated or learned from reliably.</w:t>
            </w:r>
          </w:p>
        </w:tc>
      </w:tr>
      <w:tr w:rsidR="00884B60" w14:paraId="3E3C2438" w14:textId="77777777">
        <w:trPr>
          <w:jc w:val="center"/>
        </w:trPr>
        <w:tc>
          <w:tcPr>
            <w:tcW w:w="4680" w:type="dxa"/>
          </w:tcPr>
          <w:p w14:paraId="1BB1E1B1" w14:textId="77777777" w:rsidR="00884B60" w:rsidRDefault="00000000" w:rsidP="00C03B23">
            <w:pPr>
              <w:spacing w:after="0"/>
              <w:rPr>
                <w:szCs w:val="44"/>
              </w:rPr>
            </w:pPr>
            <w:r>
              <w:rPr>
                <w:szCs w:val="44"/>
              </w:rPr>
              <w:t>Why was learning weak?</w:t>
            </w:r>
          </w:p>
        </w:tc>
        <w:tc>
          <w:tcPr>
            <w:tcW w:w="4680" w:type="dxa"/>
          </w:tcPr>
          <w:p w14:paraId="122C0803" w14:textId="77777777" w:rsidR="00884B60" w:rsidRDefault="00000000" w:rsidP="00C03B23">
            <w:pPr>
              <w:spacing w:after="0"/>
              <w:rPr>
                <w:szCs w:val="44"/>
              </w:rPr>
            </w:pPr>
            <w:r>
              <w:rPr>
                <w:szCs w:val="44"/>
              </w:rPr>
              <w:t>Investigations and audits did not consistently identify themes or prove action completion.</w:t>
            </w:r>
          </w:p>
        </w:tc>
      </w:tr>
      <w:tr w:rsidR="00884B60" w14:paraId="7F645707" w14:textId="77777777">
        <w:trPr>
          <w:jc w:val="center"/>
        </w:trPr>
        <w:tc>
          <w:tcPr>
            <w:tcW w:w="4680" w:type="dxa"/>
          </w:tcPr>
          <w:p w14:paraId="24465CF9" w14:textId="77777777" w:rsidR="00884B60" w:rsidRDefault="00000000" w:rsidP="00C03B23">
            <w:pPr>
              <w:spacing w:after="0"/>
              <w:rPr>
                <w:szCs w:val="44"/>
              </w:rPr>
            </w:pPr>
            <w:r>
              <w:rPr>
                <w:szCs w:val="44"/>
              </w:rPr>
              <w:t>Why was assurance weak?</w:t>
            </w:r>
          </w:p>
        </w:tc>
        <w:tc>
          <w:tcPr>
            <w:tcW w:w="4680" w:type="dxa"/>
          </w:tcPr>
          <w:p w14:paraId="3A699420" w14:textId="77777777" w:rsidR="00884B60" w:rsidRDefault="00000000" w:rsidP="00C03B23">
            <w:pPr>
              <w:spacing w:after="0"/>
              <w:rPr>
                <w:szCs w:val="44"/>
              </w:rPr>
            </w:pPr>
            <w:r>
              <w:rPr>
                <w:szCs w:val="44"/>
              </w:rPr>
              <w:t>Board reporting did not test whether practice had changed at ward level.</w:t>
            </w:r>
          </w:p>
        </w:tc>
      </w:tr>
      <w:tr w:rsidR="00884B60" w14:paraId="1B48310C" w14:textId="77777777">
        <w:trPr>
          <w:jc w:val="center"/>
        </w:trPr>
        <w:tc>
          <w:tcPr>
            <w:tcW w:w="4680" w:type="dxa"/>
          </w:tcPr>
          <w:p w14:paraId="476BABB7" w14:textId="77777777" w:rsidR="00884B60" w:rsidRDefault="00000000" w:rsidP="00C03B23">
            <w:pPr>
              <w:spacing w:after="0"/>
              <w:rPr>
                <w:szCs w:val="44"/>
              </w:rPr>
            </w:pPr>
            <w:r>
              <w:rPr>
                <w:szCs w:val="44"/>
              </w:rPr>
              <w:lastRenderedPageBreak/>
              <w:t>Why was challenge limited?</w:t>
            </w:r>
          </w:p>
        </w:tc>
        <w:tc>
          <w:tcPr>
            <w:tcW w:w="4680" w:type="dxa"/>
          </w:tcPr>
          <w:p w14:paraId="08A77535" w14:textId="77777777" w:rsidR="00884B60" w:rsidRDefault="00000000" w:rsidP="00C03B23">
            <w:pPr>
              <w:spacing w:after="0"/>
              <w:rPr>
                <w:szCs w:val="44"/>
              </w:rPr>
            </w:pPr>
            <w:r>
              <w:rPr>
                <w:szCs w:val="44"/>
              </w:rPr>
              <w:t>Defensive culture and workforce pressure reduced openness and escalation.</w:t>
            </w:r>
          </w:p>
        </w:tc>
      </w:tr>
      <w:tr w:rsidR="00884B60" w14:paraId="0B345EE0" w14:textId="77777777">
        <w:trPr>
          <w:jc w:val="center"/>
        </w:trPr>
        <w:tc>
          <w:tcPr>
            <w:tcW w:w="4680" w:type="dxa"/>
          </w:tcPr>
          <w:p w14:paraId="3B8E5514" w14:textId="77777777" w:rsidR="00884B60" w:rsidRDefault="00000000" w:rsidP="00C03B23">
            <w:pPr>
              <w:spacing w:after="0"/>
              <w:rPr>
                <w:szCs w:val="44"/>
              </w:rPr>
            </w:pPr>
            <w:r>
              <w:rPr>
                <w:szCs w:val="44"/>
              </w:rPr>
              <w:t>Root cause</w:t>
            </w:r>
          </w:p>
        </w:tc>
        <w:tc>
          <w:tcPr>
            <w:tcW w:w="4680" w:type="dxa"/>
          </w:tcPr>
          <w:p w14:paraId="5E62B130" w14:textId="77777777" w:rsidR="00884B60" w:rsidRDefault="00000000" w:rsidP="00C03B23">
            <w:pPr>
              <w:spacing w:after="0"/>
              <w:rPr>
                <w:szCs w:val="44"/>
              </w:rPr>
            </w:pPr>
            <w:r>
              <w:rPr>
                <w:szCs w:val="44"/>
              </w:rPr>
              <w:t>A fragmented learning system failed to convert evidence into safer routines.</w:t>
            </w:r>
          </w:p>
        </w:tc>
      </w:tr>
    </w:tbl>
    <w:p w14:paraId="73286215" w14:textId="457887DD" w:rsidR="00884B60" w:rsidRPr="00C03B23" w:rsidRDefault="00000000">
      <w:pPr>
        <w:spacing w:line="240" w:lineRule="auto"/>
        <w:jc w:val="center"/>
        <w:rPr>
          <w:sz w:val="28"/>
          <w:szCs w:val="28"/>
        </w:rPr>
      </w:pPr>
      <w:r w:rsidRPr="00C03B23">
        <w:rPr>
          <w:i/>
          <w:szCs w:val="28"/>
        </w:rPr>
        <w:t xml:space="preserve">Source: </w:t>
      </w:r>
      <w:proofErr w:type="spellStart"/>
      <w:r w:rsidRPr="00C03B23">
        <w:rPr>
          <w:i/>
          <w:szCs w:val="28"/>
        </w:rPr>
        <w:t>Ockenden</w:t>
      </w:r>
      <w:proofErr w:type="spellEnd"/>
      <w:r w:rsidRPr="00C03B23">
        <w:rPr>
          <w:i/>
          <w:szCs w:val="28"/>
        </w:rPr>
        <w:t xml:space="preserve"> (2022).</w:t>
      </w:r>
    </w:p>
    <w:p w14:paraId="6F47ADFF" w14:textId="77777777" w:rsidR="00884B60" w:rsidRPr="00C03B23" w:rsidRDefault="00000000">
      <w:pPr>
        <w:pStyle w:val="Heading2"/>
        <w:spacing w:before="100" w:after="100"/>
        <w:rPr>
          <w:rFonts w:ascii="Arial" w:hAnsi="Arial" w:cs="Arial"/>
        </w:rPr>
      </w:pPr>
      <w:bookmarkStart w:id="4" w:name="_Toc235710334"/>
      <w:r w:rsidRPr="00C03B23">
        <w:rPr>
          <w:rFonts w:ascii="Arial" w:hAnsi="Arial" w:cs="Arial"/>
        </w:rPr>
        <w:t>2.3 Strengths, Weaknesses, Opportunities and Threats (SWOT) analysis</w:t>
      </w:r>
      <w:bookmarkEnd w:id="4"/>
    </w:p>
    <w:p w14:paraId="5EACACF7" w14:textId="77777777" w:rsidR="00C03B23" w:rsidRDefault="00C03B23">
      <w:pPr>
        <w:jc w:val="both"/>
      </w:pPr>
      <w:r w:rsidRPr="00C03B23">
        <w:t xml:space="preserve">Strengths, Weaknesses, Opportunities and Threats (SWOT) </w:t>
      </w:r>
      <w:proofErr w:type="gramStart"/>
      <w:r w:rsidRPr="00C03B23">
        <w:t>is</w:t>
      </w:r>
      <w:proofErr w:type="gramEnd"/>
      <w:r w:rsidRPr="00C03B23">
        <w:t xml:space="preserve"> used because </w:t>
      </w:r>
      <w:proofErr w:type="spellStart"/>
      <w:r w:rsidRPr="00C03B23">
        <w:t>SaTH</w:t>
      </w:r>
      <w:proofErr w:type="spellEnd"/>
      <w:r w:rsidRPr="00C03B23">
        <w:t xml:space="preserve"> faces internal weaknesses and external pressures. The four quadrants position the workforce capacity, Board oversight and defensive culture and litigation pressure and public distrust. PESTLE would reflect the macro-environment, but would be less straightforward when it comes to connecting internal deficiencies with improvement levers. The quadrant structure can only be helpful in cases when it is evidence-led as opposed to implementing it instead of </w:t>
      </w:r>
      <w:proofErr w:type="spellStart"/>
      <w:r w:rsidRPr="00C03B23">
        <w:t>prioritisation</w:t>
      </w:r>
      <w:proofErr w:type="spellEnd"/>
      <w:r w:rsidRPr="00C03B23">
        <w:t xml:space="preserve"> (Helms and Nixon, 2010).</w:t>
      </w:r>
    </w:p>
    <w:p w14:paraId="02A067B9" w14:textId="4D44ACF9" w:rsidR="00C03B23" w:rsidRDefault="00C03B23">
      <w:pPr>
        <w:jc w:val="both"/>
      </w:pPr>
      <w:r w:rsidRPr="00C03B23">
        <w:t xml:space="preserve">The drawback of SWOT is that it is able to reduce power and culture into a grid. Naming a defensive culture does not give an answer to why staff would be afraid of blame, families might not believe and Boards accept assurance reports without verifying the frontline reality. </w:t>
      </w:r>
      <w:proofErr w:type="spellStart"/>
      <w:r w:rsidRPr="00C03B23">
        <w:t>SaTH</w:t>
      </w:r>
      <w:proofErr w:type="spellEnd"/>
      <w:r w:rsidRPr="00C03B23">
        <w:t xml:space="preserve"> will have to integrate psychological safety with accountability at work (Edmondson, 1999; Francis, 2013).</w:t>
      </w:r>
    </w:p>
    <w:p w14:paraId="60B40996" w14:textId="75E0A3F8" w:rsidR="00884B60" w:rsidRDefault="00000000">
      <w:pPr>
        <w:jc w:val="both"/>
      </w:pPr>
      <w:r>
        <w:t xml:space="preserve">Table 3. SWOT quadrant analysis for </w:t>
      </w:r>
      <w:proofErr w:type="spellStart"/>
      <w:r>
        <w:t>SaTH</w:t>
      </w:r>
      <w:proofErr w:type="spellEnd"/>
      <w:r>
        <w:t xml:space="preserve"> maternity improvement.</w:t>
      </w:r>
    </w:p>
    <w:tbl>
      <w:tblPr>
        <w:tblStyle w:val="TableGrid"/>
        <w:tblW w:w="0" w:type="auto"/>
        <w:jc w:val="center"/>
        <w:tblLook w:val="04A0" w:firstRow="1" w:lastRow="0" w:firstColumn="1" w:lastColumn="0" w:noHBand="0" w:noVBand="1"/>
      </w:tblPr>
      <w:tblGrid>
        <w:gridCol w:w="2875"/>
        <w:gridCol w:w="6475"/>
      </w:tblGrid>
      <w:tr w:rsidR="00884B60" w14:paraId="4649ED09" w14:textId="77777777">
        <w:trPr>
          <w:tblHeader/>
          <w:jc w:val="center"/>
        </w:trPr>
        <w:tc>
          <w:tcPr>
            <w:tcW w:w="2875" w:type="dxa"/>
            <w:shd w:val="clear" w:color="auto" w:fill="D9EAF7"/>
          </w:tcPr>
          <w:p w14:paraId="06581C44" w14:textId="77777777" w:rsidR="00884B60" w:rsidRDefault="00000000" w:rsidP="00C03B23">
            <w:pPr>
              <w:spacing w:after="0"/>
              <w:rPr>
                <w:szCs w:val="44"/>
              </w:rPr>
            </w:pPr>
            <w:r>
              <w:rPr>
                <w:b/>
                <w:szCs w:val="44"/>
              </w:rPr>
              <w:t>SWOT area</w:t>
            </w:r>
          </w:p>
        </w:tc>
        <w:tc>
          <w:tcPr>
            <w:tcW w:w="6475" w:type="dxa"/>
            <w:shd w:val="clear" w:color="auto" w:fill="D9EAF7"/>
          </w:tcPr>
          <w:p w14:paraId="7D411EDD" w14:textId="77777777" w:rsidR="00884B60" w:rsidRDefault="00000000" w:rsidP="00C03B23">
            <w:pPr>
              <w:spacing w:after="0"/>
              <w:rPr>
                <w:szCs w:val="44"/>
              </w:rPr>
            </w:pPr>
            <w:r>
              <w:rPr>
                <w:b/>
                <w:szCs w:val="44"/>
              </w:rPr>
              <w:t>Critical interpretation for SaTH improvement</w:t>
            </w:r>
          </w:p>
        </w:tc>
      </w:tr>
      <w:tr w:rsidR="00884B60" w14:paraId="6C66BE5B" w14:textId="77777777">
        <w:trPr>
          <w:jc w:val="center"/>
        </w:trPr>
        <w:tc>
          <w:tcPr>
            <w:tcW w:w="2875" w:type="dxa"/>
          </w:tcPr>
          <w:p w14:paraId="1D1749B7" w14:textId="77777777" w:rsidR="00884B60" w:rsidRDefault="00000000" w:rsidP="00C03B23">
            <w:pPr>
              <w:spacing w:after="0"/>
              <w:rPr>
                <w:szCs w:val="44"/>
              </w:rPr>
            </w:pPr>
            <w:r>
              <w:rPr>
                <w:szCs w:val="44"/>
              </w:rPr>
              <w:t>Strengths</w:t>
            </w:r>
          </w:p>
        </w:tc>
        <w:tc>
          <w:tcPr>
            <w:tcW w:w="6475" w:type="dxa"/>
          </w:tcPr>
          <w:p w14:paraId="2173A3FC" w14:textId="77777777" w:rsidR="00884B60" w:rsidRDefault="00000000" w:rsidP="00C03B23">
            <w:pPr>
              <w:spacing w:after="0"/>
              <w:rPr>
                <w:szCs w:val="44"/>
              </w:rPr>
            </w:pPr>
            <w:r>
              <w:rPr>
                <w:szCs w:val="44"/>
              </w:rPr>
              <w:t>Clear Ockenden evidence, national attention, benchmark standards and existing maternity improvement infrastructure.</w:t>
            </w:r>
          </w:p>
        </w:tc>
      </w:tr>
      <w:tr w:rsidR="00884B60" w14:paraId="32119DEC" w14:textId="77777777">
        <w:trPr>
          <w:jc w:val="center"/>
        </w:trPr>
        <w:tc>
          <w:tcPr>
            <w:tcW w:w="2875" w:type="dxa"/>
          </w:tcPr>
          <w:p w14:paraId="3CA191A9" w14:textId="77777777" w:rsidR="00884B60" w:rsidRDefault="00000000" w:rsidP="00C03B23">
            <w:pPr>
              <w:spacing w:after="0"/>
              <w:rPr>
                <w:szCs w:val="44"/>
              </w:rPr>
            </w:pPr>
            <w:r>
              <w:rPr>
                <w:szCs w:val="44"/>
              </w:rPr>
              <w:t>Weaknesses</w:t>
            </w:r>
          </w:p>
        </w:tc>
        <w:tc>
          <w:tcPr>
            <w:tcW w:w="6475" w:type="dxa"/>
          </w:tcPr>
          <w:p w14:paraId="1D5DC9C0" w14:textId="77777777" w:rsidR="00884B60" w:rsidRDefault="00000000" w:rsidP="00C03B23">
            <w:pPr>
              <w:spacing w:after="0"/>
              <w:rPr>
                <w:szCs w:val="44"/>
              </w:rPr>
            </w:pPr>
            <w:r>
              <w:rPr>
                <w:szCs w:val="44"/>
              </w:rPr>
              <w:t>Defensive culture, workforce pressure, weak audit closure and poor use of family voice.</w:t>
            </w:r>
          </w:p>
        </w:tc>
      </w:tr>
      <w:tr w:rsidR="00884B60" w14:paraId="30088881" w14:textId="77777777">
        <w:trPr>
          <w:jc w:val="center"/>
        </w:trPr>
        <w:tc>
          <w:tcPr>
            <w:tcW w:w="2875" w:type="dxa"/>
          </w:tcPr>
          <w:p w14:paraId="68E43209" w14:textId="77777777" w:rsidR="00884B60" w:rsidRDefault="00000000" w:rsidP="00C03B23">
            <w:pPr>
              <w:spacing w:after="0"/>
              <w:rPr>
                <w:szCs w:val="44"/>
              </w:rPr>
            </w:pPr>
            <w:r>
              <w:rPr>
                <w:szCs w:val="44"/>
              </w:rPr>
              <w:t>Opportunities</w:t>
            </w:r>
          </w:p>
        </w:tc>
        <w:tc>
          <w:tcPr>
            <w:tcW w:w="6475" w:type="dxa"/>
          </w:tcPr>
          <w:p w14:paraId="1560722B" w14:textId="77777777" w:rsidR="00884B60" w:rsidRDefault="00000000" w:rsidP="00C03B23">
            <w:pPr>
              <w:spacing w:after="0"/>
              <w:rPr>
                <w:szCs w:val="44"/>
              </w:rPr>
            </w:pPr>
            <w:r>
              <w:rPr>
                <w:szCs w:val="44"/>
              </w:rPr>
              <w:t>Patient Safety Incident Response Framework (PSIRF), Maternity Incentive Scheme (MIS), digital dashboards, maternity voices partnerships and external peer challenge.</w:t>
            </w:r>
          </w:p>
        </w:tc>
      </w:tr>
      <w:tr w:rsidR="00884B60" w14:paraId="7182FD3E" w14:textId="77777777">
        <w:trPr>
          <w:jc w:val="center"/>
        </w:trPr>
        <w:tc>
          <w:tcPr>
            <w:tcW w:w="2875" w:type="dxa"/>
          </w:tcPr>
          <w:p w14:paraId="52698F22" w14:textId="77777777" w:rsidR="00884B60" w:rsidRDefault="00000000" w:rsidP="00C03B23">
            <w:pPr>
              <w:spacing w:after="0"/>
              <w:rPr>
                <w:szCs w:val="44"/>
              </w:rPr>
            </w:pPr>
            <w:r>
              <w:rPr>
                <w:szCs w:val="44"/>
              </w:rPr>
              <w:t>Threats</w:t>
            </w:r>
          </w:p>
        </w:tc>
        <w:tc>
          <w:tcPr>
            <w:tcW w:w="6475" w:type="dxa"/>
          </w:tcPr>
          <w:p w14:paraId="36A4F620" w14:textId="77777777" w:rsidR="00884B60" w:rsidRDefault="00000000" w:rsidP="00C03B23">
            <w:pPr>
              <w:spacing w:after="0"/>
              <w:rPr>
                <w:szCs w:val="44"/>
              </w:rPr>
            </w:pPr>
            <w:r>
              <w:rPr>
                <w:szCs w:val="44"/>
              </w:rPr>
              <w:t>Staff turnover, litigation fear, improvement fatigue and inequity in access or communication.</w:t>
            </w:r>
          </w:p>
        </w:tc>
      </w:tr>
    </w:tbl>
    <w:p w14:paraId="493A28A3" w14:textId="45FF5130" w:rsidR="00884B60" w:rsidRPr="00C03B23" w:rsidRDefault="00000000">
      <w:pPr>
        <w:spacing w:line="240" w:lineRule="auto"/>
        <w:jc w:val="center"/>
        <w:rPr>
          <w:sz w:val="28"/>
          <w:szCs w:val="28"/>
        </w:rPr>
      </w:pPr>
      <w:r w:rsidRPr="00C03B23">
        <w:rPr>
          <w:i/>
          <w:szCs w:val="28"/>
        </w:rPr>
        <w:t>Source: SWOT framework informed by Helms and Nixon (2010); case analysis based on CQC (2024) and NHS England (2023a).</w:t>
      </w:r>
    </w:p>
    <w:p w14:paraId="5735CB75" w14:textId="77777777" w:rsidR="00884B60" w:rsidRPr="00C03B23" w:rsidRDefault="00000000">
      <w:pPr>
        <w:pStyle w:val="Heading2"/>
        <w:spacing w:before="100" w:after="100"/>
        <w:rPr>
          <w:rFonts w:ascii="Arial" w:hAnsi="Arial" w:cs="Arial"/>
        </w:rPr>
      </w:pPr>
      <w:bookmarkStart w:id="5" w:name="_Toc235710335"/>
      <w:r w:rsidRPr="00C03B23">
        <w:rPr>
          <w:rFonts w:ascii="Arial" w:hAnsi="Arial" w:cs="Arial"/>
        </w:rPr>
        <w:lastRenderedPageBreak/>
        <w:t>2.4 Plan-Do-Study-Act (PDSA) and Kotter change model</w:t>
      </w:r>
      <w:bookmarkEnd w:id="5"/>
    </w:p>
    <w:p w14:paraId="4F9A049B" w14:textId="77777777" w:rsidR="00C03B23" w:rsidRDefault="00C03B23">
      <w:pPr>
        <w:jc w:val="both"/>
      </w:pPr>
      <w:r w:rsidRPr="00C03B23">
        <w:t xml:space="preserve">Plan-Do-Study-Act (PDSA) is appropriate due to the fact that </w:t>
      </w:r>
      <w:proofErr w:type="spellStart"/>
      <w:r w:rsidRPr="00C03B23">
        <w:t>SaTH</w:t>
      </w:r>
      <w:proofErr w:type="spellEnd"/>
      <w:r w:rsidRPr="00C03B23">
        <w:t xml:space="preserve"> requires testable services adjustments, rather than one big plan. It was chosen over Plan-Do-Check-Act (PDCA) since the Stage of Study requires teams to evaluate predictions and data comparison, learn variation and amend the theory of change, and scale-up (Institute for Healthcare Improvement, 2024; Langley et al., 2009). PDCA may be interpreted more specifically as measuring the completion against an intended standard. A scaled triage trigger tool must have the reduction of risk trigger to senior review (Taylor et al., 2014). </w:t>
      </w:r>
    </w:p>
    <w:p w14:paraId="2E248AC0" w14:textId="13A7FAD5" w:rsidR="00C03B23" w:rsidRDefault="00C03B23">
      <w:pPr>
        <w:jc w:val="both"/>
      </w:pPr>
      <w:r w:rsidRPr="00C03B23">
        <w:t>Kotter is incorporated since the goal of maternity safety improvement is also a change management activity. Improvement can go beyond single audits and be driven by urgency, coalition building, communication, short-term wins and cultural anchoring (Kotter, 1996). However, Kotter is able to minimize resource limitations. Acuity beyond capacity, lack of senior review or not safeguarded training cannot convince the staff to practice in a safe way. PDSA thus needs to test reliability and Kotter advocates leadership and accountability.</w:t>
      </w:r>
    </w:p>
    <w:p w14:paraId="46382D24" w14:textId="77777777" w:rsidR="00884B60" w:rsidRDefault="00000000">
      <w:r>
        <w:rPr>
          <w:noProof/>
        </w:rPr>
        <w:drawing>
          <wp:inline distT="0" distB="0" distL="0" distR="0" wp14:anchorId="327F1974" wp14:editId="5112C611">
            <wp:extent cx="6219190" cy="3614058"/>
            <wp:effectExtent l="0" t="0" r="0" b="5715"/>
            <wp:docPr id="1841896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253330" cy="3633897"/>
                    </a:xfrm>
                    <a:prstGeom prst="rect">
                      <a:avLst/>
                    </a:prstGeom>
                    <a:noFill/>
                  </pic:spPr>
                </pic:pic>
              </a:graphicData>
            </a:graphic>
          </wp:inline>
        </w:drawing>
      </w:r>
    </w:p>
    <w:p w14:paraId="7428996A" w14:textId="77777777" w:rsidR="00884B60" w:rsidRDefault="00000000">
      <w:pPr>
        <w:spacing w:line="240" w:lineRule="auto"/>
        <w:jc w:val="center"/>
      </w:pPr>
      <w:r>
        <w:t>Figure 4. PDSA cycles inside Kotter change leadership. Source: Author's analysis based on Kotter (1996) and Taylor et al. (2014).</w:t>
      </w:r>
    </w:p>
    <w:p w14:paraId="6E3BFEC3" w14:textId="77777777" w:rsidR="00C03B23" w:rsidRDefault="00C03B23">
      <w:pPr>
        <w:jc w:val="both"/>
      </w:pPr>
      <w:r w:rsidRPr="00C03B23">
        <w:t xml:space="preserve">As Figure 4 demonstrates, the practical testing is the testing cycle that is provided by PDSA, whereas the leadership, accountability and cultural anchoring are supported by Kotter. The figure </w:t>
      </w:r>
      <w:r w:rsidRPr="00C03B23">
        <w:lastRenderedPageBreak/>
        <w:t xml:space="preserve">then serves to indicate that </w:t>
      </w:r>
      <w:proofErr w:type="spellStart"/>
      <w:r w:rsidRPr="00C03B23">
        <w:t>SaTH</w:t>
      </w:r>
      <w:proofErr w:type="spellEnd"/>
      <w:r w:rsidRPr="00C03B23">
        <w:t xml:space="preserve"> requires the implementable experiments and long-term change leadership.</w:t>
      </w:r>
    </w:p>
    <w:p w14:paraId="0EB1995A" w14:textId="77777777" w:rsidR="00884B60" w:rsidRDefault="00000000">
      <w:pPr>
        <w:pStyle w:val="Heading2"/>
        <w:spacing w:before="100" w:after="100"/>
        <w:rPr>
          <w:rFonts w:ascii="Arial" w:hAnsi="Arial" w:cs="Arial"/>
        </w:rPr>
      </w:pPr>
      <w:bookmarkStart w:id="6" w:name="_Toc235710336"/>
      <w:r>
        <w:rPr>
          <w:rFonts w:ascii="Arial" w:hAnsi="Arial" w:cs="Arial"/>
        </w:rPr>
        <w:t>2.5 Benchmarking and impact on service provision</w:t>
      </w:r>
      <w:bookmarkEnd w:id="6"/>
    </w:p>
    <w:p w14:paraId="38B7AEEB" w14:textId="77777777" w:rsidR="00C03B23" w:rsidRDefault="00C03B23">
      <w:pPr>
        <w:jc w:val="both"/>
      </w:pPr>
      <w:r w:rsidRPr="00C03B23">
        <w:t xml:space="preserve">Benchmarking reinforces the analysis in that it contrasts previous weaknesses of </w:t>
      </w:r>
      <w:proofErr w:type="spellStart"/>
      <w:r w:rsidRPr="00C03B23">
        <w:t>SaTH</w:t>
      </w:r>
      <w:proofErr w:type="spellEnd"/>
      <w:r w:rsidRPr="00C03B23">
        <w:t xml:space="preserve"> with external expectations, not just the internal procedures. Table 4 has a benchmarking framework that is consistent with the initial case diagnosis and connects each gap to national maternity safety standards, such as the National Institute of Health and Care Excellence (NICE), NHS England, Care Quality Commission (CQC), NHS Resolution, and MBRRACE-UK. This proves the fact that the issue was unsuccessful local translation and not non-existent policy. </w:t>
      </w:r>
    </w:p>
    <w:p w14:paraId="6BDB48E2" w14:textId="5687F465" w:rsidR="00C03B23" w:rsidRDefault="00C03B23">
      <w:pPr>
        <w:jc w:val="both"/>
      </w:pPr>
      <w:r w:rsidRPr="00C03B23">
        <w:t>As shown in Table 4, the strongest gaps were escalation, incident learning, family voice, Board assurance and workforce culture. These loopholes had impacts on quality as care delivery could not be considered as consistently safe, efficiency since investigations had to be repeated multiple times, which wasted resources and equity since women and families with language or access barriers might be left out of the safety system (World Health Organization, 2016; NHS England, 2026).</w:t>
      </w:r>
    </w:p>
    <w:p w14:paraId="2393CE7C" w14:textId="786536B9" w:rsidR="00884B60" w:rsidRDefault="00000000">
      <w:pPr>
        <w:keepNext/>
        <w:spacing w:after="60"/>
        <w:jc w:val="both"/>
      </w:pPr>
      <w:r>
        <w:t>Table 4. Evaluation and benchmarking against national maternity safety standards.</w:t>
      </w:r>
    </w:p>
    <w:tbl>
      <w:tblPr>
        <w:tblStyle w:val="TableGrid"/>
        <w:tblW w:w="0" w:type="auto"/>
        <w:jc w:val="center"/>
        <w:tblLook w:val="04A0" w:firstRow="1" w:lastRow="0" w:firstColumn="1" w:lastColumn="0" w:noHBand="0" w:noVBand="1"/>
      </w:tblPr>
      <w:tblGrid>
        <w:gridCol w:w="1600"/>
        <w:gridCol w:w="2600"/>
        <w:gridCol w:w="2300"/>
        <w:gridCol w:w="2300"/>
      </w:tblGrid>
      <w:tr w:rsidR="00884B60" w:rsidRPr="00C03B23" w14:paraId="2DC85DDA" w14:textId="77777777">
        <w:trPr>
          <w:tblHeader/>
          <w:jc w:val="center"/>
        </w:trPr>
        <w:tc>
          <w:tcPr>
            <w:tcW w:w="1600" w:type="dxa"/>
            <w:shd w:val="clear" w:color="auto" w:fill="D9EAF7"/>
          </w:tcPr>
          <w:p w14:paraId="51D10819" w14:textId="77777777" w:rsidR="00884B60" w:rsidRPr="00C03B23" w:rsidRDefault="00000000" w:rsidP="00C03B23">
            <w:pPr>
              <w:spacing w:after="0"/>
              <w:rPr>
                <w:szCs w:val="52"/>
              </w:rPr>
            </w:pPr>
            <w:r w:rsidRPr="00C03B23">
              <w:rPr>
                <w:b/>
                <w:szCs w:val="52"/>
              </w:rPr>
              <w:t>Indicator</w:t>
            </w:r>
          </w:p>
        </w:tc>
        <w:tc>
          <w:tcPr>
            <w:tcW w:w="2600" w:type="dxa"/>
            <w:shd w:val="clear" w:color="auto" w:fill="D9EAF7"/>
          </w:tcPr>
          <w:p w14:paraId="5B308005" w14:textId="77777777" w:rsidR="00884B60" w:rsidRPr="00C03B23" w:rsidRDefault="00000000" w:rsidP="00C03B23">
            <w:pPr>
              <w:spacing w:after="0"/>
              <w:rPr>
                <w:szCs w:val="52"/>
              </w:rPr>
            </w:pPr>
            <w:r w:rsidRPr="00C03B23">
              <w:rPr>
                <w:b/>
                <w:szCs w:val="52"/>
              </w:rPr>
              <w:t>National standard</w:t>
            </w:r>
          </w:p>
        </w:tc>
        <w:tc>
          <w:tcPr>
            <w:tcW w:w="2300" w:type="dxa"/>
            <w:shd w:val="clear" w:color="auto" w:fill="D9EAF7"/>
          </w:tcPr>
          <w:p w14:paraId="6EAC30F5" w14:textId="77777777" w:rsidR="00884B60" w:rsidRPr="00C03B23" w:rsidRDefault="00000000" w:rsidP="00C03B23">
            <w:pPr>
              <w:spacing w:after="0"/>
              <w:rPr>
                <w:szCs w:val="52"/>
              </w:rPr>
            </w:pPr>
            <w:r w:rsidRPr="00C03B23">
              <w:rPr>
                <w:b/>
                <w:szCs w:val="52"/>
              </w:rPr>
              <w:t>SaTH before state</w:t>
            </w:r>
          </w:p>
        </w:tc>
        <w:tc>
          <w:tcPr>
            <w:tcW w:w="2300" w:type="dxa"/>
            <w:shd w:val="clear" w:color="auto" w:fill="D9EAF7"/>
          </w:tcPr>
          <w:p w14:paraId="5EDF0B7B" w14:textId="77777777" w:rsidR="00884B60" w:rsidRPr="00C03B23" w:rsidRDefault="00000000" w:rsidP="00C03B23">
            <w:pPr>
              <w:spacing w:after="0"/>
              <w:rPr>
                <w:szCs w:val="52"/>
              </w:rPr>
            </w:pPr>
            <w:r w:rsidRPr="00C03B23">
              <w:rPr>
                <w:b/>
                <w:szCs w:val="52"/>
              </w:rPr>
              <w:t>Brief explanation of gap</w:t>
            </w:r>
          </w:p>
        </w:tc>
      </w:tr>
      <w:tr w:rsidR="00884B60" w:rsidRPr="00C03B23" w14:paraId="2CB3BFF1" w14:textId="77777777">
        <w:trPr>
          <w:jc w:val="center"/>
        </w:trPr>
        <w:tc>
          <w:tcPr>
            <w:tcW w:w="1600" w:type="dxa"/>
          </w:tcPr>
          <w:p w14:paraId="7AC54ACF" w14:textId="77777777" w:rsidR="00884B60" w:rsidRPr="00C03B23" w:rsidRDefault="00000000" w:rsidP="00C03B23">
            <w:pPr>
              <w:spacing w:after="0"/>
              <w:rPr>
                <w:szCs w:val="52"/>
              </w:rPr>
            </w:pPr>
            <w:r w:rsidRPr="00C03B23">
              <w:rPr>
                <w:szCs w:val="52"/>
              </w:rPr>
              <w:t>Incident review and learning</w:t>
            </w:r>
          </w:p>
        </w:tc>
        <w:tc>
          <w:tcPr>
            <w:tcW w:w="2600" w:type="dxa"/>
          </w:tcPr>
          <w:p w14:paraId="7DD3E680" w14:textId="77777777" w:rsidR="00884B60" w:rsidRPr="00C03B23" w:rsidRDefault="00000000" w:rsidP="00C03B23">
            <w:pPr>
              <w:spacing w:after="0"/>
              <w:rPr>
                <w:szCs w:val="52"/>
              </w:rPr>
            </w:pPr>
            <w:r w:rsidRPr="00C03B23">
              <w:rPr>
                <w:szCs w:val="52"/>
              </w:rPr>
              <w:t>Incidents should trigger proportionate learning responses, compassionate engagement and visible governance action (NHS England, 2022a; Care Quality Commission, 2024).</w:t>
            </w:r>
          </w:p>
        </w:tc>
        <w:tc>
          <w:tcPr>
            <w:tcW w:w="2300" w:type="dxa"/>
          </w:tcPr>
          <w:p w14:paraId="453EADB7" w14:textId="77777777" w:rsidR="00884B60" w:rsidRPr="00C03B23" w:rsidRDefault="00000000" w:rsidP="00C03B23">
            <w:pPr>
              <w:spacing w:after="0"/>
              <w:rPr>
                <w:szCs w:val="52"/>
              </w:rPr>
            </w:pPr>
            <w:r w:rsidRPr="00C03B23">
              <w:rPr>
                <w:szCs w:val="52"/>
              </w:rPr>
              <w:t>The review covered 1,592 clinical incidents involving 1,486 families and found repeated missed learning (Ockenden, 2022).</w:t>
            </w:r>
          </w:p>
        </w:tc>
        <w:tc>
          <w:tcPr>
            <w:tcW w:w="2300" w:type="dxa"/>
          </w:tcPr>
          <w:p w14:paraId="109B3101" w14:textId="77777777" w:rsidR="00884B60" w:rsidRPr="00C03B23" w:rsidRDefault="00000000" w:rsidP="00C03B23">
            <w:pPr>
              <w:spacing w:after="0"/>
              <w:rPr>
                <w:szCs w:val="52"/>
              </w:rPr>
            </w:pPr>
            <w:r w:rsidRPr="00C03B23">
              <w:rPr>
                <w:szCs w:val="52"/>
              </w:rPr>
              <w:t>Reporting existed, but assurance did not reliably convert evidence into sustained safer practice (Ockenden, 2022).</w:t>
            </w:r>
          </w:p>
        </w:tc>
      </w:tr>
      <w:tr w:rsidR="00884B60" w:rsidRPr="00C03B23" w14:paraId="6926DBDA" w14:textId="77777777">
        <w:trPr>
          <w:jc w:val="center"/>
        </w:trPr>
        <w:tc>
          <w:tcPr>
            <w:tcW w:w="1600" w:type="dxa"/>
          </w:tcPr>
          <w:p w14:paraId="06D74C75" w14:textId="77777777" w:rsidR="00884B60" w:rsidRPr="00C03B23" w:rsidRDefault="00000000" w:rsidP="00C03B23">
            <w:pPr>
              <w:spacing w:after="0"/>
              <w:rPr>
                <w:szCs w:val="52"/>
              </w:rPr>
            </w:pPr>
            <w:r w:rsidRPr="00C03B23">
              <w:rPr>
                <w:szCs w:val="52"/>
              </w:rPr>
              <w:t xml:space="preserve">Risk assessment, fetal monitoring </w:t>
            </w:r>
            <w:r w:rsidRPr="00C03B23">
              <w:rPr>
                <w:szCs w:val="52"/>
              </w:rPr>
              <w:lastRenderedPageBreak/>
              <w:t>and escalation</w:t>
            </w:r>
          </w:p>
        </w:tc>
        <w:tc>
          <w:tcPr>
            <w:tcW w:w="2600" w:type="dxa"/>
          </w:tcPr>
          <w:p w14:paraId="0C9CD80F" w14:textId="77777777" w:rsidR="00884B60" w:rsidRPr="00C03B23" w:rsidRDefault="00000000" w:rsidP="00C03B23">
            <w:pPr>
              <w:spacing w:after="0"/>
              <w:rPr>
                <w:szCs w:val="52"/>
              </w:rPr>
            </w:pPr>
            <w:r w:rsidRPr="00C03B23">
              <w:rPr>
                <w:szCs w:val="52"/>
              </w:rPr>
              <w:lastRenderedPageBreak/>
              <w:t xml:space="preserve">NICE and Saving Babies' Lives expect ongoing risk assessment, appropriate fetal </w:t>
            </w:r>
            <w:r w:rsidRPr="00C03B23">
              <w:rPr>
                <w:szCs w:val="52"/>
              </w:rPr>
              <w:lastRenderedPageBreak/>
              <w:t>monitoring and escalation when risk changes (National Institute for Health and Care Excellence, 2023; NHS England, 2023b).</w:t>
            </w:r>
          </w:p>
        </w:tc>
        <w:tc>
          <w:tcPr>
            <w:tcW w:w="2300" w:type="dxa"/>
          </w:tcPr>
          <w:p w14:paraId="781969B9" w14:textId="77777777" w:rsidR="00884B60" w:rsidRPr="00C03B23" w:rsidRDefault="00000000" w:rsidP="00C03B23">
            <w:pPr>
              <w:spacing w:after="0"/>
              <w:rPr>
                <w:szCs w:val="52"/>
              </w:rPr>
            </w:pPr>
            <w:r w:rsidRPr="00C03B23">
              <w:rPr>
                <w:szCs w:val="52"/>
              </w:rPr>
              <w:lastRenderedPageBreak/>
              <w:t xml:space="preserve">Repeated problems were identified in recognising deterioration, interpreting </w:t>
            </w:r>
            <w:r w:rsidRPr="00C03B23">
              <w:rPr>
                <w:szCs w:val="52"/>
              </w:rPr>
              <w:lastRenderedPageBreak/>
              <w:t>monitoring and escalating risk (Ockenden, 2022; Healthcare Safety Investigation Branch, 2023).</w:t>
            </w:r>
          </w:p>
        </w:tc>
        <w:tc>
          <w:tcPr>
            <w:tcW w:w="2300" w:type="dxa"/>
          </w:tcPr>
          <w:p w14:paraId="01F9D9D8" w14:textId="77777777" w:rsidR="00884B60" w:rsidRPr="00C03B23" w:rsidRDefault="00000000" w:rsidP="00C03B23">
            <w:pPr>
              <w:spacing w:after="0"/>
              <w:rPr>
                <w:szCs w:val="52"/>
              </w:rPr>
            </w:pPr>
            <w:r w:rsidRPr="00C03B23">
              <w:rPr>
                <w:szCs w:val="52"/>
              </w:rPr>
              <w:lastRenderedPageBreak/>
              <w:t xml:space="preserve">Frontline safety barriers were unreliable in high-risk or deteriorating maternity cases </w:t>
            </w:r>
            <w:r w:rsidRPr="00C03B23">
              <w:rPr>
                <w:szCs w:val="52"/>
              </w:rPr>
              <w:lastRenderedPageBreak/>
              <w:t>(Ockenden, 2022; National Institute for Health and Care Excellence, 2023).</w:t>
            </w:r>
          </w:p>
        </w:tc>
      </w:tr>
      <w:tr w:rsidR="00884B60" w:rsidRPr="00C03B23" w14:paraId="4BDAFB24" w14:textId="77777777">
        <w:trPr>
          <w:jc w:val="center"/>
        </w:trPr>
        <w:tc>
          <w:tcPr>
            <w:tcW w:w="1600" w:type="dxa"/>
          </w:tcPr>
          <w:p w14:paraId="12CD36BB" w14:textId="77777777" w:rsidR="00884B60" w:rsidRPr="00C03B23" w:rsidRDefault="00000000" w:rsidP="00C03B23">
            <w:pPr>
              <w:spacing w:after="0"/>
              <w:rPr>
                <w:szCs w:val="52"/>
              </w:rPr>
            </w:pPr>
            <w:r w:rsidRPr="00C03B23">
              <w:rPr>
                <w:szCs w:val="52"/>
              </w:rPr>
              <w:lastRenderedPageBreak/>
              <w:t>Women and family voice</w:t>
            </w:r>
          </w:p>
        </w:tc>
        <w:tc>
          <w:tcPr>
            <w:tcW w:w="2600" w:type="dxa"/>
          </w:tcPr>
          <w:p w14:paraId="65B96A11" w14:textId="77777777" w:rsidR="00884B60" w:rsidRPr="00C03B23" w:rsidRDefault="00000000" w:rsidP="00C03B23">
            <w:pPr>
              <w:spacing w:after="0"/>
              <w:rPr>
                <w:szCs w:val="52"/>
              </w:rPr>
            </w:pPr>
            <w:r w:rsidRPr="00C03B23">
              <w:rPr>
                <w:szCs w:val="52"/>
              </w:rPr>
              <w:t>National maternity improvement expects services to listen to women and families with compassion and use their experience for learning (NHS England, 2023a; Kirkup, 2022).</w:t>
            </w:r>
          </w:p>
        </w:tc>
        <w:tc>
          <w:tcPr>
            <w:tcW w:w="2300" w:type="dxa"/>
          </w:tcPr>
          <w:p w14:paraId="1526E89E" w14:textId="77777777" w:rsidR="00884B60" w:rsidRPr="00C03B23" w:rsidRDefault="00000000" w:rsidP="00C03B23">
            <w:pPr>
              <w:spacing w:after="0"/>
              <w:rPr>
                <w:szCs w:val="52"/>
              </w:rPr>
            </w:pPr>
            <w:r w:rsidRPr="00C03B23">
              <w:rPr>
                <w:szCs w:val="52"/>
              </w:rPr>
              <w:t>Families' concerns were often underweighted, delayed or treated as complaints rather than safety intelligence (Ockenden, 2020; Ockenden, 2022).</w:t>
            </w:r>
          </w:p>
        </w:tc>
        <w:tc>
          <w:tcPr>
            <w:tcW w:w="2300" w:type="dxa"/>
          </w:tcPr>
          <w:p w14:paraId="10B6B218" w14:textId="77777777" w:rsidR="00884B60" w:rsidRPr="00C03B23" w:rsidRDefault="00000000" w:rsidP="00C03B23">
            <w:pPr>
              <w:spacing w:after="0"/>
              <w:rPr>
                <w:szCs w:val="52"/>
              </w:rPr>
            </w:pPr>
            <w:r w:rsidRPr="00C03B23">
              <w:rPr>
                <w:szCs w:val="52"/>
              </w:rPr>
              <w:t>Early-warning detection was weakened because lived experience was not consistently used in QA learning (Ockenden, 2022; Kirkup, 2022).</w:t>
            </w:r>
          </w:p>
        </w:tc>
      </w:tr>
      <w:tr w:rsidR="00884B60" w:rsidRPr="00C03B23" w14:paraId="1637D932" w14:textId="77777777">
        <w:trPr>
          <w:jc w:val="center"/>
        </w:trPr>
        <w:tc>
          <w:tcPr>
            <w:tcW w:w="1600" w:type="dxa"/>
          </w:tcPr>
          <w:p w14:paraId="2AE1654D" w14:textId="77777777" w:rsidR="00884B60" w:rsidRPr="00C03B23" w:rsidRDefault="00000000" w:rsidP="00C03B23">
            <w:pPr>
              <w:spacing w:after="0"/>
              <w:rPr>
                <w:szCs w:val="52"/>
              </w:rPr>
            </w:pPr>
            <w:r w:rsidRPr="00C03B23">
              <w:rPr>
                <w:szCs w:val="52"/>
              </w:rPr>
              <w:t>Board assurance and safety governance</w:t>
            </w:r>
          </w:p>
        </w:tc>
        <w:tc>
          <w:tcPr>
            <w:tcW w:w="2600" w:type="dxa"/>
          </w:tcPr>
          <w:p w14:paraId="23F810EB" w14:textId="77777777" w:rsidR="00884B60" w:rsidRPr="00C03B23" w:rsidRDefault="00000000" w:rsidP="00C03B23">
            <w:pPr>
              <w:spacing w:after="0"/>
              <w:rPr>
                <w:szCs w:val="52"/>
              </w:rPr>
            </w:pPr>
            <w:r w:rsidRPr="00C03B23">
              <w:rPr>
                <w:szCs w:val="52"/>
              </w:rPr>
              <w:t>CQC and NHS Resolution expect safe, well-led services, Board oversight and evidence of maternity safety compliance (Care Quality Commission, 2024; NHS Resolution, 2024).</w:t>
            </w:r>
          </w:p>
        </w:tc>
        <w:tc>
          <w:tcPr>
            <w:tcW w:w="2300" w:type="dxa"/>
          </w:tcPr>
          <w:p w14:paraId="7EADC7F5" w14:textId="77777777" w:rsidR="00884B60" w:rsidRPr="00C03B23" w:rsidRDefault="00000000" w:rsidP="00C03B23">
            <w:pPr>
              <w:spacing w:after="0"/>
              <w:rPr>
                <w:szCs w:val="52"/>
              </w:rPr>
            </w:pPr>
            <w:r w:rsidRPr="00C03B23">
              <w:rPr>
                <w:szCs w:val="52"/>
              </w:rPr>
              <w:t>Governance did not expose the true recurring pattern of maternity risk early enough (Ockenden, 2022).</w:t>
            </w:r>
          </w:p>
        </w:tc>
        <w:tc>
          <w:tcPr>
            <w:tcW w:w="2300" w:type="dxa"/>
          </w:tcPr>
          <w:p w14:paraId="6BDCF1DF" w14:textId="77777777" w:rsidR="00884B60" w:rsidRPr="00C03B23" w:rsidRDefault="00000000" w:rsidP="00C03B23">
            <w:pPr>
              <w:spacing w:after="0"/>
              <w:rPr>
                <w:szCs w:val="52"/>
              </w:rPr>
            </w:pPr>
            <w:r w:rsidRPr="00C03B23">
              <w:rPr>
                <w:szCs w:val="52"/>
              </w:rPr>
              <w:t>Board assurance was too weak to prove that risks were visible, owned and resolved (Ockenden, 2022; Care Quality Commission, 2024).</w:t>
            </w:r>
          </w:p>
        </w:tc>
      </w:tr>
      <w:tr w:rsidR="00884B60" w:rsidRPr="00C03B23" w14:paraId="2717C807" w14:textId="77777777">
        <w:trPr>
          <w:jc w:val="center"/>
        </w:trPr>
        <w:tc>
          <w:tcPr>
            <w:tcW w:w="1600" w:type="dxa"/>
          </w:tcPr>
          <w:p w14:paraId="77941D44" w14:textId="77777777" w:rsidR="00884B60" w:rsidRPr="00C03B23" w:rsidRDefault="00000000" w:rsidP="00C03B23">
            <w:pPr>
              <w:spacing w:after="0"/>
              <w:rPr>
                <w:szCs w:val="52"/>
              </w:rPr>
            </w:pPr>
            <w:r w:rsidRPr="00C03B23">
              <w:rPr>
                <w:szCs w:val="52"/>
              </w:rPr>
              <w:t>Workforce, culture and safety climate</w:t>
            </w:r>
          </w:p>
        </w:tc>
        <w:tc>
          <w:tcPr>
            <w:tcW w:w="2600" w:type="dxa"/>
          </w:tcPr>
          <w:p w14:paraId="0833AC33" w14:textId="77777777" w:rsidR="00884B60" w:rsidRPr="00C03B23" w:rsidRDefault="00000000" w:rsidP="00C03B23">
            <w:pPr>
              <w:spacing w:after="0"/>
              <w:rPr>
                <w:szCs w:val="52"/>
              </w:rPr>
            </w:pPr>
            <w:r w:rsidRPr="00C03B23">
              <w:rPr>
                <w:szCs w:val="52"/>
              </w:rPr>
              <w:t xml:space="preserve">NHS England expects workforce support, supervision and a culture of safety; MBRRACE-UK highlights learning to improve maternity care </w:t>
            </w:r>
            <w:r w:rsidRPr="00C03B23">
              <w:rPr>
                <w:szCs w:val="52"/>
              </w:rPr>
              <w:lastRenderedPageBreak/>
              <w:t>(NHS England, 2023a; MBRRACE-UK, 2024).</w:t>
            </w:r>
          </w:p>
        </w:tc>
        <w:tc>
          <w:tcPr>
            <w:tcW w:w="2300" w:type="dxa"/>
          </w:tcPr>
          <w:p w14:paraId="4161C29F" w14:textId="77777777" w:rsidR="00884B60" w:rsidRPr="00C03B23" w:rsidRDefault="00000000" w:rsidP="00C03B23">
            <w:pPr>
              <w:spacing w:after="0"/>
              <w:rPr>
                <w:szCs w:val="52"/>
              </w:rPr>
            </w:pPr>
            <w:r w:rsidRPr="00C03B23">
              <w:rPr>
                <w:szCs w:val="52"/>
              </w:rPr>
              <w:lastRenderedPageBreak/>
              <w:t>Workforce pressure, defensive culture and normalisation of unsafe practice weakened safety defences (Ockenden, 2022).</w:t>
            </w:r>
          </w:p>
        </w:tc>
        <w:tc>
          <w:tcPr>
            <w:tcW w:w="2300" w:type="dxa"/>
          </w:tcPr>
          <w:p w14:paraId="5E741A0A" w14:textId="77777777" w:rsidR="00884B60" w:rsidRPr="00C03B23" w:rsidRDefault="00000000" w:rsidP="00C03B23">
            <w:pPr>
              <w:spacing w:after="0"/>
              <w:rPr>
                <w:szCs w:val="52"/>
              </w:rPr>
            </w:pPr>
            <w:r w:rsidRPr="00C03B23">
              <w:rPr>
                <w:szCs w:val="52"/>
              </w:rPr>
              <w:t xml:space="preserve">Culture and capacity limited the service's ability to challenge risk and learn consistently (Ockenden, 2022; </w:t>
            </w:r>
            <w:r w:rsidRPr="00C03B23">
              <w:rPr>
                <w:szCs w:val="52"/>
              </w:rPr>
              <w:lastRenderedPageBreak/>
              <w:t>Care Quality Commission, 2024).</w:t>
            </w:r>
          </w:p>
        </w:tc>
      </w:tr>
    </w:tbl>
    <w:p w14:paraId="56617894" w14:textId="5DF14294" w:rsidR="00884B60" w:rsidRPr="00C03B23" w:rsidRDefault="00000000">
      <w:pPr>
        <w:spacing w:line="240" w:lineRule="auto"/>
        <w:jc w:val="center"/>
        <w:rPr>
          <w:sz w:val="28"/>
          <w:szCs w:val="28"/>
        </w:rPr>
      </w:pPr>
      <w:r w:rsidRPr="00C03B23">
        <w:rPr>
          <w:i/>
          <w:szCs w:val="28"/>
        </w:rPr>
        <w:lastRenderedPageBreak/>
        <w:t>Source: Author's analysis based on Ockenden (2020; 2022), NHS England (2022a; 2023a; 2023b), National Institute for Health and Care Excellence (2023), Care Quality Commission (2024), NHS Resolution (2024), Healthcare Safety Investigation Branch (2023), MBRRACE-UK (2024) and Kirkup (2022).</w:t>
      </w:r>
    </w:p>
    <w:p w14:paraId="745B9CE8" w14:textId="77777777" w:rsidR="00884B60" w:rsidRDefault="00000000">
      <w:pPr>
        <w:pStyle w:val="Heading1"/>
        <w:spacing w:before="160" w:after="100"/>
        <w:rPr>
          <w:rFonts w:ascii="Arial" w:hAnsi="Arial" w:cs="Arial"/>
        </w:rPr>
      </w:pPr>
      <w:bookmarkStart w:id="7" w:name="_Toc235710337"/>
      <w:r>
        <w:rPr>
          <w:rFonts w:ascii="Arial" w:hAnsi="Arial" w:cs="Arial"/>
        </w:rPr>
        <w:t>3. Recommendations</w:t>
      </w:r>
      <w:bookmarkEnd w:id="7"/>
    </w:p>
    <w:p w14:paraId="3BCA92CB" w14:textId="77777777" w:rsidR="00C03B23" w:rsidRDefault="00C03B23">
      <w:pPr>
        <w:jc w:val="both"/>
      </w:pPr>
      <w:r w:rsidRPr="00C03B23">
        <w:t xml:space="preserve">The improvement strategy should focus on four Board-owned priorities. To begin with, </w:t>
      </w:r>
      <w:proofErr w:type="spellStart"/>
      <w:r w:rsidRPr="00C03B23">
        <w:t>SaTH</w:t>
      </w:r>
      <w:proofErr w:type="spellEnd"/>
      <w:r w:rsidRPr="00C03B23">
        <w:t xml:space="preserve"> needs to enhance the capacity of the workforce by increasing the acuity-based staffing, safe simulation in multi-disciplinary units, supervision and psychological safety forums. This targets the structural and cultural causes identified by Donabedian, Fishbone and SWOT. Competence and raising concerns, and safe practice are professional responsibilities of the Nursing and Midwifery Council (NMC) Code and, thus, staffing data should be viewed as a safety risk than as a measurement of the workforce (Nursing and Midwifery Council, 2018; MBRRACE-UK, 2025). The Board must discuss staffing/acuity, training, sickness, vacancy rate and see staff-reported concerns monthly.</w:t>
      </w:r>
    </w:p>
    <w:p w14:paraId="0571A612" w14:textId="77777777" w:rsidR="008D0753" w:rsidRDefault="008D0753">
      <w:pPr>
        <w:jc w:val="both"/>
      </w:pPr>
      <w:r w:rsidRPr="008D0753">
        <w:t xml:space="preserve">Second, the emergency obstetric services are to be enhanced by the use of a 24/7 escalation protocol, fetal monitoring review process, triage trigger tool and daily senior safety huddle. This directly relates to the findings of </w:t>
      </w:r>
      <w:proofErr w:type="spellStart"/>
      <w:r w:rsidRPr="008D0753">
        <w:t>Ockenden</w:t>
      </w:r>
      <w:proofErr w:type="spellEnd"/>
      <w:r w:rsidRPr="008D0753">
        <w:t xml:space="preserve"> on recognition, monitoring and escalation (</w:t>
      </w:r>
      <w:proofErr w:type="spellStart"/>
      <w:r w:rsidRPr="008D0753">
        <w:t>Ockenden</w:t>
      </w:r>
      <w:proofErr w:type="spellEnd"/>
      <w:r w:rsidRPr="008D0753">
        <w:t>, 2022). The initial PDSA cycle would pose the question of whether the triggering instrument will decrease median risk trigger to senior review without inappropriate escalation. Measures incorporated should cover trigger-to-review time, review of abnormal fetal-monitoring by seniors, decision-to-birth interval where necessary and woman and staff feedback. Scaling of the change should not be done until audit data indicate improved reliability.</w:t>
      </w:r>
    </w:p>
    <w:p w14:paraId="5B86A678" w14:textId="77777777" w:rsidR="008D0753" w:rsidRDefault="008D0753">
      <w:pPr>
        <w:jc w:val="both"/>
      </w:pPr>
      <w:r w:rsidRPr="008D0753">
        <w:t xml:space="preserve">Third, PSIRF-aligned reviews, compulsory family participation, a maternity safety dashboard and a group of external challenge should be implemented to strengthen governance and accountability. The incident involvement guidance of NHS England anticipates the use of family and staff following safety incidents and this is significant, as </w:t>
      </w:r>
      <w:proofErr w:type="spellStart"/>
      <w:r w:rsidRPr="008D0753">
        <w:t>SaTH</w:t>
      </w:r>
      <w:proofErr w:type="spellEnd"/>
      <w:r w:rsidRPr="008D0753">
        <w:t xml:space="preserve"> hardly used family concerns to generate safety intelligence (NHS England, 2022b; </w:t>
      </w:r>
      <w:proofErr w:type="spellStart"/>
      <w:r w:rsidRPr="008D0753">
        <w:t>Ockenden</w:t>
      </w:r>
      <w:proofErr w:type="spellEnd"/>
      <w:r w:rsidRPr="008D0753">
        <w:t xml:space="preserve">, 2022). Escalation delays, theme of incidence, action closing, staffing versus-acuity, complaints, data of ethnicity and language must be added to the dashboard. There should be no actions made without audit evidence, the confirmation on the frontline and pertinent family comments. This forms a more tough assurance </w:t>
      </w:r>
      <w:r w:rsidRPr="008D0753">
        <w:lastRenderedPageBreak/>
        <w:t>test: not the action has been written but the practice has changed at the bedside (NHS Resolution, 2024).</w:t>
      </w:r>
    </w:p>
    <w:p w14:paraId="5BF03F25" w14:textId="77777777" w:rsidR="008D0753" w:rsidRDefault="008D0753">
      <w:pPr>
        <w:jc w:val="both"/>
      </w:pPr>
      <w:r w:rsidRPr="008D0753">
        <w:t xml:space="preserve">Fourth, community awareness and access ought to be considered as a safety intervention as opposed to being an add-on to communication. The association to </w:t>
      </w:r>
      <w:proofErr w:type="spellStart"/>
      <w:r w:rsidRPr="008D0753">
        <w:t>SaTH</w:t>
      </w:r>
      <w:proofErr w:type="spellEnd"/>
      <w:r w:rsidRPr="008D0753">
        <w:t xml:space="preserve"> is family voice: issues of decreased fetal movement, worsening, communication and access to triage should become early warning intelligence. </w:t>
      </w:r>
      <w:proofErr w:type="spellStart"/>
      <w:r w:rsidRPr="008D0753">
        <w:t>SaTH</w:t>
      </w:r>
      <w:proofErr w:type="spellEnd"/>
      <w:r w:rsidRPr="008D0753">
        <w:t xml:space="preserve"> should co-design translated warning information with maternity voices partnerships (MVPs), community groups and the Local Maternity and Neonatal System (LMNS), using plain language and accessible formats. The ethnicity, deprivation, language need and disability should be stratified since the World Health Organization is correlating maternal and newborn quality with respectful, equitable and timely care (World Health Organization, 2016; World Health Organization, 2021; Care Quality Commission, 2025b; NHS England, 2026).</w:t>
      </w:r>
    </w:p>
    <w:p w14:paraId="6A7513BE" w14:textId="77777777" w:rsidR="008D0753" w:rsidRDefault="008D0753">
      <w:pPr>
        <w:jc w:val="both"/>
      </w:pPr>
      <w:r w:rsidRPr="008D0753">
        <w:t>Implementation should follow Plan-Do-Study-Act (PDSA) within Kotter. Months 1-2 must be doing establishment of urgency, establishment of an improvement coalition and consensus on baseline. Months 3-5 will consist of trial of workforce and escalation interventions. The next months (6-9) need to scale effective changes and release dashboard evidence. Months 10-12 need to entrench practice by reforming policies, reviewing competencies, the Board assuring it as well as external peer challenge. The primary threat is performative compliance: looking impressive, meetings, dashboards and training may have no risk. It should be regulated with the assistance of reliability and outcome measures, and unbiased review and automatic activation in case of agreement thresholds being missed.</w:t>
      </w:r>
    </w:p>
    <w:p w14:paraId="5D48B84E" w14:textId="49D36014" w:rsidR="00884B60" w:rsidRDefault="00000000">
      <w:pPr>
        <w:jc w:val="both"/>
      </w:pPr>
      <w:r>
        <w:t>Table 5. SMART implementation plan.</w:t>
      </w:r>
    </w:p>
    <w:tbl>
      <w:tblPr>
        <w:tblStyle w:val="TableGrid"/>
        <w:tblW w:w="0" w:type="auto"/>
        <w:jc w:val="center"/>
        <w:tblLook w:val="04A0" w:firstRow="1" w:lastRow="0" w:firstColumn="1" w:lastColumn="0" w:noHBand="0" w:noVBand="1"/>
      </w:tblPr>
      <w:tblGrid>
        <w:gridCol w:w="2062"/>
        <w:gridCol w:w="1835"/>
        <w:gridCol w:w="1806"/>
        <w:gridCol w:w="1830"/>
        <w:gridCol w:w="1817"/>
      </w:tblGrid>
      <w:tr w:rsidR="00884B60" w:rsidRPr="008D0753" w14:paraId="41FA495F" w14:textId="77777777">
        <w:trPr>
          <w:tblHeader/>
          <w:jc w:val="center"/>
        </w:trPr>
        <w:tc>
          <w:tcPr>
            <w:tcW w:w="1872" w:type="dxa"/>
            <w:shd w:val="clear" w:color="auto" w:fill="D9EAF7"/>
          </w:tcPr>
          <w:p w14:paraId="19E3F1A8" w14:textId="77777777" w:rsidR="00884B60" w:rsidRPr="008D0753" w:rsidRDefault="00000000" w:rsidP="008D0753">
            <w:pPr>
              <w:spacing w:after="0"/>
              <w:rPr>
                <w:szCs w:val="72"/>
              </w:rPr>
            </w:pPr>
            <w:r w:rsidRPr="008D0753">
              <w:rPr>
                <w:b/>
                <w:szCs w:val="72"/>
              </w:rPr>
              <w:t>Recommendation</w:t>
            </w:r>
          </w:p>
        </w:tc>
        <w:tc>
          <w:tcPr>
            <w:tcW w:w="1872" w:type="dxa"/>
            <w:shd w:val="clear" w:color="auto" w:fill="D9EAF7"/>
          </w:tcPr>
          <w:p w14:paraId="58BA7659" w14:textId="77777777" w:rsidR="00884B60" w:rsidRPr="008D0753" w:rsidRDefault="00000000" w:rsidP="008D0753">
            <w:pPr>
              <w:spacing w:after="0"/>
              <w:rPr>
                <w:szCs w:val="72"/>
              </w:rPr>
            </w:pPr>
            <w:r w:rsidRPr="008D0753">
              <w:rPr>
                <w:b/>
                <w:szCs w:val="72"/>
              </w:rPr>
              <w:t>Actions</w:t>
            </w:r>
          </w:p>
        </w:tc>
        <w:tc>
          <w:tcPr>
            <w:tcW w:w="1872" w:type="dxa"/>
            <w:shd w:val="clear" w:color="auto" w:fill="D9EAF7"/>
          </w:tcPr>
          <w:p w14:paraId="045B16A4" w14:textId="77777777" w:rsidR="00884B60" w:rsidRPr="008D0753" w:rsidRDefault="00000000" w:rsidP="008D0753">
            <w:pPr>
              <w:spacing w:after="0"/>
              <w:rPr>
                <w:szCs w:val="72"/>
              </w:rPr>
            </w:pPr>
            <w:r w:rsidRPr="008D0753">
              <w:rPr>
                <w:b/>
                <w:szCs w:val="72"/>
              </w:rPr>
              <w:t>Lead</w:t>
            </w:r>
          </w:p>
        </w:tc>
        <w:tc>
          <w:tcPr>
            <w:tcW w:w="1872" w:type="dxa"/>
            <w:shd w:val="clear" w:color="auto" w:fill="D9EAF7"/>
          </w:tcPr>
          <w:p w14:paraId="3580510B" w14:textId="77777777" w:rsidR="00884B60" w:rsidRPr="008D0753" w:rsidRDefault="00000000" w:rsidP="008D0753">
            <w:pPr>
              <w:spacing w:after="0"/>
              <w:rPr>
                <w:szCs w:val="72"/>
              </w:rPr>
            </w:pPr>
            <w:r w:rsidRPr="008D0753">
              <w:rPr>
                <w:b/>
                <w:szCs w:val="72"/>
              </w:rPr>
              <w:t>Measure</w:t>
            </w:r>
          </w:p>
        </w:tc>
        <w:tc>
          <w:tcPr>
            <w:tcW w:w="1872" w:type="dxa"/>
            <w:shd w:val="clear" w:color="auto" w:fill="D9EAF7"/>
          </w:tcPr>
          <w:p w14:paraId="16B1E712" w14:textId="77777777" w:rsidR="00884B60" w:rsidRPr="008D0753" w:rsidRDefault="00000000" w:rsidP="008D0753">
            <w:pPr>
              <w:spacing w:after="0"/>
              <w:rPr>
                <w:szCs w:val="72"/>
              </w:rPr>
            </w:pPr>
            <w:r w:rsidRPr="008D0753">
              <w:rPr>
                <w:b/>
                <w:szCs w:val="72"/>
              </w:rPr>
              <w:t>Risk control</w:t>
            </w:r>
          </w:p>
        </w:tc>
      </w:tr>
      <w:tr w:rsidR="00884B60" w:rsidRPr="008D0753" w14:paraId="3BE7A1E2" w14:textId="77777777">
        <w:trPr>
          <w:jc w:val="center"/>
        </w:trPr>
        <w:tc>
          <w:tcPr>
            <w:tcW w:w="1872" w:type="dxa"/>
          </w:tcPr>
          <w:p w14:paraId="39DDA551" w14:textId="77777777" w:rsidR="00884B60" w:rsidRPr="008D0753" w:rsidRDefault="00000000" w:rsidP="008D0753">
            <w:pPr>
              <w:spacing w:after="0"/>
              <w:rPr>
                <w:szCs w:val="72"/>
              </w:rPr>
            </w:pPr>
            <w:r w:rsidRPr="008D0753">
              <w:rPr>
                <w:szCs w:val="72"/>
              </w:rPr>
              <w:t>Workforce capacity</w:t>
            </w:r>
          </w:p>
        </w:tc>
        <w:tc>
          <w:tcPr>
            <w:tcW w:w="1872" w:type="dxa"/>
          </w:tcPr>
          <w:p w14:paraId="071BEC2C" w14:textId="77777777" w:rsidR="00884B60" w:rsidRPr="008D0753" w:rsidRDefault="00000000" w:rsidP="008D0753">
            <w:pPr>
              <w:spacing w:after="0"/>
              <w:rPr>
                <w:szCs w:val="72"/>
              </w:rPr>
            </w:pPr>
            <w:r w:rsidRPr="008D0753">
              <w:rPr>
                <w:szCs w:val="72"/>
              </w:rPr>
              <w:t>Acuity staffing, simulation, supervision and safety forums.</w:t>
            </w:r>
          </w:p>
        </w:tc>
        <w:tc>
          <w:tcPr>
            <w:tcW w:w="1872" w:type="dxa"/>
          </w:tcPr>
          <w:p w14:paraId="553FFBFF" w14:textId="77777777" w:rsidR="00884B60" w:rsidRPr="008D0753" w:rsidRDefault="00000000" w:rsidP="008D0753">
            <w:pPr>
              <w:spacing w:after="0"/>
              <w:rPr>
                <w:szCs w:val="72"/>
              </w:rPr>
            </w:pPr>
            <w:r w:rsidRPr="008D0753">
              <w:rPr>
                <w:szCs w:val="72"/>
              </w:rPr>
              <w:t>Chief nurse and maternity leads</w:t>
            </w:r>
          </w:p>
        </w:tc>
        <w:tc>
          <w:tcPr>
            <w:tcW w:w="1872" w:type="dxa"/>
          </w:tcPr>
          <w:p w14:paraId="12B33F54" w14:textId="77777777" w:rsidR="00884B60" w:rsidRPr="008D0753" w:rsidRDefault="00000000" w:rsidP="008D0753">
            <w:pPr>
              <w:spacing w:after="0"/>
              <w:rPr>
                <w:szCs w:val="72"/>
              </w:rPr>
            </w:pPr>
            <w:r w:rsidRPr="008D0753">
              <w:rPr>
                <w:szCs w:val="72"/>
              </w:rPr>
              <w:t>Vacancy, sickness, training, acuity and escalation delay data.</w:t>
            </w:r>
          </w:p>
        </w:tc>
        <w:tc>
          <w:tcPr>
            <w:tcW w:w="1872" w:type="dxa"/>
          </w:tcPr>
          <w:p w14:paraId="01913D41" w14:textId="77777777" w:rsidR="00884B60" w:rsidRPr="008D0753" w:rsidRDefault="00000000" w:rsidP="008D0753">
            <w:pPr>
              <w:spacing w:after="0"/>
              <w:rPr>
                <w:szCs w:val="72"/>
              </w:rPr>
            </w:pPr>
            <w:r w:rsidRPr="008D0753">
              <w:rPr>
                <w:szCs w:val="72"/>
              </w:rPr>
              <w:t>Monthly Board review and escalation if acuity exceeds staffing.</w:t>
            </w:r>
          </w:p>
        </w:tc>
      </w:tr>
      <w:tr w:rsidR="00884B60" w:rsidRPr="008D0753" w14:paraId="0B258C04" w14:textId="77777777">
        <w:trPr>
          <w:jc w:val="center"/>
        </w:trPr>
        <w:tc>
          <w:tcPr>
            <w:tcW w:w="1872" w:type="dxa"/>
          </w:tcPr>
          <w:p w14:paraId="403A2894" w14:textId="77777777" w:rsidR="00884B60" w:rsidRPr="008D0753" w:rsidRDefault="00000000" w:rsidP="008D0753">
            <w:pPr>
              <w:spacing w:after="0"/>
              <w:rPr>
                <w:szCs w:val="72"/>
              </w:rPr>
            </w:pPr>
            <w:r w:rsidRPr="008D0753">
              <w:rPr>
                <w:szCs w:val="72"/>
              </w:rPr>
              <w:t>Emergency obstetric service</w:t>
            </w:r>
          </w:p>
        </w:tc>
        <w:tc>
          <w:tcPr>
            <w:tcW w:w="1872" w:type="dxa"/>
          </w:tcPr>
          <w:p w14:paraId="12339407" w14:textId="77777777" w:rsidR="00884B60" w:rsidRPr="008D0753" w:rsidRDefault="00000000" w:rsidP="008D0753">
            <w:pPr>
              <w:spacing w:after="0"/>
              <w:rPr>
                <w:szCs w:val="72"/>
              </w:rPr>
            </w:pPr>
            <w:r w:rsidRPr="008D0753">
              <w:rPr>
                <w:szCs w:val="72"/>
              </w:rPr>
              <w:t>Escalation protocol, triage trigger tool and fetal monitoring review.</w:t>
            </w:r>
          </w:p>
        </w:tc>
        <w:tc>
          <w:tcPr>
            <w:tcW w:w="1872" w:type="dxa"/>
          </w:tcPr>
          <w:p w14:paraId="5FC29759" w14:textId="77777777" w:rsidR="00884B60" w:rsidRPr="008D0753" w:rsidRDefault="00000000" w:rsidP="008D0753">
            <w:pPr>
              <w:spacing w:after="0"/>
              <w:rPr>
                <w:szCs w:val="72"/>
              </w:rPr>
            </w:pPr>
            <w:r w:rsidRPr="008D0753">
              <w:rPr>
                <w:szCs w:val="72"/>
              </w:rPr>
              <w:t>Clinical director</w:t>
            </w:r>
          </w:p>
        </w:tc>
        <w:tc>
          <w:tcPr>
            <w:tcW w:w="1872" w:type="dxa"/>
          </w:tcPr>
          <w:p w14:paraId="4735241F" w14:textId="77777777" w:rsidR="00884B60" w:rsidRPr="008D0753" w:rsidRDefault="00000000" w:rsidP="008D0753">
            <w:pPr>
              <w:spacing w:after="0"/>
              <w:rPr>
                <w:szCs w:val="72"/>
              </w:rPr>
            </w:pPr>
            <w:r w:rsidRPr="008D0753">
              <w:rPr>
                <w:szCs w:val="72"/>
              </w:rPr>
              <w:t>Trigger-to-senior-review time and audit compliance.</w:t>
            </w:r>
          </w:p>
        </w:tc>
        <w:tc>
          <w:tcPr>
            <w:tcW w:w="1872" w:type="dxa"/>
          </w:tcPr>
          <w:p w14:paraId="5CB79D97" w14:textId="77777777" w:rsidR="00884B60" w:rsidRPr="008D0753" w:rsidRDefault="00000000" w:rsidP="008D0753">
            <w:pPr>
              <w:spacing w:after="0"/>
              <w:rPr>
                <w:szCs w:val="72"/>
              </w:rPr>
            </w:pPr>
            <w:r w:rsidRPr="008D0753">
              <w:rPr>
                <w:szCs w:val="72"/>
              </w:rPr>
              <w:t>Immediate review of missed escalation events.</w:t>
            </w:r>
          </w:p>
        </w:tc>
      </w:tr>
      <w:tr w:rsidR="00884B60" w:rsidRPr="008D0753" w14:paraId="5EF6D5C6" w14:textId="77777777">
        <w:trPr>
          <w:jc w:val="center"/>
        </w:trPr>
        <w:tc>
          <w:tcPr>
            <w:tcW w:w="1872" w:type="dxa"/>
          </w:tcPr>
          <w:p w14:paraId="3A7926FB" w14:textId="77777777" w:rsidR="00884B60" w:rsidRPr="008D0753" w:rsidRDefault="00000000" w:rsidP="008D0753">
            <w:pPr>
              <w:spacing w:after="0"/>
              <w:rPr>
                <w:szCs w:val="72"/>
              </w:rPr>
            </w:pPr>
            <w:r w:rsidRPr="008D0753">
              <w:rPr>
                <w:szCs w:val="72"/>
              </w:rPr>
              <w:lastRenderedPageBreak/>
              <w:t>Governance and accountability</w:t>
            </w:r>
          </w:p>
        </w:tc>
        <w:tc>
          <w:tcPr>
            <w:tcW w:w="1872" w:type="dxa"/>
          </w:tcPr>
          <w:p w14:paraId="54D9477F" w14:textId="77777777" w:rsidR="00884B60" w:rsidRPr="008D0753" w:rsidRDefault="00000000" w:rsidP="008D0753">
            <w:pPr>
              <w:spacing w:after="0"/>
              <w:rPr>
                <w:szCs w:val="72"/>
              </w:rPr>
            </w:pPr>
            <w:r w:rsidRPr="008D0753">
              <w:rPr>
                <w:szCs w:val="72"/>
              </w:rPr>
              <w:t>PSIRF reviews, family involvement, dashboard and external panel.</w:t>
            </w:r>
          </w:p>
        </w:tc>
        <w:tc>
          <w:tcPr>
            <w:tcW w:w="1872" w:type="dxa"/>
          </w:tcPr>
          <w:p w14:paraId="2E98A496" w14:textId="77777777" w:rsidR="00884B60" w:rsidRPr="008D0753" w:rsidRDefault="00000000" w:rsidP="008D0753">
            <w:pPr>
              <w:spacing w:after="0"/>
              <w:rPr>
                <w:szCs w:val="72"/>
              </w:rPr>
            </w:pPr>
            <w:r w:rsidRPr="008D0753">
              <w:rPr>
                <w:szCs w:val="72"/>
              </w:rPr>
              <w:t>Medical director and Board</w:t>
            </w:r>
          </w:p>
        </w:tc>
        <w:tc>
          <w:tcPr>
            <w:tcW w:w="1872" w:type="dxa"/>
          </w:tcPr>
          <w:p w14:paraId="30EED2FA" w14:textId="77777777" w:rsidR="00884B60" w:rsidRPr="008D0753" w:rsidRDefault="00000000" w:rsidP="008D0753">
            <w:pPr>
              <w:spacing w:after="0"/>
              <w:rPr>
                <w:szCs w:val="72"/>
              </w:rPr>
            </w:pPr>
            <w:r w:rsidRPr="008D0753">
              <w:rPr>
                <w:szCs w:val="72"/>
              </w:rPr>
              <w:t>Action closure with evidence of practice change.</w:t>
            </w:r>
          </w:p>
        </w:tc>
        <w:tc>
          <w:tcPr>
            <w:tcW w:w="1872" w:type="dxa"/>
          </w:tcPr>
          <w:p w14:paraId="55209B68" w14:textId="77777777" w:rsidR="00884B60" w:rsidRPr="008D0753" w:rsidRDefault="00000000" w:rsidP="008D0753">
            <w:pPr>
              <w:spacing w:after="0"/>
              <w:rPr>
                <w:szCs w:val="72"/>
              </w:rPr>
            </w:pPr>
            <w:r w:rsidRPr="008D0753">
              <w:rPr>
                <w:szCs w:val="72"/>
              </w:rPr>
              <w:t>No action closure without audit or family feedback evidence.</w:t>
            </w:r>
          </w:p>
        </w:tc>
      </w:tr>
      <w:tr w:rsidR="00884B60" w:rsidRPr="008D0753" w14:paraId="27BA4678" w14:textId="77777777">
        <w:trPr>
          <w:jc w:val="center"/>
        </w:trPr>
        <w:tc>
          <w:tcPr>
            <w:tcW w:w="1872" w:type="dxa"/>
          </w:tcPr>
          <w:p w14:paraId="3E73E379" w14:textId="77777777" w:rsidR="00884B60" w:rsidRPr="008D0753" w:rsidRDefault="00000000" w:rsidP="008D0753">
            <w:pPr>
              <w:spacing w:after="0"/>
              <w:rPr>
                <w:szCs w:val="72"/>
              </w:rPr>
            </w:pPr>
            <w:r w:rsidRPr="008D0753">
              <w:rPr>
                <w:szCs w:val="72"/>
              </w:rPr>
              <w:t>Community awareness and access</w:t>
            </w:r>
          </w:p>
        </w:tc>
        <w:tc>
          <w:tcPr>
            <w:tcW w:w="1872" w:type="dxa"/>
          </w:tcPr>
          <w:p w14:paraId="7EEA6AED" w14:textId="77777777" w:rsidR="00884B60" w:rsidRPr="008D0753" w:rsidRDefault="00000000" w:rsidP="008D0753">
            <w:pPr>
              <w:spacing w:after="0"/>
              <w:rPr>
                <w:szCs w:val="72"/>
              </w:rPr>
            </w:pPr>
            <w:r w:rsidRPr="008D0753">
              <w:rPr>
                <w:szCs w:val="72"/>
              </w:rPr>
              <w:t>MVP co-design, translated warning signs and targeted outreach.</w:t>
            </w:r>
          </w:p>
        </w:tc>
        <w:tc>
          <w:tcPr>
            <w:tcW w:w="1872" w:type="dxa"/>
          </w:tcPr>
          <w:p w14:paraId="0214FB5D" w14:textId="77777777" w:rsidR="00884B60" w:rsidRPr="008D0753" w:rsidRDefault="00000000" w:rsidP="008D0753">
            <w:pPr>
              <w:spacing w:after="0"/>
              <w:rPr>
                <w:szCs w:val="72"/>
              </w:rPr>
            </w:pPr>
            <w:r w:rsidRPr="008D0753">
              <w:rPr>
                <w:szCs w:val="72"/>
              </w:rPr>
              <w:t>LMNS, MVP and maternity leaders</w:t>
            </w:r>
          </w:p>
        </w:tc>
        <w:tc>
          <w:tcPr>
            <w:tcW w:w="1872" w:type="dxa"/>
          </w:tcPr>
          <w:p w14:paraId="79FBDC99" w14:textId="77777777" w:rsidR="00884B60" w:rsidRPr="008D0753" w:rsidRDefault="00000000" w:rsidP="008D0753">
            <w:pPr>
              <w:spacing w:after="0"/>
              <w:rPr>
                <w:szCs w:val="72"/>
              </w:rPr>
            </w:pPr>
            <w:r w:rsidRPr="008D0753">
              <w:rPr>
                <w:szCs w:val="72"/>
              </w:rPr>
              <w:t>Experience and access data by ethnicity, deprivation and language need.</w:t>
            </w:r>
          </w:p>
        </w:tc>
        <w:tc>
          <w:tcPr>
            <w:tcW w:w="1872" w:type="dxa"/>
          </w:tcPr>
          <w:p w14:paraId="4E4AD42B" w14:textId="77777777" w:rsidR="00884B60" w:rsidRPr="008D0753" w:rsidRDefault="00000000" w:rsidP="008D0753">
            <w:pPr>
              <w:spacing w:after="0"/>
              <w:rPr>
                <w:szCs w:val="72"/>
              </w:rPr>
            </w:pPr>
            <w:r w:rsidRPr="008D0753">
              <w:rPr>
                <w:szCs w:val="72"/>
              </w:rPr>
              <w:t>Quarterly equity review and redesign where gaps persist.</w:t>
            </w:r>
          </w:p>
        </w:tc>
      </w:tr>
    </w:tbl>
    <w:p w14:paraId="302E430F" w14:textId="4D19ADA4" w:rsidR="00884B60" w:rsidRPr="008D0753" w:rsidRDefault="00000000">
      <w:pPr>
        <w:spacing w:line="240" w:lineRule="auto"/>
        <w:jc w:val="center"/>
        <w:rPr>
          <w:sz w:val="28"/>
          <w:szCs w:val="28"/>
        </w:rPr>
      </w:pPr>
      <w:r w:rsidRPr="008D0753">
        <w:rPr>
          <w:i/>
          <w:szCs w:val="28"/>
        </w:rPr>
        <w:t xml:space="preserve">Source: </w:t>
      </w:r>
      <w:proofErr w:type="spellStart"/>
      <w:r w:rsidRPr="008D0753">
        <w:rPr>
          <w:i/>
          <w:szCs w:val="28"/>
        </w:rPr>
        <w:t>Ockenden</w:t>
      </w:r>
      <w:proofErr w:type="spellEnd"/>
      <w:r w:rsidRPr="008D0753">
        <w:rPr>
          <w:i/>
          <w:szCs w:val="28"/>
        </w:rPr>
        <w:t xml:space="preserve"> (2022), NHS England (2022b), Langley et al. (2009), Taylor et al. (2014) and Kotter (1996).</w:t>
      </w:r>
    </w:p>
    <w:p w14:paraId="79CF6BA4" w14:textId="77777777" w:rsidR="00884B60" w:rsidRDefault="00000000">
      <w:pPr>
        <w:pStyle w:val="Heading1"/>
        <w:spacing w:before="160" w:after="100"/>
        <w:rPr>
          <w:rFonts w:ascii="Arial" w:hAnsi="Arial" w:cs="Arial"/>
        </w:rPr>
      </w:pPr>
      <w:bookmarkStart w:id="8" w:name="_Toc235710338"/>
      <w:r>
        <w:rPr>
          <w:rFonts w:ascii="Arial" w:hAnsi="Arial" w:cs="Arial"/>
        </w:rPr>
        <w:t>4. Conclusion</w:t>
      </w:r>
      <w:bookmarkEnd w:id="8"/>
    </w:p>
    <w:p w14:paraId="700D1905" w14:textId="64B8F2BD" w:rsidR="008D0753" w:rsidRDefault="008D0753">
      <w:pPr>
        <w:jc w:val="both"/>
      </w:pPr>
      <w:r w:rsidRPr="008D0753">
        <w:t xml:space="preserve">The </w:t>
      </w:r>
      <w:proofErr w:type="spellStart"/>
      <w:r w:rsidRPr="008D0753">
        <w:t>SaTH</w:t>
      </w:r>
      <w:proofErr w:type="spellEnd"/>
      <w:r w:rsidRPr="008D0753">
        <w:t xml:space="preserve"> maternity scandal reveals that healthcare </w:t>
      </w:r>
      <w:proofErr w:type="spellStart"/>
      <w:r w:rsidRPr="008D0753">
        <w:t>organisation</w:t>
      </w:r>
      <w:proofErr w:type="spellEnd"/>
      <w:r w:rsidRPr="008D0753">
        <w:t xml:space="preserve"> may have policies, committees, audits and incident systems and yet still fail to assure quality. Branding information with warning and taking action with reliability was the crux of the issue. The findings of </w:t>
      </w:r>
      <w:proofErr w:type="spellStart"/>
      <w:r w:rsidRPr="008D0753">
        <w:t>Ockenden</w:t>
      </w:r>
      <w:proofErr w:type="spellEnd"/>
      <w:r w:rsidRPr="008D0753">
        <w:t xml:space="preserve"> demonstrate the recurrent weaknesses in the area of listening, escalation, incident learning and governance, whereas more national evidence indicates that the subject of maternity safety is live throughout England (</w:t>
      </w:r>
      <w:proofErr w:type="spellStart"/>
      <w:r w:rsidRPr="008D0753">
        <w:t>Ockenden</w:t>
      </w:r>
      <w:proofErr w:type="spellEnd"/>
      <w:r w:rsidRPr="008D0753">
        <w:t>, 2022; Care Quality Commission, 2024; Care Quality Commission, 2025a). The</w:t>
      </w:r>
      <w:r>
        <w:t xml:space="preserve"> policy should be implemented</w:t>
      </w:r>
      <w:r w:rsidRPr="008D0753">
        <w:t xml:space="preserve"> rather than keeping the policy, is the fundamental test of assurance. </w:t>
      </w:r>
    </w:p>
    <w:p w14:paraId="325A3E6F" w14:textId="6F846BCC" w:rsidR="008D0753" w:rsidRDefault="008D0753">
      <w:pPr>
        <w:jc w:val="both"/>
      </w:pPr>
      <w:r w:rsidRPr="008D0753">
        <w:t xml:space="preserve">The comparison shows that there is no model that can clearly elucidate the failure. Donabedian explicates the association between process and outcome as well as structure but requires the systems thinking in order to articulate the complexity. Fishbone and 5 Whys can determine causes, but simplify unless they are associated with proof and responsibility. Strengths, Weaknesses, Opportunities and Threats (SWOT) facilitate strategic judgement, and conceals culture and power. Plan-Do-Study-Act (PDSA) helps practice-test; however, it may turn into documentation until learning is quantified. </w:t>
      </w:r>
    </w:p>
    <w:p w14:paraId="0C28983D" w14:textId="282E095D" w:rsidR="00884B60" w:rsidRPr="008D0753" w:rsidRDefault="008D0753" w:rsidP="008D0753">
      <w:pPr>
        <w:jc w:val="both"/>
      </w:pPr>
      <w:r>
        <w:t>In conclusion, a</w:t>
      </w:r>
      <w:r w:rsidRPr="008D0753">
        <w:t xml:space="preserve"> compassionate and rigorous learning and assurance system is required at </w:t>
      </w:r>
      <w:proofErr w:type="spellStart"/>
      <w:r w:rsidRPr="008D0753">
        <w:t>SaTH</w:t>
      </w:r>
      <w:proofErr w:type="spellEnd"/>
      <w:r w:rsidRPr="008D0753">
        <w:t>. Workforce capacity, emergency obstetric reliability, governance, accountability, community awareness, and access are tied entities that need to enhance each other since they constitute a single safety system</w:t>
      </w:r>
      <w:r>
        <w:t>.</w:t>
      </w:r>
    </w:p>
    <w:p w14:paraId="0C650D64" w14:textId="77777777" w:rsidR="00884B60" w:rsidRDefault="00000000">
      <w:pPr>
        <w:pStyle w:val="Heading1"/>
        <w:spacing w:before="160" w:after="100"/>
        <w:rPr>
          <w:rFonts w:ascii="Arial" w:hAnsi="Arial" w:cs="Arial"/>
        </w:rPr>
      </w:pPr>
      <w:bookmarkStart w:id="9" w:name="_Toc235710339"/>
      <w:r>
        <w:rPr>
          <w:rFonts w:ascii="Arial" w:hAnsi="Arial" w:cs="Arial"/>
        </w:rPr>
        <w:lastRenderedPageBreak/>
        <w:t>References</w:t>
      </w:r>
      <w:bookmarkEnd w:id="9"/>
    </w:p>
    <w:p w14:paraId="1BBF75C5" w14:textId="77777777" w:rsidR="00884B60" w:rsidRDefault="00000000">
      <w:pPr>
        <w:spacing w:before="240" w:after="60" w:line="276" w:lineRule="auto"/>
      </w:pPr>
      <w:proofErr w:type="spellStart"/>
      <w:r>
        <w:t>Ayanian</w:t>
      </w:r>
      <w:proofErr w:type="spellEnd"/>
      <w:r>
        <w:t xml:space="preserve">, J.Z. and Markel, H. (2016) ‘Donabedian's lasting framework for health care quality’, </w:t>
      </w:r>
      <w:r>
        <w:rPr>
          <w:i/>
          <w:iCs/>
        </w:rPr>
        <w:t>New England Journal of Medicine</w:t>
      </w:r>
      <w:r>
        <w:t xml:space="preserve">, 375(3), pp. 205–207. Available at: </w:t>
      </w:r>
      <w:hyperlink r:id="rId13" w:tgtFrame="_new" w:history="1">
        <w:r w:rsidR="00884B60">
          <w:rPr>
            <w:rStyle w:val="Hyperlink"/>
          </w:rPr>
          <w:t>https://doi.org/10.1056/NEJMp1605101</w:t>
        </w:r>
      </w:hyperlink>
      <w:r>
        <w:t xml:space="preserve"> (Accessed: 6 July 2026).</w:t>
      </w:r>
    </w:p>
    <w:p w14:paraId="1B15C223" w14:textId="77777777" w:rsidR="00884B60" w:rsidRDefault="00000000">
      <w:pPr>
        <w:spacing w:before="240" w:after="60" w:line="276" w:lineRule="auto"/>
      </w:pPr>
      <w:r>
        <w:t xml:space="preserve">Care Quality Commission (CQC) (2024) </w:t>
      </w:r>
      <w:r>
        <w:rPr>
          <w:i/>
          <w:iCs/>
        </w:rPr>
        <w:t>National Review of Maternity Services in England 2022 to 2024</w:t>
      </w:r>
      <w:r>
        <w:t xml:space="preserve">. Available at: </w:t>
      </w:r>
      <w:hyperlink r:id="rId14" w:tgtFrame="_new" w:history="1">
        <w:r w:rsidR="00884B60">
          <w:rPr>
            <w:rStyle w:val="Hyperlink"/>
          </w:rPr>
          <w:t>https://www.cqc.org.uk/publications/maternity-services-2022-2024</w:t>
        </w:r>
      </w:hyperlink>
      <w:r>
        <w:t xml:space="preserve"> (Accessed: 6 July 2026).</w:t>
      </w:r>
    </w:p>
    <w:p w14:paraId="2CC57BB4" w14:textId="77777777" w:rsidR="00884B60" w:rsidRDefault="00000000">
      <w:pPr>
        <w:spacing w:before="240" w:after="60" w:line="276" w:lineRule="auto"/>
      </w:pPr>
      <w:r>
        <w:t xml:space="preserve">Care Quality Commission (CQC) (2025a) </w:t>
      </w:r>
      <w:r>
        <w:rPr>
          <w:i/>
          <w:iCs/>
        </w:rPr>
        <w:t>The State of Health Care and Adult Social Care in England 2024/25: Focus on Maternity</w:t>
      </w:r>
      <w:r>
        <w:t xml:space="preserve">. Available at: </w:t>
      </w:r>
      <w:hyperlink r:id="rId15" w:tgtFrame="_new" w:history="1">
        <w:r w:rsidR="00884B60">
          <w:rPr>
            <w:rStyle w:val="Hyperlink"/>
          </w:rPr>
          <w:t>https://www.cqc.org.uk/publications/major-report/state-care/2024-2025/focus/maternity</w:t>
        </w:r>
      </w:hyperlink>
      <w:r>
        <w:t xml:space="preserve"> (Accessed: 6 July 2026).</w:t>
      </w:r>
    </w:p>
    <w:p w14:paraId="2F276AB4" w14:textId="77777777" w:rsidR="00884B60" w:rsidRDefault="00000000">
      <w:pPr>
        <w:spacing w:before="240" w:after="60" w:line="276" w:lineRule="auto"/>
      </w:pPr>
      <w:r>
        <w:t xml:space="preserve">Care Quality Commission (CQC) (2025b) </w:t>
      </w:r>
      <w:r>
        <w:rPr>
          <w:i/>
          <w:iCs/>
        </w:rPr>
        <w:t>Maternity Survey 2025</w:t>
      </w:r>
      <w:r>
        <w:t xml:space="preserve">. Available at: </w:t>
      </w:r>
      <w:hyperlink r:id="rId16" w:tgtFrame="_new" w:history="1">
        <w:r w:rsidR="00884B60">
          <w:rPr>
            <w:rStyle w:val="Hyperlink"/>
          </w:rPr>
          <w:t>https://www.cqc.org.uk/publications/surveys/maternity-survey</w:t>
        </w:r>
      </w:hyperlink>
      <w:r>
        <w:t xml:space="preserve"> (Accessed: 6 July 2026).</w:t>
      </w:r>
    </w:p>
    <w:p w14:paraId="16354BB7" w14:textId="77777777" w:rsidR="00884B60" w:rsidRDefault="00000000">
      <w:pPr>
        <w:spacing w:before="240" w:after="60" w:line="276" w:lineRule="auto"/>
      </w:pPr>
      <w:r>
        <w:t xml:space="preserve">Damschroder, L.J. et al. (2022) ‘The updated Consolidated Framework for Implementation Research based on user feedback’, </w:t>
      </w:r>
      <w:r>
        <w:rPr>
          <w:i/>
          <w:iCs/>
        </w:rPr>
        <w:t>Implementation Science</w:t>
      </w:r>
      <w:r>
        <w:t xml:space="preserve">, 17, article 75. Available at: </w:t>
      </w:r>
      <w:hyperlink r:id="rId17" w:tgtFrame="_new" w:history="1">
        <w:r w:rsidR="00884B60">
          <w:rPr>
            <w:rStyle w:val="Hyperlink"/>
          </w:rPr>
          <w:t>https://doi.org/10.1186/s13012-022-01245-0</w:t>
        </w:r>
      </w:hyperlink>
      <w:r>
        <w:t xml:space="preserve"> (Accessed: 6 July 2026).</w:t>
      </w:r>
    </w:p>
    <w:p w14:paraId="15A67A88" w14:textId="77777777" w:rsidR="00884B60" w:rsidRDefault="00000000">
      <w:pPr>
        <w:spacing w:before="240" w:after="60" w:line="276" w:lineRule="auto"/>
      </w:pPr>
      <w:r>
        <w:t xml:space="preserve">Donabedian, A. (1988) ‘The quality of care: how can it be assessed?’, </w:t>
      </w:r>
      <w:r>
        <w:rPr>
          <w:i/>
          <w:iCs/>
        </w:rPr>
        <w:t>JAMA</w:t>
      </w:r>
      <w:r>
        <w:t xml:space="preserve">, 260(12), pp. 1743–1748. Available at: </w:t>
      </w:r>
      <w:hyperlink r:id="rId18" w:tgtFrame="_new" w:history="1">
        <w:r w:rsidR="00884B60">
          <w:rPr>
            <w:rStyle w:val="Hyperlink"/>
          </w:rPr>
          <w:t>https://doi.org/10.1001/jama.260.12.1743</w:t>
        </w:r>
      </w:hyperlink>
      <w:r>
        <w:t xml:space="preserve"> (Accessed: 6 July 2026).</w:t>
      </w:r>
    </w:p>
    <w:p w14:paraId="2EB77F16" w14:textId="77777777" w:rsidR="00884B60" w:rsidRDefault="00000000">
      <w:pPr>
        <w:spacing w:before="240" w:after="60" w:line="276" w:lineRule="auto"/>
      </w:pPr>
      <w:r>
        <w:t xml:space="preserve">Edmondson, A. (1999) ‘Psychological safety and learning behavior in work teams’, </w:t>
      </w:r>
      <w:r>
        <w:rPr>
          <w:i/>
          <w:iCs/>
        </w:rPr>
        <w:t>Administrative Science Quarterly</w:t>
      </w:r>
      <w:r>
        <w:t xml:space="preserve">, 44(2), pp. 350–383. Available at: </w:t>
      </w:r>
      <w:hyperlink r:id="rId19" w:tgtFrame="_new" w:history="1">
        <w:r w:rsidR="00884B60">
          <w:rPr>
            <w:rStyle w:val="Hyperlink"/>
          </w:rPr>
          <w:t>https://doi.org/10.2307/2666999</w:t>
        </w:r>
      </w:hyperlink>
      <w:r>
        <w:t xml:space="preserve"> (Accessed: 6 July 2026).</w:t>
      </w:r>
    </w:p>
    <w:p w14:paraId="50933400" w14:textId="77777777" w:rsidR="00884B60" w:rsidRDefault="00000000">
      <w:pPr>
        <w:spacing w:before="240" w:after="60" w:line="276" w:lineRule="auto"/>
      </w:pPr>
      <w:r>
        <w:t xml:space="preserve">Francis, R. (2013) </w:t>
      </w:r>
      <w:r>
        <w:rPr>
          <w:i/>
          <w:iCs/>
        </w:rPr>
        <w:t>Report of the Mid Staffordshire NHS Foundation Trust Public Inquiry</w:t>
      </w:r>
      <w:r>
        <w:t xml:space="preserve">. London: The Stationery Office. Available at: </w:t>
      </w:r>
      <w:hyperlink r:id="rId20" w:tgtFrame="_new" w:history="1">
        <w:r w:rsidR="00884B60">
          <w:rPr>
            <w:rStyle w:val="Hyperlink"/>
          </w:rPr>
          <w:t>https://www.gov.uk/government/publications/report-of-the-mid-staffordshire-nhs-foundation-trust-public-inquiry</w:t>
        </w:r>
      </w:hyperlink>
      <w:r>
        <w:t xml:space="preserve"> (Accessed: 6 July 2026).</w:t>
      </w:r>
    </w:p>
    <w:p w14:paraId="3A3EC901" w14:textId="77777777" w:rsidR="00884B60" w:rsidRDefault="00000000">
      <w:r>
        <w:t>Helms, M.M. and Nixon, J. (2010) ‘Exploring SWOT analysis: where are we now? A review of academic research from the last decade’, Journal of Strategy and Management, 3(3), pp. 215-251. Available at: https://doi.org/10.1108/17554251011064837 (Accessed: 6 July 2026).</w:t>
      </w:r>
    </w:p>
    <w:p w14:paraId="15B1FF83" w14:textId="77777777" w:rsidR="00884B60" w:rsidRDefault="00000000">
      <w:pPr>
        <w:jc w:val="both"/>
      </w:pPr>
      <w:r>
        <w:t>Healthcare Safety Investigation Branch (2023) Maternity Investigation Programme: Year in Review 2022/23. Available at: https://www.mnsi.org.uk/news/maternity-investigation-programme-year-in-review-202223/ (Accessed: 6 July 2026).</w:t>
      </w:r>
    </w:p>
    <w:p w14:paraId="68A3F764" w14:textId="77777777" w:rsidR="00884B60" w:rsidRDefault="00000000">
      <w:pPr>
        <w:spacing w:before="240" w:after="60" w:line="276" w:lineRule="auto"/>
      </w:pPr>
      <w:r>
        <w:t xml:space="preserve">Institute for Healthcare Improvement (IHI) (2024) </w:t>
      </w:r>
      <w:r>
        <w:rPr>
          <w:i/>
          <w:iCs/>
        </w:rPr>
        <w:t>How to Improve: Model for Improvement</w:t>
      </w:r>
      <w:r>
        <w:t xml:space="preserve">. Available at: </w:t>
      </w:r>
      <w:hyperlink r:id="rId21" w:tgtFrame="_new" w:history="1">
        <w:r w:rsidR="00884B60">
          <w:rPr>
            <w:rStyle w:val="Hyperlink"/>
          </w:rPr>
          <w:t>https://www.ihi.org/resources/how-to-improve</w:t>
        </w:r>
      </w:hyperlink>
      <w:r>
        <w:t xml:space="preserve"> (Accessed: 6 July 2026).</w:t>
      </w:r>
    </w:p>
    <w:p w14:paraId="75569702" w14:textId="77777777" w:rsidR="00884B60" w:rsidRDefault="00000000">
      <w:pPr>
        <w:spacing w:before="240" w:after="60" w:line="276" w:lineRule="auto"/>
      </w:pPr>
      <w:r>
        <w:t xml:space="preserve">Institute of Medicine (2001) </w:t>
      </w:r>
      <w:r>
        <w:rPr>
          <w:i/>
          <w:iCs/>
        </w:rPr>
        <w:t>Crossing the Quality Chasm: A New Health System for the 21st Century</w:t>
      </w:r>
      <w:r>
        <w:t>. Washington, DC: National Academies Press.</w:t>
      </w:r>
    </w:p>
    <w:p w14:paraId="15EC2635" w14:textId="77777777" w:rsidR="00884B60" w:rsidRDefault="00000000">
      <w:pPr>
        <w:spacing w:before="240" w:after="60" w:line="276" w:lineRule="auto"/>
      </w:pPr>
      <w:r>
        <w:lastRenderedPageBreak/>
        <w:t xml:space="preserve">Ishikawa, K. (1985) </w:t>
      </w:r>
      <w:r>
        <w:rPr>
          <w:i/>
          <w:iCs/>
        </w:rPr>
        <w:t>What is Total Quality Control? The Japanese Way</w:t>
      </w:r>
      <w:r>
        <w:t>. Englewood Cliffs, NJ: Prentice-Hall.</w:t>
      </w:r>
    </w:p>
    <w:p w14:paraId="1F828A1C" w14:textId="77777777" w:rsidR="00884B60" w:rsidRDefault="00000000">
      <w:pPr>
        <w:spacing w:before="240" w:after="60" w:line="276" w:lineRule="auto"/>
      </w:pPr>
      <w:r>
        <w:t xml:space="preserve">Kirkup, B. (2022) </w:t>
      </w:r>
      <w:r>
        <w:rPr>
          <w:i/>
          <w:iCs/>
        </w:rPr>
        <w:t>Reading the Signals: Maternity and Neonatal Services in East Kent</w:t>
      </w:r>
      <w:r>
        <w:t xml:space="preserve">. Available at: </w:t>
      </w:r>
      <w:hyperlink r:id="rId22" w:tgtFrame="_new" w:history="1">
        <w:r w:rsidR="00884B60">
          <w:rPr>
            <w:rStyle w:val="Hyperlink"/>
          </w:rPr>
          <w:t>https://www.gov.uk/government/publications/maternity-and-neonatal-services-in-east-kent-reading-the-signals-report</w:t>
        </w:r>
      </w:hyperlink>
      <w:r>
        <w:t xml:space="preserve"> (Accessed: 6 July 2026).</w:t>
      </w:r>
    </w:p>
    <w:p w14:paraId="6DF91941" w14:textId="77777777" w:rsidR="00884B60" w:rsidRDefault="00000000">
      <w:pPr>
        <w:spacing w:before="240" w:after="60" w:line="276" w:lineRule="auto"/>
      </w:pPr>
      <w:r>
        <w:t xml:space="preserve">Kotter, J.P. (1996) </w:t>
      </w:r>
      <w:r>
        <w:rPr>
          <w:i/>
          <w:iCs/>
        </w:rPr>
        <w:t>Leading Change</w:t>
      </w:r>
      <w:r>
        <w:t>. Boston: Harvard Business School Press.</w:t>
      </w:r>
    </w:p>
    <w:p w14:paraId="084ABE97" w14:textId="77777777" w:rsidR="00884B60" w:rsidRDefault="00000000">
      <w:pPr>
        <w:spacing w:before="240" w:after="60" w:line="276" w:lineRule="auto"/>
      </w:pPr>
      <w:r>
        <w:t xml:space="preserve">Langley, G.J. et al. (2009) </w:t>
      </w:r>
      <w:r>
        <w:rPr>
          <w:i/>
          <w:iCs/>
        </w:rPr>
        <w:t>The Improvement Guide: A Practical Approach to Enhancing Organizational Performance</w:t>
      </w:r>
      <w:r>
        <w:t xml:space="preserve">. 2nd </w:t>
      </w:r>
      <w:proofErr w:type="spellStart"/>
      <w:r>
        <w:t>edn</w:t>
      </w:r>
      <w:proofErr w:type="spellEnd"/>
      <w:r>
        <w:t>. San Francisco: Jossey-Bass.</w:t>
      </w:r>
    </w:p>
    <w:p w14:paraId="367E5097" w14:textId="77777777" w:rsidR="00884B60" w:rsidRDefault="00000000">
      <w:pPr>
        <w:spacing w:before="240" w:after="60" w:line="276" w:lineRule="auto"/>
      </w:pPr>
      <w:proofErr w:type="spellStart"/>
      <w:r>
        <w:t>Leape</w:t>
      </w:r>
      <w:proofErr w:type="spellEnd"/>
      <w:r>
        <w:t xml:space="preserve">, L.L. (1994) ‘Error in medicine’, </w:t>
      </w:r>
      <w:r>
        <w:rPr>
          <w:i/>
          <w:iCs/>
        </w:rPr>
        <w:t>JAMA</w:t>
      </w:r>
      <w:r>
        <w:t xml:space="preserve">, 272(23), pp. 1851–1857. Available at: </w:t>
      </w:r>
      <w:hyperlink r:id="rId23" w:tgtFrame="_new" w:history="1">
        <w:r w:rsidR="00884B60">
          <w:rPr>
            <w:rStyle w:val="Hyperlink"/>
          </w:rPr>
          <w:t>https://doi.org/10.1001/jama.1994.03520230061039</w:t>
        </w:r>
      </w:hyperlink>
      <w:r>
        <w:t xml:space="preserve"> (Accessed: 6 July 2026).</w:t>
      </w:r>
    </w:p>
    <w:p w14:paraId="26E6915D" w14:textId="77777777" w:rsidR="00884B60" w:rsidRDefault="00000000">
      <w:pPr>
        <w:spacing w:before="240" w:after="60" w:line="276" w:lineRule="auto"/>
      </w:pPr>
      <w:r>
        <w:t xml:space="preserve">MBRRACE-UK (2024) </w:t>
      </w:r>
      <w:r>
        <w:rPr>
          <w:i/>
          <w:iCs/>
        </w:rPr>
        <w:t>Saving Lives, Improving Mothers' Care 2024</w:t>
      </w:r>
      <w:r>
        <w:t xml:space="preserve">. Oxford: National Perinatal Epidemiology Unit. Available at: </w:t>
      </w:r>
      <w:hyperlink r:id="rId24" w:tgtFrame="_new" w:history="1">
        <w:r w:rsidR="00884B60">
          <w:rPr>
            <w:rStyle w:val="Hyperlink"/>
          </w:rPr>
          <w:t>https://www.npeu.ox.ac.uk/mbrrace-uk/reports/maternal-reports/maternal-report-2020-2022</w:t>
        </w:r>
      </w:hyperlink>
      <w:r>
        <w:t xml:space="preserve"> (Accessed: 6 July 2026).</w:t>
      </w:r>
    </w:p>
    <w:p w14:paraId="766374D3" w14:textId="77777777" w:rsidR="00884B60" w:rsidRDefault="00000000">
      <w:pPr>
        <w:spacing w:before="240" w:after="60" w:line="276" w:lineRule="auto"/>
      </w:pPr>
      <w:r>
        <w:t xml:space="preserve">MBRRACE-UK (2025) </w:t>
      </w:r>
      <w:r>
        <w:rPr>
          <w:i/>
          <w:iCs/>
        </w:rPr>
        <w:t>Saving Lives, Improving Mothers' Care 2025</w:t>
      </w:r>
      <w:r>
        <w:t xml:space="preserve">. Oxford: National Perinatal Epidemiology Unit. Available at: </w:t>
      </w:r>
      <w:hyperlink r:id="rId25" w:tgtFrame="_new" w:history="1">
        <w:r w:rsidR="00884B60">
          <w:rPr>
            <w:rStyle w:val="Hyperlink"/>
          </w:rPr>
          <w:t>https://www.npeu.ox.ac.uk/mbrrace-uk/reports/maternal-reports/maternal-report-2021-2023</w:t>
        </w:r>
      </w:hyperlink>
      <w:r>
        <w:t xml:space="preserve"> (Accessed: 6 July 2026).</w:t>
      </w:r>
    </w:p>
    <w:p w14:paraId="6085ACE6" w14:textId="77777777" w:rsidR="00884B60" w:rsidRDefault="00000000">
      <w:pPr>
        <w:spacing w:before="240" w:after="60" w:line="276" w:lineRule="auto"/>
      </w:pPr>
      <w:r>
        <w:t xml:space="preserve">National Maternity Review (2016) </w:t>
      </w:r>
      <w:r>
        <w:rPr>
          <w:i/>
          <w:iCs/>
        </w:rPr>
        <w:t>Better Births: Improving Outcomes of Maternity Services in England</w:t>
      </w:r>
      <w:r>
        <w:t xml:space="preserve">. Available at: </w:t>
      </w:r>
      <w:hyperlink r:id="rId26" w:tgtFrame="_new" w:history="1">
        <w:r w:rsidR="00884B60">
          <w:rPr>
            <w:rStyle w:val="Hyperlink"/>
          </w:rPr>
          <w:t>https://www.england.nhs.uk/publication/better-births-improving-outcomes-of-maternity-services-in-england-a-five-year-forward-view-for-maternity-care/</w:t>
        </w:r>
      </w:hyperlink>
      <w:r>
        <w:t xml:space="preserve"> (Accessed: 6 July 2026).</w:t>
      </w:r>
    </w:p>
    <w:p w14:paraId="0346E347" w14:textId="77777777" w:rsidR="00884B60" w:rsidRDefault="00000000">
      <w:pPr>
        <w:spacing w:before="240" w:after="60" w:line="276" w:lineRule="auto"/>
      </w:pPr>
      <w:r>
        <w:t xml:space="preserve">National Institute for Health and Care Excellence (NICE) (2023) </w:t>
      </w:r>
      <w:r>
        <w:rPr>
          <w:i/>
          <w:iCs/>
        </w:rPr>
        <w:t>Intrapartum Care</w:t>
      </w:r>
      <w:r>
        <w:t xml:space="preserve">. NICE guideline NG235. Available at: </w:t>
      </w:r>
      <w:hyperlink r:id="rId27" w:tgtFrame="_new" w:history="1">
        <w:r w:rsidR="00884B60">
          <w:rPr>
            <w:rStyle w:val="Hyperlink"/>
          </w:rPr>
          <w:t>https://www.nice.org.uk/guidance/ng235</w:t>
        </w:r>
      </w:hyperlink>
      <w:r>
        <w:t xml:space="preserve"> (Accessed: 6 July 2026).</w:t>
      </w:r>
    </w:p>
    <w:p w14:paraId="5189C799" w14:textId="77777777" w:rsidR="00884B60" w:rsidRDefault="00000000">
      <w:pPr>
        <w:spacing w:before="240" w:after="60" w:line="276" w:lineRule="auto"/>
      </w:pPr>
      <w:r>
        <w:t xml:space="preserve">NHS England (2022a) </w:t>
      </w:r>
      <w:r>
        <w:rPr>
          <w:i/>
          <w:iCs/>
        </w:rPr>
        <w:t>Patient Safety Incident Response Framework</w:t>
      </w:r>
      <w:r>
        <w:t xml:space="preserve">. Available at: </w:t>
      </w:r>
      <w:hyperlink r:id="rId28" w:tgtFrame="_new" w:history="1">
        <w:r w:rsidR="00884B60">
          <w:rPr>
            <w:rStyle w:val="Hyperlink"/>
          </w:rPr>
          <w:t>https://www.england.nhs.uk/patient-safety/patient-safety-insight/incident-response-framework/</w:t>
        </w:r>
      </w:hyperlink>
      <w:r>
        <w:t xml:space="preserve"> (Accessed: 6 July 2026).</w:t>
      </w:r>
    </w:p>
    <w:p w14:paraId="2DBB2A41" w14:textId="77777777" w:rsidR="00884B60" w:rsidRDefault="00000000">
      <w:pPr>
        <w:spacing w:before="240" w:after="60" w:line="276" w:lineRule="auto"/>
      </w:pPr>
      <w:r>
        <w:t xml:space="preserve">NHS England (2022b) </w:t>
      </w:r>
      <w:r>
        <w:rPr>
          <w:i/>
          <w:iCs/>
        </w:rPr>
        <w:t>Engaging and Involving Patients, Families and Staff Following a Patient Safety Incident</w:t>
      </w:r>
      <w:r>
        <w:t xml:space="preserve">. Available at: </w:t>
      </w:r>
      <w:hyperlink r:id="rId29" w:tgtFrame="_new" w:history="1">
        <w:r w:rsidR="00884B60">
          <w:rPr>
            <w:rStyle w:val="Hyperlink"/>
          </w:rPr>
          <w:t>https://www.england.nhs.uk/patient-safety/patient-safety-insight/incident-response-framework/engaging-and-involving-patients-families-and-staff-following-a-patient-safety-incident/</w:t>
        </w:r>
      </w:hyperlink>
      <w:r>
        <w:t xml:space="preserve"> (Accessed: 6 July 2026).</w:t>
      </w:r>
    </w:p>
    <w:p w14:paraId="0050B8CA" w14:textId="77777777" w:rsidR="00884B60" w:rsidRDefault="00000000">
      <w:pPr>
        <w:spacing w:before="240" w:after="60" w:line="276" w:lineRule="auto"/>
      </w:pPr>
      <w:r>
        <w:t xml:space="preserve">NHS England (2023a) </w:t>
      </w:r>
      <w:proofErr w:type="gramStart"/>
      <w:r>
        <w:rPr>
          <w:i/>
          <w:iCs/>
        </w:rPr>
        <w:t>Three Year</w:t>
      </w:r>
      <w:proofErr w:type="gramEnd"/>
      <w:r>
        <w:rPr>
          <w:i/>
          <w:iCs/>
        </w:rPr>
        <w:t xml:space="preserve"> Delivery Plan for Maternity and Neonatal Services</w:t>
      </w:r>
      <w:r>
        <w:t xml:space="preserve">. Available at: </w:t>
      </w:r>
      <w:hyperlink r:id="rId30" w:tgtFrame="_new" w:history="1">
        <w:r w:rsidR="00884B60">
          <w:rPr>
            <w:rStyle w:val="Hyperlink"/>
          </w:rPr>
          <w:t>https://www.england.nhs.uk/publication/three-year-delivery-plan-for-maternity-and-neonatal-services/</w:t>
        </w:r>
      </w:hyperlink>
      <w:r>
        <w:t xml:space="preserve"> (Accessed: 6 July 2026).</w:t>
      </w:r>
    </w:p>
    <w:p w14:paraId="33CDC133" w14:textId="77777777" w:rsidR="00884B60" w:rsidRDefault="00000000">
      <w:pPr>
        <w:spacing w:before="240" w:after="60" w:line="276" w:lineRule="auto"/>
      </w:pPr>
      <w:r>
        <w:lastRenderedPageBreak/>
        <w:t xml:space="preserve">NHS England (2023b) </w:t>
      </w:r>
      <w:r>
        <w:rPr>
          <w:i/>
          <w:iCs/>
        </w:rPr>
        <w:t>Saving Babies' Lives Version Three</w:t>
      </w:r>
      <w:r>
        <w:t xml:space="preserve">. Available at: </w:t>
      </w:r>
      <w:hyperlink r:id="rId31" w:tgtFrame="_new" w:history="1">
        <w:r w:rsidR="00884B60">
          <w:rPr>
            <w:rStyle w:val="Hyperlink"/>
          </w:rPr>
          <w:t>https://www.england.nhs.uk/publication/saving-babies-lives-version-three/</w:t>
        </w:r>
      </w:hyperlink>
      <w:r>
        <w:t xml:space="preserve"> (Accessed: 6 July 2026).</w:t>
      </w:r>
    </w:p>
    <w:p w14:paraId="7779949F" w14:textId="77777777" w:rsidR="00884B60" w:rsidRDefault="00000000">
      <w:pPr>
        <w:spacing w:before="240" w:after="60" w:line="276" w:lineRule="auto"/>
      </w:pPr>
      <w:r>
        <w:t xml:space="preserve">NHS England (2026) </w:t>
      </w:r>
      <w:r>
        <w:rPr>
          <w:i/>
          <w:iCs/>
        </w:rPr>
        <w:t>Maternity Experience Survey 2025: National Qualitative Report</w:t>
      </w:r>
      <w:r>
        <w:t xml:space="preserve">. Available at: </w:t>
      </w:r>
      <w:hyperlink r:id="rId32" w:tgtFrame="_new" w:history="1">
        <w:r w:rsidR="00884B60">
          <w:rPr>
            <w:rStyle w:val="Hyperlink"/>
          </w:rPr>
          <w:t>https://www.england.nhs.uk/publication/maternity-experience-survey-2025-national-qualitative-report/</w:t>
        </w:r>
      </w:hyperlink>
      <w:r>
        <w:t xml:space="preserve"> (Accessed: 6 July 2026).</w:t>
      </w:r>
    </w:p>
    <w:p w14:paraId="0E4790D9" w14:textId="77777777" w:rsidR="00884B60" w:rsidRDefault="00000000">
      <w:pPr>
        <w:spacing w:before="240" w:after="60" w:line="276" w:lineRule="auto"/>
      </w:pPr>
      <w:r>
        <w:t>NHS Resolution (2024) Maternity Incentive Scheme year six. Available at: https://resolution.nhs.uk/services/claims-management/clinical-schemes/clinical-negligence-scheme-for-trusts/maternity-incentive-scheme/ (Accessed: 6 July 2026).</w:t>
      </w:r>
    </w:p>
    <w:p w14:paraId="6A8C9CB0" w14:textId="77777777" w:rsidR="00884B60" w:rsidRDefault="00000000">
      <w:pPr>
        <w:spacing w:before="240" w:after="60" w:line="276" w:lineRule="auto"/>
      </w:pPr>
      <w:r>
        <w:t xml:space="preserve">Nursing and Midwifery Council (NMC) (2018) </w:t>
      </w:r>
      <w:r>
        <w:rPr>
          <w:i/>
          <w:iCs/>
        </w:rPr>
        <w:t xml:space="preserve">The Code: Professional Standards of Practice and </w:t>
      </w:r>
      <w:proofErr w:type="spellStart"/>
      <w:r>
        <w:rPr>
          <w:i/>
          <w:iCs/>
        </w:rPr>
        <w:t>Behaviour</w:t>
      </w:r>
      <w:proofErr w:type="spellEnd"/>
      <w:r>
        <w:rPr>
          <w:i/>
          <w:iCs/>
        </w:rPr>
        <w:t xml:space="preserve"> for Nurses, Midwives and Nursing Associates</w:t>
      </w:r>
      <w:r>
        <w:t xml:space="preserve">. Available at: </w:t>
      </w:r>
      <w:hyperlink r:id="rId33" w:tgtFrame="_new" w:history="1">
        <w:r w:rsidR="00884B60">
          <w:rPr>
            <w:rStyle w:val="Hyperlink"/>
          </w:rPr>
          <w:t>https://www.nmc.org.uk/standards/code/</w:t>
        </w:r>
      </w:hyperlink>
      <w:r>
        <w:t xml:space="preserve"> (Accessed: 6 July 2026).</w:t>
      </w:r>
    </w:p>
    <w:p w14:paraId="2F63ED32" w14:textId="77777777" w:rsidR="00884B60" w:rsidRDefault="00000000">
      <w:pPr>
        <w:spacing w:before="240" w:after="60" w:line="276" w:lineRule="auto"/>
      </w:pPr>
      <w:r>
        <w:t xml:space="preserve">Ockenden, D. (2020) </w:t>
      </w:r>
      <w:r>
        <w:rPr>
          <w:i/>
          <w:iCs/>
        </w:rPr>
        <w:t>Emerging Findings and Recommendations from the Independent Review of Maternity Services at the Shrewsbury and Telford Hospital NHS Trust</w:t>
      </w:r>
      <w:r>
        <w:t xml:space="preserve">. Available at: </w:t>
      </w:r>
      <w:hyperlink r:id="rId34" w:tgtFrame="_new" w:history="1">
        <w:r w:rsidR="00884B60">
          <w:rPr>
            <w:rStyle w:val="Hyperlink"/>
          </w:rPr>
          <w:t>https://www.ockendenmaternityreview.org.uk/wp-content/uploads/2020/12/ockenden-report.pdf</w:t>
        </w:r>
      </w:hyperlink>
      <w:r>
        <w:t xml:space="preserve"> (Accessed: 6 July 2026).</w:t>
      </w:r>
    </w:p>
    <w:p w14:paraId="278F682A" w14:textId="77777777" w:rsidR="00884B60" w:rsidRDefault="00000000">
      <w:pPr>
        <w:spacing w:before="240" w:after="60" w:line="276" w:lineRule="auto"/>
      </w:pPr>
      <w:r>
        <w:t xml:space="preserve">Ockenden, D. (2022) </w:t>
      </w:r>
      <w:r>
        <w:rPr>
          <w:i/>
          <w:iCs/>
        </w:rPr>
        <w:t>Findings, Conclusions and Essential Actions from the Independent Review of Maternity Services at the Shrewsbury and Telford Hospital NHS Trust</w:t>
      </w:r>
      <w:r>
        <w:t xml:space="preserve">. Available at: </w:t>
      </w:r>
      <w:hyperlink r:id="rId35" w:tgtFrame="_new" w:history="1">
        <w:r w:rsidR="00884B60">
          <w:rPr>
            <w:rStyle w:val="Hyperlink"/>
          </w:rPr>
          <w:t>https://www.gov.uk/government/publications/final-report-of-the-ockenden-review</w:t>
        </w:r>
      </w:hyperlink>
      <w:r>
        <w:t xml:space="preserve"> (Accessed: 6 July 2026).</w:t>
      </w:r>
    </w:p>
    <w:p w14:paraId="439BD44C" w14:textId="77777777" w:rsidR="00884B60" w:rsidRDefault="00000000">
      <w:pPr>
        <w:spacing w:before="240" w:after="60" w:line="276" w:lineRule="auto"/>
      </w:pPr>
      <w:r>
        <w:t xml:space="preserve">Reason, J. (2000) ‘Human error: models and management’, </w:t>
      </w:r>
      <w:r>
        <w:rPr>
          <w:i/>
          <w:iCs/>
        </w:rPr>
        <w:t>BMJ</w:t>
      </w:r>
      <w:r>
        <w:t xml:space="preserve">, 320(7237), pp. 768–770. Available at: </w:t>
      </w:r>
      <w:hyperlink r:id="rId36" w:tgtFrame="_new" w:history="1">
        <w:r w:rsidR="00884B60">
          <w:rPr>
            <w:rStyle w:val="Hyperlink"/>
          </w:rPr>
          <w:t>https://doi.org/10.1136/bmj.320.7237.768</w:t>
        </w:r>
      </w:hyperlink>
      <w:r>
        <w:t xml:space="preserve"> (Accessed: 6 July 2026).</w:t>
      </w:r>
    </w:p>
    <w:p w14:paraId="4C2C348F" w14:textId="77777777" w:rsidR="00884B60" w:rsidRDefault="00000000">
      <w:pPr>
        <w:spacing w:before="240" w:after="60" w:line="276" w:lineRule="auto"/>
      </w:pPr>
      <w:r>
        <w:t xml:space="preserve">Taylor, M.J. et al. (2014) ‘Systematic review of the application of the plan-do-study-act method to improve quality in healthcare’, </w:t>
      </w:r>
      <w:r>
        <w:rPr>
          <w:i/>
          <w:iCs/>
        </w:rPr>
        <w:t>BMJ Quality &amp; Safety</w:t>
      </w:r>
      <w:r>
        <w:t xml:space="preserve">, 23(4), pp. 290–298. Available at: </w:t>
      </w:r>
      <w:hyperlink r:id="rId37" w:tgtFrame="_new" w:history="1">
        <w:r w:rsidR="00884B60">
          <w:rPr>
            <w:rStyle w:val="Hyperlink"/>
          </w:rPr>
          <w:t>https://doi.org/10.1136/bmjqs-2013-001862</w:t>
        </w:r>
      </w:hyperlink>
      <w:r>
        <w:t xml:space="preserve"> (Accessed: 6 July 2026).</w:t>
      </w:r>
    </w:p>
    <w:p w14:paraId="56E940B1" w14:textId="77777777" w:rsidR="00884B60" w:rsidRDefault="00000000">
      <w:pPr>
        <w:spacing w:before="240" w:after="60" w:line="276" w:lineRule="auto"/>
      </w:pPr>
      <w:r>
        <w:t xml:space="preserve">Vincent, C., Taylor-Adams, S. and Stanhope, N. (1998) ‘Framework for </w:t>
      </w:r>
      <w:proofErr w:type="spellStart"/>
      <w:r>
        <w:t>analysing</w:t>
      </w:r>
      <w:proofErr w:type="spellEnd"/>
      <w:r>
        <w:t xml:space="preserve"> risk and safety in clinical medicine’, </w:t>
      </w:r>
      <w:r>
        <w:rPr>
          <w:i/>
          <w:iCs/>
        </w:rPr>
        <w:t>BMJ</w:t>
      </w:r>
      <w:r>
        <w:t xml:space="preserve">, 316(7138), pp. 1154–1157. Available at: </w:t>
      </w:r>
      <w:hyperlink r:id="rId38" w:tgtFrame="_new" w:history="1">
        <w:r w:rsidR="00884B60">
          <w:rPr>
            <w:rStyle w:val="Hyperlink"/>
          </w:rPr>
          <w:t>https://doi.org/10.1136/bmj.316.7138.1154</w:t>
        </w:r>
      </w:hyperlink>
      <w:r>
        <w:t xml:space="preserve"> (Accessed: 6 July 2026).</w:t>
      </w:r>
    </w:p>
    <w:p w14:paraId="4D63B1F9" w14:textId="77777777" w:rsidR="00884B60" w:rsidRDefault="00000000">
      <w:pPr>
        <w:spacing w:before="240" w:after="60" w:line="276" w:lineRule="auto"/>
      </w:pPr>
      <w:r>
        <w:t xml:space="preserve">Vincent, C. and Amalberti, R. (2016) </w:t>
      </w:r>
      <w:r>
        <w:rPr>
          <w:i/>
          <w:iCs/>
        </w:rPr>
        <w:t>Safer Healthcare: Strategies for the Real World</w:t>
      </w:r>
      <w:r>
        <w:t>. Cham: Springer.</w:t>
      </w:r>
    </w:p>
    <w:p w14:paraId="04AF77F9" w14:textId="77777777" w:rsidR="00884B60" w:rsidRDefault="00000000">
      <w:pPr>
        <w:spacing w:before="240" w:after="60" w:line="276" w:lineRule="auto"/>
      </w:pPr>
      <w:r>
        <w:t xml:space="preserve">Wiegmann, D.A., Wood, L.J., Cohen, T.N. and Shappell, S.A. (2022) ‘Understanding the Swiss Cheese Model and its application to patient safety’, </w:t>
      </w:r>
      <w:r>
        <w:rPr>
          <w:i/>
          <w:iCs/>
        </w:rPr>
        <w:t>Journal of Patient Safety</w:t>
      </w:r>
      <w:r>
        <w:t xml:space="preserve">, 18(2), pp. 119–123. Available at: </w:t>
      </w:r>
      <w:hyperlink r:id="rId39" w:tgtFrame="_new" w:history="1">
        <w:r w:rsidR="00884B60">
          <w:rPr>
            <w:rStyle w:val="Hyperlink"/>
          </w:rPr>
          <w:t>https://doi.org/10.1097/PTS.0000000000000810</w:t>
        </w:r>
      </w:hyperlink>
      <w:r>
        <w:t xml:space="preserve"> (Accessed: 6 July 2026).</w:t>
      </w:r>
    </w:p>
    <w:p w14:paraId="5A9A4F1E" w14:textId="77777777" w:rsidR="00884B60" w:rsidRDefault="00000000">
      <w:pPr>
        <w:spacing w:before="240" w:after="60" w:line="276" w:lineRule="auto"/>
      </w:pPr>
      <w:r>
        <w:lastRenderedPageBreak/>
        <w:t xml:space="preserve">World Health Organization (WHO) (2016) </w:t>
      </w:r>
      <w:r>
        <w:rPr>
          <w:i/>
          <w:iCs/>
        </w:rPr>
        <w:t>Standards for Improving Quality of Maternal and Newborn Care in Health Facilities</w:t>
      </w:r>
      <w:r>
        <w:t xml:space="preserve">. Geneva: World Health Organization. Available at: </w:t>
      </w:r>
      <w:hyperlink r:id="rId40" w:tgtFrame="_new" w:history="1">
        <w:r w:rsidR="00884B60">
          <w:rPr>
            <w:rStyle w:val="Hyperlink"/>
          </w:rPr>
          <w:t>https://www.who.int/publications/i/item/9789241511216</w:t>
        </w:r>
      </w:hyperlink>
      <w:r>
        <w:t xml:space="preserve"> (Accessed: 6 July 2026).</w:t>
      </w:r>
    </w:p>
    <w:p w14:paraId="6CDA0C8F" w14:textId="77777777" w:rsidR="00884B60" w:rsidRDefault="00000000">
      <w:pPr>
        <w:spacing w:before="240" w:after="60" w:line="276" w:lineRule="auto"/>
      </w:pPr>
      <w:r>
        <w:t xml:space="preserve">World Health Organization (WHO) (2021) </w:t>
      </w:r>
      <w:r>
        <w:rPr>
          <w:i/>
          <w:iCs/>
        </w:rPr>
        <w:t>Global Patient Safety Action Plan 2021–2030</w:t>
      </w:r>
      <w:r>
        <w:t xml:space="preserve">. Geneva: World Health Organization. Available at: </w:t>
      </w:r>
      <w:hyperlink r:id="rId41" w:tgtFrame="_new" w:history="1">
        <w:r w:rsidR="00884B60">
          <w:rPr>
            <w:rStyle w:val="Hyperlink"/>
          </w:rPr>
          <w:t>https://www.who.int/publications/i/item/9789240032705</w:t>
        </w:r>
      </w:hyperlink>
      <w:r>
        <w:t xml:space="preserve"> (Accessed: 6 July 2026).</w:t>
      </w:r>
    </w:p>
    <w:p w14:paraId="0420C1EA" w14:textId="77777777" w:rsidR="00884B60" w:rsidRDefault="00884B60">
      <w:pPr>
        <w:spacing w:after="60" w:line="276" w:lineRule="auto"/>
        <w:ind w:left="360" w:hanging="360"/>
      </w:pPr>
    </w:p>
    <w:sectPr w:rsidR="00884B60">
      <w:footerReference w:type="default" r:id="rId4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797D56" w14:textId="77777777" w:rsidR="0087454D" w:rsidRDefault="0087454D">
      <w:pPr>
        <w:spacing w:after="0" w:line="240" w:lineRule="auto"/>
      </w:pPr>
      <w:r>
        <w:separator/>
      </w:r>
    </w:p>
  </w:endnote>
  <w:endnote w:type="continuationSeparator" w:id="0">
    <w:p w14:paraId="7F8B6C27" w14:textId="77777777" w:rsidR="0087454D" w:rsidRDefault="0087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C006B1A" w14:textId="77777777" w:rsidR="004268E5" w:rsidRDefault="00000000">
    <w:pPr>
      <w:pStyle w:val="Footer"/>
      <w:jc w:val="center"/>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0B5B21" w14:textId="77777777" w:rsidR="0087454D" w:rsidRDefault="0087454D">
      <w:pPr>
        <w:spacing w:after="0" w:line="240" w:lineRule="auto"/>
      </w:pPr>
      <w:r>
        <w:separator/>
      </w:r>
    </w:p>
  </w:footnote>
  <w:footnote w:type="continuationSeparator" w:id="0">
    <w:p w14:paraId="4A48CCE2" w14:textId="77777777" w:rsidR="0087454D" w:rsidRDefault="008745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22290508">
    <w:abstractNumId w:val="8"/>
  </w:num>
  <w:num w:numId="2" w16cid:durableId="677122735">
    <w:abstractNumId w:val="6"/>
  </w:num>
  <w:num w:numId="3" w16cid:durableId="2132429978">
    <w:abstractNumId w:val="5"/>
  </w:num>
  <w:num w:numId="4" w16cid:durableId="751314536">
    <w:abstractNumId w:val="4"/>
  </w:num>
  <w:num w:numId="5" w16cid:durableId="2069188286">
    <w:abstractNumId w:val="7"/>
  </w:num>
  <w:num w:numId="6" w16cid:durableId="1127068">
    <w:abstractNumId w:val="3"/>
  </w:num>
  <w:num w:numId="7" w16cid:durableId="2141147275">
    <w:abstractNumId w:val="2"/>
  </w:num>
  <w:num w:numId="8" w16cid:durableId="799113111">
    <w:abstractNumId w:val="1"/>
  </w:num>
  <w:num w:numId="9" w16cid:durableId="19827295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081DF7"/>
    <w:rsid w:val="000B4144"/>
    <w:rsid w:val="001301B4"/>
    <w:rsid w:val="0015074B"/>
    <w:rsid w:val="00167BFF"/>
    <w:rsid w:val="001C5025"/>
    <w:rsid w:val="00245DA2"/>
    <w:rsid w:val="0029639D"/>
    <w:rsid w:val="00326F90"/>
    <w:rsid w:val="00347007"/>
    <w:rsid w:val="003756EA"/>
    <w:rsid w:val="003C509E"/>
    <w:rsid w:val="00413513"/>
    <w:rsid w:val="004268E5"/>
    <w:rsid w:val="00501A8F"/>
    <w:rsid w:val="005935C8"/>
    <w:rsid w:val="006A65DD"/>
    <w:rsid w:val="007137A9"/>
    <w:rsid w:val="00730584"/>
    <w:rsid w:val="00756685"/>
    <w:rsid w:val="007C0335"/>
    <w:rsid w:val="00854D2A"/>
    <w:rsid w:val="0087454D"/>
    <w:rsid w:val="00884B60"/>
    <w:rsid w:val="008D0753"/>
    <w:rsid w:val="00967552"/>
    <w:rsid w:val="00A060F7"/>
    <w:rsid w:val="00AA1D8D"/>
    <w:rsid w:val="00B0003E"/>
    <w:rsid w:val="00B445D5"/>
    <w:rsid w:val="00B47730"/>
    <w:rsid w:val="00C03B23"/>
    <w:rsid w:val="00C41078"/>
    <w:rsid w:val="00CA43A2"/>
    <w:rsid w:val="00CB0664"/>
    <w:rsid w:val="00D4689E"/>
    <w:rsid w:val="00E709F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5CB91DF"/>
  <w14:defaultImageDpi w14:val="300"/>
  <w15:docId w15:val="{BB15096D-C0B6-445E-91EF-41CF88454C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eastAsia="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00000"/>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00000"/>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000000"/>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730584"/>
    <w:rPr>
      <w:color w:val="0000FF" w:themeColor="hyperlink"/>
      <w:u w:val="single"/>
    </w:rPr>
  </w:style>
  <w:style w:type="character" w:styleId="UnresolvedMention">
    <w:name w:val="Unresolved Mention"/>
    <w:basedOn w:val="DefaultParagraphFont"/>
    <w:uiPriority w:val="99"/>
    <w:semiHidden/>
    <w:unhideWhenUsed/>
    <w:rsid w:val="00730584"/>
    <w:rPr>
      <w:color w:val="605E5C"/>
      <w:shd w:val="clear" w:color="auto" w:fill="E1DFDD"/>
    </w:rPr>
  </w:style>
  <w:style w:type="paragraph" w:styleId="TOC1">
    <w:name w:val="toc 1"/>
    <w:basedOn w:val="Normal"/>
    <w:next w:val="Normal"/>
    <w:autoRedefine/>
    <w:uiPriority w:val="39"/>
    <w:unhideWhenUsed/>
    <w:rsid w:val="00730584"/>
    <w:pPr>
      <w:spacing w:after="100"/>
    </w:pPr>
  </w:style>
  <w:style w:type="paragraph" w:styleId="TOC2">
    <w:name w:val="toc 2"/>
    <w:basedOn w:val="Normal"/>
    <w:next w:val="Normal"/>
    <w:autoRedefine/>
    <w:uiPriority w:val="39"/>
    <w:unhideWhenUsed/>
    <w:rsid w:val="0073058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56/NEJMp1605101" TargetMode="External"/><Relationship Id="rId18" Type="http://schemas.openxmlformats.org/officeDocument/2006/relationships/hyperlink" Target="https://doi.org/10.1001/jama.260.12.1743" TargetMode="External"/><Relationship Id="rId26" Type="http://schemas.openxmlformats.org/officeDocument/2006/relationships/hyperlink" Target="https://www.england.nhs.uk/publication/better-births-improving-outcomes-of-maternity-services-in-england-a-five-year-forward-view-for-maternity-care/" TargetMode="External"/><Relationship Id="rId39" Type="http://schemas.openxmlformats.org/officeDocument/2006/relationships/hyperlink" Target="https://doi.org/10.1097/PTS.0000000000000810" TargetMode="External"/><Relationship Id="rId21" Type="http://schemas.openxmlformats.org/officeDocument/2006/relationships/hyperlink" Target="https://www.ihi.org/resources/how-to-improve" TargetMode="External"/><Relationship Id="rId34" Type="http://schemas.openxmlformats.org/officeDocument/2006/relationships/hyperlink" Target="https://www.ockendenmaternityreview.org.uk/wp-content/uploads/2020/12/ockenden-report.pdf"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qc.org.uk/publications/surveys/maternity-survey" TargetMode="External"/><Relationship Id="rId20" Type="http://schemas.openxmlformats.org/officeDocument/2006/relationships/hyperlink" Target="https://www.gov.uk/government/publications/report-of-the-mid-staffordshire-nhs-foundation-trust-public-inquiry" TargetMode="External"/><Relationship Id="rId29" Type="http://schemas.openxmlformats.org/officeDocument/2006/relationships/hyperlink" Target="https://www.england.nhs.uk/patient-safety/patient-safety-insight/incident-response-framework/engaging-and-involving-patients-families-and-staff-following-a-patient-safety-incident/" TargetMode="External"/><Relationship Id="rId41" Type="http://schemas.openxmlformats.org/officeDocument/2006/relationships/hyperlink" Target="https://www.who.int/publications/i/item/978924003270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peu.ox.ac.uk/mbrrace-uk/reports/maternal-reports/maternal-report-2020-2022" TargetMode="External"/><Relationship Id="rId32" Type="http://schemas.openxmlformats.org/officeDocument/2006/relationships/hyperlink" Target="https://www.england.nhs.uk/publication/maternity-experience-survey-2025-national-qualitative-report/" TargetMode="External"/><Relationship Id="rId37" Type="http://schemas.openxmlformats.org/officeDocument/2006/relationships/hyperlink" Target="https://doi.org/10.1136/bmjqs-2013-001862" TargetMode="External"/><Relationship Id="rId40" Type="http://schemas.openxmlformats.org/officeDocument/2006/relationships/hyperlink" Target="https://www.who.int/publications/i/item/9789241511216" TargetMode="External"/><Relationship Id="rId5" Type="http://schemas.openxmlformats.org/officeDocument/2006/relationships/webSettings" Target="webSettings.xml"/><Relationship Id="rId15" Type="http://schemas.openxmlformats.org/officeDocument/2006/relationships/hyperlink" Target="https://www.cqc.org.uk/publications/major-report/state-care/2024-2025/focus/maternity" TargetMode="External"/><Relationship Id="rId23" Type="http://schemas.openxmlformats.org/officeDocument/2006/relationships/hyperlink" Target="https://doi.org/10.1001/jama.1994.03520230061039" TargetMode="External"/><Relationship Id="rId28" Type="http://schemas.openxmlformats.org/officeDocument/2006/relationships/hyperlink" Target="https://www.england.nhs.uk/patient-safety/patient-safety-insight/incident-response-framework/" TargetMode="External"/><Relationship Id="rId36" Type="http://schemas.openxmlformats.org/officeDocument/2006/relationships/hyperlink" Target="https://doi.org/10.1136/bmj.320.7237.768" TargetMode="External"/><Relationship Id="rId10" Type="http://schemas.openxmlformats.org/officeDocument/2006/relationships/image" Target="media/image3.png"/><Relationship Id="rId19" Type="http://schemas.openxmlformats.org/officeDocument/2006/relationships/hyperlink" Target="https://doi.org/10.2307/2666999" TargetMode="External"/><Relationship Id="rId31" Type="http://schemas.openxmlformats.org/officeDocument/2006/relationships/hyperlink" Target="https://www.england.nhs.uk/publication/saving-babies-lives-version-three/"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qc.org.uk/publications/maternity-services-2022-2024" TargetMode="External"/><Relationship Id="rId22" Type="http://schemas.openxmlformats.org/officeDocument/2006/relationships/hyperlink" Target="https://www.gov.uk/government/publications/maternity-and-neonatal-services-in-east-kent-reading-the-signals-report" TargetMode="External"/><Relationship Id="rId27" Type="http://schemas.openxmlformats.org/officeDocument/2006/relationships/hyperlink" Target="https://www.nice.org.uk/guidance/ng235" TargetMode="External"/><Relationship Id="rId30" Type="http://schemas.openxmlformats.org/officeDocument/2006/relationships/hyperlink" Target="https://www.england.nhs.uk/publication/three-year-delivery-plan-for-maternity-and-neonatal-services/" TargetMode="External"/><Relationship Id="rId35" Type="http://schemas.openxmlformats.org/officeDocument/2006/relationships/hyperlink" Target="https://www.gov.uk/government/publications/final-report-of-the-ockenden-review" TargetMode="External"/><Relationship Id="rId43"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186/s13012-022-01245-0" TargetMode="External"/><Relationship Id="rId25" Type="http://schemas.openxmlformats.org/officeDocument/2006/relationships/hyperlink" Target="https://www.npeu.ox.ac.uk/mbrrace-uk/reports/maternal-reports/maternal-report-2021-2023" TargetMode="External"/><Relationship Id="rId33" Type="http://schemas.openxmlformats.org/officeDocument/2006/relationships/hyperlink" Target="https://www.nmc.org.uk/standards/code/" TargetMode="External"/><Relationship Id="rId38" Type="http://schemas.openxmlformats.org/officeDocument/2006/relationships/hyperlink" Target="https://doi.org/10.1136/bmj.316.7138.11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18</Pages>
  <Words>5197</Words>
  <Characters>29629</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34757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Ritu Panna Saha</dc:creator>
  <cp:keywords/>
  <dc:description/>
  <cp:lastModifiedBy>Ritu Panna Saha</cp:lastModifiedBy>
  <cp:revision>7</cp:revision>
  <dcterms:created xsi:type="dcterms:W3CDTF">2026-07-23T06:41:00Z</dcterms:created>
  <dcterms:modified xsi:type="dcterms:W3CDTF">2026-07-23T18:46:00Z</dcterms:modified>
  <cp:category/>
</cp:coreProperties>
</file>