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0A6F2771"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CB478A">
        <w:rPr>
          <w:rFonts w:ascii="Arial" w:hAnsi="Arial" w:cs="Arial"/>
          <w:sz w:val="28"/>
          <w:szCs w:val="28"/>
        </w:rPr>
        <w:t xml:space="preserve"> 2312503</w:t>
      </w:r>
    </w:p>
    <w:p w14:paraId="01D5D8DB" w14:textId="03ED09ED" w:rsidR="00FF5B70" w:rsidRDefault="00FF5B70" w:rsidP="00041A5A">
      <w:pPr>
        <w:spacing w:line="360" w:lineRule="auto"/>
        <w:rPr>
          <w:rFonts w:ascii="Arial" w:hAnsi="Arial" w:cs="Arial"/>
          <w:sz w:val="28"/>
          <w:szCs w:val="28"/>
        </w:rPr>
      </w:pPr>
    </w:p>
    <w:p w14:paraId="37A27DB3" w14:textId="0C44A903" w:rsidR="00FF5B70" w:rsidRPr="00CB478A" w:rsidRDefault="00FF5B70" w:rsidP="00041A5A">
      <w:pPr>
        <w:spacing w:line="360" w:lineRule="auto"/>
        <w:rPr>
          <w:rFonts w:ascii="Arial" w:hAnsi="Arial" w:cs="Arial"/>
          <w:sz w:val="28"/>
          <w:szCs w:val="28"/>
          <w:lang w:val="pt-PT"/>
        </w:rPr>
      </w:pPr>
      <w:r w:rsidRPr="00CB478A">
        <w:rPr>
          <w:rFonts w:ascii="Arial" w:hAnsi="Arial" w:cs="Arial"/>
          <w:b/>
          <w:bCs/>
          <w:sz w:val="28"/>
          <w:szCs w:val="28"/>
          <w:lang w:val="pt-PT"/>
        </w:rPr>
        <w:t>Student Name</w:t>
      </w:r>
      <w:r w:rsidRPr="00CB478A">
        <w:rPr>
          <w:rFonts w:ascii="Arial" w:hAnsi="Arial" w:cs="Arial"/>
          <w:sz w:val="28"/>
          <w:szCs w:val="28"/>
          <w:lang w:val="pt-PT"/>
        </w:rPr>
        <w:t xml:space="preserve">: </w:t>
      </w:r>
      <w:r w:rsidR="00CB478A" w:rsidRPr="00CB478A">
        <w:rPr>
          <w:rFonts w:ascii="Arial" w:hAnsi="Arial" w:cs="Arial"/>
          <w:sz w:val="28"/>
          <w:szCs w:val="28"/>
          <w:lang w:val="pt-PT"/>
        </w:rPr>
        <w:t>Joice Rumila Dos Reis Gomes Pina</w:t>
      </w:r>
      <w:r w:rsidR="00CB478A">
        <w:rPr>
          <w:rFonts w:ascii="Arial" w:hAnsi="Arial" w:cs="Arial"/>
          <w:sz w:val="28"/>
          <w:szCs w:val="28"/>
          <w:lang w:val="pt-PT"/>
        </w:rPr>
        <w:t xml:space="preserve"> </w:t>
      </w:r>
    </w:p>
    <w:p w14:paraId="638A4615" w14:textId="77777777" w:rsidR="00715990" w:rsidRPr="00CB478A" w:rsidRDefault="00715990" w:rsidP="00041A5A">
      <w:pPr>
        <w:spacing w:line="360" w:lineRule="auto"/>
        <w:rPr>
          <w:rFonts w:ascii="Arial" w:hAnsi="Arial" w:cs="Arial"/>
          <w:sz w:val="28"/>
          <w:szCs w:val="28"/>
          <w:lang w:val="pt-PT"/>
        </w:rPr>
      </w:pPr>
    </w:p>
    <w:p w14:paraId="0B04E018" w14:textId="2F55BD1D"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FD6DBE">
        <w:rPr>
          <w:rFonts w:ascii="Arial" w:hAnsi="Arial" w:cs="Arial"/>
          <w:sz w:val="28"/>
          <w:szCs w:val="28"/>
        </w:rPr>
        <w:t>7</w:t>
      </w:r>
      <w:r w:rsidR="00FD6DBE" w:rsidRPr="00FD6DBE">
        <w:rPr>
          <w:rFonts w:ascii="Arial" w:hAnsi="Arial" w:cs="Arial"/>
          <w:sz w:val="28"/>
          <w:szCs w:val="28"/>
          <w:vertAlign w:val="superscript"/>
        </w:rPr>
        <w:t>th</w:t>
      </w:r>
      <w:r w:rsidR="00FD6DBE">
        <w:rPr>
          <w:rFonts w:ascii="Arial" w:hAnsi="Arial" w:cs="Arial"/>
          <w:sz w:val="28"/>
          <w:szCs w:val="28"/>
        </w:rPr>
        <w:t xml:space="preserve"> July 2026 </w:t>
      </w:r>
    </w:p>
    <w:p w14:paraId="19AA26A9" w14:textId="2F99F205" w:rsidR="00FF5B70" w:rsidRDefault="00FF5B70" w:rsidP="00041A5A">
      <w:pPr>
        <w:spacing w:line="360" w:lineRule="auto"/>
        <w:rPr>
          <w:rFonts w:ascii="Arial" w:hAnsi="Arial" w:cs="Arial"/>
          <w:sz w:val="28"/>
          <w:szCs w:val="28"/>
        </w:rPr>
      </w:pPr>
    </w:p>
    <w:p w14:paraId="3FE66E60" w14:textId="31D6AEA7"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CB478A">
        <w:rPr>
          <w:rFonts w:ascii="Arial" w:hAnsi="Arial" w:cs="Arial"/>
          <w:sz w:val="28"/>
          <w:szCs w:val="28"/>
        </w:rPr>
        <w:t>5</w:t>
      </w:r>
      <w:r w:rsidR="00FD6DBE">
        <w:rPr>
          <w:rFonts w:ascii="Arial" w:hAnsi="Arial" w:cs="Arial"/>
          <w:sz w:val="28"/>
          <w:szCs w:val="28"/>
        </w:rPr>
        <w:t>65</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7FFD294D" w:rsidR="00545684" w:rsidRDefault="00FB4301" w:rsidP="00FF5B70">
      <w:pPr>
        <w:pStyle w:val="Heading1"/>
      </w:pPr>
      <w:r>
        <w:lastRenderedPageBreak/>
        <w:t xml:space="preserve">Element 1 </w:t>
      </w:r>
      <w:r w:rsidR="00776974">
        <w:t>–</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24BD4B42" w14:textId="273C652A" w:rsidR="00D769F0" w:rsidRPr="00AD0D3C" w:rsidRDefault="00FF5B70" w:rsidP="00784670">
      <w:pPr>
        <w:pStyle w:val="Heading2"/>
        <w:rPr>
          <w:b w:val="0"/>
          <w:bCs w:val="0"/>
          <w:i w:val="0"/>
          <w:iCs/>
        </w:rPr>
      </w:pPr>
      <w:r>
        <w:t>My p</w:t>
      </w:r>
      <w:r w:rsidR="00D769F0" w:rsidRPr="00D769F0">
        <w:t xml:space="preserve">roject title: </w:t>
      </w:r>
      <w:r w:rsidR="00AD0D3C">
        <w:rPr>
          <w:i w:val="0"/>
          <w:iCs/>
        </w:rPr>
        <w:t xml:space="preserve"> </w:t>
      </w:r>
      <w:r w:rsidR="00AD0D3C" w:rsidRPr="00AD0D3C">
        <w:rPr>
          <w:b w:val="0"/>
          <w:bCs w:val="0"/>
          <w:i w:val="0"/>
          <w:iCs/>
        </w:rPr>
        <w:t xml:space="preserve">The Impact of Socioeconomic Factors on Health Inequalities in the UK. </w:t>
      </w:r>
    </w:p>
    <w:p w14:paraId="03FD30D3" w14:textId="475F3855" w:rsidR="00715990" w:rsidRPr="00260277" w:rsidRDefault="00715990" w:rsidP="00041A5A">
      <w:pPr>
        <w:spacing w:line="360" w:lineRule="auto"/>
        <w:rPr>
          <w:rFonts w:ascii="Arial" w:hAnsi="Arial" w:cs="Arial"/>
        </w:rPr>
      </w:pPr>
    </w:p>
    <w:p w14:paraId="40C7BB25" w14:textId="3DCFD23C" w:rsidR="00784670" w:rsidRPr="00AD0D3C" w:rsidRDefault="00127A5B" w:rsidP="002E7069">
      <w:pPr>
        <w:pStyle w:val="Heading2"/>
        <w:rPr>
          <w:b w:val="0"/>
          <w:bCs w:val="0"/>
        </w:rPr>
      </w:pPr>
      <w:r>
        <w:t xml:space="preserve">      </w:t>
      </w:r>
      <w:r w:rsidR="002E7069">
        <w:rPr>
          <w:i w:val="0"/>
          <w:iCs/>
        </w:rPr>
        <w:t xml:space="preserve"> </w:t>
      </w:r>
      <w:r w:rsidR="00545684" w:rsidRPr="00784670">
        <w:t>Aim</w:t>
      </w:r>
      <w:r w:rsidR="00784670" w:rsidRPr="00784670">
        <w:t>:</w:t>
      </w:r>
      <w:r w:rsidR="002E7069">
        <w:rPr>
          <w:i w:val="0"/>
          <w:iCs/>
        </w:rPr>
        <w:t xml:space="preserve"> </w:t>
      </w:r>
      <w:r w:rsidR="00AD0D3C" w:rsidRPr="00AD0D3C">
        <w:rPr>
          <w:b w:val="0"/>
          <w:bCs w:val="0"/>
          <w:i w:val="0"/>
          <w:iCs/>
        </w:rPr>
        <w:t>To explore how socioeconomic factors such as income, education, employment, and housing contribute to health inequalities in the UK.</w:t>
      </w:r>
    </w:p>
    <w:p w14:paraId="4C6858D8" w14:textId="77777777" w:rsidR="00784670" w:rsidRPr="00FB4301" w:rsidRDefault="00784670" w:rsidP="00FB4301">
      <w:pPr>
        <w:spacing w:line="360" w:lineRule="auto"/>
        <w:rPr>
          <w:rFonts w:ascii="Arial" w:hAnsi="Arial" w:cs="Arial"/>
        </w:rPr>
      </w:pPr>
    </w:p>
    <w:p w14:paraId="2B00F95C" w14:textId="7302587D" w:rsidR="00545684" w:rsidRPr="00AD0D3C" w:rsidRDefault="00FF5B70" w:rsidP="00784670">
      <w:pPr>
        <w:pStyle w:val="Heading2"/>
        <w:rPr>
          <w:i w:val="0"/>
          <w:iCs/>
        </w:rPr>
      </w:pPr>
      <w:r>
        <w:t>2</w:t>
      </w:r>
      <w:r w:rsidR="00784670">
        <w:t>) O</w:t>
      </w:r>
      <w:r w:rsidR="00545684" w:rsidRPr="00260277">
        <w:t>bjectives:</w:t>
      </w:r>
    </w:p>
    <w:p w14:paraId="63CCBA5C" w14:textId="3F11D691" w:rsidR="009A39A5" w:rsidRPr="00696333" w:rsidRDefault="004E17E8" w:rsidP="00696333">
      <w:pPr>
        <w:pStyle w:val="ListParagraph"/>
        <w:numPr>
          <w:ilvl w:val="0"/>
          <w:numId w:val="5"/>
        </w:numPr>
        <w:spacing w:line="360" w:lineRule="auto"/>
        <w:rPr>
          <w:rFonts w:ascii="Arial" w:hAnsi="Arial" w:cs="Arial"/>
        </w:rPr>
      </w:pPr>
      <w:r w:rsidRPr="004E17E8">
        <w:rPr>
          <w:rFonts w:ascii="Arial" w:hAnsi="Arial" w:cs="Arial"/>
        </w:rPr>
        <w:t>To examine how key socioeconomic factors—such as income, education, employment, and housing—contribute to patterns of health inequalities across different UK populations.</w:t>
      </w:r>
    </w:p>
    <w:p w14:paraId="4AE17594" w14:textId="048A422C" w:rsidR="009A39A5" w:rsidRPr="009A39A5" w:rsidRDefault="004E17E8" w:rsidP="009A39A5">
      <w:pPr>
        <w:pStyle w:val="ListParagraph"/>
        <w:numPr>
          <w:ilvl w:val="0"/>
          <w:numId w:val="5"/>
        </w:numPr>
        <w:spacing w:line="360" w:lineRule="auto"/>
        <w:rPr>
          <w:rFonts w:ascii="Arial" w:hAnsi="Arial" w:cs="Arial"/>
        </w:rPr>
      </w:pPr>
      <w:r w:rsidRPr="004E17E8">
        <w:rPr>
          <w:rFonts w:ascii="Arial" w:hAnsi="Arial" w:cs="Arial"/>
        </w:rPr>
        <w:t>To analyse the relationship between socioeconomic deprivation and access to healthcare services, including barriers faced by disadvantaged groups</w:t>
      </w:r>
      <w:r w:rsidR="005E5D1A">
        <w:rPr>
          <w:rFonts w:ascii="Arial" w:hAnsi="Arial" w:cs="Arial"/>
        </w:rPr>
        <w:t xml:space="preserve"> and health inequalities. </w:t>
      </w:r>
    </w:p>
    <w:p w14:paraId="725E942B" w14:textId="2D4A0237" w:rsidR="00776974" w:rsidRPr="00776974" w:rsidRDefault="004E17E8" w:rsidP="004E17E8">
      <w:pPr>
        <w:pStyle w:val="ListParagraph"/>
        <w:numPr>
          <w:ilvl w:val="0"/>
          <w:numId w:val="5"/>
        </w:numPr>
        <w:spacing w:line="360" w:lineRule="auto"/>
        <w:rPr>
          <w:rFonts w:ascii="Arial" w:hAnsi="Arial" w:cs="Arial"/>
        </w:rPr>
      </w:pPr>
      <w:r w:rsidRPr="004E17E8">
        <w:rPr>
          <w:rFonts w:ascii="Arial" w:hAnsi="Arial" w:cs="Arial"/>
        </w:rPr>
        <w:t>To identify evidence</w:t>
      </w:r>
      <w:r w:rsidRPr="004E17E8">
        <w:rPr>
          <w:rFonts w:ascii="Cambria Math" w:hAnsi="Cambria Math" w:cs="Cambria Math"/>
        </w:rPr>
        <w:t>‑</w:t>
      </w:r>
      <w:r w:rsidRPr="004E17E8">
        <w:rPr>
          <w:rFonts w:ascii="Arial" w:hAnsi="Arial" w:cs="Arial"/>
        </w:rPr>
        <w:t>based strategies and interventions that could reduce health inequalities linked to socioeconomic disadvantage in the UK.</w:t>
      </w:r>
    </w:p>
    <w:p w14:paraId="3AC96963" w14:textId="42E0D23A" w:rsidR="00545684" w:rsidRPr="00260277" w:rsidRDefault="00FF5B70" w:rsidP="00784670">
      <w:pPr>
        <w:pStyle w:val="Heading2"/>
      </w:pPr>
      <w:r>
        <w:t>3</w:t>
      </w:r>
      <w:r w:rsidR="008E5015" w:rsidRPr="00260277">
        <w:t xml:space="preserve">) </w:t>
      </w:r>
      <w:r w:rsidR="00545684" w:rsidRPr="00260277">
        <w:t>Background</w:t>
      </w:r>
      <w:r w:rsidR="00FB4301">
        <w:t>/Rationale</w:t>
      </w:r>
      <w:r w:rsidR="00545684" w:rsidRPr="00260277">
        <w:t>:</w:t>
      </w:r>
    </w:p>
    <w:p w14:paraId="48B3D1A4" w14:textId="02858B1F" w:rsidR="00041A5A" w:rsidRPr="00260277" w:rsidRDefault="00376268" w:rsidP="00041A5A">
      <w:pPr>
        <w:spacing w:line="360" w:lineRule="auto"/>
        <w:rPr>
          <w:rFonts w:ascii="Arial" w:hAnsi="Arial" w:cs="Arial"/>
        </w:rPr>
      </w:pPr>
      <w:r w:rsidRPr="00376268">
        <w:rPr>
          <w:rFonts w:ascii="Arial" w:hAnsi="Arial" w:cs="Arial"/>
        </w:rPr>
        <w:t>Health inequalities remain a persistent challenge in the UK, with individuals from lower socioeconomic backgrounds experiencing significantly poorer health outcomes, reduced life expectancy, and limited access to quality healthcare. The Marmot Review (2010) and its follow</w:t>
      </w:r>
      <w:r w:rsidRPr="00376268">
        <w:rPr>
          <w:rFonts w:ascii="Cambria Math" w:hAnsi="Cambria Math" w:cs="Cambria Math"/>
        </w:rPr>
        <w:t>‑</w:t>
      </w:r>
      <w:r w:rsidRPr="00376268">
        <w:rPr>
          <w:rFonts w:ascii="Arial" w:hAnsi="Arial" w:cs="Arial"/>
        </w:rPr>
        <w:t xml:space="preserve">up Marmot Review 10 Years On (2020) highlight that these inequalities are not inevitable but arise from avoidable and unfair differences in the social determinants of health—such as income, education, employment, and housing. Despite national strategies and NHS commitments to reduce disparities, recent evidence shows that inequalities have widened in many regions, particularly in deprived communities. Understanding how socioeconomic factors continue to shape health outcomes is therefore essential for informing effective policy, improving service provision, and promoting equity across the UK </w:t>
      </w:r>
      <w:r w:rsidRPr="00376268">
        <w:rPr>
          <w:rFonts w:ascii="Arial" w:hAnsi="Arial" w:cs="Arial"/>
        </w:rPr>
        <w:lastRenderedPageBreak/>
        <w:t>population. This research aims to contribute to that evidence base by examining the specific socioeconomic drivers that influence health inequalities and identifying opportunities for more targeted, equitable interventions.</w:t>
      </w:r>
    </w:p>
    <w:p w14:paraId="332E5A12" w14:textId="051972BF" w:rsidR="00545684" w:rsidRPr="00260277" w:rsidRDefault="00FF5B70" w:rsidP="00784670">
      <w:pPr>
        <w:pStyle w:val="Heading2"/>
      </w:pPr>
      <w:r>
        <w:t>4</w:t>
      </w:r>
      <w:r w:rsidR="008E5015" w:rsidRPr="00260277">
        <w:t xml:space="preserve">) </w:t>
      </w:r>
      <w:r w:rsidR="00545684" w:rsidRPr="00260277">
        <w:t>Methods:</w:t>
      </w:r>
    </w:p>
    <w:p w14:paraId="1C734964" w14:textId="6710B230" w:rsidR="00614FFC" w:rsidRPr="00614FFC" w:rsidRDefault="00614FFC" w:rsidP="00614FFC">
      <w:pPr>
        <w:pStyle w:val="Heading2"/>
        <w:rPr>
          <w:b w:val="0"/>
          <w:bCs w:val="0"/>
          <w:i w:val="0"/>
          <w:iCs/>
          <w:sz w:val="24"/>
          <w:szCs w:val="24"/>
        </w:rPr>
      </w:pPr>
      <w:r w:rsidRPr="00614FFC">
        <w:rPr>
          <w:b w:val="0"/>
          <w:bCs w:val="0"/>
          <w:i w:val="0"/>
          <w:iCs/>
          <w:sz w:val="24"/>
          <w:szCs w:val="24"/>
        </w:rPr>
        <w:t>This research will use a secondary research methodology through a systematic literature review. The review will synthesise existing evidence on how socioeconomic factors influence health inequalities in the UK. A total of ten peer</w:t>
      </w:r>
      <w:r w:rsidRPr="00614FFC">
        <w:rPr>
          <w:rFonts w:ascii="Cambria Math" w:hAnsi="Cambria Math" w:cs="Cambria Math"/>
          <w:b w:val="0"/>
          <w:bCs w:val="0"/>
          <w:i w:val="0"/>
          <w:iCs/>
          <w:sz w:val="24"/>
          <w:szCs w:val="24"/>
        </w:rPr>
        <w:t>‑</w:t>
      </w:r>
      <w:r w:rsidRPr="00614FFC">
        <w:rPr>
          <w:b w:val="0"/>
          <w:bCs w:val="0"/>
          <w:i w:val="0"/>
          <w:iCs/>
          <w:sz w:val="24"/>
          <w:szCs w:val="24"/>
        </w:rPr>
        <w:t>reviewed journal articles will be selected for in</w:t>
      </w:r>
      <w:r w:rsidRPr="00614FFC">
        <w:rPr>
          <w:rFonts w:ascii="Cambria Math" w:hAnsi="Cambria Math" w:cs="Cambria Math"/>
          <w:b w:val="0"/>
          <w:bCs w:val="0"/>
          <w:i w:val="0"/>
          <w:iCs/>
          <w:sz w:val="24"/>
          <w:szCs w:val="24"/>
        </w:rPr>
        <w:t>‑</w:t>
      </w:r>
      <w:r w:rsidRPr="00614FFC">
        <w:rPr>
          <w:b w:val="0"/>
          <w:bCs w:val="0"/>
          <w:i w:val="0"/>
          <w:iCs/>
          <w:sz w:val="24"/>
          <w:szCs w:val="24"/>
        </w:rPr>
        <w:t>depth analysis.</w:t>
      </w:r>
    </w:p>
    <w:p w14:paraId="5149E1AB" w14:textId="77777777" w:rsidR="00614FFC" w:rsidRDefault="00614FFC" w:rsidP="0061260B">
      <w:pPr>
        <w:rPr>
          <w:rFonts w:ascii="Arial" w:hAnsi="Arial" w:cs="Arial"/>
        </w:rPr>
      </w:pPr>
    </w:p>
    <w:p w14:paraId="7434CB3E" w14:textId="5566514D" w:rsidR="002E7069" w:rsidRDefault="002E7069" w:rsidP="0061260B">
      <w:pPr>
        <w:rPr>
          <w:rFonts w:ascii="Arial" w:hAnsi="Arial" w:cs="Arial"/>
        </w:rPr>
      </w:pPr>
      <w:r>
        <w:rPr>
          <w:rFonts w:ascii="Arial" w:hAnsi="Arial" w:cs="Arial"/>
        </w:rPr>
        <w:t xml:space="preserve">Databases: </w:t>
      </w:r>
    </w:p>
    <w:p w14:paraId="6FCEFBF6" w14:textId="6EF29265" w:rsidR="002E7069" w:rsidRPr="00614FFC" w:rsidRDefault="002E7069" w:rsidP="00614FFC">
      <w:pPr>
        <w:pStyle w:val="ListParagraph"/>
        <w:numPr>
          <w:ilvl w:val="0"/>
          <w:numId w:val="6"/>
        </w:numPr>
        <w:rPr>
          <w:rFonts w:ascii="Arial" w:hAnsi="Arial" w:cs="Arial"/>
        </w:rPr>
      </w:pPr>
      <w:r w:rsidRPr="00614FFC">
        <w:rPr>
          <w:rFonts w:ascii="Arial" w:hAnsi="Arial" w:cs="Arial"/>
        </w:rPr>
        <w:t>ProQuest</w:t>
      </w:r>
    </w:p>
    <w:p w14:paraId="3C971900" w14:textId="53E9A44A" w:rsidR="002E7069" w:rsidRPr="00614FFC" w:rsidRDefault="002E7069" w:rsidP="00614FFC">
      <w:pPr>
        <w:pStyle w:val="ListParagraph"/>
        <w:numPr>
          <w:ilvl w:val="0"/>
          <w:numId w:val="6"/>
        </w:numPr>
        <w:rPr>
          <w:rFonts w:ascii="Arial" w:hAnsi="Arial" w:cs="Arial"/>
        </w:rPr>
      </w:pPr>
      <w:r w:rsidRPr="00614FFC">
        <w:rPr>
          <w:rFonts w:ascii="Arial" w:hAnsi="Arial" w:cs="Arial"/>
        </w:rPr>
        <w:t>PubMed</w:t>
      </w:r>
    </w:p>
    <w:p w14:paraId="06B94404" w14:textId="2D453668" w:rsidR="002E7069" w:rsidRPr="00614FFC" w:rsidRDefault="002E7069" w:rsidP="00614FFC">
      <w:pPr>
        <w:pStyle w:val="ListParagraph"/>
        <w:numPr>
          <w:ilvl w:val="0"/>
          <w:numId w:val="6"/>
        </w:numPr>
        <w:rPr>
          <w:rFonts w:ascii="Arial" w:hAnsi="Arial" w:cs="Arial"/>
        </w:rPr>
      </w:pPr>
      <w:r w:rsidRPr="00614FFC">
        <w:rPr>
          <w:rFonts w:ascii="Arial" w:hAnsi="Arial" w:cs="Arial"/>
        </w:rPr>
        <w:t xml:space="preserve">Google Schoolar </w:t>
      </w:r>
    </w:p>
    <w:p w14:paraId="1A6024FB" w14:textId="778AC6A6" w:rsidR="00D57232" w:rsidRDefault="002E7069" w:rsidP="0061260B">
      <w:pPr>
        <w:rPr>
          <w:rFonts w:ascii="Arial" w:hAnsi="Arial" w:cs="Arial"/>
          <w:b/>
          <w:bCs/>
          <w:u w:val="single"/>
        </w:rPr>
      </w:pPr>
      <w:r w:rsidRPr="00614FFC">
        <w:rPr>
          <w:rFonts w:ascii="Arial" w:hAnsi="Arial" w:cs="Arial"/>
          <w:b/>
          <w:bCs/>
          <w:u w:val="single"/>
        </w:rPr>
        <w:t>Keywords</w:t>
      </w:r>
    </w:p>
    <w:p w14:paraId="04CF22E2" w14:textId="77777777" w:rsidR="00614FFC" w:rsidRPr="00614FFC" w:rsidRDefault="00614FFC" w:rsidP="00614FFC">
      <w:pPr>
        <w:pStyle w:val="Heading2"/>
        <w:rPr>
          <w:b w:val="0"/>
          <w:bCs w:val="0"/>
          <w:i w:val="0"/>
          <w:iCs/>
          <w:sz w:val="24"/>
          <w:szCs w:val="24"/>
        </w:rPr>
      </w:pPr>
      <w:r w:rsidRPr="00614FFC">
        <w:rPr>
          <w:b w:val="0"/>
          <w:bCs w:val="0"/>
          <w:i w:val="0"/>
          <w:iCs/>
          <w:sz w:val="24"/>
          <w:szCs w:val="24"/>
        </w:rPr>
        <w:t>Search terms will include combinations of:</w:t>
      </w:r>
    </w:p>
    <w:p w14:paraId="1979E0A4" w14:textId="71F23E56" w:rsidR="00614FFC" w:rsidRPr="00614FFC" w:rsidRDefault="00614FFC" w:rsidP="00614FFC">
      <w:pPr>
        <w:pStyle w:val="Heading2"/>
        <w:rPr>
          <w:b w:val="0"/>
          <w:bCs w:val="0"/>
          <w:i w:val="0"/>
          <w:iCs/>
          <w:sz w:val="24"/>
          <w:szCs w:val="24"/>
        </w:rPr>
      </w:pPr>
      <w:r w:rsidRPr="00614FFC">
        <w:rPr>
          <w:b w:val="0"/>
          <w:bCs w:val="0"/>
          <w:i w:val="0"/>
          <w:iCs/>
          <w:sz w:val="24"/>
          <w:szCs w:val="24"/>
        </w:rPr>
        <w:t>“</w:t>
      </w:r>
      <w:r w:rsidR="00C543C5" w:rsidRPr="00614FFC">
        <w:rPr>
          <w:b w:val="0"/>
          <w:bCs w:val="0"/>
          <w:i w:val="0"/>
          <w:iCs/>
          <w:sz w:val="24"/>
          <w:szCs w:val="24"/>
        </w:rPr>
        <w:t>Health</w:t>
      </w:r>
      <w:r w:rsidRPr="00614FFC">
        <w:rPr>
          <w:b w:val="0"/>
          <w:bCs w:val="0"/>
          <w:i w:val="0"/>
          <w:iCs/>
          <w:sz w:val="24"/>
          <w:szCs w:val="24"/>
        </w:rPr>
        <w:t xml:space="preserve"> inequalities UK”</w:t>
      </w:r>
    </w:p>
    <w:p w14:paraId="73ABB151" w14:textId="5B94D325" w:rsidR="00614FFC" w:rsidRPr="00614FFC" w:rsidRDefault="00614FFC" w:rsidP="00614FFC">
      <w:pPr>
        <w:pStyle w:val="Heading2"/>
        <w:rPr>
          <w:b w:val="0"/>
          <w:bCs w:val="0"/>
          <w:i w:val="0"/>
          <w:iCs/>
          <w:sz w:val="24"/>
          <w:szCs w:val="24"/>
        </w:rPr>
      </w:pPr>
      <w:r w:rsidRPr="00614FFC">
        <w:rPr>
          <w:b w:val="0"/>
          <w:bCs w:val="0"/>
          <w:i w:val="0"/>
          <w:iCs/>
          <w:sz w:val="24"/>
          <w:szCs w:val="24"/>
        </w:rPr>
        <w:t>“</w:t>
      </w:r>
      <w:r w:rsidR="00C543C5" w:rsidRPr="00614FFC">
        <w:rPr>
          <w:b w:val="0"/>
          <w:bCs w:val="0"/>
          <w:i w:val="0"/>
          <w:iCs/>
          <w:sz w:val="24"/>
          <w:szCs w:val="24"/>
        </w:rPr>
        <w:t>Socioeconomic</w:t>
      </w:r>
      <w:r w:rsidRPr="00614FFC">
        <w:rPr>
          <w:b w:val="0"/>
          <w:bCs w:val="0"/>
          <w:i w:val="0"/>
          <w:iCs/>
          <w:sz w:val="24"/>
          <w:szCs w:val="24"/>
        </w:rPr>
        <w:t xml:space="preserve"> factors”</w:t>
      </w:r>
    </w:p>
    <w:p w14:paraId="1CBE640B" w14:textId="603CB9A3" w:rsidR="00614FFC" w:rsidRPr="00614FFC" w:rsidRDefault="00614FFC" w:rsidP="00614FFC">
      <w:pPr>
        <w:pStyle w:val="Heading2"/>
        <w:rPr>
          <w:b w:val="0"/>
          <w:bCs w:val="0"/>
          <w:i w:val="0"/>
          <w:iCs/>
          <w:sz w:val="24"/>
          <w:szCs w:val="24"/>
        </w:rPr>
      </w:pPr>
      <w:r w:rsidRPr="00614FFC">
        <w:rPr>
          <w:b w:val="0"/>
          <w:bCs w:val="0"/>
          <w:i w:val="0"/>
          <w:iCs/>
          <w:sz w:val="24"/>
          <w:szCs w:val="24"/>
        </w:rPr>
        <w:t>“</w:t>
      </w:r>
      <w:r w:rsidR="00C543C5" w:rsidRPr="00614FFC">
        <w:rPr>
          <w:b w:val="0"/>
          <w:bCs w:val="0"/>
          <w:i w:val="0"/>
          <w:iCs/>
          <w:sz w:val="24"/>
          <w:szCs w:val="24"/>
        </w:rPr>
        <w:t>Social</w:t>
      </w:r>
      <w:r w:rsidRPr="00614FFC">
        <w:rPr>
          <w:b w:val="0"/>
          <w:bCs w:val="0"/>
          <w:i w:val="0"/>
          <w:iCs/>
          <w:sz w:val="24"/>
          <w:szCs w:val="24"/>
        </w:rPr>
        <w:t xml:space="preserve"> determinants of health”</w:t>
      </w:r>
    </w:p>
    <w:p w14:paraId="4F10B7F6" w14:textId="77777777" w:rsidR="00614FFC" w:rsidRPr="00614FFC" w:rsidRDefault="00614FFC" w:rsidP="00614FFC">
      <w:pPr>
        <w:pStyle w:val="Heading2"/>
        <w:rPr>
          <w:b w:val="0"/>
          <w:bCs w:val="0"/>
          <w:i w:val="0"/>
          <w:iCs/>
          <w:sz w:val="24"/>
          <w:szCs w:val="24"/>
        </w:rPr>
      </w:pPr>
      <w:r w:rsidRPr="00614FFC">
        <w:rPr>
          <w:b w:val="0"/>
          <w:bCs w:val="0"/>
          <w:i w:val="0"/>
          <w:iCs/>
          <w:sz w:val="24"/>
          <w:szCs w:val="24"/>
        </w:rPr>
        <w:t>“Marmot Review”</w:t>
      </w:r>
    </w:p>
    <w:p w14:paraId="4F6E3A86" w14:textId="6E3A562A" w:rsidR="00614FFC" w:rsidRPr="00614FFC" w:rsidRDefault="00614FFC" w:rsidP="00614FFC">
      <w:pPr>
        <w:pStyle w:val="Heading2"/>
        <w:rPr>
          <w:b w:val="0"/>
          <w:bCs w:val="0"/>
          <w:i w:val="0"/>
          <w:iCs/>
          <w:sz w:val="24"/>
          <w:szCs w:val="24"/>
        </w:rPr>
      </w:pPr>
      <w:r w:rsidRPr="00614FFC">
        <w:rPr>
          <w:b w:val="0"/>
          <w:bCs w:val="0"/>
          <w:i w:val="0"/>
          <w:iCs/>
          <w:sz w:val="24"/>
          <w:szCs w:val="24"/>
        </w:rPr>
        <w:t>“</w:t>
      </w:r>
      <w:r w:rsidR="00C543C5" w:rsidRPr="00614FFC">
        <w:rPr>
          <w:b w:val="0"/>
          <w:bCs w:val="0"/>
          <w:i w:val="0"/>
          <w:iCs/>
          <w:sz w:val="24"/>
          <w:szCs w:val="24"/>
        </w:rPr>
        <w:t>Deprivation</w:t>
      </w:r>
      <w:r w:rsidRPr="00614FFC">
        <w:rPr>
          <w:b w:val="0"/>
          <w:bCs w:val="0"/>
          <w:i w:val="0"/>
          <w:iCs/>
          <w:sz w:val="24"/>
          <w:szCs w:val="24"/>
        </w:rPr>
        <w:t xml:space="preserve"> and health outcomes”</w:t>
      </w:r>
    </w:p>
    <w:p w14:paraId="52C7FE92" w14:textId="15158B0C" w:rsidR="00614FFC" w:rsidRPr="00614FFC" w:rsidRDefault="00614FFC" w:rsidP="00614FFC">
      <w:pPr>
        <w:pStyle w:val="Heading2"/>
        <w:rPr>
          <w:b w:val="0"/>
          <w:bCs w:val="0"/>
          <w:i w:val="0"/>
          <w:iCs/>
          <w:sz w:val="24"/>
          <w:szCs w:val="24"/>
        </w:rPr>
      </w:pPr>
      <w:r w:rsidRPr="00614FFC">
        <w:rPr>
          <w:b w:val="0"/>
          <w:bCs w:val="0"/>
          <w:i w:val="0"/>
          <w:iCs/>
          <w:sz w:val="24"/>
          <w:szCs w:val="24"/>
        </w:rPr>
        <w:t>“</w:t>
      </w:r>
      <w:r w:rsidR="00C543C5" w:rsidRPr="00614FFC">
        <w:rPr>
          <w:b w:val="0"/>
          <w:bCs w:val="0"/>
          <w:i w:val="0"/>
          <w:iCs/>
          <w:sz w:val="24"/>
          <w:szCs w:val="24"/>
        </w:rPr>
        <w:t>Public</w:t>
      </w:r>
      <w:r w:rsidRPr="00614FFC">
        <w:rPr>
          <w:b w:val="0"/>
          <w:bCs w:val="0"/>
          <w:i w:val="0"/>
          <w:iCs/>
          <w:sz w:val="24"/>
          <w:szCs w:val="24"/>
        </w:rPr>
        <w:t xml:space="preserve"> health UK”</w:t>
      </w:r>
    </w:p>
    <w:p w14:paraId="18A7202C" w14:textId="5A39A052" w:rsidR="00614FFC" w:rsidRDefault="00614FFC" w:rsidP="00C543C5">
      <w:pPr>
        <w:pStyle w:val="Heading2"/>
        <w:rPr>
          <w:b w:val="0"/>
          <w:bCs w:val="0"/>
          <w:i w:val="0"/>
          <w:iCs/>
          <w:sz w:val="24"/>
          <w:szCs w:val="24"/>
        </w:rPr>
      </w:pPr>
      <w:r w:rsidRPr="00614FFC">
        <w:rPr>
          <w:b w:val="0"/>
          <w:bCs w:val="0"/>
          <w:i w:val="0"/>
          <w:iCs/>
          <w:sz w:val="24"/>
          <w:szCs w:val="24"/>
        </w:rPr>
        <w:t>Boolean operators (AND, OR) will be used to refine searches.</w:t>
      </w:r>
    </w:p>
    <w:p w14:paraId="19CB4624" w14:textId="77777777" w:rsidR="00C543C5" w:rsidRPr="00614FFC" w:rsidRDefault="00C543C5" w:rsidP="00614FFC"/>
    <w:p w14:paraId="09EE7F98" w14:textId="77777777" w:rsidR="00D57232" w:rsidRDefault="00D57232" w:rsidP="0061260B">
      <w:pPr>
        <w:rPr>
          <w:rFonts w:ascii="Arial" w:hAnsi="Arial" w:cs="Arial"/>
        </w:rPr>
      </w:pPr>
      <w:r>
        <w:rPr>
          <w:rFonts w:ascii="Arial" w:hAnsi="Arial" w:cs="Arial"/>
        </w:rPr>
        <w:t xml:space="preserve">Inclusion criteria: </w:t>
      </w:r>
    </w:p>
    <w:p w14:paraId="08437629" w14:textId="104C2700" w:rsidR="0061260B" w:rsidRPr="00A17ADD" w:rsidRDefault="00D57232" w:rsidP="00A17ADD">
      <w:pPr>
        <w:pStyle w:val="ListParagraph"/>
        <w:numPr>
          <w:ilvl w:val="0"/>
          <w:numId w:val="4"/>
        </w:numPr>
        <w:rPr>
          <w:rFonts w:ascii="Arial" w:hAnsi="Arial" w:cs="Arial"/>
        </w:rPr>
      </w:pPr>
      <w:r w:rsidRPr="00A17ADD">
        <w:rPr>
          <w:rFonts w:ascii="Arial" w:hAnsi="Arial" w:cs="Arial"/>
        </w:rPr>
        <w:t xml:space="preserve">Peer-reviewed  </w:t>
      </w:r>
    </w:p>
    <w:p w14:paraId="3584A701" w14:textId="7E457B25" w:rsidR="00D57232" w:rsidRDefault="00A17ADD" w:rsidP="00A17ADD">
      <w:pPr>
        <w:pStyle w:val="ListParagraph"/>
        <w:numPr>
          <w:ilvl w:val="0"/>
          <w:numId w:val="4"/>
        </w:numPr>
        <w:rPr>
          <w:rFonts w:ascii="Arial" w:hAnsi="Arial" w:cs="Arial"/>
        </w:rPr>
      </w:pPr>
      <w:r w:rsidRPr="00A17ADD">
        <w:rPr>
          <w:rFonts w:ascii="Arial" w:hAnsi="Arial" w:cs="Arial"/>
        </w:rPr>
        <w:t xml:space="preserve">Primary research </w:t>
      </w:r>
      <w:r w:rsidR="00907943">
        <w:rPr>
          <w:rFonts w:ascii="Arial" w:hAnsi="Arial" w:cs="Arial"/>
        </w:rPr>
        <w:t>studies</w:t>
      </w:r>
    </w:p>
    <w:p w14:paraId="25F02700" w14:textId="520324AB" w:rsidR="00A17ADD" w:rsidRDefault="00A17ADD" w:rsidP="00A17ADD">
      <w:pPr>
        <w:pStyle w:val="ListParagraph"/>
        <w:numPr>
          <w:ilvl w:val="0"/>
          <w:numId w:val="4"/>
        </w:numPr>
        <w:rPr>
          <w:rFonts w:ascii="Arial" w:hAnsi="Arial" w:cs="Arial"/>
        </w:rPr>
      </w:pPr>
      <w:r>
        <w:rPr>
          <w:rFonts w:ascii="Arial" w:hAnsi="Arial" w:cs="Arial"/>
        </w:rPr>
        <w:t xml:space="preserve">Studies based in the UK. </w:t>
      </w:r>
    </w:p>
    <w:p w14:paraId="42211189" w14:textId="79B130DA" w:rsidR="00A17ADD" w:rsidRDefault="00A17ADD" w:rsidP="00A17ADD">
      <w:pPr>
        <w:pStyle w:val="ListParagraph"/>
        <w:numPr>
          <w:ilvl w:val="0"/>
          <w:numId w:val="4"/>
        </w:numPr>
        <w:rPr>
          <w:rFonts w:ascii="Arial" w:hAnsi="Arial" w:cs="Arial"/>
        </w:rPr>
      </w:pPr>
      <w:r>
        <w:rPr>
          <w:rFonts w:ascii="Arial" w:hAnsi="Arial" w:cs="Arial"/>
        </w:rPr>
        <w:t>Studies related to the topic/ title.</w:t>
      </w:r>
    </w:p>
    <w:p w14:paraId="6DC0D3F1" w14:textId="29B138AE" w:rsidR="00A17ADD" w:rsidRDefault="00A17ADD" w:rsidP="00A17ADD">
      <w:pPr>
        <w:pStyle w:val="ListParagraph"/>
        <w:numPr>
          <w:ilvl w:val="0"/>
          <w:numId w:val="4"/>
        </w:numPr>
        <w:rPr>
          <w:rFonts w:ascii="Arial" w:hAnsi="Arial" w:cs="Arial"/>
        </w:rPr>
      </w:pPr>
      <w:r>
        <w:rPr>
          <w:rFonts w:ascii="Arial" w:hAnsi="Arial" w:cs="Arial"/>
        </w:rPr>
        <w:t xml:space="preserve">Studies published after 2016 to 2026 </w:t>
      </w:r>
    </w:p>
    <w:p w14:paraId="5891460C" w14:textId="16679FBA" w:rsidR="00A17ADD" w:rsidRDefault="00A17ADD" w:rsidP="00A17ADD">
      <w:pPr>
        <w:rPr>
          <w:rFonts w:ascii="Arial" w:hAnsi="Arial" w:cs="Arial"/>
        </w:rPr>
      </w:pPr>
      <w:r>
        <w:rPr>
          <w:rFonts w:ascii="Arial" w:hAnsi="Arial" w:cs="Arial"/>
        </w:rPr>
        <w:t xml:space="preserve">Exclusion criteria: </w:t>
      </w:r>
    </w:p>
    <w:p w14:paraId="1E804518" w14:textId="5642CD88" w:rsidR="00A17ADD" w:rsidRPr="00A17ADD" w:rsidRDefault="00A17ADD" w:rsidP="00A17ADD">
      <w:pPr>
        <w:pStyle w:val="ListParagraph"/>
        <w:numPr>
          <w:ilvl w:val="0"/>
          <w:numId w:val="4"/>
        </w:numPr>
        <w:rPr>
          <w:rFonts w:ascii="Arial" w:hAnsi="Arial" w:cs="Arial"/>
        </w:rPr>
      </w:pPr>
      <w:r>
        <w:rPr>
          <w:rFonts w:ascii="Arial" w:hAnsi="Arial" w:cs="Arial"/>
        </w:rPr>
        <w:t>Non-</w:t>
      </w:r>
      <w:r w:rsidRPr="00A17ADD">
        <w:rPr>
          <w:rFonts w:ascii="Arial" w:hAnsi="Arial" w:cs="Arial"/>
        </w:rPr>
        <w:t>Peer-reviewed</w:t>
      </w:r>
      <w:r>
        <w:rPr>
          <w:rFonts w:ascii="Arial" w:hAnsi="Arial" w:cs="Arial"/>
        </w:rPr>
        <w:t xml:space="preserve"> studies</w:t>
      </w:r>
      <w:r w:rsidR="00614FFC">
        <w:rPr>
          <w:rFonts w:ascii="Arial" w:hAnsi="Arial" w:cs="Arial"/>
        </w:rPr>
        <w:t xml:space="preserve"> and sources</w:t>
      </w:r>
      <w:r>
        <w:rPr>
          <w:rFonts w:ascii="Arial" w:hAnsi="Arial" w:cs="Arial"/>
        </w:rPr>
        <w:t xml:space="preserve"> </w:t>
      </w:r>
      <w:r w:rsidR="00614FFC">
        <w:rPr>
          <w:rFonts w:ascii="Arial" w:hAnsi="Arial" w:cs="Arial"/>
        </w:rPr>
        <w:t>(</w:t>
      </w:r>
      <w:r>
        <w:rPr>
          <w:rFonts w:ascii="Arial" w:hAnsi="Arial" w:cs="Arial"/>
        </w:rPr>
        <w:t>reports, websites</w:t>
      </w:r>
      <w:r w:rsidR="00614FFC">
        <w:rPr>
          <w:rFonts w:ascii="Arial" w:hAnsi="Arial" w:cs="Arial"/>
        </w:rPr>
        <w:t>, blogs)</w:t>
      </w:r>
      <w:r w:rsidRPr="00A17ADD">
        <w:rPr>
          <w:rFonts w:ascii="Arial" w:hAnsi="Arial" w:cs="Arial"/>
        </w:rPr>
        <w:t xml:space="preserve"> </w:t>
      </w:r>
    </w:p>
    <w:p w14:paraId="39E75D0C" w14:textId="0BA5FEA7" w:rsidR="00A17ADD" w:rsidRDefault="00A17ADD" w:rsidP="00A17ADD">
      <w:pPr>
        <w:pStyle w:val="ListParagraph"/>
        <w:numPr>
          <w:ilvl w:val="0"/>
          <w:numId w:val="4"/>
        </w:numPr>
        <w:rPr>
          <w:rFonts w:ascii="Arial" w:hAnsi="Arial" w:cs="Arial"/>
        </w:rPr>
      </w:pPr>
      <w:r>
        <w:rPr>
          <w:rFonts w:ascii="Arial" w:hAnsi="Arial" w:cs="Arial"/>
        </w:rPr>
        <w:t xml:space="preserve">Secondary </w:t>
      </w:r>
      <w:r w:rsidRPr="00A17ADD">
        <w:rPr>
          <w:rFonts w:ascii="Arial" w:hAnsi="Arial" w:cs="Arial"/>
        </w:rPr>
        <w:t xml:space="preserve">research </w:t>
      </w:r>
      <w:r>
        <w:rPr>
          <w:rFonts w:ascii="Arial" w:hAnsi="Arial" w:cs="Arial"/>
        </w:rPr>
        <w:t xml:space="preserve">studies </w:t>
      </w:r>
      <w:r w:rsidR="00614FFC">
        <w:rPr>
          <w:rFonts w:ascii="Arial" w:hAnsi="Arial" w:cs="Arial"/>
        </w:rPr>
        <w:t>( e.g., literature reviews, meta-analyses)</w:t>
      </w:r>
    </w:p>
    <w:p w14:paraId="7BE95917" w14:textId="067AEA01" w:rsidR="00A17ADD" w:rsidRDefault="00A17ADD" w:rsidP="00A17ADD">
      <w:pPr>
        <w:pStyle w:val="ListParagraph"/>
        <w:numPr>
          <w:ilvl w:val="0"/>
          <w:numId w:val="4"/>
        </w:numPr>
        <w:rPr>
          <w:rFonts w:ascii="Arial" w:hAnsi="Arial" w:cs="Arial"/>
        </w:rPr>
      </w:pPr>
      <w:r>
        <w:rPr>
          <w:rFonts w:ascii="Arial" w:hAnsi="Arial" w:cs="Arial"/>
        </w:rPr>
        <w:t xml:space="preserve">Studies based outside the UK. </w:t>
      </w:r>
    </w:p>
    <w:p w14:paraId="420BCF5A" w14:textId="3158DC04" w:rsidR="00A17ADD" w:rsidRDefault="00A17ADD" w:rsidP="00A17ADD">
      <w:pPr>
        <w:pStyle w:val="ListParagraph"/>
        <w:numPr>
          <w:ilvl w:val="0"/>
          <w:numId w:val="4"/>
        </w:numPr>
        <w:rPr>
          <w:rFonts w:ascii="Arial" w:hAnsi="Arial" w:cs="Arial"/>
        </w:rPr>
      </w:pPr>
      <w:r>
        <w:rPr>
          <w:rFonts w:ascii="Arial" w:hAnsi="Arial" w:cs="Arial"/>
        </w:rPr>
        <w:lastRenderedPageBreak/>
        <w:t>Studies not related to the topic/ title</w:t>
      </w:r>
      <w:r w:rsidR="00C543C5">
        <w:rPr>
          <w:rFonts w:ascii="Arial" w:hAnsi="Arial" w:cs="Arial"/>
        </w:rPr>
        <w:t xml:space="preserve"> (socioeconomic factors or health inequalities)</w:t>
      </w:r>
    </w:p>
    <w:p w14:paraId="5A1E7D3F" w14:textId="190B71C3" w:rsidR="00A17ADD" w:rsidRDefault="00A17ADD" w:rsidP="00A17ADD">
      <w:pPr>
        <w:pStyle w:val="ListParagraph"/>
        <w:numPr>
          <w:ilvl w:val="0"/>
          <w:numId w:val="4"/>
        </w:numPr>
        <w:rPr>
          <w:rFonts w:ascii="Arial" w:hAnsi="Arial" w:cs="Arial"/>
        </w:rPr>
      </w:pPr>
      <w:r>
        <w:rPr>
          <w:rFonts w:ascii="Arial" w:hAnsi="Arial" w:cs="Arial"/>
        </w:rPr>
        <w:t xml:space="preserve">Studies published prior to 2016. </w:t>
      </w:r>
    </w:p>
    <w:p w14:paraId="130D385B" w14:textId="38D8400A" w:rsidR="00807C9E" w:rsidRPr="00907943" w:rsidRDefault="00E34C0B" w:rsidP="00907943">
      <w:pPr>
        <w:rPr>
          <w:rFonts w:ascii="Arial" w:hAnsi="Arial" w:cs="Arial"/>
        </w:rPr>
      </w:pPr>
      <w:r>
        <w:rPr>
          <w:rFonts w:ascii="Arial" w:hAnsi="Arial" w:cs="Arial"/>
        </w:rPr>
        <w:t>D</w:t>
      </w:r>
      <w:r w:rsidR="00EE42AB">
        <w:rPr>
          <w:rFonts w:ascii="Arial" w:hAnsi="Arial" w:cs="Arial"/>
        </w:rPr>
        <w:t>ata</w:t>
      </w:r>
      <w:r>
        <w:rPr>
          <w:rFonts w:ascii="Arial" w:hAnsi="Arial" w:cs="Arial"/>
        </w:rPr>
        <w:t xml:space="preserve"> analysis: thematic analysis </w:t>
      </w:r>
    </w:p>
    <w:p w14:paraId="0F40EC10" w14:textId="77777777" w:rsidR="00807C9E" w:rsidRPr="00614FFC" w:rsidRDefault="00807C9E" w:rsidP="00784670">
      <w:pPr>
        <w:pStyle w:val="Heading2"/>
        <w:rPr>
          <w:b w:val="0"/>
          <w:bCs w:val="0"/>
          <w:i w:val="0"/>
          <w:iCs/>
        </w:rPr>
      </w:pPr>
    </w:p>
    <w:p w14:paraId="232DCC93" w14:textId="4BEAF189" w:rsidR="0061260B" w:rsidRPr="00260277" w:rsidRDefault="00FF5B70" w:rsidP="00784670">
      <w:pPr>
        <w:pStyle w:val="Heading2"/>
      </w:pPr>
      <w:r>
        <w:t>5</w:t>
      </w:r>
      <w:r w:rsidR="0061260B" w:rsidRPr="00260277">
        <w:t>) Resources</w:t>
      </w:r>
      <w:r w:rsidR="00260277">
        <w:t>:</w:t>
      </w:r>
      <w:r w:rsidR="0061260B" w:rsidRPr="00260277">
        <w:t xml:space="preserve"> </w:t>
      </w:r>
    </w:p>
    <w:p w14:paraId="64C3045A" w14:textId="570EA858" w:rsidR="0061260B" w:rsidRDefault="00663E5A" w:rsidP="00260277">
      <w:pPr>
        <w:rPr>
          <w:rFonts w:ascii="Arial" w:hAnsi="Arial" w:cs="Arial"/>
        </w:rPr>
      </w:pPr>
      <w:r>
        <w:rPr>
          <w:rFonts w:ascii="Arial" w:hAnsi="Arial" w:cs="Arial"/>
        </w:rPr>
        <w:t xml:space="preserve">Databases </w:t>
      </w:r>
    </w:p>
    <w:p w14:paraId="57558ECA" w14:textId="46CDBDED" w:rsidR="00663E5A" w:rsidRDefault="00663E5A" w:rsidP="00260277">
      <w:pPr>
        <w:rPr>
          <w:rFonts w:ascii="Arial" w:hAnsi="Arial" w:cs="Arial"/>
        </w:rPr>
      </w:pPr>
      <w:r>
        <w:rPr>
          <w:rFonts w:ascii="Arial" w:hAnsi="Arial" w:cs="Arial"/>
        </w:rPr>
        <w:t xml:space="preserve">Internet </w:t>
      </w:r>
    </w:p>
    <w:p w14:paraId="2AA85F95" w14:textId="65B26576" w:rsidR="00663E5A" w:rsidRDefault="00663E5A" w:rsidP="00260277">
      <w:pPr>
        <w:rPr>
          <w:rFonts w:ascii="Arial" w:hAnsi="Arial" w:cs="Arial"/>
        </w:rPr>
      </w:pPr>
      <w:r>
        <w:rPr>
          <w:rFonts w:ascii="Arial" w:hAnsi="Arial" w:cs="Arial"/>
        </w:rPr>
        <w:t xml:space="preserve">Feedback </w:t>
      </w:r>
    </w:p>
    <w:p w14:paraId="67B8336A" w14:textId="170F6625" w:rsidR="00663E5A" w:rsidRDefault="00663E5A" w:rsidP="00260277">
      <w:pPr>
        <w:rPr>
          <w:rFonts w:ascii="Arial" w:hAnsi="Arial" w:cs="Arial"/>
        </w:rPr>
      </w:pPr>
      <w:r>
        <w:rPr>
          <w:rFonts w:ascii="Arial" w:hAnsi="Arial" w:cs="Arial"/>
        </w:rPr>
        <w:t xml:space="preserve">UWSTD Library </w:t>
      </w:r>
    </w:p>
    <w:p w14:paraId="44A033C5" w14:textId="2E6109C9" w:rsidR="00885779" w:rsidRDefault="00885779" w:rsidP="00260277">
      <w:pPr>
        <w:rPr>
          <w:rFonts w:ascii="Arial" w:hAnsi="Arial" w:cs="Arial"/>
        </w:rPr>
      </w:pPr>
      <w:r>
        <w:rPr>
          <w:rFonts w:ascii="Arial" w:hAnsi="Arial" w:cs="Arial"/>
        </w:rPr>
        <w:t xml:space="preserve">Laptop </w:t>
      </w:r>
    </w:p>
    <w:p w14:paraId="602C8D91" w14:textId="77777777" w:rsidR="00C543C5" w:rsidRDefault="00C543C5" w:rsidP="00260277">
      <w:pPr>
        <w:rPr>
          <w:rFonts w:ascii="Arial" w:hAnsi="Arial" w:cs="Arial"/>
        </w:rPr>
      </w:pPr>
    </w:p>
    <w:p w14:paraId="37877B67" w14:textId="77777777" w:rsidR="00C543C5" w:rsidRPr="00260277" w:rsidRDefault="00C543C5" w:rsidP="00260277">
      <w:pPr>
        <w:rPr>
          <w:rFonts w:ascii="Arial" w:hAnsi="Arial" w:cs="Arial"/>
        </w:rPr>
      </w:pPr>
    </w:p>
    <w:p w14:paraId="0FE77585" w14:textId="45EB88AC" w:rsidR="00545684" w:rsidRPr="00260277" w:rsidRDefault="00FF5B70" w:rsidP="00784670">
      <w:pPr>
        <w:pStyle w:val="Heading2"/>
      </w:pPr>
      <w:r>
        <w:t>6</w:t>
      </w:r>
      <w:r w:rsidR="0061260B" w:rsidRPr="00260277">
        <w:t>) Timescale:</w:t>
      </w:r>
    </w:p>
    <w:tbl>
      <w:tblPr>
        <w:tblStyle w:val="TableGrid"/>
        <w:tblW w:w="9782" w:type="dxa"/>
        <w:tblInd w:w="-289" w:type="dxa"/>
        <w:tblLook w:val="04A0" w:firstRow="1" w:lastRow="0" w:firstColumn="1" w:lastColumn="0" w:noHBand="0" w:noVBand="1"/>
      </w:tblPr>
      <w:tblGrid>
        <w:gridCol w:w="2217"/>
        <w:gridCol w:w="1469"/>
        <w:gridCol w:w="1474"/>
        <w:gridCol w:w="1503"/>
        <w:gridCol w:w="1578"/>
        <w:gridCol w:w="1541"/>
      </w:tblGrid>
      <w:tr w:rsidR="00454F5A" w:rsidRPr="006A3172" w14:paraId="1109B693" w14:textId="77777777" w:rsidTr="006736A1">
        <w:tc>
          <w:tcPr>
            <w:tcW w:w="2217" w:type="dxa"/>
          </w:tcPr>
          <w:p w14:paraId="6B9453C1" w14:textId="77777777" w:rsidR="00454F5A" w:rsidRPr="00151EDB" w:rsidRDefault="00454F5A" w:rsidP="006736A1">
            <w:pPr>
              <w:rPr>
                <w:rFonts w:ascii="Arial" w:hAnsi="Arial" w:cs="Arial"/>
                <w:b/>
                <w:bCs/>
              </w:rPr>
            </w:pPr>
            <w:r>
              <w:rPr>
                <w:rFonts w:ascii="Arial" w:hAnsi="Arial" w:cs="Arial"/>
                <w:b/>
                <w:bCs/>
              </w:rPr>
              <w:t xml:space="preserve">Chapter </w:t>
            </w:r>
          </w:p>
        </w:tc>
        <w:tc>
          <w:tcPr>
            <w:tcW w:w="1469" w:type="dxa"/>
          </w:tcPr>
          <w:p w14:paraId="345E0322" w14:textId="5F61E99C" w:rsidR="00454F5A" w:rsidRPr="00996C83" w:rsidRDefault="00454F5A" w:rsidP="006736A1">
            <w:pPr>
              <w:rPr>
                <w:rFonts w:ascii="Arial" w:hAnsi="Arial" w:cs="Arial"/>
                <w:b/>
                <w:bCs/>
                <w:color w:val="000000" w:themeColor="text1"/>
              </w:rPr>
            </w:pPr>
            <w:r>
              <w:rPr>
                <w:rFonts w:ascii="Arial" w:hAnsi="Arial" w:cs="Arial"/>
                <w:b/>
                <w:bCs/>
                <w:color w:val="000000" w:themeColor="text1"/>
              </w:rPr>
              <w:t>29/07/2026</w:t>
            </w:r>
          </w:p>
        </w:tc>
        <w:tc>
          <w:tcPr>
            <w:tcW w:w="1474" w:type="dxa"/>
          </w:tcPr>
          <w:p w14:paraId="15AAF81C" w14:textId="449FC9A6" w:rsidR="00454F5A" w:rsidRPr="00522CFE" w:rsidRDefault="00454F5A" w:rsidP="006736A1">
            <w:pPr>
              <w:rPr>
                <w:rFonts w:ascii="Arial" w:hAnsi="Arial" w:cs="Arial"/>
                <w:color w:val="000000" w:themeColor="text1"/>
              </w:rPr>
            </w:pPr>
            <w:r>
              <w:rPr>
                <w:rFonts w:ascii="Arial" w:hAnsi="Arial" w:cs="Arial"/>
                <w:color w:val="000000" w:themeColor="text1"/>
              </w:rPr>
              <w:t>20/08/2026</w:t>
            </w:r>
          </w:p>
        </w:tc>
        <w:tc>
          <w:tcPr>
            <w:tcW w:w="1503" w:type="dxa"/>
          </w:tcPr>
          <w:p w14:paraId="5AFD0BF5" w14:textId="0DA15646" w:rsidR="00454F5A" w:rsidRPr="00522CFE" w:rsidRDefault="005F56C0" w:rsidP="006736A1">
            <w:pPr>
              <w:rPr>
                <w:rFonts w:ascii="Arial" w:hAnsi="Arial" w:cs="Arial"/>
                <w:color w:val="000000" w:themeColor="text1"/>
              </w:rPr>
            </w:pPr>
            <w:r>
              <w:rPr>
                <w:rFonts w:ascii="Arial" w:hAnsi="Arial" w:cs="Arial"/>
                <w:color w:val="000000" w:themeColor="text1"/>
              </w:rPr>
              <w:t>01</w:t>
            </w:r>
            <w:r w:rsidR="00454F5A">
              <w:rPr>
                <w:rFonts w:ascii="Arial" w:hAnsi="Arial" w:cs="Arial"/>
                <w:color w:val="000000" w:themeColor="text1"/>
              </w:rPr>
              <w:t>/10/2026</w:t>
            </w:r>
          </w:p>
        </w:tc>
        <w:tc>
          <w:tcPr>
            <w:tcW w:w="1578" w:type="dxa"/>
          </w:tcPr>
          <w:p w14:paraId="38C0A247" w14:textId="77EF2FCC" w:rsidR="00454F5A" w:rsidRPr="00522CFE" w:rsidRDefault="007A638C" w:rsidP="006736A1">
            <w:pPr>
              <w:rPr>
                <w:rFonts w:ascii="Arial" w:hAnsi="Arial" w:cs="Arial"/>
                <w:color w:val="000000" w:themeColor="text1"/>
              </w:rPr>
            </w:pPr>
            <w:r>
              <w:rPr>
                <w:rFonts w:ascii="Arial" w:hAnsi="Arial" w:cs="Arial"/>
                <w:color w:val="000000" w:themeColor="text1"/>
              </w:rPr>
              <w:t>01</w:t>
            </w:r>
            <w:r w:rsidR="00454F5A">
              <w:rPr>
                <w:rFonts w:ascii="Arial" w:hAnsi="Arial" w:cs="Arial"/>
                <w:color w:val="000000" w:themeColor="text1"/>
              </w:rPr>
              <w:t>/11/2026</w:t>
            </w:r>
          </w:p>
        </w:tc>
        <w:tc>
          <w:tcPr>
            <w:tcW w:w="1541" w:type="dxa"/>
          </w:tcPr>
          <w:p w14:paraId="511E4353" w14:textId="27CE8B36" w:rsidR="00454F5A" w:rsidRPr="00522CFE" w:rsidRDefault="00454F5A" w:rsidP="006736A1">
            <w:pPr>
              <w:rPr>
                <w:rFonts w:ascii="Arial" w:hAnsi="Arial" w:cs="Arial"/>
                <w:color w:val="000000" w:themeColor="text1"/>
              </w:rPr>
            </w:pPr>
            <w:r>
              <w:rPr>
                <w:rFonts w:ascii="Arial" w:hAnsi="Arial" w:cs="Arial"/>
                <w:color w:val="000000" w:themeColor="text1"/>
              </w:rPr>
              <w:t>01/12/2026</w:t>
            </w:r>
          </w:p>
        </w:tc>
      </w:tr>
      <w:tr w:rsidR="00454F5A" w:rsidRPr="006A3172" w14:paraId="104BDFB6" w14:textId="77777777" w:rsidTr="006736A1">
        <w:tc>
          <w:tcPr>
            <w:tcW w:w="2217" w:type="dxa"/>
          </w:tcPr>
          <w:p w14:paraId="3CADDCB3" w14:textId="77777777" w:rsidR="00454F5A" w:rsidRPr="00151EDB" w:rsidRDefault="00454F5A" w:rsidP="006736A1">
            <w:pPr>
              <w:rPr>
                <w:rFonts w:ascii="Arial" w:hAnsi="Arial" w:cs="Arial"/>
              </w:rPr>
            </w:pPr>
            <w:r w:rsidRPr="00151EDB">
              <w:rPr>
                <w:rFonts w:ascii="Arial" w:hAnsi="Arial" w:cs="Arial"/>
              </w:rPr>
              <w:t>Chapter:1</w:t>
            </w:r>
          </w:p>
          <w:p w14:paraId="74F89AD0" w14:textId="77777777" w:rsidR="00454F5A" w:rsidRPr="00151EDB" w:rsidRDefault="00454F5A" w:rsidP="006736A1">
            <w:pPr>
              <w:rPr>
                <w:rFonts w:ascii="Arial" w:hAnsi="Arial" w:cs="Arial"/>
              </w:rPr>
            </w:pPr>
            <w:r>
              <w:rPr>
                <w:rFonts w:ascii="Arial" w:hAnsi="Arial" w:cs="Arial"/>
              </w:rPr>
              <w:t>I</w:t>
            </w:r>
            <w:r w:rsidRPr="00151EDB">
              <w:rPr>
                <w:rFonts w:ascii="Arial" w:hAnsi="Arial" w:cs="Arial"/>
              </w:rPr>
              <w:t>ntroduction</w:t>
            </w:r>
          </w:p>
          <w:p w14:paraId="00580AF6" w14:textId="77777777" w:rsidR="00454F5A" w:rsidRPr="00151EDB" w:rsidRDefault="00454F5A" w:rsidP="006736A1">
            <w:pPr>
              <w:rPr>
                <w:rFonts w:ascii="Arial" w:hAnsi="Arial" w:cs="Arial"/>
              </w:rPr>
            </w:pPr>
          </w:p>
        </w:tc>
        <w:tc>
          <w:tcPr>
            <w:tcW w:w="1469" w:type="dxa"/>
            <w:shd w:val="clear" w:color="auto" w:fill="4472C4" w:themeFill="accent1"/>
          </w:tcPr>
          <w:p w14:paraId="4CA93A56" w14:textId="77777777" w:rsidR="00454F5A" w:rsidRPr="00454F5A" w:rsidRDefault="00454F5A" w:rsidP="006736A1">
            <w:pPr>
              <w:rPr>
                <w:rFonts w:ascii="Arial" w:hAnsi="Arial" w:cs="Arial"/>
                <w:b/>
                <w:bCs/>
                <w:color w:val="BDD6EE" w:themeColor="accent5" w:themeTint="66"/>
              </w:rPr>
            </w:pPr>
          </w:p>
          <w:p w14:paraId="132FCD36" w14:textId="77777777" w:rsidR="00454F5A" w:rsidRDefault="00454F5A" w:rsidP="006736A1">
            <w:pPr>
              <w:rPr>
                <w:rFonts w:ascii="Arial" w:hAnsi="Arial" w:cs="Arial"/>
                <w:b/>
                <w:bCs/>
              </w:rPr>
            </w:pPr>
          </w:p>
          <w:p w14:paraId="2BE05BEC" w14:textId="77777777" w:rsidR="00454F5A" w:rsidRDefault="00454F5A" w:rsidP="006736A1">
            <w:pPr>
              <w:rPr>
                <w:rFonts w:ascii="Arial" w:hAnsi="Arial" w:cs="Arial"/>
                <w:b/>
                <w:bCs/>
              </w:rPr>
            </w:pPr>
          </w:p>
          <w:p w14:paraId="59333544" w14:textId="77777777" w:rsidR="00454F5A" w:rsidRPr="006A3172" w:rsidRDefault="00454F5A" w:rsidP="006736A1">
            <w:pPr>
              <w:rPr>
                <w:rFonts w:ascii="Arial" w:hAnsi="Arial" w:cs="Arial"/>
                <w:b/>
                <w:bCs/>
              </w:rPr>
            </w:pPr>
          </w:p>
        </w:tc>
        <w:tc>
          <w:tcPr>
            <w:tcW w:w="1474" w:type="dxa"/>
          </w:tcPr>
          <w:p w14:paraId="1C8F44F3" w14:textId="77777777" w:rsidR="00454F5A" w:rsidRPr="006A3172" w:rsidRDefault="00454F5A" w:rsidP="006736A1">
            <w:pPr>
              <w:rPr>
                <w:rFonts w:ascii="Arial" w:hAnsi="Arial" w:cs="Arial"/>
                <w:b/>
                <w:bCs/>
              </w:rPr>
            </w:pPr>
          </w:p>
        </w:tc>
        <w:tc>
          <w:tcPr>
            <w:tcW w:w="1503" w:type="dxa"/>
          </w:tcPr>
          <w:p w14:paraId="3F54F08D" w14:textId="77777777" w:rsidR="00454F5A" w:rsidRPr="006A3172" w:rsidRDefault="00454F5A" w:rsidP="006736A1">
            <w:pPr>
              <w:rPr>
                <w:rFonts w:ascii="Arial" w:hAnsi="Arial" w:cs="Arial"/>
                <w:b/>
                <w:bCs/>
              </w:rPr>
            </w:pPr>
          </w:p>
        </w:tc>
        <w:tc>
          <w:tcPr>
            <w:tcW w:w="1578" w:type="dxa"/>
          </w:tcPr>
          <w:p w14:paraId="389D15A2" w14:textId="77777777" w:rsidR="00454F5A" w:rsidRPr="006A3172" w:rsidRDefault="00454F5A" w:rsidP="006736A1">
            <w:pPr>
              <w:rPr>
                <w:rFonts w:ascii="Arial" w:hAnsi="Arial" w:cs="Arial"/>
                <w:b/>
                <w:bCs/>
              </w:rPr>
            </w:pPr>
          </w:p>
        </w:tc>
        <w:tc>
          <w:tcPr>
            <w:tcW w:w="1541" w:type="dxa"/>
          </w:tcPr>
          <w:p w14:paraId="7D53BB78" w14:textId="77777777" w:rsidR="00454F5A" w:rsidRPr="006A3172" w:rsidRDefault="00454F5A" w:rsidP="006736A1">
            <w:pPr>
              <w:rPr>
                <w:rFonts w:ascii="Arial" w:hAnsi="Arial" w:cs="Arial"/>
                <w:b/>
                <w:bCs/>
              </w:rPr>
            </w:pPr>
          </w:p>
        </w:tc>
      </w:tr>
      <w:tr w:rsidR="00454F5A" w:rsidRPr="006A3172" w14:paraId="68EEDE17" w14:textId="77777777" w:rsidTr="006736A1">
        <w:tc>
          <w:tcPr>
            <w:tcW w:w="2217" w:type="dxa"/>
          </w:tcPr>
          <w:p w14:paraId="49D1F8FF" w14:textId="77777777" w:rsidR="00454F5A" w:rsidRPr="00151EDB" w:rsidRDefault="00454F5A" w:rsidP="006736A1">
            <w:pPr>
              <w:rPr>
                <w:rFonts w:ascii="Arial" w:hAnsi="Arial" w:cs="Arial"/>
              </w:rPr>
            </w:pPr>
            <w:r w:rsidRPr="00151EDB">
              <w:rPr>
                <w:rFonts w:ascii="Arial" w:hAnsi="Arial" w:cs="Arial"/>
              </w:rPr>
              <w:t>Chapter 2:</w:t>
            </w:r>
          </w:p>
          <w:p w14:paraId="174A2B1A" w14:textId="77777777" w:rsidR="00454F5A" w:rsidRPr="00151EDB" w:rsidRDefault="00454F5A" w:rsidP="006736A1">
            <w:pPr>
              <w:rPr>
                <w:rFonts w:ascii="Arial" w:hAnsi="Arial" w:cs="Arial"/>
              </w:rPr>
            </w:pPr>
            <w:r>
              <w:rPr>
                <w:rFonts w:ascii="Arial" w:hAnsi="Arial" w:cs="Arial"/>
              </w:rPr>
              <w:t>B</w:t>
            </w:r>
            <w:r w:rsidRPr="00151EDB">
              <w:rPr>
                <w:rFonts w:ascii="Arial" w:hAnsi="Arial" w:cs="Arial"/>
              </w:rPr>
              <w:t>ackground</w:t>
            </w:r>
          </w:p>
          <w:p w14:paraId="13643D78" w14:textId="77777777" w:rsidR="00454F5A" w:rsidRPr="00151EDB" w:rsidRDefault="00454F5A" w:rsidP="006736A1">
            <w:pPr>
              <w:rPr>
                <w:rFonts w:ascii="Arial" w:hAnsi="Arial" w:cs="Arial"/>
              </w:rPr>
            </w:pPr>
          </w:p>
        </w:tc>
        <w:tc>
          <w:tcPr>
            <w:tcW w:w="1469" w:type="dxa"/>
          </w:tcPr>
          <w:p w14:paraId="0796E0D7" w14:textId="77777777" w:rsidR="00454F5A" w:rsidRDefault="00454F5A" w:rsidP="006736A1">
            <w:pPr>
              <w:rPr>
                <w:rFonts w:ascii="Arial" w:hAnsi="Arial" w:cs="Arial"/>
                <w:b/>
                <w:bCs/>
              </w:rPr>
            </w:pPr>
          </w:p>
          <w:p w14:paraId="423C4D14" w14:textId="77777777" w:rsidR="00454F5A" w:rsidRDefault="00454F5A" w:rsidP="006736A1">
            <w:pPr>
              <w:rPr>
                <w:rFonts w:ascii="Arial" w:hAnsi="Arial" w:cs="Arial"/>
                <w:b/>
                <w:bCs/>
              </w:rPr>
            </w:pPr>
          </w:p>
          <w:p w14:paraId="1E65E237" w14:textId="77777777" w:rsidR="00454F5A" w:rsidRDefault="00454F5A" w:rsidP="006736A1">
            <w:pPr>
              <w:rPr>
                <w:rFonts w:ascii="Arial" w:hAnsi="Arial" w:cs="Arial"/>
                <w:b/>
                <w:bCs/>
              </w:rPr>
            </w:pPr>
          </w:p>
          <w:p w14:paraId="45A42BAD" w14:textId="77777777" w:rsidR="00454F5A" w:rsidRPr="006A3172" w:rsidRDefault="00454F5A" w:rsidP="006736A1">
            <w:pPr>
              <w:rPr>
                <w:rFonts w:ascii="Arial" w:hAnsi="Arial" w:cs="Arial"/>
                <w:b/>
                <w:bCs/>
              </w:rPr>
            </w:pPr>
          </w:p>
        </w:tc>
        <w:tc>
          <w:tcPr>
            <w:tcW w:w="1474" w:type="dxa"/>
            <w:shd w:val="clear" w:color="auto" w:fill="4472C4" w:themeFill="accent1"/>
          </w:tcPr>
          <w:p w14:paraId="462C6191" w14:textId="77777777" w:rsidR="00454F5A" w:rsidRPr="006A3172" w:rsidRDefault="00454F5A" w:rsidP="006736A1">
            <w:pPr>
              <w:rPr>
                <w:rFonts w:ascii="Arial" w:hAnsi="Arial" w:cs="Arial"/>
                <w:b/>
                <w:bCs/>
              </w:rPr>
            </w:pPr>
          </w:p>
        </w:tc>
        <w:tc>
          <w:tcPr>
            <w:tcW w:w="1503" w:type="dxa"/>
          </w:tcPr>
          <w:p w14:paraId="2FA7C9B9" w14:textId="77777777" w:rsidR="00454F5A" w:rsidRPr="006A3172" w:rsidRDefault="00454F5A" w:rsidP="006736A1">
            <w:pPr>
              <w:rPr>
                <w:rFonts w:ascii="Arial" w:hAnsi="Arial" w:cs="Arial"/>
                <w:b/>
                <w:bCs/>
              </w:rPr>
            </w:pPr>
          </w:p>
        </w:tc>
        <w:tc>
          <w:tcPr>
            <w:tcW w:w="1578" w:type="dxa"/>
          </w:tcPr>
          <w:p w14:paraId="52F29413" w14:textId="77777777" w:rsidR="00454F5A" w:rsidRPr="006A3172" w:rsidRDefault="00454F5A" w:rsidP="006736A1">
            <w:pPr>
              <w:rPr>
                <w:rFonts w:ascii="Arial" w:hAnsi="Arial" w:cs="Arial"/>
                <w:b/>
                <w:bCs/>
              </w:rPr>
            </w:pPr>
          </w:p>
        </w:tc>
        <w:tc>
          <w:tcPr>
            <w:tcW w:w="1541" w:type="dxa"/>
          </w:tcPr>
          <w:p w14:paraId="3F277CE3" w14:textId="77777777" w:rsidR="00454F5A" w:rsidRPr="006A3172" w:rsidRDefault="00454F5A" w:rsidP="006736A1">
            <w:pPr>
              <w:rPr>
                <w:rFonts w:ascii="Arial" w:hAnsi="Arial" w:cs="Arial"/>
                <w:b/>
                <w:bCs/>
              </w:rPr>
            </w:pPr>
          </w:p>
        </w:tc>
      </w:tr>
      <w:tr w:rsidR="00454F5A" w:rsidRPr="006A3172" w14:paraId="375DE01E" w14:textId="77777777" w:rsidTr="006736A1">
        <w:tc>
          <w:tcPr>
            <w:tcW w:w="2217" w:type="dxa"/>
          </w:tcPr>
          <w:p w14:paraId="2ECAF917" w14:textId="77777777" w:rsidR="00454F5A" w:rsidRPr="00151EDB" w:rsidRDefault="00454F5A" w:rsidP="006736A1">
            <w:pPr>
              <w:rPr>
                <w:rFonts w:ascii="Arial" w:hAnsi="Arial" w:cs="Arial"/>
              </w:rPr>
            </w:pPr>
            <w:r w:rsidRPr="00151EDB">
              <w:rPr>
                <w:rFonts w:ascii="Arial" w:hAnsi="Arial" w:cs="Arial"/>
              </w:rPr>
              <w:t xml:space="preserve">Chapter 3: </w:t>
            </w:r>
            <w:r>
              <w:rPr>
                <w:rFonts w:ascii="Arial" w:hAnsi="Arial" w:cs="Arial"/>
              </w:rPr>
              <w:t>M</w:t>
            </w:r>
            <w:r w:rsidRPr="00151EDB">
              <w:rPr>
                <w:rFonts w:ascii="Arial" w:hAnsi="Arial" w:cs="Arial"/>
              </w:rPr>
              <w:t>ethods</w:t>
            </w:r>
          </w:p>
          <w:p w14:paraId="3BC2ADF0" w14:textId="77777777" w:rsidR="00454F5A" w:rsidRPr="00151EDB" w:rsidRDefault="00454F5A" w:rsidP="006736A1">
            <w:pPr>
              <w:rPr>
                <w:rFonts w:ascii="Arial" w:hAnsi="Arial" w:cs="Arial"/>
              </w:rPr>
            </w:pPr>
          </w:p>
        </w:tc>
        <w:tc>
          <w:tcPr>
            <w:tcW w:w="1469" w:type="dxa"/>
          </w:tcPr>
          <w:p w14:paraId="3697AE13" w14:textId="77777777" w:rsidR="00454F5A" w:rsidRDefault="00454F5A" w:rsidP="006736A1">
            <w:pPr>
              <w:rPr>
                <w:rFonts w:ascii="Arial" w:hAnsi="Arial" w:cs="Arial"/>
              </w:rPr>
            </w:pPr>
          </w:p>
          <w:p w14:paraId="73FDD93A" w14:textId="77777777" w:rsidR="00454F5A" w:rsidRDefault="00454F5A" w:rsidP="006736A1">
            <w:pPr>
              <w:rPr>
                <w:rFonts w:ascii="Arial" w:hAnsi="Arial" w:cs="Arial"/>
              </w:rPr>
            </w:pPr>
          </w:p>
          <w:p w14:paraId="6C838D77" w14:textId="77777777" w:rsidR="00454F5A" w:rsidRDefault="00454F5A" w:rsidP="006736A1">
            <w:pPr>
              <w:rPr>
                <w:rFonts w:ascii="Arial" w:hAnsi="Arial" w:cs="Arial"/>
              </w:rPr>
            </w:pPr>
          </w:p>
          <w:p w14:paraId="0DD6F0C4" w14:textId="77777777" w:rsidR="00454F5A" w:rsidRPr="006A3172" w:rsidRDefault="00454F5A" w:rsidP="006736A1">
            <w:pPr>
              <w:rPr>
                <w:rFonts w:ascii="Arial" w:hAnsi="Arial" w:cs="Arial"/>
              </w:rPr>
            </w:pPr>
          </w:p>
        </w:tc>
        <w:tc>
          <w:tcPr>
            <w:tcW w:w="1474" w:type="dxa"/>
          </w:tcPr>
          <w:p w14:paraId="09DF3D4A" w14:textId="77777777" w:rsidR="00454F5A" w:rsidRPr="006A3172" w:rsidRDefault="00454F5A" w:rsidP="006736A1">
            <w:pPr>
              <w:rPr>
                <w:rFonts w:ascii="Arial" w:hAnsi="Arial" w:cs="Arial"/>
              </w:rPr>
            </w:pPr>
          </w:p>
        </w:tc>
        <w:tc>
          <w:tcPr>
            <w:tcW w:w="1503" w:type="dxa"/>
            <w:shd w:val="clear" w:color="auto" w:fill="4472C4" w:themeFill="accent1"/>
          </w:tcPr>
          <w:p w14:paraId="543EE831" w14:textId="77777777" w:rsidR="00454F5A" w:rsidRPr="006A3172" w:rsidRDefault="00454F5A" w:rsidP="006736A1">
            <w:pPr>
              <w:rPr>
                <w:rFonts w:ascii="Arial" w:hAnsi="Arial" w:cs="Arial"/>
              </w:rPr>
            </w:pPr>
          </w:p>
        </w:tc>
        <w:tc>
          <w:tcPr>
            <w:tcW w:w="1578" w:type="dxa"/>
          </w:tcPr>
          <w:p w14:paraId="0C5E955E" w14:textId="77777777" w:rsidR="00454F5A" w:rsidRDefault="00454F5A" w:rsidP="006736A1">
            <w:pPr>
              <w:rPr>
                <w:rFonts w:ascii="Arial" w:hAnsi="Arial" w:cs="Arial"/>
              </w:rPr>
            </w:pPr>
          </w:p>
          <w:p w14:paraId="2394EA67" w14:textId="77777777" w:rsidR="00454F5A" w:rsidRDefault="00454F5A" w:rsidP="006736A1">
            <w:pPr>
              <w:rPr>
                <w:rFonts w:ascii="Arial" w:hAnsi="Arial" w:cs="Arial"/>
              </w:rPr>
            </w:pPr>
          </w:p>
          <w:p w14:paraId="22F12E30" w14:textId="77777777" w:rsidR="00454F5A" w:rsidRPr="00637045" w:rsidRDefault="00454F5A" w:rsidP="006736A1">
            <w:pPr>
              <w:rPr>
                <w:rFonts w:ascii="Arial" w:hAnsi="Arial" w:cs="Arial"/>
              </w:rPr>
            </w:pPr>
          </w:p>
        </w:tc>
        <w:tc>
          <w:tcPr>
            <w:tcW w:w="1541" w:type="dxa"/>
          </w:tcPr>
          <w:p w14:paraId="1985A6D4" w14:textId="77777777" w:rsidR="00454F5A" w:rsidRPr="006A3172" w:rsidRDefault="00454F5A" w:rsidP="006736A1">
            <w:pPr>
              <w:rPr>
                <w:rFonts w:ascii="Arial" w:hAnsi="Arial" w:cs="Arial"/>
              </w:rPr>
            </w:pPr>
          </w:p>
        </w:tc>
      </w:tr>
      <w:tr w:rsidR="00454F5A" w:rsidRPr="006A3172" w14:paraId="60F82011" w14:textId="77777777" w:rsidTr="006736A1">
        <w:tc>
          <w:tcPr>
            <w:tcW w:w="2217" w:type="dxa"/>
          </w:tcPr>
          <w:p w14:paraId="276BB538" w14:textId="77777777" w:rsidR="00454F5A" w:rsidRPr="00151EDB" w:rsidRDefault="00454F5A" w:rsidP="006736A1">
            <w:pPr>
              <w:rPr>
                <w:rFonts w:ascii="Arial" w:hAnsi="Arial" w:cs="Arial"/>
              </w:rPr>
            </w:pPr>
            <w:r w:rsidRPr="00151EDB">
              <w:rPr>
                <w:rFonts w:ascii="Arial" w:hAnsi="Arial" w:cs="Arial"/>
              </w:rPr>
              <w:t xml:space="preserve">Chapter 4: </w:t>
            </w:r>
            <w:r>
              <w:rPr>
                <w:rFonts w:ascii="Arial" w:hAnsi="Arial" w:cs="Arial"/>
              </w:rPr>
              <w:t>R</w:t>
            </w:r>
            <w:r w:rsidRPr="00151EDB">
              <w:rPr>
                <w:rFonts w:ascii="Arial" w:hAnsi="Arial" w:cs="Arial"/>
              </w:rPr>
              <w:t xml:space="preserve">esults and </w:t>
            </w:r>
            <w:r>
              <w:rPr>
                <w:rFonts w:ascii="Arial" w:hAnsi="Arial" w:cs="Arial"/>
              </w:rPr>
              <w:t>Discussion</w:t>
            </w:r>
          </w:p>
          <w:p w14:paraId="6A13E268" w14:textId="77777777" w:rsidR="00454F5A" w:rsidRPr="00151EDB" w:rsidRDefault="00454F5A" w:rsidP="006736A1">
            <w:pPr>
              <w:rPr>
                <w:rFonts w:ascii="Arial" w:hAnsi="Arial" w:cs="Arial"/>
              </w:rPr>
            </w:pPr>
          </w:p>
        </w:tc>
        <w:tc>
          <w:tcPr>
            <w:tcW w:w="1469" w:type="dxa"/>
          </w:tcPr>
          <w:p w14:paraId="17E1B169" w14:textId="77777777" w:rsidR="00454F5A" w:rsidRPr="006A3172" w:rsidRDefault="00454F5A" w:rsidP="006736A1">
            <w:pPr>
              <w:rPr>
                <w:rFonts w:ascii="Arial" w:hAnsi="Arial" w:cs="Arial"/>
              </w:rPr>
            </w:pPr>
          </w:p>
        </w:tc>
        <w:tc>
          <w:tcPr>
            <w:tcW w:w="1474" w:type="dxa"/>
          </w:tcPr>
          <w:p w14:paraId="485FC5C3" w14:textId="77777777" w:rsidR="00454F5A" w:rsidRPr="006A3172" w:rsidRDefault="00454F5A" w:rsidP="006736A1">
            <w:pPr>
              <w:rPr>
                <w:rFonts w:ascii="Arial" w:hAnsi="Arial" w:cs="Arial"/>
              </w:rPr>
            </w:pPr>
          </w:p>
        </w:tc>
        <w:tc>
          <w:tcPr>
            <w:tcW w:w="1503" w:type="dxa"/>
          </w:tcPr>
          <w:p w14:paraId="1D32A1A9" w14:textId="77777777" w:rsidR="00454F5A" w:rsidRPr="006A3172" w:rsidRDefault="00454F5A" w:rsidP="006736A1">
            <w:pPr>
              <w:rPr>
                <w:rFonts w:ascii="Arial" w:hAnsi="Arial" w:cs="Arial"/>
              </w:rPr>
            </w:pPr>
          </w:p>
        </w:tc>
        <w:tc>
          <w:tcPr>
            <w:tcW w:w="1578" w:type="dxa"/>
            <w:shd w:val="clear" w:color="auto" w:fill="4472C4" w:themeFill="accent1"/>
          </w:tcPr>
          <w:p w14:paraId="3A707F60" w14:textId="77777777" w:rsidR="00454F5A" w:rsidRDefault="00454F5A" w:rsidP="006736A1">
            <w:pPr>
              <w:rPr>
                <w:rFonts w:ascii="Arial" w:hAnsi="Arial" w:cs="Arial"/>
              </w:rPr>
            </w:pPr>
          </w:p>
          <w:p w14:paraId="08D35B72" w14:textId="77777777" w:rsidR="00454F5A" w:rsidRDefault="00454F5A" w:rsidP="006736A1">
            <w:pPr>
              <w:rPr>
                <w:rFonts w:ascii="Arial" w:hAnsi="Arial" w:cs="Arial"/>
              </w:rPr>
            </w:pPr>
          </w:p>
          <w:p w14:paraId="2F67E886" w14:textId="77777777" w:rsidR="00454F5A" w:rsidRDefault="00454F5A" w:rsidP="006736A1">
            <w:pPr>
              <w:rPr>
                <w:rFonts w:ascii="Arial" w:hAnsi="Arial" w:cs="Arial"/>
              </w:rPr>
            </w:pPr>
          </w:p>
          <w:p w14:paraId="40503ACA" w14:textId="77777777" w:rsidR="00454F5A" w:rsidRPr="006A3172" w:rsidRDefault="00454F5A" w:rsidP="006736A1">
            <w:pPr>
              <w:rPr>
                <w:rFonts w:ascii="Arial" w:hAnsi="Arial" w:cs="Arial"/>
              </w:rPr>
            </w:pPr>
          </w:p>
        </w:tc>
        <w:tc>
          <w:tcPr>
            <w:tcW w:w="1541" w:type="dxa"/>
          </w:tcPr>
          <w:p w14:paraId="60EC369D" w14:textId="77777777" w:rsidR="00454F5A" w:rsidRPr="006A3172" w:rsidRDefault="00454F5A" w:rsidP="006736A1">
            <w:pPr>
              <w:rPr>
                <w:rFonts w:ascii="Arial" w:hAnsi="Arial" w:cs="Arial"/>
              </w:rPr>
            </w:pPr>
          </w:p>
        </w:tc>
      </w:tr>
      <w:tr w:rsidR="00454F5A" w:rsidRPr="006A3172" w14:paraId="4F393A96" w14:textId="77777777" w:rsidTr="006736A1">
        <w:trPr>
          <w:trHeight w:val="1000"/>
        </w:trPr>
        <w:tc>
          <w:tcPr>
            <w:tcW w:w="2217" w:type="dxa"/>
          </w:tcPr>
          <w:p w14:paraId="29F30FC2" w14:textId="77777777" w:rsidR="00454F5A" w:rsidRPr="006A3172" w:rsidRDefault="00454F5A" w:rsidP="006736A1">
            <w:pPr>
              <w:rPr>
                <w:rFonts w:ascii="Arial" w:hAnsi="Arial" w:cs="Arial"/>
              </w:rPr>
            </w:pPr>
            <w:r>
              <w:rPr>
                <w:rFonts w:ascii="Arial" w:hAnsi="Arial" w:cs="Arial"/>
              </w:rPr>
              <w:t>Chapter: 5 R</w:t>
            </w:r>
            <w:r w:rsidRPr="006A3172">
              <w:rPr>
                <w:rFonts w:ascii="Arial" w:hAnsi="Arial" w:cs="Arial"/>
              </w:rPr>
              <w:t xml:space="preserve">ecommendations and </w:t>
            </w:r>
            <w:r>
              <w:rPr>
                <w:rFonts w:ascii="Arial" w:hAnsi="Arial" w:cs="Arial"/>
              </w:rPr>
              <w:t>C</w:t>
            </w:r>
            <w:r w:rsidRPr="006A3172">
              <w:rPr>
                <w:rFonts w:ascii="Arial" w:hAnsi="Arial" w:cs="Arial"/>
              </w:rPr>
              <w:t>onclusions</w:t>
            </w:r>
            <w:r>
              <w:rPr>
                <w:rFonts w:ascii="Arial" w:hAnsi="Arial" w:cs="Arial"/>
              </w:rPr>
              <w:t xml:space="preserve"> </w:t>
            </w:r>
          </w:p>
        </w:tc>
        <w:tc>
          <w:tcPr>
            <w:tcW w:w="1469" w:type="dxa"/>
          </w:tcPr>
          <w:p w14:paraId="6CB0484F" w14:textId="77777777" w:rsidR="00454F5A" w:rsidRDefault="00454F5A" w:rsidP="006736A1">
            <w:pPr>
              <w:rPr>
                <w:rFonts w:ascii="Arial" w:hAnsi="Arial" w:cs="Arial"/>
              </w:rPr>
            </w:pPr>
          </w:p>
          <w:p w14:paraId="41D2FFCD" w14:textId="77777777" w:rsidR="00454F5A" w:rsidRDefault="00454F5A" w:rsidP="006736A1">
            <w:pPr>
              <w:rPr>
                <w:rFonts w:ascii="Arial" w:hAnsi="Arial" w:cs="Arial"/>
              </w:rPr>
            </w:pPr>
          </w:p>
          <w:p w14:paraId="56AC341D" w14:textId="77777777" w:rsidR="00454F5A" w:rsidRDefault="00454F5A" w:rsidP="006736A1">
            <w:pPr>
              <w:rPr>
                <w:rFonts w:ascii="Arial" w:hAnsi="Arial" w:cs="Arial"/>
              </w:rPr>
            </w:pPr>
          </w:p>
          <w:p w14:paraId="275811CE" w14:textId="77777777" w:rsidR="00454F5A" w:rsidRPr="006A3172" w:rsidRDefault="00454F5A" w:rsidP="006736A1">
            <w:pPr>
              <w:rPr>
                <w:rFonts w:ascii="Arial" w:hAnsi="Arial" w:cs="Arial"/>
              </w:rPr>
            </w:pPr>
          </w:p>
        </w:tc>
        <w:tc>
          <w:tcPr>
            <w:tcW w:w="1474" w:type="dxa"/>
          </w:tcPr>
          <w:p w14:paraId="78AFDA6F" w14:textId="77777777" w:rsidR="00454F5A" w:rsidRPr="006A3172" w:rsidRDefault="00454F5A" w:rsidP="006736A1">
            <w:pPr>
              <w:rPr>
                <w:rFonts w:ascii="Arial" w:hAnsi="Arial" w:cs="Arial"/>
              </w:rPr>
            </w:pPr>
          </w:p>
        </w:tc>
        <w:tc>
          <w:tcPr>
            <w:tcW w:w="1503" w:type="dxa"/>
          </w:tcPr>
          <w:p w14:paraId="0D5BC2EC" w14:textId="77777777" w:rsidR="00454F5A" w:rsidRPr="006A3172" w:rsidRDefault="00454F5A" w:rsidP="006736A1">
            <w:pPr>
              <w:rPr>
                <w:rFonts w:ascii="Arial" w:hAnsi="Arial" w:cs="Arial"/>
              </w:rPr>
            </w:pPr>
          </w:p>
        </w:tc>
        <w:tc>
          <w:tcPr>
            <w:tcW w:w="1578" w:type="dxa"/>
          </w:tcPr>
          <w:p w14:paraId="14518F1C" w14:textId="77777777" w:rsidR="00454F5A" w:rsidRPr="006A3172" w:rsidRDefault="00454F5A" w:rsidP="006736A1">
            <w:pPr>
              <w:rPr>
                <w:rFonts w:ascii="Arial" w:hAnsi="Arial" w:cs="Arial"/>
              </w:rPr>
            </w:pPr>
          </w:p>
        </w:tc>
        <w:tc>
          <w:tcPr>
            <w:tcW w:w="1541" w:type="dxa"/>
            <w:shd w:val="clear" w:color="auto" w:fill="4472C4" w:themeFill="accent1"/>
          </w:tcPr>
          <w:p w14:paraId="17EBE191" w14:textId="77777777" w:rsidR="00454F5A" w:rsidRPr="006A3172" w:rsidRDefault="00454F5A" w:rsidP="006736A1">
            <w:pPr>
              <w:rPr>
                <w:rFonts w:ascii="Arial" w:hAnsi="Arial" w:cs="Arial"/>
              </w:rPr>
            </w:pPr>
          </w:p>
        </w:tc>
      </w:tr>
    </w:tbl>
    <w:p w14:paraId="03D55A3F" w14:textId="77777777" w:rsidR="00127A5B" w:rsidRDefault="00127A5B" w:rsidP="00041A5A">
      <w:pPr>
        <w:spacing w:line="360" w:lineRule="auto"/>
        <w:rPr>
          <w:rFonts w:ascii="Arial" w:hAnsi="Arial" w:cs="Arial"/>
        </w:rPr>
      </w:pPr>
    </w:p>
    <w:p w14:paraId="458F7B36" w14:textId="77777777" w:rsidR="00907943" w:rsidRDefault="00907943" w:rsidP="00041A5A">
      <w:pPr>
        <w:spacing w:line="360" w:lineRule="auto"/>
        <w:rPr>
          <w:rFonts w:ascii="Arial" w:hAnsi="Arial" w:cs="Arial"/>
        </w:rPr>
      </w:pPr>
    </w:p>
    <w:p w14:paraId="5F01CE26" w14:textId="77777777" w:rsidR="00907943" w:rsidRDefault="00907943" w:rsidP="00041A5A">
      <w:pPr>
        <w:spacing w:line="360" w:lineRule="auto"/>
        <w:rPr>
          <w:rFonts w:ascii="Arial" w:hAnsi="Arial" w:cs="Arial"/>
        </w:rPr>
      </w:pPr>
    </w:p>
    <w:p w14:paraId="5713A915" w14:textId="6395FCD3" w:rsidR="00FF5B70" w:rsidRPr="00FF5B70" w:rsidRDefault="00FF5B70" w:rsidP="00041A5A">
      <w:pPr>
        <w:spacing w:line="360" w:lineRule="auto"/>
        <w:rPr>
          <w:rFonts w:ascii="Arial" w:hAnsi="Arial" w:cs="Arial"/>
          <w:b/>
          <w:bCs/>
          <w:i/>
          <w:iCs/>
          <w:sz w:val="28"/>
          <w:szCs w:val="28"/>
        </w:rPr>
      </w:pPr>
      <w:r>
        <w:rPr>
          <w:rFonts w:ascii="Arial" w:hAnsi="Arial" w:cs="Arial"/>
          <w:b/>
          <w:bCs/>
          <w:i/>
          <w:iCs/>
          <w:sz w:val="28"/>
          <w:szCs w:val="28"/>
        </w:rPr>
        <w:lastRenderedPageBreak/>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p>
    <w:tbl>
      <w:tblPr>
        <w:tblStyle w:val="PlainTable1"/>
        <w:tblW w:w="0" w:type="auto"/>
        <w:tblLook w:val="04A0" w:firstRow="1" w:lastRow="0" w:firstColumn="1" w:lastColumn="0" w:noHBand="0" w:noVBand="1"/>
      </w:tblPr>
      <w:tblGrid>
        <w:gridCol w:w="4508"/>
        <w:gridCol w:w="4508"/>
      </w:tblGrid>
      <w:tr w:rsidR="00127A5B" w14:paraId="477EC9E0" w14:textId="77777777" w:rsidTr="00127A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8CEEE93" w14:textId="3E00CFA3" w:rsidR="00127A5B" w:rsidRDefault="00127A5B" w:rsidP="00041A5A">
            <w:pPr>
              <w:spacing w:line="360" w:lineRule="auto"/>
              <w:rPr>
                <w:rFonts w:ascii="Arial" w:hAnsi="Arial" w:cs="Arial"/>
              </w:rPr>
            </w:pPr>
            <w:r>
              <w:rPr>
                <w:rFonts w:ascii="Arial" w:hAnsi="Arial" w:cs="Arial"/>
              </w:rPr>
              <w:t xml:space="preserve">Strengths </w:t>
            </w:r>
          </w:p>
        </w:tc>
        <w:tc>
          <w:tcPr>
            <w:tcW w:w="4508" w:type="dxa"/>
          </w:tcPr>
          <w:p w14:paraId="65A35EF5" w14:textId="34021137" w:rsidR="00127A5B" w:rsidRDefault="00127A5B" w:rsidP="00041A5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Challenges </w:t>
            </w:r>
          </w:p>
        </w:tc>
      </w:tr>
      <w:tr w:rsidR="00127A5B" w14:paraId="543F2152" w14:textId="77777777" w:rsidTr="00127A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6136D4A" w14:textId="0627CE30" w:rsidR="00127A5B" w:rsidRDefault="00C543C5" w:rsidP="00041A5A">
            <w:pPr>
              <w:spacing w:line="360" w:lineRule="auto"/>
              <w:rPr>
                <w:rFonts w:ascii="Arial" w:hAnsi="Arial" w:cs="Arial"/>
              </w:rPr>
            </w:pPr>
            <w:r>
              <w:rPr>
                <w:rFonts w:ascii="Arial" w:hAnsi="Arial" w:cs="Arial"/>
              </w:rPr>
              <w:t>Strong organisational skills that support systematic searching and screening of studies.</w:t>
            </w:r>
          </w:p>
        </w:tc>
        <w:tc>
          <w:tcPr>
            <w:tcW w:w="4508" w:type="dxa"/>
          </w:tcPr>
          <w:p w14:paraId="1254A4B3" w14:textId="1FC9F67C" w:rsidR="00127A5B" w:rsidRDefault="00C543C5" w:rsidP="00041A5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Maintaining objectivity when analysing sensitive topics such as deprivation and inequality. </w:t>
            </w:r>
          </w:p>
        </w:tc>
      </w:tr>
      <w:tr w:rsidR="00127A5B" w14:paraId="58910A92" w14:textId="77777777" w:rsidTr="00127A5B">
        <w:tc>
          <w:tcPr>
            <w:cnfStyle w:val="001000000000" w:firstRow="0" w:lastRow="0" w:firstColumn="1" w:lastColumn="0" w:oddVBand="0" w:evenVBand="0" w:oddHBand="0" w:evenHBand="0" w:firstRowFirstColumn="0" w:firstRowLastColumn="0" w:lastRowFirstColumn="0" w:lastRowLastColumn="0"/>
            <w:tcW w:w="4508" w:type="dxa"/>
          </w:tcPr>
          <w:p w14:paraId="14EE2CC5" w14:textId="69AF407C" w:rsidR="00127A5B" w:rsidRDefault="00E43BFA" w:rsidP="00041A5A">
            <w:pPr>
              <w:spacing w:line="360" w:lineRule="auto"/>
              <w:rPr>
                <w:rFonts w:ascii="Arial" w:hAnsi="Arial" w:cs="Arial"/>
              </w:rPr>
            </w:pPr>
            <w:r>
              <w:rPr>
                <w:rFonts w:ascii="Arial" w:hAnsi="Arial" w:cs="Arial"/>
              </w:rPr>
              <w:t>Personal experience</w:t>
            </w:r>
          </w:p>
        </w:tc>
        <w:tc>
          <w:tcPr>
            <w:tcW w:w="4508" w:type="dxa"/>
          </w:tcPr>
          <w:p w14:paraId="10383D36" w14:textId="4FFF64E4" w:rsidR="00127A5B" w:rsidRDefault="00C543C5" w:rsidP="00041A5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Developing confidence in thematic analysis, especially when identifying patterns across diverse studies. </w:t>
            </w:r>
          </w:p>
        </w:tc>
      </w:tr>
      <w:tr w:rsidR="00127A5B" w14:paraId="7F08BB93" w14:textId="77777777" w:rsidTr="00127A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99C312F" w14:textId="21558530" w:rsidR="00127A5B" w:rsidRDefault="00C543C5" w:rsidP="00041A5A">
            <w:pPr>
              <w:spacing w:line="360" w:lineRule="auto"/>
              <w:rPr>
                <w:rFonts w:ascii="Arial" w:hAnsi="Arial" w:cs="Arial"/>
              </w:rPr>
            </w:pPr>
            <w:r>
              <w:rPr>
                <w:rFonts w:ascii="Arial" w:hAnsi="Arial" w:cs="Arial"/>
              </w:rPr>
              <w:t>Good critical-reading ability, helping to interpret complex research on health inequality.</w:t>
            </w:r>
          </w:p>
        </w:tc>
        <w:tc>
          <w:tcPr>
            <w:tcW w:w="4508" w:type="dxa"/>
          </w:tcPr>
          <w:p w14:paraId="3817AB05" w14:textId="77777777" w:rsidR="00127A5B" w:rsidRDefault="00127A5B" w:rsidP="00041A5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449212CA" w14:textId="28C17E97" w:rsidR="00545684" w:rsidRPr="00260277" w:rsidRDefault="00545684" w:rsidP="00041A5A">
      <w:pPr>
        <w:spacing w:line="360" w:lineRule="auto"/>
        <w:rPr>
          <w:rFonts w:ascii="Arial" w:hAnsi="Arial" w:cs="Arial"/>
        </w:rPr>
      </w:pPr>
      <w:r w:rsidRPr="00260277">
        <w:rPr>
          <w:rFonts w:ascii="Arial" w:hAnsi="Arial" w:cs="Arial"/>
        </w:rPr>
        <w:br w:type="page"/>
      </w:r>
    </w:p>
    <w:p w14:paraId="262C8CA3" w14:textId="4D2FF9E1" w:rsidR="00545684" w:rsidRDefault="00545684" w:rsidP="00C543C5">
      <w:pPr>
        <w:pStyle w:val="Heading1"/>
        <w:jc w:val="left"/>
      </w:pPr>
      <w:r w:rsidRPr="00260277">
        <w:lastRenderedPageBreak/>
        <w:t>References</w:t>
      </w:r>
    </w:p>
    <w:p w14:paraId="4D6B7334" w14:textId="699A4304" w:rsidR="00FD6DBE" w:rsidRDefault="00FD6DBE" w:rsidP="00FD6DBE">
      <w:pPr>
        <w:pStyle w:val="ListParagraph"/>
        <w:numPr>
          <w:ilvl w:val="0"/>
          <w:numId w:val="9"/>
        </w:numPr>
        <w:rPr>
          <w:rFonts w:ascii="Arial" w:hAnsi="Arial" w:cs="Arial"/>
          <w:szCs w:val="24"/>
        </w:rPr>
      </w:pPr>
      <w:r w:rsidRPr="00FD6DBE">
        <w:rPr>
          <w:rFonts w:ascii="Arial" w:hAnsi="Arial" w:cs="Arial"/>
          <w:szCs w:val="24"/>
        </w:rPr>
        <w:t xml:space="preserve">Marmot, M. et al. (2010) </w:t>
      </w:r>
      <w:r w:rsidRPr="00907943">
        <w:rPr>
          <w:rFonts w:ascii="Arial" w:hAnsi="Arial" w:cs="Arial"/>
          <w:i/>
          <w:iCs/>
          <w:szCs w:val="24"/>
        </w:rPr>
        <w:t>Fair Society, Healthy Lives: The Marmot Review</w:t>
      </w:r>
      <w:r w:rsidRPr="00FD6DBE">
        <w:rPr>
          <w:rFonts w:ascii="Arial" w:hAnsi="Arial" w:cs="Arial"/>
          <w:szCs w:val="24"/>
        </w:rPr>
        <w:t>. London: The Marmot Review.</w:t>
      </w:r>
    </w:p>
    <w:p w14:paraId="69DF23DB" w14:textId="77777777" w:rsidR="00FD6DBE" w:rsidRPr="00FD6DBE" w:rsidRDefault="00FD6DBE" w:rsidP="00FD6DBE">
      <w:pPr>
        <w:pStyle w:val="ListParagraph"/>
        <w:rPr>
          <w:rFonts w:ascii="Arial" w:hAnsi="Arial" w:cs="Arial"/>
          <w:szCs w:val="24"/>
        </w:rPr>
      </w:pPr>
    </w:p>
    <w:p w14:paraId="6D728906" w14:textId="7008300D" w:rsidR="00FD6DBE" w:rsidRDefault="00FD6DBE" w:rsidP="00FD6DBE">
      <w:pPr>
        <w:pStyle w:val="ListParagraph"/>
        <w:numPr>
          <w:ilvl w:val="0"/>
          <w:numId w:val="9"/>
        </w:numPr>
        <w:rPr>
          <w:rFonts w:ascii="Arial" w:hAnsi="Arial" w:cs="Arial"/>
          <w:szCs w:val="24"/>
        </w:rPr>
      </w:pPr>
      <w:r w:rsidRPr="00FD6DBE">
        <w:rPr>
          <w:rFonts w:ascii="Arial" w:hAnsi="Arial" w:cs="Arial"/>
          <w:szCs w:val="24"/>
        </w:rPr>
        <w:t>Marmot, M. et al. (2020</w:t>
      </w:r>
      <w:r w:rsidRPr="00907943">
        <w:rPr>
          <w:rFonts w:ascii="Arial" w:hAnsi="Arial" w:cs="Arial"/>
          <w:i/>
          <w:iCs/>
          <w:szCs w:val="24"/>
        </w:rPr>
        <w:t>) Health Equity in England: The Marmot Review 10 Years On</w:t>
      </w:r>
      <w:r w:rsidRPr="00FD6DBE">
        <w:rPr>
          <w:rFonts w:ascii="Arial" w:hAnsi="Arial" w:cs="Arial"/>
          <w:szCs w:val="24"/>
        </w:rPr>
        <w:t>. London: Institute of Health Equity.</w:t>
      </w:r>
    </w:p>
    <w:p w14:paraId="58CE3FC2" w14:textId="77777777" w:rsidR="00FD6DBE" w:rsidRPr="00FD6DBE" w:rsidRDefault="00FD6DBE" w:rsidP="00FD6DBE">
      <w:pPr>
        <w:pStyle w:val="ListParagraph"/>
        <w:rPr>
          <w:rFonts w:ascii="Arial" w:hAnsi="Arial" w:cs="Arial"/>
          <w:szCs w:val="24"/>
        </w:rPr>
      </w:pPr>
    </w:p>
    <w:p w14:paraId="412C3A88" w14:textId="77777777" w:rsidR="00FD6DBE" w:rsidRPr="00FD6DBE" w:rsidRDefault="00FD6DBE" w:rsidP="00FD6DBE">
      <w:pPr>
        <w:pStyle w:val="ListParagraph"/>
        <w:rPr>
          <w:rFonts w:ascii="Arial" w:hAnsi="Arial" w:cs="Arial"/>
          <w:szCs w:val="24"/>
        </w:rPr>
      </w:pPr>
    </w:p>
    <w:p w14:paraId="32B253B2" w14:textId="491C8AA3" w:rsidR="00FD6DBE" w:rsidRDefault="00FD6DBE" w:rsidP="00FD6DBE">
      <w:pPr>
        <w:pStyle w:val="ListParagraph"/>
        <w:numPr>
          <w:ilvl w:val="0"/>
          <w:numId w:val="9"/>
        </w:numPr>
        <w:rPr>
          <w:rFonts w:ascii="Arial" w:hAnsi="Arial" w:cs="Arial"/>
          <w:szCs w:val="24"/>
        </w:rPr>
      </w:pPr>
      <w:r w:rsidRPr="00FD6DBE">
        <w:rPr>
          <w:rFonts w:ascii="Arial" w:hAnsi="Arial" w:cs="Arial"/>
          <w:szCs w:val="24"/>
        </w:rPr>
        <w:t>Public Health England (2018</w:t>
      </w:r>
      <w:r w:rsidRPr="00907943">
        <w:rPr>
          <w:rFonts w:ascii="Arial" w:hAnsi="Arial" w:cs="Arial"/>
          <w:i/>
          <w:iCs/>
          <w:szCs w:val="24"/>
        </w:rPr>
        <w:t>) Health Profile for England 2018.</w:t>
      </w:r>
      <w:r w:rsidRPr="00FD6DBE">
        <w:rPr>
          <w:rFonts w:ascii="Arial" w:hAnsi="Arial" w:cs="Arial"/>
          <w:szCs w:val="24"/>
        </w:rPr>
        <w:t xml:space="preserve"> London: PHE.</w:t>
      </w:r>
    </w:p>
    <w:p w14:paraId="473234C3" w14:textId="77777777" w:rsidR="00FD6DBE" w:rsidRPr="00FD6DBE" w:rsidRDefault="00FD6DBE" w:rsidP="00FD6DBE">
      <w:pPr>
        <w:pStyle w:val="ListParagraph"/>
        <w:rPr>
          <w:rFonts w:ascii="Arial" w:hAnsi="Arial" w:cs="Arial"/>
          <w:szCs w:val="24"/>
        </w:rPr>
      </w:pPr>
    </w:p>
    <w:p w14:paraId="34F84A16" w14:textId="4DFF3468" w:rsidR="00FD6DBE" w:rsidRDefault="00FD6DBE" w:rsidP="00FD6DBE">
      <w:pPr>
        <w:pStyle w:val="ListParagraph"/>
        <w:numPr>
          <w:ilvl w:val="0"/>
          <w:numId w:val="9"/>
        </w:numPr>
        <w:rPr>
          <w:rFonts w:ascii="Arial" w:hAnsi="Arial" w:cs="Arial"/>
          <w:szCs w:val="24"/>
        </w:rPr>
      </w:pPr>
      <w:r w:rsidRPr="00FD6DBE">
        <w:rPr>
          <w:rFonts w:ascii="Arial" w:hAnsi="Arial" w:cs="Arial"/>
          <w:szCs w:val="24"/>
        </w:rPr>
        <w:t xml:space="preserve">NHS England (2019) </w:t>
      </w:r>
      <w:r w:rsidRPr="00907943">
        <w:rPr>
          <w:rFonts w:ascii="Arial" w:hAnsi="Arial" w:cs="Arial"/>
          <w:i/>
          <w:iCs/>
          <w:szCs w:val="24"/>
        </w:rPr>
        <w:t>The NHS Long Term Plan</w:t>
      </w:r>
      <w:r w:rsidRPr="00FD6DBE">
        <w:rPr>
          <w:rFonts w:ascii="Arial" w:hAnsi="Arial" w:cs="Arial"/>
          <w:szCs w:val="24"/>
        </w:rPr>
        <w:t>. London: NHS England.</w:t>
      </w:r>
    </w:p>
    <w:p w14:paraId="68AD87C3" w14:textId="77777777" w:rsidR="00FD6DBE" w:rsidRPr="00FD6DBE" w:rsidRDefault="00FD6DBE" w:rsidP="00FD6DBE">
      <w:pPr>
        <w:pStyle w:val="ListParagraph"/>
        <w:rPr>
          <w:rFonts w:ascii="Arial" w:hAnsi="Arial" w:cs="Arial"/>
          <w:szCs w:val="24"/>
        </w:rPr>
      </w:pPr>
    </w:p>
    <w:p w14:paraId="7A494A1F" w14:textId="77777777" w:rsidR="00FD6DBE" w:rsidRPr="00FD6DBE" w:rsidRDefault="00FD6DBE" w:rsidP="00FD6DBE">
      <w:pPr>
        <w:pStyle w:val="ListParagraph"/>
        <w:rPr>
          <w:rFonts w:ascii="Arial" w:hAnsi="Arial" w:cs="Arial"/>
          <w:szCs w:val="24"/>
        </w:rPr>
      </w:pPr>
    </w:p>
    <w:p w14:paraId="6D453447" w14:textId="69F58EEC" w:rsidR="00FD6DBE" w:rsidRDefault="00FD6DBE" w:rsidP="00FD6DBE">
      <w:pPr>
        <w:pStyle w:val="ListParagraph"/>
        <w:numPr>
          <w:ilvl w:val="0"/>
          <w:numId w:val="9"/>
        </w:numPr>
        <w:rPr>
          <w:rFonts w:ascii="Arial" w:hAnsi="Arial" w:cs="Arial"/>
          <w:szCs w:val="24"/>
        </w:rPr>
      </w:pPr>
      <w:r w:rsidRPr="00FD6DBE">
        <w:rPr>
          <w:rFonts w:ascii="Arial" w:hAnsi="Arial" w:cs="Arial"/>
          <w:szCs w:val="24"/>
        </w:rPr>
        <w:t xml:space="preserve">Bambra, C., Smith, K.E. and Pearce, J. (2019) ‘Scaling up: The politics of health and place’, </w:t>
      </w:r>
      <w:r w:rsidRPr="00907943">
        <w:rPr>
          <w:rFonts w:ascii="Arial" w:hAnsi="Arial" w:cs="Arial"/>
          <w:i/>
          <w:iCs/>
          <w:szCs w:val="24"/>
        </w:rPr>
        <w:t>Social Science &amp; Medicine</w:t>
      </w:r>
      <w:r w:rsidRPr="00FD6DBE">
        <w:rPr>
          <w:rFonts w:ascii="Arial" w:hAnsi="Arial" w:cs="Arial"/>
          <w:szCs w:val="24"/>
        </w:rPr>
        <w:t>, 232, pp. 36–42.</w:t>
      </w:r>
    </w:p>
    <w:p w14:paraId="4FB1D650" w14:textId="77777777" w:rsidR="00FD6DBE" w:rsidRPr="00FD6DBE" w:rsidRDefault="00FD6DBE" w:rsidP="00FD6DBE">
      <w:pPr>
        <w:pStyle w:val="ListParagraph"/>
        <w:rPr>
          <w:rFonts w:ascii="Arial" w:hAnsi="Arial" w:cs="Arial"/>
          <w:szCs w:val="24"/>
        </w:rPr>
      </w:pPr>
    </w:p>
    <w:p w14:paraId="2222A57E" w14:textId="6684572E" w:rsidR="00FD6DBE" w:rsidRDefault="00FD6DBE" w:rsidP="00FD6DBE">
      <w:pPr>
        <w:pStyle w:val="ListParagraph"/>
        <w:numPr>
          <w:ilvl w:val="0"/>
          <w:numId w:val="9"/>
        </w:numPr>
        <w:rPr>
          <w:rFonts w:ascii="Arial" w:hAnsi="Arial" w:cs="Arial"/>
          <w:szCs w:val="24"/>
        </w:rPr>
      </w:pPr>
      <w:r w:rsidRPr="00FD6DBE">
        <w:rPr>
          <w:rFonts w:ascii="Arial" w:hAnsi="Arial" w:cs="Arial"/>
          <w:szCs w:val="24"/>
        </w:rPr>
        <w:t xml:space="preserve">Thomas, B. et al. (2020) ‘Socioeconomic inequalities in health: A UK perspective’, </w:t>
      </w:r>
      <w:r w:rsidRPr="00907943">
        <w:rPr>
          <w:rFonts w:ascii="Arial" w:hAnsi="Arial" w:cs="Arial"/>
          <w:i/>
          <w:iCs/>
          <w:szCs w:val="24"/>
        </w:rPr>
        <w:t>Journal of Public Health</w:t>
      </w:r>
      <w:r w:rsidRPr="00FD6DBE">
        <w:rPr>
          <w:rFonts w:ascii="Arial" w:hAnsi="Arial" w:cs="Arial"/>
          <w:szCs w:val="24"/>
        </w:rPr>
        <w:t>, 42(3), pp. 451–459.</w:t>
      </w:r>
    </w:p>
    <w:p w14:paraId="376959C7" w14:textId="77777777" w:rsidR="00FD6DBE" w:rsidRPr="00FD6DBE" w:rsidRDefault="00FD6DBE" w:rsidP="00FD6DBE">
      <w:pPr>
        <w:pStyle w:val="ListParagraph"/>
        <w:rPr>
          <w:rFonts w:ascii="Arial" w:hAnsi="Arial" w:cs="Arial"/>
          <w:szCs w:val="24"/>
        </w:rPr>
      </w:pPr>
    </w:p>
    <w:p w14:paraId="2D0517A8" w14:textId="77777777" w:rsidR="00FD6DBE" w:rsidRPr="00FD6DBE" w:rsidRDefault="00FD6DBE" w:rsidP="00FD6DBE">
      <w:pPr>
        <w:pStyle w:val="ListParagraph"/>
        <w:rPr>
          <w:rFonts w:ascii="Arial" w:hAnsi="Arial" w:cs="Arial"/>
          <w:szCs w:val="24"/>
        </w:rPr>
      </w:pPr>
    </w:p>
    <w:p w14:paraId="22E5A916" w14:textId="3344D87B" w:rsidR="00FD6DBE" w:rsidRDefault="00FD6DBE" w:rsidP="00FD6DBE">
      <w:pPr>
        <w:pStyle w:val="ListParagraph"/>
        <w:numPr>
          <w:ilvl w:val="0"/>
          <w:numId w:val="9"/>
        </w:numPr>
        <w:rPr>
          <w:rFonts w:ascii="Arial" w:hAnsi="Arial" w:cs="Arial"/>
          <w:szCs w:val="24"/>
        </w:rPr>
      </w:pPr>
      <w:r w:rsidRPr="00FD6DBE">
        <w:rPr>
          <w:rFonts w:ascii="Arial" w:hAnsi="Arial" w:cs="Arial"/>
          <w:szCs w:val="24"/>
        </w:rPr>
        <w:t xml:space="preserve">Green, M.A. et al. (2018) ‘Housing, neighbourhoods and health inequalities’, </w:t>
      </w:r>
      <w:r w:rsidRPr="00907943">
        <w:rPr>
          <w:rFonts w:ascii="Arial" w:hAnsi="Arial" w:cs="Arial"/>
          <w:i/>
          <w:iCs/>
          <w:szCs w:val="24"/>
        </w:rPr>
        <w:t>Health &amp; Place,</w:t>
      </w:r>
      <w:r w:rsidRPr="00FD6DBE">
        <w:rPr>
          <w:rFonts w:ascii="Arial" w:hAnsi="Arial" w:cs="Arial"/>
          <w:szCs w:val="24"/>
        </w:rPr>
        <w:t xml:space="preserve"> 52, pp. 157–166.</w:t>
      </w:r>
    </w:p>
    <w:p w14:paraId="56DF4E8E" w14:textId="77777777" w:rsidR="00FD6DBE" w:rsidRPr="00FD6DBE" w:rsidRDefault="00FD6DBE" w:rsidP="00FD6DBE">
      <w:pPr>
        <w:pStyle w:val="ListParagraph"/>
        <w:rPr>
          <w:rFonts w:ascii="Arial" w:hAnsi="Arial" w:cs="Arial"/>
          <w:szCs w:val="24"/>
        </w:rPr>
      </w:pPr>
    </w:p>
    <w:p w14:paraId="5DB6608B" w14:textId="63622AD4" w:rsidR="00FD6DBE" w:rsidRDefault="00FD6DBE" w:rsidP="00FD6DBE">
      <w:pPr>
        <w:pStyle w:val="ListParagraph"/>
        <w:numPr>
          <w:ilvl w:val="0"/>
          <w:numId w:val="9"/>
        </w:numPr>
        <w:rPr>
          <w:rFonts w:ascii="Arial" w:hAnsi="Arial" w:cs="Arial"/>
          <w:szCs w:val="24"/>
        </w:rPr>
      </w:pPr>
      <w:r w:rsidRPr="00FD6DBE">
        <w:rPr>
          <w:rFonts w:ascii="Arial" w:hAnsi="Arial" w:cs="Arial"/>
          <w:szCs w:val="24"/>
        </w:rPr>
        <w:t>Asaria, M. et al. (2016) ‘The cost</w:t>
      </w:r>
      <w:r w:rsidRPr="00FD6DBE">
        <w:rPr>
          <w:rFonts w:ascii="Cambria Math" w:hAnsi="Cambria Math" w:cs="Cambria Math"/>
          <w:szCs w:val="24"/>
        </w:rPr>
        <w:t>‑</w:t>
      </w:r>
      <w:r w:rsidRPr="00FD6DBE">
        <w:rPr>
          <w:rFonts w:ascii="Arial" w:hAnsi="Arial" w:cs="Arial"/>
          <w:szCs w:val="24"/>
        </w:rPr>
        <w:t xml:space="preserve">effectiveness of addressing health inequalities in England’, </w:t>
      </w:r>
      <w:r w:rsidRPr="00907943">
        <w:rPr>
          <w:rFonts w:ascii="Arial" w:hAnsi="Arial" w:cs="Arial"/>
          <w:i/>
          <w:iCs/>
          <w:szCs w:val="24"/>
        </w:rPr>
        <w:t>BMJ Open,</w:t>
      </w:r>
      <w:r w:rsidRPr="00FD6DBE">
        <w:rPr>
          <w:rFonts w:ascii="Arial" w:hAnsi="Arial" w:cs="Arial"/>
          <w:szCs w:val="24"/>
        </w:rPr>
        <w:t xml:space="preserve"> 6(6), pp. 1–10.</w:t>
      </w:r>
    </w:p>
    <w:p w14:paraId="3990839A" w14:textId="77777777" w:rsidR="00FD6DBE" w:rsidRPr="00FD6DBE" w:rsidRDefault="00FD6DBE" w:rsidP="00FD6DBE">
      <w:pPr>
        <w:pStyle w:val="ListParagraph"/>
        <w:rPr>
          <w:rFonts w:ascii="Arial" w:hAnsi="Arial" w:cs="Arial"/>
          <w:szCs w:val="24"/>
        </w:rPr>
      </w:pPr>
    </w:p>
    <w:p w14:paraId="53E4353E" w14:textId="761CF0EE" w:rsidR="00FD6DBE" w:rsidRDefault="00FD6DBE" w:rsidP="00FD6DBE">
      <w:pPr>
        <w:pStyle w:val="ListParagraph"/>
        <w:numPr>
          <w:ilvl w:val="0"/>
          <w:numId w:val="9"/>
        </w:numPr>
        <w:rPr>
          <w:rFonts w:ascii="Arial" w:hAnsi="Arial" w:cs="Arial"/>
          <w:szCs w:val="24"/>
        </w:rPr>
      </w:pPr>
      <w:r w:rsidRPr="00FD6DBE">
        <w:rPr>
          <w:rFonts w:ascii="Arial" w:hAnsi="Arial" w:cs="Arial"/>
          <w:szCs w:val="24"/>
        </w:rPr>
        <w:t xml:space="preserve">Barr, B. et al. (2019) ‘The impact of welfare reform on health: Evidence from the UK’, </w:t>
      </w:r>
      <w:r w:rsidRPr="00907943">
        <w:rPr>
          <w:rFonts w:ascii="Arial" w:hAnsi="Arial" w:cs="Arial"/>
          <w:i/>
          <w:iCs/>
          <w:szCs w:val="24"/>
        </w:rPr>
        <w:t>The Lancet Public Health</w:t>
      </w:r>
      <w:r w:rsidRPr="00FD6DBE">
        <w:rPr>
          <w:rFonts w:ascii="Arial" w:hAnsi="Arial" w:cs="Arial"/>
          <w:szCs w:val="24"/>
        </w:rPr>
        <w:t>, 4(7), pp. e343–e351.</w:t>
      </w:r>
    </w:p>
    <w:p w14:paraId="5EBD9031" w14:textId="77777777" w:rsidR="00FD6DBE" w:rsidRPr="00FD6DBE" w:rsidRDefault="00FD6DBE" w:rsidP="00FD6DBE">
      <w:pPr>
        <w:pStyle w:val="ListParagraph"/>
        <w:rPr>
          <w:rFonts w:ascii="Arial" w:hAnsi="Arial" w:cs="Arial"/>
          <w:szCs w:val="24"/>
        </w:rPr>
      </w:pPr>
    </w:p>
    <w:p w14:paraId="0797BCE1" w14:textId="74DB7505" w:rsidR="00FD6DBE" w:rsidRPr="00FD6DBE" w:rsidRDefault="00FD6DBE" w:rsidP="00FD6DBE">
      <w:pPr>
        <w:pStyle w:val="ListParagraph"/>
        <w:numPr>
          <w:ilvl w:val="0"/>
          <w:numId w:val="9"/>
        </w:numPr>
        <w:rPr>
          <w:rFonts w:ascii="Arial" w:hAnsi="Arial" w:cs="Arial"/>
          <w:szCs w:val="24"/>
        </w:rPr>
      </w:pPr>
      <w:r w:rsidRPr="00FD6DBE">
        <w:rPr>
          <w:rFonts w:ascii="Arial" w:hAnsi="Arial" w:cs="Arial"/>
          <w:szCs w:val="24"/>
        </w:rPr>
        <w:t xml:space="preserve">Todd, A. et al. (2021) ‘Socioeconomic deprivation and access to healthcare in the UK’, </w:t>
      </w:r>
      <w:r w:rsidRPr="00907943">
        <w:rPr>
          <w:rFonts w:ascii="Arial" w:hAnsi="Arial" w:cs="Arial"/>
          <w:i/>
          <w:iCs/>
          <w:szCs w:val="24"/>
        </w:rPr>
        <w:t>British Journal of General Practice</w:t>
      </w:r>
      <w:r w:rsidRPr="00FD6DBE">
        <w:rPr>
          <w:rFonts w:ascii="Arial" w:hAnsi="Arial" w:cs="Arial"/>
          <w:szCs w:val="24"/>
        </w:rPr>
        <w:t>, 71(706), pp. e427–e435.</w:t>
      </w:r>
    </w:p>
    <w:p w14:paraId="754CEB55" w14:textId="77777777" w:rsidR="00545684" w:rsidRPr="00FD6DBE" w:rsidRDefault="00545684" w:rsidP="00041A5A">
      <w:pPr>
        <w:spacing w:line="360" w:lineRule="auto"/>
        <w:rPr>
          <w:rFonts w:ascii="Arial" w:hAnsi="Arial" w:cs="Arial"/>
          <w:szCs w:val="24"/>
        </w:rPr>
      </w:pPr>
    </w:p>
    <w:p w14:paraId="5BC91157" w14:textId="77777777" w:rsidR="00545684" w:rsidRPr="00260277" w:rsidRDefault="00545684" w:rsidP="00041A5A">
      <w:pPr>
        <w:spacing w:line="360" w:lineRule="auto"/>
        <w:rPr>
          <w:rFonts w:ascii="Arial" w:hAnsi="Arial" w:cs="Arial"/>
        </w:rPr>
      </w:pPr>
    </w:p>
    <w:sectPr w:rsidR="00545684" w:rsidRPr="00260277"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BAB0ED" w14:textId="77777777" w:rsidR="00C41168" w:rsidRDefault="00C41168" w:rsidP="00545684">
      <w:pPr>
        <w:spacing w:after="0" w:line="240" w:lineRule="auto"/>
      </w:pPr>
      <w:r>
        <w:separator/>
      </w:r>
    </w:p>
  </w:endnote>
  <w:endnote w:type="continuationSeparator" w:id="0">
    <w:p w14:paraId="6C40B978" w14:textId="77777777" w:rsidR="00C41168" w:rsidRDefault="00C41168"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AE9B19" w14:textId="77777777" w:rsidR="00C41168" w:rsidRDefault="00C41168" w:rsidP="00545684">
      <w:pPr>
        <w:spacing w:after="0" w:line="240" w:lineRule="auto"/>
      </w:pPr>
      <w:r>
        <w:separator/>
      </w:r>
    </w:p>
  </w:footnote>
  <w:footnote w:type="continuationSeparator" w:id="0">
    <w:p w14:paraId="03016B58" w14:textId="77777777" w:rsidR="00C41168" w:rsidRDefault="00C41168"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F19CC"/>
    <w:multiLevelType w:val="hybridMultilevel"/>
    <w:tmpl w:val="DBEEC9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790A05"/>
    <w:multiLevelType w:val="hybridMultilevel"/>
    <w:tmpl w:val="058C4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700D38"/>
    <w:multiLevelType w:val="hybridMultilevel"/>
    <w:tmpl w:val="C05E70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D8E19E7"/>
    <w:multiLevelType w:val="hybridMultilevel"/>
    <w:tmpl w:val="23F24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F3675F"/>
    <w:multiLevelType w:val="hybridMultilevel"/>
    <w:tmpl w:val="DBCCC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6805C4"/>
    <w:multiLevelType w:val="hybridMultilevel"/>
    <w:tmpl w:val="CAD873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A47F8C"/>
    <w:multiLevelType w:val="hybridMultilevel"/>
    <w:tmpl w:val="26FCD8F4"/>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F14748"/>
    <w:multiLevelType w:val="hybridMultilevel"/>
    <w:tmpl w:val="AF723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8"/>
  </w:num>
  <w:num w:numId="2" w16cid:durableId="1614551898">
    <w:abstractNumId w:val="1"/>
  </w:num>
  <w:num w:numId="3" w16cid:durableId="1475416765">
    <w:abstractNumId w:val="6"/>
  </w:num>
  <w:num w:numId="4" w16cid:durableId="1289626850">
    <w:abstractNumId w:val="3"/>
  </w:num>
  <w:num w:numId="5" w16cid:durableId="987513300">
    <w:abstractNumId w:val="2"/>
  </w:num>
  <w:num w:numId="6" w16cid:durableId="1212888756">
    <w:abstractNumId w:val="4"/>
  </w:num>
  <w:num w:numId="7" w16cid:durableId="143743902">
    <w:abstractNumId w:val="7"/>
  </w:num>
  <w:num w:numId="8" w16cid:durableId="1139372823">
    <w:abstractNumId w:val="0"/>
  </w:num>
  <w:num w:numId="9" w16cid:durableId="201969934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2C56"/>
    <w:rsid w:val="00041A5A"/>
    <w:rsid w:val="000A5161"/>
    <w:rsid w:val="000B7CD5"/>
    <w:rsid w:val="001168D7"/>
    <w:rsid w:val="00120732"/>
    <w:rsid w:val="00127A5B"/>
    <w:rsid w:val="00216C85"/>
    <w:rsid w:val="00240DAD"/>
    <w:rsid w:val="00244CF2"/>
    <w:rsid w:val="00260277"/>
    <w:rsid w:val="00273EDD"/>
    <w:rsid w:val="002A15DA"/>
    <w:rsid w:val="002C3965"/>
    <w:rsid w:val="002E7069"/>
    <w:rsid w:val="00321C4C"/>
    <w:rsid w:val="00321FCE"/>
    <w:rsid w:val="00367125"/>
    <w:rsid w:val="00376268"/>
    <w:rsid w:val="00381E84"/>
    <w:rsid w:val="003B5B7F"/>
    <w:rsid w:val="00454F5A"/>
    <w:rsid w:val="004903AA"/>
    <w:rsid w:val="004E17E8"/>
    <w:rsid w:val="004E6C3B"/>
    <w:rsid w:val="004F5AF5"/>
    <w:rsid w:val="005204B4"/>
    <w:rsid w:val="00545684"/>
    <w:rsid w:val="005B5CEF"/>
    <w:rsid w:val="005E4129"/>
    <w:rsid w:val="005E5D1A"/>
    <w:rsid w:val="005F56C0"/>
    <w:rsid w:val="0061260B"/>
    <w:rsid w:val="00614FFC"/>
    <w:rsid w:val="00663E5A"/>
    <w:rsid w:val="006829B5"/>
    <w:rsid w:val="00696333"/>
    <w:rsid w:val="006C124F"/>
    <w:rsid w:val="00715990"/>
    <w:rsid w:val="00776974"/>
    <w:rsid w:val="00784670"/>
    <w:rsid w:val="007A638C"/>
    <w:rsid w:val="00807C9E"/>
    <w:rsid w:val="00810D27"/>
    <w:rsid w:val="00866B7B"/>
    <w:rsid w:val="00885779"/>
    <w:rsid w:val="008E5015"/>
    <w:rsid w:val="00907943"/>
    <w:rsid w:val="00956CD2"/>
    <w:rsid w:val="009A39A5"/>
    <w:rsid w:val="009D1D1E"/>
    <w:rsid w:val="009D449E"/>
    <w:rsid w:val="00A035FD"/>
    <w:rsid w:val="00A17ADD"/>
    <w:rsid w:val="00AD0D3C"/>
    <w:rsid w:val="00B5525A"/>
    <w:rsid w:val="00C41168"/>
    <w:rsid w:val="00C543C5"/>
    <w:rsid w:val="00CB478A"/>
    <w:rsid w:val="00D503ED"/>
    <w:rsid w:val="00D57232"/>
    <w:rsid w:val="00D769F0"/>
    <w:rsid w:val="00DC1637"/>
    <w:rsid w:val="00E34C0B"/>
    <w:rsid w:val="00E43BFA"/>
    <w:rsid w:val="00E614D4"/>
    <w:rsid w:val="00EC68DA"/>
    <w:rsid w:val="00EE42AB"/>
    <w:rsid w:val="00F278D4"/>
    <w:rsid w:val="00FB4301"/>
    <w:rsid w:val="00FD6DBE"/>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776974"/>
    <w:pPr>
      <w:ind w:left="720"/>
      <w:contextualSpacing/>
    </w:pPr>
  </w:style>
  <w:style w:type="table" w:styleId="PlainTable1">
    <w:name w:val="Plain Table 1"/>
    <w:basedOn w:val="TableNormal"/>
    <w:uiPriority w:val="41"/>
    <w:rsid w:val="00127A5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127A5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ab89d04-d0d2-4679-add0-ac29944285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40B3F9BBA8ECD4DB871F8B18D95DDB4" ma:contentTypeVersion="9" ma:contentTypeDescription="Create a new document." ma:contentTypeScope="" ma:versionID="42a55b7ef9bd767cc8e05993966d74e2">
  <xsd:schema xmlns:xsd="http://www.w3.org/2001/XMLSchema" xmlns:xs="http://www.w3.org/2001/XMLSchema" xmlns:p="http://schemas.microsoft.com/office/2006/metadata/properties" xmlns:ns3="aab89d04-d0d2-4679-add0-ac2994428598" xmlns:ns4="63a72d97-7a91-4689-a388-73465b207458" targetNamespace="http://schemas.microsoft.com/office/2006/metadata/properties" ma:root="true" ma:fieldsID="8f4af3cb6c0c1b5dff62227a87311ef7" ns3:_="" ns4:_="">
    <xsd:import namespace="aab89d04-d0d2-4679-add0-ac2994428598"/>
    <xsd:import namespace="63a72d97-7a91-4689-a388-73465b2074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b89d04-d0d2-4679-add0-ac299442859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3a72d97-7a91-4689-a388-73465b2074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4B368A-126E-4641-86FD-B7CA307F55D8}">
  <ds:schemaRefs>
    <ds:schemaRef ds:uri="http://schemas.microsoft.com/office/2006/metadata/properties"/>
    <ds:schemaRef ds:uri="http://schemas.microsoft.com/office/infopath/2007/PartnerControls"/>
    <ds:schemaRef ds:uri="aab89d04-d0d2-4679-add0-ac2994428598"/>
  </ds:schemaRefs>
</ds:datastoreItem>
</file>

<file path=customXml/itemProps2.xml><?xml version="1.0" encoding="utf-8"?>
<ds:datastoreItem xmlns:ds="http://schemas.openxmlformats.org/officeDocument/2006/customXml" ds:itemID="{61B03B27-C9B8-459E-A321-89EC9D772259}">
  <ds:schemaRefs>
    <ds:schemaRef ds:uri="http://schemas.microsoft.com/sharepoint/v3/contenttype/forms"/>
  </ds:schemaRefs>
</ds:datastoreItem>
</file>

<file path=customXml/itemProps3.xml><?xml version="1.0" encoding="utf-8"?>
<ds:datastoreItem xmlns:ds="http://schemas.openxmlformats.org/officeDocument/2006/customXml" ds:itemID="{123672EA-4D0B-4F0B-9C7E-3F14632DC1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b89d04-d0d2-4679-add0-ac2994428598"/>
    <ds:schemaRef ds:uri="63a72d97-7a91-4689-a388-73465b2074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786</Words>
  <Characters>4484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Joice Rumila Dos Reis Gomes Pina (2312503)</cp:lastModifiedBy>
  <cp:revision>5</cp:revision>
  <dcterms:created xsi:type="dcterms:W3CDTF">2026-07-06T14:20:00Z</dcterms:created>
  <dcterms:modified xsi:type="dcterms:W3CDTF">2026-07-06T14:28:00Z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0x010100640B3F9BBA8ECD4DB871F8B18D95DDB4</vt:lpwstr>
  </property>
</Properties>
</file>