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C5E080" w14:textId="60B493E0" w:rsidR="00CF546D" w:rsidRPr="00CF546D" w:rsidRDefault="00CF546D" w:rsidP="00CF546D">
      <w:pPr>
        <w:rPr>
          <w:b/>
          <w:bCs/>
        </w:rPr>
      </w:pPr>
      <w:r w:rsidRPr="00CF546D">
        <w:rPr>
          <w:b/>
          <w:bCs/>
          <w:lang w:val="en-US"/>
        </w:rPr>
        <w:t>’Oh Women of Ireland, this is no time / </w:t>
      </w:r>
      <w:r w:rsidRPr="00CF546D">
        <w:rPr>
          <w:b/>
          <w:bCs/>
        </w:rPr>
        <w:t xml:space="preserve">For babbling or sitting still’ (Fanny Parnell, ‘To </w:t>
      </w:r>
      <w:r w:rsidR="005D5A42">
        <w:rPr>
          <w:b/>
          <w:bCs/>
        </w:rPr>
        <w:t>m</w:t>
      </w:r>
      <w:r w:rsidRPr="00CF546D">
        <w:rPr>
          <w:b/>
          <w:bCs/>
        </w:rPr>
        <w:t>y Fellow Women’, 1880). </w:t>
      </w:r>
      <w:r w:rsidRPr="00CF546D">
        <w:rPr>
          <w:b/>
          <w:bCs/>
          <w:lang w:val="en-US"/>
        </w:rPr>
        <w:t>Using this quotation and</w:t>
      </w:r>
      <w:r w:rsidRPr="00CF546D">
        <w:rPr>
          <w:rFonts w:ascii="Arial" w:hAnsi="Arial" w:cs="Arial"/>
          <w:b/>
          <w:bCs/>
          <w:lang w:val="en-US"/>
        </w:rPr>
        <w:t> </w:t>
      </w:r>
      <w:r w:rsidRPr="00CF546D">
        <w:rPr>
          <w:b/>
          <w:bCs/>
          <w:lang w:val="en-US"/>
        </w:rPr>
        <w:t>at least two key texts (</w:t>
      </w:r>
      <w:r w:rsidRPr="00CF546D">
        <w:rPr>
          <w:rFonts w:ascii="Aptos" w:hAnsi="Aptos" w:cs="Aptos"/>
          <w:b/>
          <w:bCs/>
          <w:lang w:val="en-US"/>
        </w:rPr>
        <w:t>‘</w:t>
      </w:r>
      <w:r w:rsidRPr="00CF546D">
        <w:rPr>
          <w:b/>
          <w:bCs/>
          <w:lang w:val="en-US"/>
        </w:rPr>
        <w:t>Relics</w:t>
      </w:r>
      <w:r w:rsidRPr="00CF546D">
        <w:rPr>
          <w:rFonts w:ascii="Aptos" w:hAnsi="Aptos" w:cs="Aptos"/>
          <w:b/>
          <w:bCs/>
          <w:lang w:val="en-US"/>
        </w:rPr>
        <w:t>’</w:t>
      </w:r>
      <w:r w:rsidRPr="00CF546D">
        <w:rPr>
          <w:b/>
          <w:bCs/>
          <w:lang w:val="en-US"/>
        </w:rPr>
        <w:t>),</w:t>
      </w:r>
      <w:r w:rsidRPr="00CF546D">
        <w:rPr>
          <w:rFonts w:ascii="Arial" w:hAnsi="Arial" w:cs="Arial"/>
          <w:b/>
          <w:bCs/>
          <w:lang w:val="en-US"/>
        </w:rPr>
        <w:t> </w:t>
      </w:r>
      <w:r w:rsidRPr="00CF546D">
        <w:rPr>
          <w:b/>
          <w:bCs/>
          <w:lang w:val="en-US"/>
        </w:rPr>
        <w:t>analyse/critically analyse</w:t>
      </w:r>
      <w:r w:rsidRPr="00CF546D">
        <w:rPr>
          <w:rFonts w:ascii="Arial" w:hAnsi="Arial" w:cs="Arial"/>
          <w:b/>
          <w:bCs/>
          <w:lang w:val="en-US"/>
        </w:rPr>
        <w:t> </w:t>
      </w:r>
      <w:r w:rsidRPr="00CF546D">
        <w:rPr>
          <w:b/>
          <w:bCs/>
          <w:lang w:val="en-US"/>
        </w:rPr>
        <w:t>how</w:t>
      </w:r>
      <w:r w:rsidRPr="00CF546D">
        <w:rPr>
          <w:rFonts w:ascii="Arial" w:hAnsi="Arial" w:cs="Arial"/>
          <w:b/>
          <w:bCs/>
          <w:lang w:val="en-US"/>
        </w:rPr>
        <w:t> </w:t>
      </w:r>
      <w:r w:rsidRPr="00CF546D">
        <w:rPr>
          <w:b/>
          <w:bCs/>
          <w:lang w:val="en-US"/>
        </w:rPr>
        <w:t>Celtic Revivalist authors</w:t>
      </w:r>
      <w:r w:rsidRPr="00CF546D">
        <w:rPr>
          <w:rFonts w:ascii="Arial" w:hAnsi="Arial" w:cs="Arial"/>
          <w:b/>
          <w:bCs/>
          <w:lang w:val="en-US"/>
        </w:rPr>
        <w:t> </w:t>
      </w:r>
      <w:r w:rsidRPr="00CF546D">
        <w:rPr>
          <w:b/>
          <w:bCs/>
          <w:lang w:val="en-US"/>
        </w:rPr>
        <w:t>presented</w:t>
      </w:r>
      <w:r w:rsidRPr="00CF546D">
        <w:rPr>
          <w:rFonts w:ascii="Arial" w:hAnsi="Arial" w:cs="Arial"/>
          <w:b/>
          <w:bCs/>
          <w:lang w:val="en-US"/>
        </w:rPr>
        <w:t> </w:t>
      </w:r>
      <w:r w:rsidRPr="00CF546D">
        <w:rPr>
          <w:b/>
          <w:bCs/>
          <w:lang w:val="en-US"/>
        </w:rPr>
        <w:t>the role of women within national/cultural revivalism.</w:t>
      </w:r>
      <w:r w:rsidRPr="00CF546D">
        <w:rPr>
          <w:b/>
          <w:bCs/>
        </w:rPr>
        <w:t> </w:t>
      </w:r>
    </w:p>
    <w:p w14:paraId="58B3BD77" w14:textId="6DB10E05" w:rsidR="007B51A7" w:rsidRDefault="007B51A7" w:rsidP="006322B3">
      <w:r>
        <w:t>Celtic Revivalism emerged in Ireland and Wales from the late eighteenth century as a way of recovering languages, cultural traditions and histories which had been marginalised by centuries of Anglicisation. Whilst both movements shared an interest in preserving cultural identi</w:t>
      </w:r>
      <w:r w:rsidR="00A03F91">
        <w:t>t</w:t>
      </w:r>
      <w:r>
        <w:t>y, they grew out of</w:t>
      </w:r>
      <w:r w:rsidR="000157AF">
        <w:t xml:space="preserve"> </w:t>
      </w:r>
      <w:r>
        <w:t xml:space="preserve">different political contexts. Irish revivalism was developed and shaped by colonial resistance and increasingly linked to demands for political autonomy. Whereas in Wales, </w:t>
      </w:r>
      <w:r w:rsidR="00D51CD2">
        <w:t>the focus was more specifically attributed to cultural, linguistic and moral reform. The concept of a unified British state had been largely accepted by this point</w:t>
      </w:r>
      <w:r w:rsidR="00522BFE">
        <w:t xml:space="preserve"> in Wales</w:t>
      </w:r>
      <w:r w:rsidR="00D51CD2">
        <w:t>, though the recognised commitment of preserving individual identity was still prominent. These differences have influenced how each nation was perceived both internally and externally and also shaped the expectations of roles women should take within nationalistic projects.</w:t>
      </w:r>
    </w:p>
    <w:p w14:paraId="7F429DEC" w14:textId="26DD5249" w:rsidR="00D51CD2" w:rsidRPr="00D51CD2" w:rsidRDefault="00D51CD2" w:rsidP="00D51CD2">
      <w:r w:rsidRPr="00D51CD2">
        <w:t xml:space="preserve">Across both contexts, revivalist writing was affected by wider social and political pressures, including imperial governance, restricted constitutional power, and prevailing ideas about gender and respectability. Women often appear at the centre of these cultural narratives, yet their presence was frequently limited to symbolic roles. Figures of continuity, tradition, and moral exemplars were valued, but women were rarely encouraged to participate directly in political action. </w:t>
      </w:r>
    </w:p>
    <w:p w14:paraId="39B15BEC" w14:textId="43959ABF" w:rsidR="00D51CD2" w:rsidRPr="00D51CD2" w:rsidRDefault="00D51CD2" w:rsidP="00D51CD2">
      <w:r w:rsidRPr="00D51CD2">
        <w:t xml:space="preserve">This essay will argue that, although Celtic Revivalist authors relied heavily on women to embody and preserve national culture, they often restricted the forms of </w:t>
      </w:r>
      <w:r w:rsidR="007C1A8F" w:rsidRPr="00D51CD2">
        <w:t>action</w:t>
      </w:r>
      <w:r w:rsidRPr="00D51CD2">
        <w:t xml:space="preserve"> that were actually available. Texts such as Sydney Owenson’s </w:t>
      </w:r>
      <w:r w:rsidRPr="00D51CD2">
        <w:rPr>
          <w:i/>
          <w:iCs/>
        </w:rPr>
        <w:t>The Wild Irish Girl</w:t>
      </w:r>
      <w:r w:rsidRPr="00D51CD2">
        <w:t xml:space="preserve"> and Augusta Hall’s </w:t>
      </w:r>
      <w:r w:rsidRPr="00D51CD2">
        <w:rPr>
          <w:i/>
          <w:iCs/>
        </w:rPr>
        <w:t>Advantages Resulting from the Preservation of the Welsh Language, and National Costumes of Wales</w:t>
      </w:r>
      <w:r w:rsidRPr="00D51CD2">
        <w:t xml:space="preserve"> show how women’s contribution was often imagined as cultural</w:t>
      </w:r>
      <w:r w:rsidR="002F45EF">
        <w:t xml:space="preserve"> or</w:t>
      </w:r>
      <w:r w:rsidRPr="00D51CD2">
        <w:t xml:space="preserve"> domestic rather than political. These approaches were shaped not only by nationalist aims but also by the desire to present Celtic identity in ways that seemed respectable and non-threatening within the broader British context.</w:t>
      </w:r>
    </w:p>
    <w:p w14:paraId="56F9B738" w14:textId="77777777" w:rsidR="00576EDF" w:rsidRDefault="00D51CD2" w:rsidP="006322B3">
      <w:r w:rsidRPr="00D51CD2">
        <w:t xml:space="preserve">By considering these symbolic and conservative representations alongside Fanny Parnell’s explicitly activist poem, the essay will suggest that feminist nationalism often developed as a response to the limitations imposed by both revivalist ideology and wider social constraints. Parnell’s call to action </w:t>
      </w:r>
      <w:r w:rsidR="00522BFE">
        <w:t>illustrates</w:t>
      </w:r>
      <w:r w:rsidRPr="00D51CD2">
        <w:t xml:space="preserve"> the tension between cultural revival and political mobilisation, showing how women’s centrality to the nation did not always translate into meaningful political power.</w:t>
      </w:r>
      <w:r w:rsidR="00576EDF" w:rsidRPr="00576EDF">
        <w:t xml:space="preserve"> </w:t>
      </w:r>
    </w:p>
    <w:p w14:paraId="0F750AFC" w14:textId="3220A95C" w:rsidR="002E1B57" w:rsidRPr="002E1B57" w:rsidRDefault="00AF31ED" w:rsidP="002E1B57">
      <w:r w:rsidRPr="00CE6F9E">
        <w:t xml:space="preserve">Sydney Owenson, writing in the early nineteenth century shortly after the Act of Union, was an Anglo-Irish novelist addressing both Irish and British audiences. </w:t>
      </w:r>
      <w:r w:rsidR="00C025FD" w:rsidRPr="00CE6F9E">
        <w:t xml:space="preserve">Her novel </w:t>
      </w:r>
      <w:r w:rsidR="002E1B57" w:rsidRPr="002E1B57">
        <w:rPr>
          <w:i/>
          <w:iCs/>
        </w:rPr>
        <w:t>The Wild Irish Girl</w:t>
      </w:r>
      <w:r w:rsidR="002E1B57" w:rsidRPr="002E1B57">
        <w:t xml:space="preserve"> (1806)</w:t>
      </w:r>
      <w:r w:rsidR="00C025FD" w:rsidRPr="00CE6F9E">
        <w:t xml:space="preserve"> is a cautious form of cultural nationalism that</w:t>
      </w:r>
      <w:r w:rsidR="002E1B57" w:rsidRPr="002E1B57">
        <w:t xml:space="preserve"> shows how women </w:t>
      </w:r>
      <w:r w:rsidR="002E1B57" w:rsidRPr="002E1B57">
        <w:lastRenderedPageBreak/>
        <w:t>were often central to Celtic Revivalist ideas about the nation, but usually in ways that emphasised symbolism and</w:t>
      </w:r>
      <w:r w:rsidR="00637951">
        <w:t xml:space="preserve"> protecting culture, </w:t>
      </w:r>
      <w:r w:rsidR="002E1B57" w:rsidRPr="002E1B57">
        <w:t>rather than direct political action. The novel presents Glorvina, an educated Irish aristocrat,</w:t>
      </w:r>
      <w:r w:rsidR="002B2CA7">
        <w:rPr>
          <w:rStyle w:val="FootnoteReference"/>
        </w:rPr>
        <w:footnoteReference w:id="1"/>
      </w:r>
      <w:r w:rsidR="002E1B57" w:rsidRPr="002E1B57">
        <w:t xml:space="preserve"> as a</w:t>
      </w:r>
      <w:r w:rsidR="00637951">
        <w:t xml:space="preserve"> </w:t>
      </w:r>
      <w:r w:rsidR="002E1B57" w:rsidRPr="002E1B57">
        <w:t>living representation of Ireland. She is morally upright, knowledgeable about Irish history and language, and capable of shaping the male protagonist</w:t>
      </w:r>
      <w:r w:rsidR="00CF2592">
        <w:t>, Horatio’s</w:t>
      </w:r>
      <w:r w:rsidR="002E1B57" w:rsidRPr="002E1B57">
        <w:t xml:space="preserve"> understanding of the nation.</w:t>
      </w:r>
      <w:r w:rsidR="002B2CA7">
        <w:rPr>
          <w:rStyle w:val="FootnoteReference"/>
        </w:rPr>
        <w:footnoteReference w:id="2"/>
      </w:r>
      <w:r w:rsidR="002E1B57" w:rsidRPr="002E1B57">
        <w:t xml:space="preserve"> Yet, while she wields influence, it is largely through education and guidance rather than active political participation. In this sense, Glorvina’s role reflects the limited forms of </w:t>
      </w:r>
      <w:r w:rsidR="009B25A1" w:rsidRPr="002E1B57">
        <w:t>action</w:t>
      </w:r>
      <w:r w:rsidR="002E1B57" w:rsidRPr="002E1B57">
        <w:t xml:space="preserve"> available to women in early Revivalist literature</w:t>
      </w:r>
      <w:r w:rsidR="00820984">
        <w:t>, with passages in which Glorvina is given as a wife whilst being jealously accused of having a</w:t>
      </w:r>
      <w:r w:rsidR="0085559F">
        <w:t>nother man, or “mysterious friend”</w:t>
      </w:r>
      <w:r w:rsidR="00820984">
        <w:t xml:space="preserve"> prior to the union.</w:t>
      </w:r>
      <w:r w:rsidR="002B2CA7">
        <w:rPr>
          <w:rStyle w:val="FootnoteReference"/>
        </w:rPr>
        <w:footnoteReference w:id="3"/>
      </w:r>
      <w:r w:rsidR="00820984">
        <w:t xml:space="preserve"> Thus, questioning  both the purity of Irishness, metaphorically, and Glorvina herself.</w:t>
      </w:r>
    </w:p>
    <w:p w14:paraId="18331428" w14:textId="76101F25" w:rsidR="002E1B57" w:rsidRPr="002E1B57" w:rsidRDefault="002E1B57" w:rsidP="002E1B57">
      <w:r w:rsidRPr="002E1B57">
        <w:t xml:space="preserve">Glorvina also illustrates a common trend in Celtic Revivalism: women as mediators between past and present, tasked with </w:t>
      </w:r>
      <w:r w:rsidR="00820984">
        <w:t xml:space="preserve">the </w:t>
      </w:r>
      <w:r w:rsidRPr="002E1B57">
        <w:t>preserv</w:t>
      </w:r>
      <w:r w:rsidR="00820984">
        <w:t>ation of</w:t>
      </w:r>
      <w:r w:rsidRPr="002E1B57">
        <w:t xml:space="preserve"> cultural knowledge. Her understanding of Irish traditions positions her as someone whose authority rests on maintaining the nation’s identity rather than challenging political authority. Scholars have noted that the nineteenth-century Irish novel frequently personified the nation as female, linking moral and cultural virtue to national identity</w:t>
      </w:r>
      <w:r w:rsidR="00820984">
        <w:t>.</w:t>
      </w:r>
      <w:r w:rsidR="002B2CA7">
        <w:rPr>
          <w:rStyle w:val="FootnoteReference"/>
        </w:rPr>
        <w:footnoteReference w:id="4"/>
      </w:r>
      <w:r w:rsidRPr="002E1B57">
        <w:t xml:space="preserve"> </w:t>
      </w:r>
      <w:r w:rsidR="00820984">
        <w:t>I</w:t>
      </w:r>
      <w:r w:rsidRPr="002E1B57">
        <w:t>n Owenson’s novel, this centrality is clear: women are essential to imagining the nation, but their influence is mostly indirect.</w:t>
      </w:r>
    </w:p>
    <w:p w14:paraId="7956753B" w14:textId="7F440EA5" w:rsidR="00576EDF" w:rsidRPr="002E1B57" w:rsidRDefault="002E1B57" w:rsidP="002E1B57">
      <w:r w:rsidRPr="002E1B57">
        <w:t xml:space="preserve">It is also important to see this in the historical context. The novel was written just a few years after the Act of Union in 1801, which </w:t>
      </w:r>
      <w:r w:rsidR="00576EDF">
        <w:t>fundamentally altered the political landscape by abolishing the Irish parliament and consolidating governance under Westminster.</w:t>
      </w:r>
      <w:r w:rsidR="000D6C53">
        <w:rPr>
          <w:rStyle w:val="FootnoteReference"/>
        </w:rPr>
        <w:footnoteReference w:id="5"/>
      </w:r>
      <w:r w:rsidR="00576EDF">
        <w:t xml:space="preserve"> This loss of legislative autonomy intensified nationalist feeling but also created a climate in which overt political dissent could be dangerous</w:t>
      </w:r>
      <w:r w:rsidRPr="002E1B57">
        <w:t>.</w:t>
      </w:r>
      <w:r w:rsidR="002B2CA7">
        <w:rPr>
          <w:rStyle w:val="FootnoteReference"/>
        </w:rPr>
        <w:footnoteReference w:id="6"/>
      </w:r>
      <w:r w:rsidRPr="002E1B57">
        <w:t xml:space="preserve">  Owenson therefore frames Ireland as culturally rich and morally resilient, but politically cautious. Women’s roles are instructive and socially acceptable, reflecting broader Victorian ideas about gender and the separate spheres that limited women’s public participation</w:t>
      </w:r>
      <w:r w:rsidR="0033486A">
        <w:t>.</w:t>
      </w:r>
      <w:r w:rsidR="002C512A">
        <w:rPr>
          <w:rStyle w:val="FootnoteReference"/>
        </w:rPr>
        <w:footnoteReference w:id="7"/>
      </w:r>
      <w:r w:rsidR="0033486A">
        <w:t xml:space="preserve"> </w:t>
      </w:r>
      <w:r w:rsidRPr="002E1B57">
        <w:t xml:space="preserve">This emphasis on cultural preservation rather than political activism is </w:t>
      </w:r>
      <w:r w:rsidRPr="002E1B57">
        <w:lastRenderedPageBreak/>
        <w:t xml:space="preserve">mirrored in the Welsh context, for instance in the work of Augusta Hall, where women were encouraged to maintain language and tradition without stepping into </w:t>
      </w:r>
      <w:r w:rsidR="0033486A">
        <w:t>directly</w:t>
      </w:r>
      <w:r w:rsidRPr="002E1B57">
        <w:t xml:space="preserve"> political roles</w:t>
      </w:r>
      <w:r w:rsidR="00A766F8">
        <w:t>.</w:t>
      </w:r>
      <w:r w:rsidR="00160915">
        <w:rPr>
          <w:rStyle w:val="FootnoteReference"/>
        </w:rPr>
        <w:footnoteReference w:id="8"/>
      </w:r>
    </w:p>
    <w:p w14:paraId="5905BDB1" w14:textId="14F0D460" w:rsidR="002E1B57" w:rsidRPr="002E1B57" w:rsidRDefault="0085559F" w:rsidP="002E1B57">
      <w:r>
        <w:t>Within</w:t>
      </w:r>
      <w:r w:rsidR="002E1B57" w:rsidRPr="002E1B57">
        <w:t xml:space="preserve"> these constraints, Glorvina demonstrates a </w:t>
      </w:r>
      <w:r w:rsidR="00BD3D70">
        <w:t>subtle</w:t>
      </w:r>
      <w:r w:rsidR="00BE03F7">
        <w:t xml:space="preserve"> p</w:t>
      </w:r>
      <w:r w:rsidR="002E1B57" w:rsidRPr="002E1B57">
        <w:t xml:space="preserve">ower. Through her instruction, she shapes </w:t>
      </w:r>
      <w:r w:rsidR="00CF2592">
        <w:t>Horatio</w:t>
      </w:r>
      <w:r w:rsidR="002E1B57" w:rsidRPr="002E1B57">
        <w:t xml:space="preserve">’s understanding of Ireland and its traditions. While this influence falls short of the explicit political activism later called for by Fanny Parnell, it does suggest that cultural labour could pave the way for women’s more direct involvement in nationalist projects. In this way, the novel hints at the tension between women’s cultural centrality and their restricted political </w:t>
      </w:r>
      <w:r w:rsidR="00A766F8">
        <w:t>activity</w:t>
      </w:r>
      <w:r w:rsidR="002E1B57" w:rsidRPr="002E1B57">
        <w:t>, a tension that would remain in Irish nationalist discourse.</w:t>
      </w:r>
    </w:p>
    <w:p w14:paraId="4C4B0B89" w14:textId="503C02DA" w:rsidR="002E1B57" w:rsidRDefault="002E1B57" w:rsidP="002E1B57">
      <w:r w:rsidRPr="002E1B57">
        <w:t xml:space="preserve">Overall, </w:t>
      </w:r>
      <w:r w:rsidRPr="002E1B57">
        <w:rPr>
          <w:i/>
          <w:iCs/>
        </w:rPr>
        <w:t>The Wild Irish Girl</w:t>
      </w:r>
      <w:r w:rsidRPr="002E1B57">
        <w:t xml:space="preserve"> highlights both the importance and the limitations of women in early Celtic Revivalism. Women were essential as cultural mediators and symbols of the nation, but their practical influence was </w:t>
      </w:r>
      <w:r w:rsidR="00A766F8" w:rsidRPr="002E1B57">
        <w:t>constrained</w:t>
      </w:r>
      <w:r w:rsidRPr="002E1B57">
        <w:t xml:space="preserve"> by social norms and imperial pressures. The novel shows how cultural authority could coexist with restricted political agency, setting the stage for later figures, like Fanny Parnell, who would challenge these limits and call for women’s direct involvement in nationalist action</w:t>
      </w:r>
      <w:r w:rsidR="002B63C1">
        <w:t>.</w:t>
      </w:r>
    </w:p>
    <w:p w14:paraId="0FAFFCD5" w14:textId="79A0FA88" w:rsidR="002E1B57" w:rsidRPr="002E1B57" w:rsidRDefault="002E1B57" w:rsidP="002E1B57">
      <w:r w:rsidRPr="002E1B57">
        <w:t xml:space="preserve">In Wales, Augusta Hall, Lady </w:t>
      </w:r>
      <w:r w:rsidRPr="002603A7">
        <w:t>Llanover,</w:t>
      </w:r>
      <w:r w:rsidR="00C025FD" w:rsidRPr="002603A7">
        <w:t xml:space="preserve"> writing within the Welsh gentry,</w:t>
      </w:r>
      <w:r w:rsidRPr="002603A7">
        <w:t xml:space="preserve"> provides</w:t>
      </w:r>
      <w:r w:rsidRPr="002E1B57">
        <w:t xml:space="preserve"> a clear example of how women were central to the </w:t>
      </w:r>
      <w:r w:rsidR="00637951" w:rsidRPr="002E1B57">
        <w:t>continuation</w:t>
      </w:r>
      <w:r w:rsidRPr="002E1B57">
        <w:t xml:space="preserve"> of national culture within Celtic Revivalism, while their roles remained largely symbolic and socially constrained. Her work, </w:t>
      </w:r>
      <w:r w:rsidRPr="002E1B57">
        <w:rPr>
          <w:i/>
          <w:iCs/>
        </w:rPr>
        <w:t>Advantages Resulting from the Preservation of the Welsh Language, and National Costumes of Wales</w:t>
      </w:r>
      <w:r w:rsidRPr="002E1B57">
        <w:t xml:space="preserve"> (1834), emphasises the importance of maintaining the Welsh language, music, and traditional dress. Hall presents women as the primary transmitters of these traditions, encouraging them to uphold cultural identity through socially approved activities</w:t>
      </w:r>
      <w:r w:rsidR="006C622E">
        <w:t>.</w:t>
      </w:r>
      <w:r w:rsidR="00D27C4D">
        <w:rPr>
          <w:rStyle w:val="FootnoteReference"/>
        </w:rPr>
        <w:footnoteReference w:id="9"/>
      </w:r>
    </w:p>
    <w:p w14:paraId="6D8331AC" w14:textId="48A99125" w:rsidR="002E1B57" w:rsidRPr="002E1B57" w:rsidRDefault="005D5A42" w:rsidP="002E1B57">
      <w:r w:rsidRPr="005D5A42">
        <w:t>The contributions of women within Welsh revivalism were often framed as domestic</w:t>
      </w:r>
      <w:r w:rsidR="002E1B57" w:rsidRPr="002E1B57">
        <w:t>, reinforcing the nation’s traditions and values without directly challenging British authority.</w:t>
      </w:r>
      <w:r w:rsidR="00D45D91">
        <w:rPr>
          <w:rStyle w:val="FootnoteReference"/>
        </w:rPr>
        <w:footnoteReference w:id="10"/>
      </w:r>
      <w:r w:rsidR="002E1B57" w:rsidRPr="002E1B57">
        <w:t xml:space="preserve"> This aligns with Victorian ideas of separate spheres, which confined women to private and cultural domains and limited their public or political participation. By linking women to the preservation of language, music, and costume, Hall ensured that Welsh identity could be maintained in ways that were socially acceptable and non-threatening, even under the pressures of an expanding British imperial state</w:t>
      </w:r>
      <w:r w:rsidR="00DF1A0D">
        <w:t>.</w:t>
      </w:r>
      <w:r w:rsidR="009C507E">
        <w:rPr>
          <w:rStyle w:val="FootnoteReference"/>
        </w:rPr>
        <w:footnoteReference w:id="11"/>
      </w:r>
    </w:p>
    <w:p w14:paraId="1BE185F3" w14:textId="6866609A" w:rsidR="002E1B57" w:rsidRDefault="002E1B57" w:rsidP="002E1B57">
      <w:r w:rsidRPr="002E1B57">
        <w:lastRenderedPageBreak/>
        <w:t>Despite these limitations, Hall’s work demonstrates that women could have a meaningful impact on national identity. By documenting language, music, and costume, she helped establish tangible markers of Welsh culture that could be celebrated and transmitted across generations. In this sense, women’s labour was essential to the survival of national culture, even if it did not translate into political power or direct activism. Hall’s emphasis on cultural preservation mirrors the broader strategy of many Revivalist movements: maintaining a visible and morally upright Celtic identity while avoiding direct confrontation with British authority.</w:t>
      </w:r>
      <w:r w:rsidR="00BA0B2F">
        <w:rPr>
          <w:rStyle w:val="FootnoteReference"/>
        </w:rPr>
        <w:footnoteReference w:id="12"/>
      </w:r>
    </w:p>
    <w:p w14:paraId="4969530E" w14:textId="77777777" w:rsidR="005D5A42" w:rsidRDefault="00DB53E9" w:rsidP="002E1B57">
      <w:r>
        <w:t>E</w:t>
      </w:r>
      <w:r w:rsidRPr="0028379D">
        <w:t xml:space="preserve">mphasis on civility and traditional customs can </w:t>
      </w:r>
      <w:r>
        <w:t xml:space="preserve">also </w:t>
      </w:r>
      <w:r w:rsidRPr="0028379D">
        <w:t xml:space="preserve">be understood as operating in opposition to hostile English literary representations of the Welsh circulating in the nineteenth century. </w:t>
      </w:r>
      <w:r w:rsidRPr="00E4477F">
        <w:t xml:space="preserve">As Jane Aaron demonstrates, writers such as Rhoda Broughton depicted Wales and the Welsh as culturally backward, linguistically unpleasant, and morally suspect, often portraying Welsh communities as drunken, unintelligent, and unworthy of serious attention. These representations were popular with English audiences and reinforced a view of Welsh identity as inferior or embarrassing. Hall’s </w:t>
      </w:r>
      <w:r w:rsidRPr="00E4477F">
        <w:rPr>
          <w:i/>
          <w:iCs/>
        </w:rPr>
        <w:t>Advantages Resulting from the Preservation of the Welsh Language, and National Costumes of Wales</w:t>
      </w:r>
      <w:r w:rsidRPr="00E4477F">
        <w:t xml:space="preserve"> responds to this cultural climate by asserting the dignity and refinement of Welsh tradition, particularly through the figure of the Welsh woman.</w:t>
      </w:r>
      <w:r w:rsidR="00591092" w:rsidRPr="00E4477F">
        <w:rPr>
          <w:rStyle w:val="FootnoteReference"/>
        </w:rPr>
        <w:footnoteReference w:id="13"/>
      </w:r>
      <w:r w:rsidRPr="00E4477F">
        <w:t xml:space="preserve"> This</w:t>
      </w:r>
      <w:r>
        <w:t xml:space="preserve"> narrative directly counters opposing literature</w:t>
      </w:r>
      <w:r w:rsidRPr="0028379D">
        <w:t xml:space="preserve"> that sought to marginalise or ridicule it. In this sense, Hall’s appeal to tradition is </w:t>
      </w:r>
      <w:r w:rsidR="005D5A42" w:rsidRPr="005D5A42">
        <w:t>not simply nostalgic, but a defensive cultural strategy developed in response to hostile English literary representations.</w:t>
      </w:r>
    </w:p>
    <w:p w14:paraId="3B1FDED7" w14:textId="30084C71" w:rsidR="002E1B57" w:rsidRDefault="002E1B57" w:rsidP="002E1B57">
      <w:r w:rsidRPr="002E1B57">
        <w:t xml:space="preserve">Looking across the Irish and Welsh contexts, it becomes clear that women in Celtic Revivalism were simultaneously central and constrained. In texts like Owenson’s </w:t>
      </w:r>
      <w:r w:rsidRPr="002E1B57">
        <w:rPr>
          <w:i/>
          <w:iCs/>
        </w:rPr>
        <w:t>The Wild Irish Girl</w:t>
      </w:r>
      <w:r w:rsidRPr="002E1B57">
        <w:t xml:space="preserve"> and Hall’s work on Welsh language and costume, women are depicted as </w:t>
      </w:r>
      <w:r w:rsidR="000D6C53">
        <w:t>crucial</w:t>
      </w:r>
      <w:r w:rsidR="00637951">
        <w:t xml:space="preserve"> for the preservation</w:t>
      </w:r>
      <w:r w:rsidRPr="002E1B57">
        <w:t xml:space="preserve"> of culture, responsible for preserving language, history, and moral values. Their roles are essential to the survival of national identity, yet these contributions are largely confined to socially acceptable spheres. Cultural authority was granted, but political power was not. </w:t>
      </w:r>
      <w:r w:rsidR="000D6C53" w:rsidRPr="000D6C53">
        <w:t>This pattern reflects a range of broader pressures, from Victorian ideas of gendered spheres to the limitations imposed by British imperial authority</w:t>
      </w:r>
      <w:r w:rsidRPr="002E1B57">
        <w:t>, and, in the Irish case, the political tensions following the Act of Union of 1801</w:t>
      </w:r>
      <w:r w:rsidR="00061503">
        <w:t>.</w:t>
      </w:r>
      <w:r w:rsidR="003903A8">
        <w:rPr>
          <w:rStyle w:val="FootnoteReference"/>
        </w:rPr>
        <w:footnoteReference w:id="14"/>
      </w:r>
      <w:r w:rsidRPr="002E1B57">
        <w:t xml:space="preserve"> </w:t>
      </w:r>
    </w:p>
    <w:p w14:paraId="0F3AD96A" w14:textId="4ADD313F" w:rsidR="002E1B57" w:rsidRDefault="002E1B57" w:rsidP="002E1B57">
      <w:r w:rsidRPr="002E1B57">
        <w:t xml:space="preserve">Fanny Parnell’s </w:t>
      </w:r>
      <w:r w:rsidRPr="002E1B57">
        <w:rPr>
          <w:i/>
          <w:iCs/>
        </w:rPr>
        <w:t xml:space="preserve">To </w:t>
      </w:r>
      <w:r w:rsidR="005D5A42">
        <w:rPr>
          <w:i/>
          <w:iCs/>
        </w:rPr>
        <w:t>m</w:t>
      </w:r>
      <w:r w:rsidRPr="002E1B57">
        <w:rPr>
          <w:i/>
          <w:iCs/>
        </w:rPr>
        <w:t>y Fellow Women</w:t>
      </w:r>
      <w:r w:rsidRPr="002E1B57">
        <w:t xml:space="preserve"> offers a sharp contrast to these more restrained representations. </w:t>
      </w:r>
      <w:r w:rsidR="001A0D37">
        <w:t>Her</w:t>
      </w:r>
      <w:r w:rsidR="001A0D37" w:rsidRPr="00A03F91">
        <w:t xml:space="preserve"> statement that this was “no time / For babbling or sitting still,” especially as republished in Irish nationalist feminist newspapers,</w:t>
      </w:r>
      <w:r w:rsidR="00CB44CB">
        <w:rPr>
          <w:rStyle w:val="FootnoteReference"/>
        </w:rPr>
        <w:footnoteReference w:id="15"/>
      </w:r>
      <w:r w:rsidR="001A0D37">
        <w:t xml:space="preserve"> </w:t>
      </w:r>
      <w:r w:rsidRPr="002E1B57">
        <w:t>call</w:t>
      </w:r>
      <w:r w:rsidR="001A0D37">
        <w:t>s</w:t>
      </w:r>
      <w:r w:rsidRPr="002E1B57">
        <w:t xml:space="preserve"> for women to take direct, active roles in nationalist struggle </w:t>
      </w:r>
      <w:r w:rsidR="001A0D37">
        <w:t xml:space="preserve">and </w:t>
      </w:r>
      <w:r w:rsidRPr="002E1B57">
        <w:t xml:space="preserve">challenges the symbolic and </w:t>
      </w:r>
      <w:r w:rsidRPr="002E1B57">
        <w:lastRenderedPageBreak/>
        <w:t>domestic model exemplified by Glorvina or Hall. Parnell rejects the idea that women should remain solely cultural figures, insisting instead that their political engagement is both necessary and urgent. In doing so, she exposes the tension at the heart of Celtic Revivalism: while women were indispensable to the cultural imagination of the nation, the Revival itself often sought to contain that influence within moral or educational boundaries</w:t>
      </w:r>
      <w:r w:rsidR="00CF2592">
        <w:t>.</w:t>
      </w:r>
    </w:p>
    <w:p w14:paraId="0A7458CE" w14:textId="5E7CF2D7" w:rsidR="005A16F9" w:rsidRDefault="005A16F9" w:rsidP="002E1B57">
      <w:r w:rsidRPr="000259F4">
        <w:t xml:space="preserve">Fanny Parnell’s insistence on urgency and action in </w:t>
      </w:r>
      <w:r w:rsidR="0028379D">
        <w:t>“</w:t>
      </w:r>
      <w:r w:rsidRPr="000259F4">
        <w:rPr>
          <w:i/>
          <w:iCs/>
        </w:rPr>
        <w:t xml:space="preserve">To </w:t>
      </w:r>
      <w:r w:rsidR="005D5A42">
        <w:rPr>
          <w:i/>
          <w:iCs/>
        </w:rPr>
        <w:t>m</w:t>
      </w:r>
      <w:r w:rsidRPr="000259F4">
        <w:rPr>
          <w:i/>
          <w:iCs/>
        </w:rPr>
        <w:t>y Fellow Women</w:t>
      </w:r>
      <w:r w:rsidR="0028379D">
        <w:rPr>
          <w:i/>
          <w:iCs/>
        </w:rPr>
        <w:t>”</w:t>
      </w:r>
      <w:r w:rsidRPr="000259F4">
        <w:t xml:space="preserve"> is closely connected to her personal and familial involvement in Irish nationalist activism. As the sister of Charles Stewart Parnell, a central figure in the Home Rule movement, she was raised in an environment where political struggle against British rule was both immediate and unavoidable. However, while her brother pursued constitutional reform through parliamentary politics, Fanny Parnell was more closely aligned with radical nationalist networks, including the Land League and Irish-American nationalist circles, which emphasised collective action and resistance.</w:t>
      </w:r>
      <w:r w:rsidR="005C5662">
        <w:rPr>
          <w:rStyle w:val="FootnoteReference"/>
        </w:rPr>
        <w:footnoteReference w:id="16"/>
      </w:r>
      <w:r w:rsidRPr="000259F4">
        <w:t xml:space="preserve"> This background helps explain the forceful tone of her poem and her rejection of passive roles for women. The poem’s later republication in </w:t>
      </w:r>
      <w:r w:rsidRPr="000259F4">
        <w:rPr>
          <w:i/>
          <w:iCs/>
        </w:rPr>
        <w:t>Bean na hÉireann</w:t>
      </w:r>
      <w:r w:rsidRPr="000259F4">
        <w:t xml:space="preserve"> in 1909 reinforces this activist nature, situating Parnell’s words within a feminist nationalist context that explicitly encouraged women’s political engagement rather than cultural support alone. In this setting, the line “no time / For babbling or sitting still” functions not merely as rhetoric but as a practical demand shaped by lived political experience. </w:t>
      </w:r>
      <w:r w:rsidR="008D0A53">
        <w:t>W</w:t>
      </w:r>
      <w:r w:rsidRPr="000259F4">
        <w:t>omen involved in nationalist movements often became frustrated with cultural nationalism that celebrated female symbolism while excluding women from decision-making and action</w:t>
      </w:r>
      <w:r w:rsidR="000157AF">
        <w:t xml:space="preserve">. </w:t>
      </w:r>
      <w:r w:rsidRPr="000259F4">
        <w:t xml:space="preserve">Parnell’s poem, informed by both family influence and direct activism, therefore represents a decisive challenge to earlier Revivalist models, transforming women from moral </w:t>
      </w:r>
      <w:r w:rsidR="00C025FD">
        <w:t>custodians</w:t>
      </w:r>
      <w:r w:rsidRPr="000259F4">
        <w:t xml:space="preserve"> of the nation into political actors within it.</w:t>
      </w:r>
    </w:p>
    <w:p w14:paraId="595217F4" w14:textId="29E84CEC" w:rsidR="00BB317C" w:rsidRDefault="00BB317C" w:rsidP="002E1B57">
      <w:r w:rsidRPr="00BB317C">
        <w:t xml:space="preserve">In its republication in </w:t>
      </w:r>
      <w:r w:rsidRPr="00BB317C">
        <w:rPr>
          <w:i/>
          <w:iCs/>
        </w:rPr>
        <w:t>Bean na hÉireann</w:t>
      </w:r>
      <w:r w:rsidRPr="00BB317C">
        <w:t xml:space="preserve"> in February 1909, Fanny Parnell’s </w:t>
      </w:r>
      <w:r w:rsidRPr="00BB317C">
        <w:rPr>
          <w:i/>
          <w:iCs/>
        </w:rPr>
        <w:t xml:space="preserve">To </w:t>
      </w:r>
      <w:r w:rsidR="005D5A42">
        <w:rPr>
          <w:i/>
          <w:iCs/>
        </w:rPr>
        <w:t>m</w:t>
      </w:r>
      <w:r w:rsidRPr="00BB317C">
        <w:rPr>
          <w:i/>
          <w:iCs/>
        </w:rPr>
        <w:t>y Fellow Women</w:t>
      </w:r>
      <w:r w:rsidRPr="00BB317C">
        <w:t xml:space="preserve"> is framed not as a historical curiosity but as a continuing political demand. The poem’s language is deliberately plain and forceful. The opening address, “Oh Women of Ireland,” establishes a collective audience, while the declaration that this is “no time / For babbling or sitting still” rejects both passive speech and inaction. In the context of </w:t>
      </w:r>
      <w:r w:rsidRPr="00BB317C">
        <w:rPr>
          <w:i/>
          <w:iCs/>
        </w:rPr>
        <w:t>Bean na hÉireann</w:t>
      </w:r>
      <w:r w:rsidRPr="00BB317C">
        <w:t xml:space="preserve">, a newspaper explicitly committed to nationalist and feminist causes, these phrases take on a sharper meaning. “Babbling” can be read as a dismissal of the limited, socially acceptable forms of female expression that dominated earlier revivalist writing, where women were encouraged to speak as moral or cultural authorities but not as political actors. Likewise, “sitting still” evokes the expectation that women should remain spectators to nationalist struggle rather than participants. The poem’s inclusion in </w:t>
      </w:r>
      <w:r w:rsidRPr="00BB317C">
        <w:rPr>
          <w:i/>
          <w:iCs/>
        </w:rPr>
        <w:t>Bean na hÉireann</w:t>
      </w:r>
      <w:r w:rsidRPr="00BB317C">
        <w:t xml:space="preserve"> reinforces this challenge by placing Parnell’s words alongside </w:t>
      </w:r>
      <w:r w:rsidRPr="00BB317C">
        <w:lastRenderedPageBreak/>
        <w:t xml:space="preserve">articles that promoted women’s education, labour, and political engagement, transforming the poem into a call for contemporary mobilisation rather than symbolic inspiration. In this setting, Parnell’s language actively dismantles the cultural model seen in earlier Revivalist texts such as Owenson’s </w:t>
      </w:r>
      <w:r w:rsidRPr="00BB317C">
        <w:rPr>
          <w:i/>
          <w:iCs/>
        </w:rPr>
        <w:t>The Wild Irish Girl</w:t>
      </w:r>
      <w:r w:rsidRPr="00BB317C">
        <w:t xml:space="preserve"> or Hall’s work on Welsh culture, where women’s influence was mediated through respectability and tradition. Instead, the poem insists that women’s role in national revival must be immediate, collective, and political, exposing the limitations of cultural nationalism that relied on women’s symbolism while denying them agency</w:t>
      </w:r>
      <w:r w:rsidR="000259F4">
        <w:t>.</w:t>
      </w:r>
      <w:r w:rsidR="00456DF9">
        <w:rPr>
          <w:rStyle w:val="FootnoteReference"/>
        </w:rPr>
        <w:footnoteReference w:id="17"/>
      </w:r>
    </w:p>
    <w:p w14:paraId="38008B79" w14:textId="344250D6" w:rsidR="00CF546D" w:rsidRPr="000157AF" w:rsidRDefault="0085559F" w:rsidP="006322B3">
      <w:r>
        <w:t>T</w:t>
      </w:r>
      <w:r w:rsidR="002E1B57" w:rsidRPr="002E1B57">
        <w:t xml:space="preserve">hese examples reveal that Celtic Revivalist texts both relied on and restricted women’s roles. Women were imagined as indispensable to the nation, </w:t>
      </w:r>
      <w:r w:rsidR="000D6C53" w:rsidRPr="000D6C53">
        <w:t>yet the forms their participation could take were heavily mediated by social pressures and expectations</w:t>
      </w:r>
      <w:r w:rsidR="002E1B57" w:rsidRPr="002E1B57">
        <w:t xml:space="preserve">. The tension between symbolic cultural authority and </w:t>
      </w:r>
      <w:r w:rsidR="007C1A8F">
        <w:t>political activism</w:t>
      </w:r>
      <w:r w:rsidR="002E1B57" w:rsidRPr="002E1B57">
        <w:t xml:space="preserve"> is central to understanding the gendered dynamics of the Revival, and it is precisely this tension that Parnell’s poetry makes visible and challenges.</w:t>
      </w:r>
    </w:p>
    <w:p w14:paraId="4DB604FB" w14:textId="60F3CCD1" w:rsidR="002E1B57" w:rsidRPr="002E1B57" w:rsidRDefault="002E1B57" w:rsidP="002E1B57">
      <w:r w:rsidRPr="002E1B57">
        <w:t xml:space="preserve">Across Ireland and Wales, Celtic Revivalism consistently placed women at the heart of national identity, yet their roles were shaped and constrained by social, cultural, and political pressures. In texts like Owenson’s </w:t>
      </w:r>
      <w:r w:rsidRPr="002E1B57">
        <w:rPr>
          <w:i/>
          <w:iCs/>
        </w:rPr>
        <w:t>The Wild Irish Girl</w:t>
      </w:r>
      <w:r w:rsidRPr="002E1B57">
        <w:t xml:space="preserve"> and Hall’s work on Welsh language and costume, women are </w:t>
      </w:r>
      <w:r w:rsidR="00637951">
        <w:t>pivotal for the preservation of national identity</w:t>
      </w:r>
      <w:r w:rsidRPr="002E1B57">
        <w:t xml:space="preserve">. However, their influence was largely indirect, and </w:t>
      </w:r>
      <w:r w:rsidR="007C1A8F" w:rsidRPr="002E1B57">
        <w:t>restricted</w:t>
      </w:r>
      <w:r w:rsidRPr="002E1B57">
        <w:t xml:space="preserve"> to morally or socially approved spheres. The historical context, such as the Act of Union in Ireland, British imperial authority, and Victorian gender norms, helped shape these limitations, reinforcing a vision of women as essential to the nation’s imagination but not its formal political life</w:t>
      </w:r>
      <w:r w:rsidR="000157AF">
        <w:t>.</w:t>
      </w:r>
    </w:p>
    <w:p w14:paraId="5AE9EB52" w14:textId="3B796C4E" w:rsidR="002E1B57" w:rsidRPr="002E1B57" w:rsidRDefault="002E1B57" w:rsidP="002E1B57">
      <w:r w:rsidRPr="002E1B57">
        <w:t xml:space="preserve">Fanny Parnell’s </w:t>
      </w:r>
      <w:r w:rsidRPr="002E1B57">
        <w:rPr>
          <w:i/>
          <w:iCs/>
        </w:rPr>
        <w:t xml:space="preserve">To </w:t>
      </w:r>
      <w:r w:rsidR="005D5A42">
        <w:rPr>
          <w:i/>
          <w:iCs/>
        </w:rPr>
        <w:t>m</w:t>
      </w:r>
      <w:r w:rsidRPr="002E1B57">
        <w:rPr>
          <w:i/>
          <w:iCs/>
        </w:rPr>
        <w:t>y Fellow Women</w:t>
      </w:r>
      <w:r w:rsidRPr="002E1B57">
        <w:t xml:space="preserve"> represents a crucial shift. By urging women to take direct action in nationalist struggle, she challenges the symbolic model of female centrality and exposes the tensions inherent in Celtic Revivalism. Parnell’s call demonstrates that women’s authority could be transformed into political agency, suggesting that the Revivalist reliance on women as custodians of identity could be a foundation for feminist nationalism.</w:t>
      </w:r>
    </w:p>
    <w:p w14:paraId="5AF59655" w14:textId="01645DDC" w:rsidR="002E1B57" w:rsidRDefault="002E1B57" w:rsidP="002E1B57">
      <w:r w:rsidRPr="002E1B57">
        <w:t>Comparing Irish and Welsh contexts highlights how the nature of women’s roles was not uniform. In Ireland, colonial pressures and political tension created conditions where women’s influence could extend into moral guidance but rarely into formal activism. In Wales, cultural and linguistic preservation dominated the Revival, emphasizing respectability and continuity rather than direct political engagement. Yet in both cases, women were indispensable to sustaining the nation’s identity, whether through symbolic representation, cultural labour, or the transmission of tradition</w:t>
      </w:r>
      <w:r w:rsidR="000157AF">
        <w:t>.</w:t>
      </w:r>
    </w:p>
    <w:p w14:paraId="53C76E3C" w14:textId="2A0DEABE" w:rsidR="006322B3" w:rsidRPr="00342201" w:rsidRDefault="002E1B57">
      <w:r w:rsidRPr="002E1B57">
        <w:lastRenderedPageBreak/>
        <w:t>Celtic Revivalist texts reveal a gendered</w:t>
      </w:r>
      <w:r w:rsidR="002F45EF">
        <w:t xml:space="preserve"> and growing</w:t>
      </w:r>
      <w:r w:rsidRPr="002E1B57">
        <w:t xml:space="preserve"> tension. Women were imagined as central to the nation, yet their participation was </w:t>
      </w:r>
      <w:r w:rsidR="002F45EF" w:rsidRPr="002E1B57">
        <w:t>restricted</w:t>
      </w:r>
      <w:r w:rsidRPr="002E1B57">
        <w:t xml:space="preserve"> by social, cultural, and political constraints. The contrast between the symbolic roles in Owenson and Hall and the activist model in Parnell highlights the uneven ways in which women’s importance was translated into </w:t>
      </w:r>
      <w:r w:rsidR="002F45EF">
        <w:t>action</w:t>
      </w:r>
      <w:r w:rsidRPr="002E1B57">
        <w:t>. By examining these texts together, it becomes clear that women were not only essential to cultural revival but also positioned as agents of change, with the potential to challenge the limits imposed upon them. This tension between symbolic presence and political action lies at the heart of understanding women’s role in the Celtic Revival.</w:t>
      </w:r>
      <w:r w:rsidR="00522BFE">
        <w:br/>
      </w:r>
      <w:r w:rsidR="00522BFE">
        <w:br/>
      </w:r>
      <w:r w:rsidR="00342201" w:rsidRPr="00342201">
        <w:rPr>
          <w:b/>
          <w:bCs/>
          <w:i/>
          <w:iCs/>
        </w:rPr>
        <w:t>Bibliography:</w:t>
      </w:r>
    </w:p>
    <w:p w14:paraId="4290CCCA" w14:textId="77777777" w:rsidR="00342201" w:rsidRPr="00355080" w:rsidRDefault="00342201" w:rsidP="00342201">
      <w:pPr>
        <w:pStyle w:val="FootnoteText"/>
        <w:spacing w:after="240"/>
        <w:ind w:left="720" w:hanging="720"/>
        <w:rPr>
          <w:sz w:val="24"/>
          <w:szCs w:val="24"/>
        </w:rPr>
      </w:pPr>
      <w:r w:rsidRPr="00355080">
        <w:rPr>
          <w:sz w:val="24"/>
          <w:szCs w:val="24"/>
        </w:rPr>
        <w:t>Aaron, Jane</w:t>
      </w:r>
      <w:r>
        <w:rPr>
          <w:sz w:val="24"/>
          <w:szCs w:val="24"/>
        </w:rPr>
        <w:t>,</w:t>
      </w:r>
      <w:r w:rsidRPr="00355080">
        <w:rPr>
          <w:sz w:val="24"/>
          <w:szCs w:val="24"/>
        </w:rPr>
        <w:t xml:space="preserve"> </w:t>
      </w:r>
      <w:r w:rsidRPr="00355080">
        <w:rPr>
          <w:i/>
          <w:iCs/>
          <w:sz w:val="24"/>
          <w:szCs w:val="24"/>
        </w:rPr>
        <w:t>Nineteenth-Century Women’s Writing in Wales: Nation, Gender and Identity</w:t>
      </w:r>
      <w:r w:rsidRPr="00355080">
        <w:rPr>
          <w:sz w:val="24"/>
          <w:szCs w:val="24"/>
        </w:rPr>
        <w:t xml:space="preserve"> (Cardiff: University of Wales Press, 2007</w:t>
      </w:r>
      <w:r>
        <w:rPr>
          <w:sz w:val="24"/>
          <w:szCs w:val="24"/>
        </w:rPr>
        <w:t>)</w:t>
      </w:r>
    </w:p>
    <w:p w14:paraId="16880E5C" w14:textId="77777777" w:rsidR="00342201" w:rsidRPr="00355080" w:rsidRDefault="00342201" w:rsidP="00342201">
      <w:pPr>
        <w:pStyle w:val="FootnoteText"/>
        <w:spacing w:after="240"/>
        <w:ind w:left="720" w:hanging="720"/>
        <w:rPr>
          <w:sz w:val="24"/>
          <w:szCs w:val="24"/>
        </w:rPr>
      </w:pPr>
      <w:r w:rsidRPr="00355080">
        <w:rPr>
          <w:sz w:val="24"/>
          <w:szCs w:val="24"/>
        </w:rPr>
        <w:t>Abrams, Lynn</w:t>
      </w:r>
      <w:r>
        <w:rPr>
          <w:sz w:val="24"/>
          <w:szCs w:val="24"/>
        </w:rPr>
        <w:t>,</w:t>
      </w:r>
      <w:r w:rsidRPr="00355080">
        <w:rPr>
          <w:sz w:val="24"/>
          <w:szCs w:val="24"/>
        </w:rPr>
        <w:t xml:space="preserve"> </w:t>
      </w:r>
      <w:r w:rsidRPr="00355080">
        <w:rPr>
          <w:i/>
          <w:iCs/>
          <w:sz w:val="24"/>
          <w:szCs w:val="24"/>
        </w:rPr>
        <w:t>Ideals of Womanhood in Victorian Britain</w:t>
      </w:r>
      <w:r w:rsidRPr="00355080">
        <w:rPr>
          <w:sz w:val="24"/>
          <w:szCs w:val="24"/>
        </w:rPr>
        <w:t xml:space="preserve"> (2001) &lt;https://www.bbc.co.uk/history/trail/victorian_britain/women_home/ideals_womanhood_01.shtml&gt; [accessed 03 January 2026]</w:t>
      </w:r>
    </w:p>
    <w:p w14:paraId="4A2B2720" w14:textId="77777777" w:rsidR="000157AF" w:rsidRPr="00D35336" w:rsidRDefault="000157AF" w:rsidP="000157AF">
      <w:pPr>
        <w:ind w:left="720" w:hanging="720"/>
      </w:pPr>
      <w:r w:rsidRPr="00D35336">
        <w:t xml:space="preserve">Amgueddfa Cymru, </w:t>
      </w:r>
      <w:r w:rsidRPr="00D35336">
        <w:rPr>
          <w:i/>
          <w:iCs/>
        </w:rPr>
        <w:t xml:space="preserve">History of the Welsh Eisteddfod </w:t>
      </w:r>
      <w:r w:rsidRPr="00D35336">
        <w:t xml:space="preserve"> &lt;https://museum.wales/curatorial/social-cultural-history/online-collections/what-is-the-eisteddfod/&gt; [accessed 24 November 2025]</w:t>
      </w:r>
    </w:p>
    <w:p w14:paraId="5EEFDC10" w14:textId="77777777" w:rsidR="00342201" w:rsidRDefault="00342201" w:rsidP="00342201">
      <w:pPr>
        <w:ind w:left="720" w:hanging="720"/>
      </w:pPr>
      <w:r>
        <w:t xml:space="preserve">Brooks, Simon, </w:t>
      </w:r>
      <w:r>
        <w:rPr>
          <w:i/>
          <w:iCs/>
        </w:rPr>
        <w:t>Why Wales Never Was: The Failure of Welsh Nationalism</w:t>
      </w:r>
      <w:r>
        <w:t xml:space="preserve"> (Cardiff: University of Wales Press, 2017)</w:t>
      </w:r>
    </w:p>
    <w:p w14:paraId="64500F95" w14:textId="77777777" w:rsidR="000157AF" w:rsidRPr="00D35336" w:rsidRDefault="000157AF" w:rsidP="000157AF">
      <w:pPr>
        <w:ind w:left="720" w:hanging="720"/>
      </w:pPr>
      <w:r w:rsidRPr="00D35336">
        <w:t xml:space="preserve">Freeman, Michael, ‘Lady Llanover and the Welsh Costume Prints’, </w:t>
      </w:r>
      <w:r w:rsidRPr="00D35336">
        <w:rPr>
          <w:i/>
          <w:iCs/>
        </w:rPr>
        <w:t>The National Library of Wales Journal</w:t>
      </w:r>
      <w:r w:rsidRPr="00D35336">
        <w:t>, 34.2 (2007) pp. 235-252 &lt;https://doi.org/0011-4421&gt;</w:t>
      </w:r>
    </w:p>
    <w:p w14:paraId="2BF58439" w14:textId="77777777" w:rsidR="00342201" w:rsidRDefault="00342201" w:rsidP="00342201">
      <w:pPr>
        <w:ind w:left="720" w:hanging="720"/>
      </w:pPr>
      <w:r>
        <w:t xml:space="preserve">Garrigan Mattar, Sinéad, ‘Lady Gregory: The Primitive Picturesque’, </w:t>
      </w:r>
      <w:r>
        <w:rPr>
          <w:i/>
          <w:iCs/>
        </w:rPr>
        <w:t>Primitivism, Science, and the Irish Revival</w:t>
      </w:r>
      <w:r>
        <w:t xml:space="preserve"> (2004) &lt;</w:t>
      </w:r>
      <w:r w:rsidRPr="0058177C">
        <w:t>doi.org/10.1093/</w:t>
      </w:r>
      <w:proofErr w:type="spellStart"/>
      <w:r w:rsidRPr="0058177C">
        <w:t>acprof:oso</w:t>
      </w:r>
      <w:proofErr w:type="spellEnd"/>
      <w:r w:rsidRPr="0058177C">
        <w:t>/9780199268955.003.0006</w:t>
      </w:r>
      <w:r>
        <w:t xml:space="preserve">&gt; </w:t>
      </w:r>
    </w:p>
    <w:p w14:paraId="02B96D39" w14:textId="1F32563F" w:rsidR="00342201" w:rsidRPr="00355080" w:rsidRDefault="00342201" w:rsidP="00342201">
      <w:pPr>
        <w:pStyle w:val="FootnoteText"/>
        <w:spacing w:after="240"/>
        <w:ind w:left="720" w:hanging="720"/>
        <w:rPr>
          <w:sz w:val="24"/>
          <w:szCs w:val="24"/>
        </w:rPr>
      </w:pPr>
      <w:r w:rsidRPr="00355080">
        <w:rPr>
          <w:sz w:val="24"/>
          <w:szCs w:val="24"/>
        </w:rPr>
        <w:t>Hall, Augusta</w:t>
      </w:r>
      <w:r>
        <w:rPr>
          <w:sz w:val="24"/>
          <w:szCs w:val="24"/>
        </w:rPr>
        <w:t>,</w:t>
      </w:r>
      <w:r w:rsidRPr="00355080">
        <w:rPr>
          <w:sz w:val="24"/>
          <w:szCs w:val="24"/>
        </w:rPr>
        <w:t xml:space="preserve"> </w:t>
      </w:r>
      <w:r w:rsidRPr="00355080">
        <w:rPr>
          <w:i/>
          <w:iCs/>
          <w:sz w:val="24"/>
          <w:szCs w:val="24"/>
        </w:rPr>
        <w:t>Advantages Resulting from the Preservation of the Welsh Language</w:t>
      </w:r>
      <w:r w:rsidR="000D6C53">
        <w:rPr>
          <w:i/>
          <w:iCs/>
          <w:sz w:val="24"/>
          <w:szCs w:val="24"/>
        </w:rPr>
        <w:t>,</w:t>
      </w:r>
      <w:r w:rsidRPr="00355080">
        <w:rPr>
          <w:i/>
          <w:iCs/>
          <w:sz w:val="24"/>
          <w:szCs w:val="24"/>
        </w:rPr>
        <w:t xml:space="preserve"> and National Costume of Wales</w:t>
      </w:r>
      <w:r w:rsidRPr="00355080">
        <w:rPr>
          <w:sz w:val="24"/>
          <w:szCs w:val="24"/>
        </w:rPr>
        <w:t xml:space="preserve"> (Cardiff: William Bird, 1836) </w:t>
      </w:r>
    </w:p>
    <w:p w14:paraId="3F6DB211" w14:textId="77777777" w:rsidR="000157AF" w:rsidRPr="00D35336" w:rsidRDefault="000157AF" w:rsidP="000157AF">
      <w:pPr>
        <w:ind w:left="720" w:hanging="720"/>
      </w:pPr>
      <w:r w:rsidRPr="00D35336">
        <w:t xml:space="preserve">Honourable Society of Cymmrodorion, </w:t>
      </w:r>
      <w:r w:rsidRPr="00D35336">
        <w:rPr>
          <w:i/>
          <w:iCs/>
        </w:rPr>
        <w:t>Constitutions of the Honourable Society of Cymmrodorion in London</w:t>
      </w:r>
      <w:r w:rsidRPr="00D35336">
        <w:t>, ed. by Rev. Robert Jones (London: T. Richards, 1877)</w:t>
      </w:r>
    </w:p>
    <w:p w14:paraId="4FF27F85" w14:textId="77777777" w:rsidR="000157AF" w:rsidRPr="00D35336" w:rsidRDefault="000157AF" w:rsidP="000157AF">
      <w:pPr>
        <w:ind w:left="720" w:hanging="720"/>
      </w:pPr>
      <w:r w:rsidRPr="00D35336">
        <w:t xml:space="preserve">Jones, Emrys, </w:t>
      </w:r>
      <w:r w:rsidRPr="00D35336">
        <w:rPr>
          <w:i/>
          <w:iCs/>
        </w:rPr>
        <w:t>The Welsh in London: 1500–2000</w:t>
      </w:r>
      <w:r w:rsidRPr="00D35336">
        <w:t xml:space="preserve"> (Cardiff: University of Wales Press, 2001)</w:t>
      </w:r>
    </w:p>
    <w:p w14:paraId="251303BC" w14:textId="77777777" w:rsidR="000157AF" w:rsidRPr="00D35336" w:rsidRDefault="000157AF" w:rsidP="000157AF">
      <w:pPr>
        <w:ind w:left="720" w:hanging="720"/>
      </w:pPr>
      <w:r w:rsidRPr="00D35336">
        <w:t>Kaminski</w:t>
      </w:r>
      <w:r w:rsidRPr="00D35336">
        <w:noBreakHyphen/>
        <w:t xml:space="preserve">Jones, Rhys, </w:t>
      </w:r>
      <w:r w:rsidRPr="00D35336">
        <w:rPr>
          <w:i/>
          <w:iCs/>
        </w:rPr>
        <w:t>Welsh Revivalism in Imperial Britain, 1707–1819</w:t>
      </w:r>
      <w:r w:rsidRPr="00D35336">
        <w:t xml:space="preserve"> (Woodbridge: Boydell &amp; Brewer, 2025)</w:t>
      </w:r>
    </w:p>
    <w:p w14:paraId="645122AC" w14:textId="77777777" w:rsidR="00342201" w:rsidRPr="00355080" w:rsidRDefault="00342201" w:rsidP="00342201">
      <w:pPr>
        <w:pStyle w:val="FootnoteText"/>
        <w:spacing w:after="240"/>
        <w:ind w:left="720" w:hanging="720"/>
        <w:rPr>
          <w:sz w:val="24"/>
          <w:szCs w:val="24"/>
        </w:rPr>
      </w:pPr>
      <w:r w:rsidRPr="00355080">
        <w:rPr>
          <w:sz w:val="24"/>
          <w:szCs w:val="24"/>
        </w:rPr>
        <w:t>Kelly, James</w:t>
      </w:r>
      <w:r>
        <w:rPr>
          <w:sz w:val="24"/>
          <w:szCs w:val="24"/>
        </w:rPr>
        <w:t>,</w:t>
      </w:r>
      <w:r w:rsidRPr="00355080">
        <w:rPr>
          <w:sz w:val="24"/>
          <w:szCs w:val="24"/>
        </w:rPr>
        <w:t xml:space="preserve"> ‘Popular Politics in Ireland and the Act of Union’, </w:t>
      </w:r>
      <w:r w:rsidRPr="00355080">
        <w:rPr>
          <w:i/>
          <w:iCs/>
          <w:sz w:val="24"/>
          <w:szCs w:val="24"/>
        </w:rPr>
        <w:t>Transactions of the Royal Historical Society</w:t>
      </w:r>
      <w:r w:rsidRPr="00355080">
        <w:rPr>
          <w:sz w:val="24"/>
          <w:szCs w:val="24"/>
        </w:rPr>
        <w:t>, 10 (2000), 259-287 (p. 259) &lt;https://www-jstor-</w:t>
      </w:r>
      <w:r w:rsidRPr="00355080">
        <w:rPr>
          <w:sz w:val="24"/>
          <w:szCs w:val="24"/>
        </w:rPr>
        <w:lastRenderedPageBreak/>
        <w:t>org.ezproxy.uwtsd.ac.uk/stable/3679382?searchText=&amp;searchUri=&amp;ab_segments=&amp;searchKey=&amp;refreqid=fastly-default%3Ac97cde1357cbf51ed6a04c99cb15ff3b&amp;initiator=recommender&amp;seq=1&gt; [Accessed 03 January 2026]</w:t>
      </w:r>
    </w:p>
    <w:p w14:paraId="765CDB06" w14:textId="77777777" w:rsidR="00342201" w:rsidRPr="00355080" w:rsidRDefault="00342201" w:rsidP="00342201">
      <w:pPr>
        <w:pStyle w:val="FootnoteText"/>
        <w:spacing w:after="240"/>
        <w:ind w:left="720" w:hanging="720"/>
        <w:rPr>
          <w:sz w:val="24"/>
          <w:szCs w:val="24"/>
        </w:rPr>
      </w:pPr>
      <w:r w:rsidRPr="00355080">
        <w:rPr>
          <w:sz w:val="24"/>
          <w:szCs w:val="24"/>
        </w:rPr>
        <w:t>Leerssen, Joseph</w:t>
      </w:r>
      <w:r>
        <w:rPr>
          <w:sz w:val="24"/>
          <w:szCs w:val="24"/>
        </w:rPr>
        <w:t>,</w:t>
      </w:r>
      <w:r w:rsidRPr="00355080">
        <w:rPr>
          <w:sz w:val="24"/>
          <w:szCs w:val="24"/>
        </w:rPr>
        <w:t xml:space="preserve"> </w:t>
      </w:r>
      <w:r w:rsidRPr="00355080">
        <w:rPr>
          <w:i/>
          <w:iCs/>
          <w:sz w:val="24"/>
          <w:szCs w:val="24"/>
        </w:rPr>
        <w:t>Remembrance and Imagination: Patterns in the Historical and Literary Representation of Ireland in the Nineteenth Century</w:t>
      </w:r>
      <w:r w:rsidRPr="00355080">
        <w:rPr>
          <w:sz w:val="24"/>
          <w:szCs w:val="24"/>
        </w:rPr>
        <w:t xml:space="preserve"> (Cork: Cork University Press, 1996) </w:t>
      </w:r>
    </w:p>
    <w:p w14:paraId="658304C8" w14:textId="77777777" w:rsidR="000157AF" w:rsidRPr="00D35336" w:rsidRDefault="000157AF" w:rsidP="000157AF">
      <w:pPr>
        <w:ind w:left="720" w:hanging="720"/>
      </w:pPr>
      <w:r w:rsidRPr="00D35336">
        <w:t xml:space="preserve">Löffler, Marion, </w:t>
      </w:r>
      <w:r w:rsidRPr="00D35336">
        <w:rPr>
          <w:i/>
          <w:iCs/>
        </w:rPr>
        <w:t>HALL, AUGUSTA, Lady Llanover ('Gwenynen Gwent') (1802-1896), patron of Welsh culture and inventor of the Welsh national costume</w:t>
      </w:r>
      <w:r w:rsidRPr="00D35336">
        <w:t xml:space="preserve"> (2016) &lt;https://biography.wales/article/s10-HALL-AUG-1802&gt; [Accessed 24 November 2025]</w:t>
      </w:r>
    </w:p>
    <w:p w14:paraId="6E5B636A" w14:textId="77777777" w:rsidR="000157AF" w:rsidRPr="00D35336" w:rsidRDefault="000157AF" w:rsidP="000157AF">
      <w:pPr>
        <w:ind w:left="720" w:hanging="720"/>
      </w:pPr>
      <w:r w:rsidRPr="00D35336">
        <w:t xml:space="preserve">Morgan, Prys, </w:t>
      </w:r>
      <w:r w:rsidRPr="00D35336">
        <w:rPr>
          <w:i/>
          <w:iCs/>
        </w:rPr>
        <w:t>The Eighteenth Century Renaissance</w:t>
      </w:r>
      <w:r w:rsidRPr="00D35336">
        <w:t xml:space="preserve"> (Llandybie: Christopher Davies, 1981)</w:t>
      </w:r>
    </w:p>
    <w:p w14:paraId="4301D5E4" w14:textId="77777777" w:rsidR="000157AF" w:rsidRPr="00615913" w:rsidRDefault="000157AF" w:rsidP="000157AF">
      <w:pPr>
        <w:ind w:left="720" w:hanging="720"/>
      </w:pPr>
      <w:r w:rsidRPr="00D35336">
        <w:t xml:space="preserve">Morgan, Prys, ‘Early Victorian Wales and its Crisis of Identity’, ed. by Laurence Brockliss &amp; David Eastwood, </w:t>
      </w:r>
      <w:r w:rsidRPr="00D35336">
        <w:rPr>
          <w:i/>
          <w:iCs/>
        </w:rPr>
        <w:t>A Union of Multiple Identities: The British Isles, c.1750–c.1850</w:t>
      </w:r>
      <w:r w:rsidRPr="00D35336">
        <w:t xml:space="preserve"> (Manchester: Manchester University Press, 1997)</w:t>
      </w:r>
    </w:p>
    <w:p w14:paraId="1224F646" w14:textId="77777777" w:rsidR="00342201" w:rsidRPr="00355080" w:rsidRDefault="00342201" w:rsidP="00342201">
      <w:pPr>
        <w:pStyle w:val="FootnoteText"/>
        <w:spacing w:after="240"/>
        <w:ind w:left="720" w:hanging="720"/>
        <w:rPr>
          <w:sz w:val="24"/>
          <w:szCs w:val="24"/>
        </w:rPr>
      </w:pPr>
      <w:r w:rsidRPr="00355080">
        <w:rPr>
          <w:sz w:val="24"/>
          <w:szCs w:val="24"/>
        </w:rPr>
        <w:t>O’Regan,</w:t>
      </w:r>
      <w:r>
        <w:rPr>
          <w:sz w:val="24"/>
          <w:szCs w:val="24"/>
        </w:rPr>
        <w:t xml:space="preserve"> </w:t>
      </w:r>
      <w:r w:rsidRPr="00355080">
        <w:rPr>
          <w:sz w:val="24"/>
          <w:szCs w:val="24"/>
        </w:rPr>
        <w:t>Danae</w:t>
      </w:r>
      <w:r>
        <w:rPr>
          <w:sz w:val="24"/>
          <w:szCs w:val="24"/>
        </w:rPr>
        <w:t>,</w:t>
      </w:r>
      <w:r w:rsidRPr="00355080">
        <w:rPr>
          <w:sz w:val="24"/>
          <w:szCs w:val="24"/>
        </w:rPr>
        <w:t xml:space="preserve"> ‘Anna and Fanny Parnell’, </w:t>
      </w:r>
      <w:r w:rsidRPr="00355080">
        <w:rPr>
          <w:i/>
          <w:iCs/>
          <w:sz w:val="24"/>
          <w:szCs w:val="24"/>
        </w:rPr>
        <w:t>History Ireland</w:t>
      </w:r>
      <w:r w:rsidRPr="00355080">
        <w:rPr>
          <w:sz w:val="24"/>
          <w:szCs w:val="24"/>
        </w:rPr>
        <w:t>, 7.1 (1999) &lt;https://historyireland.com/anna-fanny-parnell&gt; [Accessed 03 January 2026]</w:t>
      </w:r>
    </w:p>
    <w:p w14:paraId="520A6250" w14:textId="77777777" w:rsidR="00342201" w:rsidRPr="00355080" w:rsidRDefault="00342201" w:rsidP="00342201">
      <w:pPr>
        <w:pStyle w:val="FootnoteText"/>
        <w:spacing w:after="240"/>
        <w:ind w:left="720" w:hanging="720"/>
        <w:rPr>
          <w:sz w:val="24"/>
          <w:szCs w:val="24"/>
        </w:rPr>
      </w:pPr>
      <w:r w:rsidRPr="00355080">
        <w:rPr>
          <w:sz w:val="24"/>
          <w:szCs w:val="24"/>
        </w:rPr>
        <w:t>Owenson</w:t>
      </w:r>
      <w:r>
        <w:rPr>
          <w:sz w:val="24"/>
          <w:szCs w:val="24"/>
        </w:rPr>
        <w:t>,</w:t>
      </w:r>
      <w:r w:rsidRPr="00355080">
        <w:rPr>
          <w:sz w:val="24"/>
          <w:szCs w:val="24"/>
        </w:rPr>
        <w:t xml:space="preserve"> Sydney, </w:t>
      </w:r>
      <w:r w:rsidRPr="00355080">
        <w:rPr>
          <w:i/>
          <w:iCs/>
          <w:sz w:val="24"/>
          <w:szCs w:val="24"/>
        </w:rPr>
        <w:t>The Wild Irish Girl</w:t>
      </w:r>
      <w:r w:rsidRPr="00355080">
        <w:rPr>
          <w:sz w:val="24"/>
          <w:szCs w:val="24"/>
        </w:rPr>
        <w:t xml:space="preserve"> </w:t>
      </w:r>
      <w:r w:rsidRPr="00355080">
        <w:rPr>
          <w:i/>
          <w:iCs/>
          <w:sz w:val="24"/>
          <w:szCs w:val="24"/>
        </w:rPr>
        <w:t>Volume I</w:t>
      </w:r>
      <w:r w:rsidRPr="00355080">
        <w:rPr>
          <w:sz w:val="24"/>
          <w:szCs w:val="24"/>
        </w:rPr>
        <w:t>, 4</w:t>
      </w:r>
      <w:r w:rsidRPr="00355080">
        <w:rPr>
          <w:sz w:val="24"/>
          <w:szCs w:val="24"/>
          <w:vertAlign w:val="superscript"/>
        </w:rPr>
        <w:t>th</w:t>
      </w:r>
      <w:r w:rsidRPr="00355080">
        <w:rPr>
          <w:sz w:val="24"/>
          <w:szCs w:val="24"/>
        </w:rPr>
        <w:t xml:space="preserve"> edn. (London: Richard Phillips, 1808)</w:t>
      </w:r>
    </w:p>
    <w:p w14:paraId="736A6FB3" w14:textId="77777777" w:rsidR="00342201" w:rsidRPr="00355080" w:rsidRDefault="00342201" w:rsidP="00342201">
      <w:pPr>
        <w:pStyle w:val="FootnoteText"/>
        <w:spacing w:after="240"/>
        <w:ind w:left="720" w:hanging="720"/>
        <w:rPr>
          <w:sz w:val="24"/>
          <w:szCs w:val="24"/>
        </w:rPr>
      </w:pPr>
      <w:r w:rsidRPr="00355080">
        <w:rPr>
          <w:sz w:val="24"/>
          <w:szCs w:val="24"/>
        </w:rPr>
        <w:t>Owenson, Sydney</w:t>
      </w:r>
      <w:r>
        <w:rPr>
          <w:sz w:val="24"/>
          <w:szCs w:val="24"/>
        </w:rPr>
        <w:t>,</w:t>
      </w:r>
      <w:r w:rsidRPr="00355080">
        <w:rPr>
          <w:sz w:val="24"/>
          <w:szCs w:val="24"/>
        </w:rPr>
        <w:t xml:space="preserve"> </w:t>
      </w:r>
      <w:r w:rsidRPr="00355080">
        <w:rPr>
          <w:i/>
          <w:iCs/>
          <w:sz w:val="24"/>
          <w:szCs w:val="24"/>
        </w:rPr>
        <w:t>The Wild Irish Girl</w:t>
      </w:r>
      <w:r w:rsidRPr="00355080">
        <w:rPr>
          <w:sz w:val="24"/>
          <w:szCs w:val="24"/>
        </w:rPr>
        <w:t xml:space="preserve"> </w:t>
      </w:r>
      <w:r w:rsidRPr="00355080">
        <w:rPr>
          <w:i/>
          <w:iCs/>
          <w:sz w:val="24"/>
          <w:szCs w:val="24"/>
        </w:rPr>
        <w:t>Volume II</w:t>
      </w:r>
      <w:r w:rsidRPr="00355080">
        <w:rPr>
          <w:sz w:val="24"/>
          <w:szCs w:val="24"/>
        </w:rPr>
        <w:t>, 4</w:t>
      </w:r>
      <w:r w:rsidRPr="00355080">
        <w:rPr>
          <w:sz w:val="24"/>
          <w:szCs w:val="24"/>
          <w:vertAlign w:val="superscript"/>
        </w:rPr>
        <w:t>th</w:t>
      </w:r>
      <w:r w:rsidRPr="00355080">
        <w:rPr>
          <w:sz w:val="24"/>
          <w:szCs w:val="24"/>
        </w:rPr>
        <w:t xml:space="preserve"> edn. (London: Richard Phillips, 1808)</w:t>
      </w:r>
    </w:p>
    <w:p w14:paraId="554C21A8" w14:textId="77777777" w:rsidR="00342201" w:rsidRPr="00355080" w:rsidRDefault="00342201" w:rsidP="00342201">
      <w:pPr>
        <w:pStyle w:val="FootnoteText"/>
        <w:spacing w:after="240"/>
        <w:ind w:left="720" w:hanging="720"/>
        <w:rPr>
          <w:sz w:val="24"/>
          <w:szCs w:val="24"/>
        </w:rPr>
      </w:pPr>
      <w:r w:rsidRPr="00355080">
        <w:rPr>
          <w:sz w:val="24"/>
          <w:szCs w:val="24"/>
        </w:rPr>
        <w:t>Owenson, Sydney</w:t>
      </w:r>
      <w:r>
        <w:rPr>
          <w:sz w:val="24"/>
          <w:szCs w:val="24"/>
        </w:rPr>
        <w:t>,</w:t>
      </w:r>
      <w:r w:rsidRPr="00355080">
        <w:rPr>
          <w:sz w:val="24"/>
          <w:szCs w:val="24"/>
        </w:rPr>
        <w:t xml:space="preserve"> </w:t>
      </w:r>
      <w:r w:rsidRPr="00355080">
        <w:rPr>
          <w:i/>
          <w:iCs/>
          <w:sz w:val="24"/>
          <w:szCs w:val="24"/>
        </w:rPr>
        <w:t>The Wild Irish Girl Volume III</w:t>
      </w:r>
      <w:r w:rsidRPr="00355080">
        <w:rPr>
          <w:sz w:val="24"/>
          <w:szCs w:val="24"/>
        </w:rPr>
        <w:t>, 4</w:t>
      </w:r>
      <w:r w:rsidRPr="00355080">
        <w:rPr>
          <w:sz w:val="24"/>
          <w:szCs w:val="24"/>
          <w:vertAlign w:val="superscript"/>
        </w:rPr>
        <w:t>th</w:t>
      </w:r>
      <w:r w:rsidRPr="00355080">
        <w:rPr>
          <w:sz w:val="24"/>
          <w:szCs w:val="24"/>
        </w:rPr>
        <w:t xml:space="preserve"> edn. (London: Richard Phillips, 1808)</w:t>
      </w:r>
    </w:p>
    <w:p w14:paraId="0DD8BF5F" w14:textId="77777777" w:rsidR="00342201" w:rsidRPr="00355080" w:rsidRDefault="00342201" w:rsidP="00342201">
      <w:pPr>
        <w:pStyle w:val="FootnoteText"/>
        <w:spacing w:after="240"/>
        <w:ind w:left="720" w:hanging="720"/>
        <w:rPr>
          <w:sz w:val="24"/>
          <w:szCs w:val="24"/>
        </w:rPr>
      </w:pPr>
      <w:r w:rsidRPr="00355080">
        <w:rPr>
          <w:sz w:val="24"/>
          <w:szCs w:val="24"/>
        </w:rPr>
        <w:t>Parnell, Fanny</w:t>
      </w:r>
      <w:r>
        <w:rPr>
          <w:sz w:val="24"/>
          <w:szCs w:val="24"/>
        </w:rPr>
        <w:t>,</w:t>
      </w:r>
      <w:r w:rsidRPr="00355080">
        <w:rPr>
          <w:sz w:val="24"/>
          <w:szCs w:val="24"/>
        </w:rPr>
        <w:t xml:space="preserve"> ‘To my Fellow-Women’, </w:t>
      </w:r>
      <w:r w:rsidRPr="00355080">
        <w:rPr>
          <w:i/>
          <w:iCs/>
          <w:sz w:val="24"/>
          <w:szCs w:val="24"/>
        </w:rPr>
        <w:t>Bean na hEireann</w:t>
      </w:r>
      <w:r w:rsidRPr="00355080">
        <w:rPr>
          <w:sz w:val="24"/>
          <w:szCs w:val="24"/>
        </w:rPr>
        <w:t>, 1.4, February 1909</w:t>
      </w:r>
    </w:p>
    <w:p w14:paraId="64B41F24" w14:textId="77777777" w:rsidR="00342201" w:rsidRDefault="00342201" w:rsidP="00342201">
      <w:pPr>
        <w:pStyle w:val="FootnoteText"/>
        <w:spacing w:after="240"/>
        <w:ind w:left="720" w:hanging="720"/>
        <w:rPr>
          <w:sz w:val="24"/>
          <w:szCs w:val="24"/>
        </w:rPr>
      </w:pPr>
      <w:r w:rsidRPr="00355080">
        <w:rPr>
          <w:sz w:val="24"/>
          <w:szCs w:val="24"/>
        </w:rPr>
        <w:t xml:space="preserve">UK Parliament, </w:t>
      </w:r>
      <w:r w:rsidRPr="00355080">
        <w:rPr>
          <w:i/>
          <w:iCs/>
          <w:sz w:val="24"/>
          <w:szCs w:val="24"/>
        </w:rPr>
        <w:t>An Act for the Union of Great Britain and Ireland</w:t>
      </w:r>
      <w:r w:rsidRPr="00355080">
        <w:rPr>
          <w:sz w:val="24"/>
          <w:szCs w:val="24"/>
        </w:rPr>
        <w:t>, 1800. Parliamentary Archives, HL/PO/PU/1/1800/39&amp;40G3n241</w:t>
      </w:r>
    </w:p>
    <w:p w14:paraId="7F25134D" w14:textId="77777777" w:rsidR="00342201" w:rsidRPr="00355080" w:rsidRDefault="00342201" w:rsidP="00342201">
      <w:pPr>
        <w:pStyle w:val="FootnoteText"/>
        <w:spacing w:after="240"/>
        <w:ind w:left="720" w:hanging="720"/>
        <w:rPr>
          <w:sz w:val="24"/>
          <w:szCs w:val="24"/>
        </w:rPr>
      </w:pPr>
    </w:p>
    <w:p w14:paraId="2A740D24" w14:textId="77777777" w:rsidR="000157AF" w:rsidRDefault="000157AF"/>
    <w:p w14:paraId="6E3399D8" w14:textId="77777777" w:rsidR="000157AF" w:rsidRDefault="000157AF"/>
    <w:sectPr w:rsidR="000157AF">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7CF061" w14:textId="77777777" w:rsidR="00E24D8B" w:rsidRDefault="00E24D8B" w:rsidP="00CF546D">
      <w:pPr>
        <w:spacing w:after="0" w:line="240" w:lineRule="auto"/>
      </w:pPr>
      <w:r>
        <w:separator/>
      </w:r>
    </w:p>
  </w:endnote>
  <w:endnote w:type="continuationSeparator" w:id="0">
    <w:p w14:paraId="261D0207" w14:textId="77777777" w:rsidR="00E24D8B" w:rsidRDefault="00E24D8B" w:rsidP="00CF54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AF31C6" w14:textId="77777777" w:rsidR="00E24D8B" w:rsidRDefault="00E24D8B" w:rsidP="00CF546D">
      <w:pPr>
        <w:spacing w:after="0" w:line="240" w:lineRule="auto"/>
      </w:pPr>
      <w:r>
        <w:separator/>
      </w:r>
    </w:p>
  </w:footnote>
  <w:footnote w:type="continuationSeparator" w:id="0">
    <w:p w14:paraId="205D808A" w14:textId="77777777" w:rsidR="00E24D8B" w:rsidRDefault="00E24D8B" w:rsidP="00CF546D">
      <w:pPr>
        <w:spacing w:after="0" w:line="240" w:lineRule="auto"/>
      </w:pPr>
      <w:r>
        <w:continuationSeparator/>
      </w:r>
    </w:p>
  </w:footnote>
  <w:footnote w:id="1">
    <w:p w14:paraId="3DEC357A" w14:textId="34547326" w:rsidR="002B2CA7" w:rsidRPr="002B2CA7" w:rsidRDefault="002B2CA7">
      <w:pPr>
        <w:pStyle w:val="FootnoteText"/>
      </w:pPr>
      <w:r>
        <w:rPr>
          <w:rStyle w:val="FootnoteReference"/>
        </w:rPr>
        <w:footnoteRef/>
      </w:r>
      <w:r>
        <w:t xml:space="preserve"> Sydney Owenson, </w:t>
      </w:r>
      <w:r>
        <w:rPr>
          <w:i/>
          <w:iCs/>
        </w:rPr>
        <w:t>The Wild Irish Girl</w:t>
      </w:r>
      <w:r>
        <w:t xml:space="preserve"> </w:t>
      </w:r>
      <w:r>
        <w:rPr>
          <w:i/>
          <w:iCs/>
        </w:rPr>
        <w:t>Volume I</w:t>
      </w:r>
      <w:r>
        <w:t>, 4</w:t>
      </w:r>
      <w:r w:rsidRPr="002B2CA7">
        <w:rPr>
          <w:vertAlign w:val="superscript"/>
        </w:rPr>
        <w:t>th</w:t>
      </w:r>
      <w:r>
        <w:t xml:space="preserve"> edn. (London: Richard Phillips, 1808), pp. 113-127.</w:t>
      </w:r>
    </w:p>
  </w:footnote>
  <w:footnote w:id="2">
    <w:p w14:paraId="6EF86741" w14:textId="129695EE" w:rsidR="002B2CA7" w:rsidRPr="002B2CA7" w:rsidRDefault="002B2CA7">
      <w:pPr>
        <w:pStyle w:val="FootnoteText"/>
      </w:pPr>
      <w:r>
        <w:rPr>
          <w:rStyle w:val="FootnoteReference"/>
        </w:rPr>
        <w:footnoteRef/>
      </w:r>
      <w:r>
        <w:t xml:space="preserve"> Sydney Owenson, </w:t>
      </w:r>
      <w:r>
        <w:rPr>
          <w:i/>
          <w:iCs/>
        </w:rPr>
        <w:t>The Wild Irish Girl</w:t>
      </w:r>
      <w:r>
        <w:t xml:space="preserve"> </w:t>
      </w:r>
      <w:r>
        <w:rPr>
          <w:i/>
          <w:iCs/>
        </w:rPr>
        <w:t>Volume II</w:t>
      </w:r>
      <w:r>
        <w:t>, 4</w:t>
      </w:r>
      <w:r w:rsidRPr="002B2CA7">
        <w:rPr>
          <w:vertAlign w:val="superscript"/>
        </w:rPr>
        <w:t>th</w:t>
      </w:r>
      <w:r>
        <w:t xml:space="preserve"> edn. (London: Richard Phillips, 1808), pp. 19-21.</w:t>
      </w:r>
    </w:p>
  </w:footnote>
  <w:footnote w:id="3">
    <w:p w14:paraId="1AD1F795" w14:textId="002834DF" w:rsidR="002B2CA7" w:rsidRPr="002B2CA7" w:rsidRDefault="002B2CA7">
      <w:pPr>
        <w:pStyle w:val="FootnoteText"/>
      </w:pPr>
      <w:r>
        <w:rPr>
          <w:rStyle w:val="FootnoteReference"/>
        </w:rPr>
        <w:footnoteRef/>
      </w:r>
      <w:r>
        <w:t xml:space="preserve"> Sydney Owenson, </w:t>
      </w:r>
      <w:r>
        <w:rPr>
          <w:i/>
          <w:iCs/>
        </w:rPr>
        <w:t>The Wild Irish Girl Volume II</w:t>
      </w:r>
      <w:r w:rsidR="001F19AC">
        <w:rPr>
          <w:i/>
          <w:iCs/>
        </w:rPr>
        <w:t>I</w:t>
      </w:r>
      <w:r>
        <w:t>, 4</w:t>
      </w:r>
      <w:r w:rsidRPr="002B2CA7">
        <w:rPr>
          <w:vertAlign w:val="superscript"/>
        </w:rPr>
        <w:t>th</w:t>
      </w:r>
      <w:r>
        <w:t xml:space="preserve"> edn. (London: Richard Phillips, 1808), pp. 218-231.</w:t>
      </w:r>
    </w:p>
  </w:footnote>
  <w:footnote w:id="4">
    <w:p w14:paraId="1D543F42" w14:textId="7ADD39BD" w:rsidR="002B2CA7" w:rsidRPr="002B2CA7" w:rsidRDefault="002B2CA7">
      <w:pPr>
        <w:pStyle w:val="FootnoteText"/>
      </w:pPr>
      <w:r>
        <w:rPr>
          <w:rStyle w:val="FootnoteReference"/>
        </w:rPr>
        <w:footnoteRef/>
      </w:r>
      <w:r>
        <w:t xml:space="preserve"> Joseph Leerssen, </w:t>
      </w:r>
      <w:r>
        <w:rPr>
          <w:i/>
          <w:iCs/>
        </w:rPr>
        <w:t>Remembrance and Imagination: Patterns in the Historical and Literary Representation of Ireland in the Nineteenth Century</w:t>
      </w:r>
      <w:r>
        <w:t xml:space="preserve"> (Cork: Cork University Press, 1996), p. 54. </w:t>
      </w:r>
    </w:p>
  </w:footnote>
  <w:footnote w:id="5">
    <w:p w14:paraId="70F2BF0F" w14:textId="06590FDB" w:rsidR="000D6C53" w:rsidRDefault="000D6C53">
      <w:pPr>
        <w:pStyle w:val="FootnoteText"/>
      </w:pPr>
      <w:r>
        <w:rPr>
          <w:rStyle w:val="FootnoteReference"/>
        </w:rPr>
        <w:footnoteRef/>
      </w:r>
      <w:r>
        <w:t xml:space="preserve"> </w:t>
      </w:r>
      <w:r>
        <w:t>UK Parliament</w:t>
      </w:r>
      <w:r w:rsidRPr="002B2CA7">
        <w:t xml:space="preserve">, </w:t>
      </w:r>
      <w:r>
        <w:rPr>
          <w:i/>
          <w:iCs/>
        </w:rPr>
        <w:t>An Act for the Union of Great Britain and Ireland</w:t>
      </w:r>
      <w:r w:rsidRPr="002B2CA7">
        <w:t xml:space="preserve">, </w:t>
      </w:r>
      <w:r>
        <w:t>1800</w:t>
      </w:r>
      <w:r w:rsidRPr="002B2CA7">
        <w:t>. Parliamentary Archives, HL/PO/PU/1/1800/39&amp;40G3n241</w:t>
      </w:r>
      <w:r>
        <w:t>.</w:t>
      </w:r>
    </w:p>
  </w:footnote>
  <w:footnote w:id="6">
    <w:p w14:paraId="1130E0CA" w14:textId="378392DE" w:rsidR="002B2CA7" w:rsidRDefault="002B2CA7">
      <w:pPr>
        <w:pStyle w:val="FootnoteText"/>
      </w:pPr>
      <w:r>
        <w:rPr>
          <w:rStyle w:val="FootnoteReference"/>
        </w:rPr>
        <w:footnoteRef/>
      </w:r>
      <w:r>
        <w:t xml:space="preserve"> </w:t>
      </w:r>
      <w:r w:rsidR="001931C0">
        <w:t>James Kelly</w:t>
      </w:r>
      <w:r w:rsidR="001931C0" w:rsidRPr="001931C0">
        <w:t>, ‘</w:t>
      </w:r>
      <w:r w:rsidR="001931C0">
        <w:t>Popular Politics in Ireland and the Act of Union</w:t>
      </w:r>
      <w:r w:rsidR="001D177C">
        <w:t>’</w:t>
      </w:r>
      <w:r w:rsidR="001931C0" w:rsidRPr="001931C0">
        <w:t xml:space="preserve">, </w:t>
      </w:r>
      <w:r w:rsidR="001931C0">
        <w:rPr>
          <w:i/>
          <w:iCs/>
        </w:rPr>
        <w:t>Transactions of the Royal Historical Society</w:t>
      </w:r>
      <w:r w:rsidR="001931C0" w:rsidRPr="001931C0">
        <w:t xml:space="preserve">, </w:t>
      </w:r>
      <w:r w:rsidR="001931C0">
        <w:t>10</w:t>
      </w:r>
      <w:r w:rsidR="001931C0" w:rsidRPr="001931C0">
        <w:t xml:space="preserve"> (</w:t>
      </w:r>
      <w:r w:rsidR="001931C0">
        <w:t>2000</w:t>
      </w:r>
      <w:r w:rsidR="001931C0" w:rsidRPr="001931C0">
        <w:t xml:space="preserve">), </w:t>
      </w:r>
      <w:r w:rsidR="001931C0">
        <w:t>259-287</w:t>
      </w:r>
      <w:r w:rsidR="001931C0" w:rsidRPr="001931C0">
        <w:t xml:space="preserve"> (p. </w:t>
      </w:r>
      <w:r w:rsidR="001931C0">
        <w:t>259</w:t>
      </w:r>
      <w:r w:rsidR="001931C0" w:rsidRPr="001931C0">
        <w:t>) &lt;https://www-jstor-org.ezproxy.uwtsd.ac.uk/stable/3679382?searchText=&amp;searchUri=&amp;ab_segments=&amp;searchKey=&amp;refreqid=fastly-default%3Ac97cde1357cbf51ed6a04c99cb15ff3b&amp;initiator=recommender&amp;seq=1&gt;</w:t>
      </w:r>
      <w:r w:rsidR="001931C0">
        <w:t xml:space="preserve"> [Accessed 03 January 2026].</w:t>
      </w:r>
    </w:p>
  </w:footnote>
  <w:footnote w:id="7">
    <w:p w14:paraId="696F5D42" w14:textId="202EAA15" w:rsidR="002C512A" w:rsidRDefault="002C512A">
      <w:pPr>
        <w:pStyle w:val="FootnoteText"/>
      </w:pPr>
      <w:r>
        <w:rPr>
          <w:rStyle w:val="FootnoteReference"/>
        </w:rPr>
        <w:footnoteRef/>
      </w:r>
      <w:r>
        <w:t xml:space="preserve"> </w:t>
      </w:r>
      <w:r w:rsidR="00631F62">
        <w:t>Lynn Abrams</w:t>
      </w:r>
      <w:r w:rsidR="00631F62" w:rsidRPr="00631F62">
        <w:t xml:space="preserve">, </w:t>
      </w:r>
      <w:r w:rsidR="00631F62">
        <w:rPr>
          <w:i/>
          <w:iCs/>
        </w:rPr>
        <w:t>Ideals of Womanhood in Victorian Britain</w:t>
      </w:r>
      <w:r w:rsidR="00631F62" w:rsidRPr="00631F62">
        <w:t xml:space="preserve"> (</w:t>
      </w:r>
      <w:r w:rsidR="00631F62">
        <w:t>2001</w:t>
      </w:r>
      <w:r w:rsidR="00631F62" w:rsidRPr="00631F62">
        <w:t xml:space="preserve">) &lt;https://www.bbc.co.uk/history/trail/victorian_britain/women_home/ideals_womanhood_01.shtml&gt; [accessed </w:t>
      </w:r>
      <w:r w:rsidR="00631F62">
        <w:t>03</w:t>
      </w:r>
      <w:r w:rsidR="00631F62" w:rsidRPr="00631F62">
        <w:t xml:space="preserve"> </w:t>
      </w:r>
      <w:r w:rsidR="00631F62">
        <w:t>January</w:t>
      </w:r>
      <w:r w:rsidR="00631F62" w:rsidRPr="00631F62">
        <w:t xml:space="preserve"> </w:t>
      </w:r>
      <w:r w:rsidR="00631F62">
        <w:t>2026</w:t>
      </w:r>
      <w:r w:rsidR="00631F62" w:rsidRPr="00631F62">
        <w:t>].</w:t>
      </w:r>
    </w:p>
  </w:footnote>
  <w:footnote w:id="8">
    <w:p w14:paraId="20D690C4" w14:textId="5FB2248D" w:rsidR="00160915" w:rsidRPr="00160915" w:rsidRDefault="00160915">
      <w:pPr>
        <w:pStyle w:val="FootnoteText"/>
      </w:pPr>
      <w:r>
        <w:rPr>
          <w:rStyle w:val="FootnoteReference"/>
        </w:rPr>
        <w:footnoteRef/>
      </w:r>
      <w:r>
        <w:t xml:space="preserve"> Jane Aaron, </w:t>
      </w:r>
      <w:r>
        <w:rPr>
          <w:i/>
          <w:iCs/>
        </w:rPr>
        <w:t>Nineteenth-Century Women’s Writing in Wales: Nation, Gender and Identity</w:t>
      </w:r>
      <w:r>
        <w:t xml:space="preserve"> (Cardiff: University of Wales Press, 2007), pp. 68-69.</w:t>
      </w:r>
    </w:p>
  </w:footnote>
  <w:footnote w:id="9">
    <w:p w14:paraId="2FB8334F" w14:textId="6923825B" w:rsidR="00D27C4D" w:rsidRPr="00B441CD" w:rsidRDefault="00D27C4D">
      <w:pPr>
        <w:pStyle w:val="FootnoteText"/>
      </w:pPr>
      <w:r>
        <w:rPr>
          <w:rStyle w:val="FootnoteReference"/>
        </w:rPr>
        <w:footnoteRef/>
      </w:r>
      <w:r>
        <w:t xml:space="preserve"> Augusta Hall, </w:t>
      </w:r>
      <w:r w:rsidR="00B441CD">
        <w:rPr>
          <w:i/>
          <w:iCs/>
        </w:rPr>
        <w:t>Advantages Resulting from the Preservation of the Welsh Language</w:t>
      </w:r>
      <w:r w:rsidR="000D6C53">
        <w:rPr>
          <w:i/>
          <w:iCs/>
        </w:rPr>
        <w:t>,</w:t>
      </w:r>
      <w:r w:rsidR="00B441CD">
        <w:rPr>
          <w:i/>
          <w:iCs/>
        </w:rPr>
        <w:t xml:space="preserve"> and National Costume of Wales</w:t>
      </w:r>
      <w:r w:rsidR="00B441CD">
        <w:t xml:space="preserve"> (Cardiff: William Bird, 1836)</w:t>
      </w:r>
      <w:r w:rsidR="00342201">
        <w:t>,</w:t>
      </w:r>
      <w:r w:rsidR="00B441CD">
        <w:t xml:space="preserve"> pp. 10-12. </w:t>
      </w:r>
    </w:p>
  </w:footnote>
  <w:footnote w:id="10">
    <w:p w14:paraId="70EDDB5C" w14:textId="22D55D5D" w:rsidR="00D45D91" w:rsidRPr="009C507E" w:rsidRDefault="00D45D91">
      <w:pPr>
        <w:pStyle w:val="FootnoteText"/>
      </w:pPr>
      <w:r>
        <w:rPr>
          <w:rStyle w:val="FootnoteReference"/>
        </w:rPr>
        <w:footnoteRef/>
      </w:r>
      <w:r>
        <w:t xml:space="preserve"> </w:t>
      </w:r>
      <w:r w:rsidR="009C507E">
        <w:t xml:space="preserve">Jane Aaron, </w:t>
      </w:r>
      <w:r w:rsidR="009C507E">
        <w:rPr>
          <w:i/>
          <w:iCs/>
        </w:rPr>
        <w:t>Nineteenth-Century Women’s Writing in Wales: Nation, Gender and Identity</w:t>
      </w:r>
      <w:r w:rsidR="009C507E">
        <w:t>, p. 69.</w:t>
      </w:r>
    </w:p>
  </w:footnote>
  <w:footnote w:id="11">
    <w:p w14:paraId="2ECB2279" w14:textId="124CC43D" w:rsidR="009C507E" w:rsidRPr="009C507E" w:rsidRDefault="009C507E">
      <w:pPr>
        <w:pStyle w:val="FootnoteText"/>
      </w:pPr>
      <w:r>
        <w:rPr>
          <w:rStyle w:val="FootnoteReference"/>
        </w:rPr>
        <w:footnoteRef/>
      </w:r>
      <w:r>
        <w:t xml:space="preserve"> Augusta Hall, </w:t>
      </w:r>
      <w:r>
        <w:rPr>
          <w:i/>
          <w:iCs/>
        </w:rPr>
        <w:t>Advantages Resulting from the Preservation of the Welsh Language</w:t>
      </w:r>
      <w:r w:rsidR="000D6C53">
        <w:rPr>
          <w:i/>
          <w:iCs/>
        </w:rPr>
        <w:t>,</w:t>
      </w:r>
      <w:r>
        <w:rPr>
          <w:i/>
          <w:iCs/>
        </w:rPr>
        <w:t xml:space="preserve"> and National Costume of Wales</w:t>
      </w:r>
      <w:r>
        <w:t>, pp. 7-8.</w:t>
      </w:r>
    </w:p>
  </w:footnote>
  <w:footnote w:id="12">
    <w:p w14:paraId="3A94E1F1" w14:textId="36788404" w:rsidR="00BA0B2F" w:rsidRDefault="00BA0B2F">
      <w:pPr>
        <w:pStyle w:val="FootnoteText"/>
      </w:pPr>
      <w:r>
        <w:rPr>
          <w:rStyle w:val="FootnoteReference"/>
        </w:rPr>
        <w:footnoteRef/>
      </w:r>
      <w:r>
        <w:t xml:space="preserve"> Jane Aaron, </w:t>
      </w:r>
      <w:r>
        <w:rPr>
          <w:i/>
          <w:iCs/>
        </w:rPr>
        <w:t>Nineteenth-Century Women’s Writing in Wales: Nation, Gender and Identity</w:t>
      </w:r>
      <w:r>
        <w:t>, p. 76.</w:t>
      </w:r>
    </w:p>
  </w:footnote>
  <w:footnote w:id="13">
    <w:p w14:paraId="11BC6025" w14:textId="3FDDD821" w:rsidR="00591092" w:rsidRPr="00E4477F" w:rsidRDefault="00591092">
      <w:pPr>
        <w:pStyle w:val="FootnoteText"/>
      </w:pPr>
      <w:r>
        <w:rPr>
          <w:rStyle w:val="FootnoteReference"/>
        </w:rPr>
        <w:footnoteRef/>
      </w:r>
      <w:r>
        <w:t xml:space="preserve"> Jane Aaron, </w:t>
      </w:r>
      <w:r>
        <w:rPr>
          <w:i/>
          <w:iCs/>
        </w:rPr>
        <w:t>Ninet</w:t>
      </w:r>
      <w:r w:rsidR="00E4477F">
        <w:rPr>
          <w:i/>
          <w:iCs/>
        </w:rPr>
        <w:t>eenth-Century Women’s Writing in Wales</w:t>
      </w:r>
      <w:r w:rsidR="00E4477F">
        <w:t xml:space="preserve">, pp. 106-107. </w:t>
      </w:r>
    </w:p>
  </w:footnote>
  <w:footnote w:id="14">
    <w:p w14:paraId="6DB30DF9" w14:textId="75E2C10A" w:rsidR="003903A8" w:rsidRDefault="003903A8">
      <w:pPr>
        <w:pStyle w:val="FootnoteText"/>
      </w:pPr>
      <w:r>
        <w:rPr>
          <w:rStyle w:val="FootnoteReference"/>
        </w:rPr>
        <w:footnoteRef/>
      </w:r>
      <w:r>
        <w:t xml:space="preserve"> Ibid., pp. 4-6.</w:t>
      </w:r>
    </w:p>
  </w:footnote>
  <w:footnote w:id="15">
    <w:p w14:paraId="2DB0FCAD" w14:textId="57D76645" w:rsidR="00CB44CB" w:rsidRDefault="00CB44CB">
      <w:pPr>
        <w:pStyle w:val="FootnoteText"/>
      </w:pPr>
      <w:r>
        <w:rPr>
          <w:rStyle w:val="FootnoteReference"/>
        </w:rPr>
        <w:footnoteRef/>
      </w:r>
      <w:r>
        <w:t xml:space="preserve"> </w:t>
      </w:r>
      <w:r w:rsidR="00731A3E">
        <w:t>Fanny Parnell</w:t>
      </w:r>
      <w:r w:rsidR="006B2AA1" w:rsidRPr="006B2AA1">
        <w:t>, ‘</w:t>
      </w:r>
      <w:r w:rsidR="00731A3E">
        <w:t>To my Fellow-Women</w:t>
      </w:r>
      <w:r w:rsidR="00C93A92">
        <w:t>’</w:t>
      </w:r>
      <w:r w:rsidR="006B2AA1" w:rsidRPr="006B2AA1">
        <w:t xml:space="preserve">, </w:t>
      </w:r>
      <w:r w:rsidR="00067F28" w:rsidRPr="00067F28">
        <w:rPr>
          <w:i/>
          <w:iCs/>
        </w:rPr>
        <w:t>Bean na hEireann</w:t>
      </w:r>
      <w:r w:rsidR="006B2AA1" w:rsidRPr="006B2AA1">
        <w:t xml:space="preserve">, </w:t>
      </w:r>
      <w:r w:rsidR="002F0B6B">
        <w:t xml:space="preserve">1.4, </w:t>
      </w:r>
      <w:r w:rsidR="00067F28">
        <w:t>February</w:t>
      </w:r>
      <w:r w:rsidR="006B2AA1" w:rsidRPr="006B2AA1">
        <w:t xml:space="preserve"> </w:t>
      </w:r>
      <w:r w:rsidR="00741EE6">
        <w:t>1909</w:t>
      </w:r>
      <w:r w:rsidR="006B2AA1" w:rsidRPr="006B2AA1">
        <w:t xml:space="preserve">, </w:t>
      </w:r>
      <w:r w:rsidR="00741EE6">
        <w:t>p</w:t>
      </w:r>
      <w:r w:rsidR="006B2AA1" w:rsidRPr="006B2AA1">
        <w:t xml:space="preserve">p. </w:t>
      </w:r>
      <w:r w:rsidR="00741EE6">
        <w:t>10-11</w:t>
      </w:r>
      <w:r w:rsidR="006B2AA1" w:rsidRPr="006B2AA1">
        <w:t>.</w:t>
      </w:r>
    </w:p>
  </w:footnote>
  <w:footnote w:id="16">
    <w:p w14:paraId="13B5E906" w14:textId="57D994E3" w:rsidR="005C5662" w:rsidRPr="00D04473" w:rsidRDefault="005C5662">
      <w:pPr>
        <w:pStyle w:val="FootnoteText"/>
      </w:pPr>
      <w:r>
        <w:rPr>
          <w:rStyle w:val="FootnoteReference"/>
        </w:rPr>
        <w:footnoteRef/>
      </w:r>
      <w:r>
        <w:t xml:space="preserve"> </w:t>
      </w:r>
      <w:r w:rsidR="00F438D2">
        <w:t>Danae O’Regan</w:t>
      </w:r>
      <w:r w:rsidR="00193F3B">
        <w:t xml:space="preserve">, </w:t>
      </w:r>
      <w:r w:rsidR="00D04473">
        <w:t xml:space="preserve">‘Anna and Fanny Parnell’, </w:t>
      </w:r>
      <w:r w:rsidR="00D04473">
        <w:rPr>
          <w:i/>
          <w:iCs/>
        </w:rPr>
        <w:t>History Ireland</w:t>
      </w:r>
      <w:r w:rsidR="00D04473">
        <w:t>, 7.1 (1999)</w:t>
      </w:r>
      <w:r w:rsidR="00456DF9">
        <w:t xml:space="preserve"> &lt;</w:t>
      </w:r>
      <w:r w:rsidR="00456DF9" w:rsidRPr="00456DF9">
        <w:t>https://historyireland.com/anna-fanny-parnell</w:t>
      </w:r>
      <w:r w:rsidR="00456DF9">
        <w:t>&gt; [Accessed 03 January 2026].</w:t>
      </w:r>
    </w:p>
  </w:footnote>
  <w:footnote w:id="17">
    <w:p w14:paraId="7B5417AA" w14:textId="406F70C1" w:rsidR="00456DF9" w:rsidRDefault="00456DF9">
      <w:pPr>
        <w:pStyle w:val="FootnoteText"/>
      </w:pPr>
      <w:r>
        <w:rPr>
          <w:rStyle w:val="FootnoteReference"/>
        </w:rPr>
        <w:footnoteRef/>
      </w:r>
      <w:r>
        <w:t xml:space="preserve"> </w:t>
      </w:r>
      <w:r w:rsidR="00C93A92">
        <w:t>Fanny Parnell</w:t>
      </w:r>
      <w:r w:rsidR="00C93A92" w:rsidRPr="006B2AA1">
        <w:t>, ‘</w:t>
      </w:r>
      <w:r w:rsidR="00C93A92">
        <w:t>To my Fellow-Women’.</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38369" w14:textId="77777777" w:rsidR="008B2D29" w:rsidRDefault="008B2D29" w:rsidP="008B2D29">
    <w:pPr>
      <w:pStyle w:val="Header"/>
      <w:jc w:val="both"/>
      <w:rPr>
        <w:b/>
        <w:bCs/>
      </w:rPr>
    </w:pPr>
    <w:r w:rsidRPr="009A1E2E">
      <w:rPr>
        <w:b/>
        <w:bCs/>
      </w:rPr>
      <w:t>Chris Guy</w:t>
    </w:r>
    <w:r w:rsidRPr="009A1E2E">
      <w:rPr>
        <w:b/>
        <w:bCs/>
      </w:rPr>
      <w:tab/>
    </w:r>
    <w:r w:rsidRPr="005231B7">
      <w:rPr>
        <w:b/>
        <w:bCs/>
      </w:rPr>
      <w:t>Relics of the Celtic Revival: Ten Key Texts in Context</w:t>
    </w:r>
  </w:p>
  <w:p w14:paraId="38C52125" w14:textId="32EB5FB1" w:rsidR="008B2D29" w:rsidRPr="00207205" w:rsidRDefault="008B2D29" w:rsidP="008B2D29">
    <w:pPr>
      <w:pStyle w:val="Header"/>
      <w:jc w:val="both"/>
      <w:rPr>
        <w:b/>
        <w:bCs/>
        <w:sz w:val="22"/>
        <w:szCs w:val="22"/>
      </w:rPr>
    </w:pPr>
    <w:r w:rsidRPr="009A1E2E">
      <w:rPr>
        <w:sz w:val="22"/>
        <w:szCs w:val="22"/>
      </w:rPr>
      <w:t>(</w:t>
    </w:r>
    <w:r w:rsidRPr="00207205">
      <w:rPr>
        <w:b/>
        <w:bCs/>
        <w:sz w:val="22"/>
        <w:szCs w:val="22"/>
      </w:rPr>
      <w:t>HPCS5011,HPCS6011</w:t>
    </w:r>
    <w:r w:rsidRPr="009A1E2E">
      <w:rPr>
        <w:sz w:val="22"/>
        <w:szCs w:val="22"/>
      </w:rPr>
      <w:t>)</w:t>
    </w:r>
    <w:r w:rsidRPr="009A1E2E">
      <w:rPr>
        <w:sz w:val="22"/>
        <w:szCs w:val="22"/>
      </w:rPr>
      <w:tab/>
    </w:r>
    <w:r w:rsidRPr="009A1E2E">
      <w:rPr>
        <w:sz w:val="22"/>
        <w:szCs w:val="22"/>
      </w:rPr>
      <w:tab/>
    </w:r>
    <w:r>
      <w:rPr>
        <w:b/>
        <w:bCs/>
        <w:sz w:val="22"/>
        <w:szCs w:val="22"/>
      </w:rPr>
      <w:t>03</w:t>
    </w:r>
    <w:r w:rsidRPr="005231B7">
      <w:rPr>
        <w:b/>
        <w:bCs/>
        <w:sz w:val="22"/>
        <w:szCs w:val="22"/>
      </w:rPr>
      <w:t>/</w:t>
    </w:r>
    <w:r>
      <w:rPr>
        <w:b/>
        <w:bCs/>
        <w:sz w:val="22"/>
        <w:szCs w:val="22"/>
      </w:rPr>
      <w:t>0</w:t>
    </w:r>
    <w:r w:rsidRPr="005231B7">
      <w:rPr>
        <w:b/>
        <w:bCs/>
        <w:sz w:val="22"/>
        <w:szCs w:val="22"/>
      </w:rPr>
      <w:t>1/202</w:t>
    </w:r>
    <w:r>
      <w:rPr>
        <w:b/>
        <w:bCs/>
        <w:sz w:val="22"/>
        <w:szCs w:val="22"/>
      </w:rPr>
      <w:t>6</w:t>
    </w:r>
  </w:p>
  <w:p w14:paraId="2EE0EA8D" w14:textId="77777777" w:rsidR="008B2D29" w:rsidRDefault="008B2D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53F47"/>
    <w:multiLevelType w:val="multilevel"/>
    <w:tmpl w:val="958A7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CF2A72"/>
    <w:multiLevelType w:val="multilevel"/>
    <w:tmpl w:val="23389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936593"/>
    <w:multiLevelType w:val="multilevel"/>
    <w:tmpl w:val="EF5A1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470994"/>
    <w:multiLevelType w:val="multilevel"/>
    <w:tmpl w:val="58D8E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AA3A6D"/>
    <w:multiLevelType w:val="multilevel"/>
    <w:tmpl w:val="684A7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17109D"/>
    <w:multiLevelType w:val="multilevel"/>
    <w:tmpl w:val="0D1A1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0F5FF6"/>
    <w:multiLevelType w:val="multilevel"/>
    <w:tmpl w:val="4A4CA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447AB5"/>
    <w:multiLevelType w:val="multilevel"/>
    <w:tmpl w:val="A816C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F97896"/>
    <w:multiLevelType w:val="multilevel"/>
    <w:tmpl w:val="C5C25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3549F0"/>
    <w:multiLevelType w:val="multilevel"/>
    <w:tmpl w:val="71A8A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DB5E4B"/>
    <w:multiLevelType w:val="multilevel"/>
    <w:tmpl w:val="6F6E6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776E50"/>
    <w:multiLevelType w:val="multilevel"/>
    <w:tmpl w:val="9E64C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6E63DD"/>
    <w:multiLevelType w:val="multilevel"/>
    <w:tmpl w:val="CAA017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00941228">
    <w:abstractNumId w:val="8"/>
  </w:num>
  <w:num w:numId="2" w16cid:durableId="1143500605">
    <w:abstractNumId w:val="9"/>
  </w:num>
  <w:num w:numId="3" w16cid:durableId="1891064251">
    <w:abstractNumId w:val="6"/>
  </w:num>
  <w:num w:numId="4" w16cid:durableId="334773624">
    <w:abstractNumId w:val="3"/>
  </w:num>
  <w:num w:numId="5" w16cid:durableId="456224765">
    <w:abstractNumId w:val="11"/>
  </w:num>
  <w:num w:numId="6" w16cid:durableId="616105541">
    <w:abstractNumId w:val="4"/>
  </w:num>
  <w:num w:numId="7" w16cid:durableId="1007320536">
    <w:abstractNumId w:val="1"/>
  </w:num>
  <w:num w:numId="8" w16cid:durableId="624501293">
    <w:abstractNumId w:val="2"/>
  </w:num>
  <w:num w:numId="9" w16cid:durableId="277152729">
    <w:abstractNumId w:val="10"/>
  </w:num>
  <w:num w:numId="10" w16cid:durableId="2093426669">
    <w:abstractNumId w:val="7"/>
  </w:num>
  <w:num w:numId="11" w16cid:durableId="89934802">
    <w:abstractNumId w:val="5"/>
  </w:num>
  <w:num w:numId="12" w16cid:durableId="319190008">
    <w:abstractNumId w:val="0"/>
  </w:num>
  <w:num w:numId="13" w16cid:durableId="81738207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2B3"/>
    <w:rsid w:val="000157AF"/>
    <w:rsid w:val="000259F4"/>
    <w:rsid w:val="00061503"/>
    <w:rsid w:val="00067F28"/>
    <w:rsid w:val="000703F8"/>
    <w:rsid w:val="000D3B1A"/>
    <w:rsid w:val="000D6C53"/>
    <w:rsid w:val="00160915"/>
    <w:rsid w:val="001931C0"/>
    <w:rsid w:val="00193F3B"/>
    <w:rsid w:val="001A0D37"/>
    <w:rsid w:val="001C6FDA"/>
    <w:rsid w:val="001D177C"/>
    <w:rsid w:val="001F19AC"/>
    <w:rsid w:val="00206ACD"/>
    <w:rsid w:val="002603A7"/>
    <w:rsid w:val="00265ABB"/>
    <w:rsid w:val="0028379D"/>
    <w:rsid w:val="002B2CA7"/>
    <w:rsid w:val="002B63C1"/>
    <w:rsid w:val="002C512A"/>
    <w:rsid w:val="002E1B57"/>
    <w:rsid w:val="002F0B6B"/>
    <w:rsid w:val="002F45EF"/>
    <w:rsid w:val="0033486A"/>
    <w:rsid w:val="00342201"/>
    <w:rsid w:val="003449EA"/>
    <w:rsid w:val="00355080"/>
    <w:rsid w:val="003903A8"/>
    <w:rsid w:val="003A335F"/>
    <w:rsid w:val="004208C0"/>
    <w:rsid w:val="00421AA2"/>
    <w:rsid w:val="00453B7C"/>
    <w:rsid w:val="00456DF9"/>
    <w:rsid w:val="004F179E"/>
    <w:rsid w:val="00522BFE"/>
    <w:rsid w:val="00576EDF"/>
    <w:rsid w:val="0058177C"/>
    <w:rsid w:val="00591092"/>
    <w:rsid w:val="005A16F9"/>
    <w:rsid w:val="005C5662"/>
    <w:rsid w:val="005D5A42"/>
    <w:rsid w:val="00631F62"/>
    <w:rsid w:val="006322B3"/>
    <w:rsid w:val="00637951"/>
    <w:rsid w:val="006B2AA1"/>
    <w:rsid w:val="006B4343"/>
    <w:rsid w:val="006C622E"/>
    <w:rsid w:val="00731A3E"/>
    <w:rsid w:val="00741323"/>
    <w:rsid w:val="00741EE6"/>
    <w:rsid w:val="007B51A7"/>
    <w:rsid w:val="007C1A8F"/>
    <w:rsid w:val="007D65CE"/>
    <w:rsid w:val="008033A9"/>
    <w:rsid w:val="00820984"/>
    <w:rsid w:val="0085559F"/>
    <w:rsid w:val="008A3EA6"/>
    <w:rsid w:val="008B2D29"/>
    <w:rsid w:val="008D0A53"/>
    <w:rsid w:val="008F038C"/>
    <w:rsid w:val="00977D98"/>
    <w:rsid w:val="009A517B"/>
    <w:rsid w:val="009B25A1"/>
    <w:rsid w:val="009C507E"/>
    <w:rsid w:val="00A03F91"/>
    <w:rsid w:val="00A61501"/>
    <w:rsid w:val="00A766F8"/>
    <w:rsid w:val="00AF31ED"/>
    <w:rsid w:val="00B441CD"/>
    <w:rsid w:val="00BA0B2F"/>
    <w:rsid w:val="00BB317C"/>
    <w:rsid w:val="00BD3D70"/>
    <w:rsid w:val="00BE03F7"/>
    <w:rsid w:val="00C025FD"/>
    <w:rsid w:val="00C140E4"/>
    <w:rsid w:val="00C87352"/>
    <w:rsid w:val="00C93678"/>
    <w:rsid w:val="00C93A92"/>
    <w:rsid w:val="00CB44CB"/>
    <w:rsid w:val="00CC7A8C"/>
    <w:rsid w:val="00CD0FA3"/>
    <w:rsid w:val="00CD1D04"/>
    <w:rsid w:val="00CE4879"/>
    <w:rsid w:val="00CE6F9E"/>
    <w:rsid w:val="00CF2592"/>
    <w:rsid w:val="00CF546D"/>
    <w:rsid w:val="00D04473"/>
    <w:rsid w:val="00D27C4D"/>
    <w:rsid w:val="00D45D91"/>
    <w:rsid w:val="00D51CD2"/>
    <w:rsid w:val="00DB53E9"/>
    <w:rsid w:val="00DC118C"/>
    <w:rsid w:val="00DC3134"/>
    <w:rsid w:val="00DF1A0D"/>
    <w:rsid w:val="00E02767"/>
    <w:rsid w:val="00E24D8B"/>
    <w:rsid w:val="00E4477F"/>
    <w:rsid w:val="00EF6A14"/>
    <w:rsid w:val="00F438D2"/>
    <w:rsid w:val="00F6185B"/>
    <w:rsid w:val="00F71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AB4FC"/>
  <w15:chartTrackingRefBased/>
  <w15:docId w15:val="{3D4CCAC1-C9AC-4F35-AB2A-2B8AEFAC3E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22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22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22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22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22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22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22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22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22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2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22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22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22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22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22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22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22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22B3"/>
    <w:rPr>
      <w:rFonts w:eastAsiaTheme="majorEastAsia" w:cstheme="majorBidi"/>
      <w:color w:val="272727" w:themeColor="text1" w:themeTint="D8"/>
    </w:rPr>
  </w:style>
  <w:style w:type="paragraph" w:styleId="Title">
    <w:name w:val="Title"/>
    <w:basedOn w:val="Normal"/>
    <w:next w:val="Normal"/>
    <w:link w:val="TitleChar"/>
    <w:uiPriority w:val="10"/>
    <w:qFormat/>
    <w:rsid w:val="006322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22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22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22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22B3"/>
    <w:pPr>
      <w:spacing w:before="160"/>
      <w:jc w:val="center"/>
    </w:pPr>
    <w:rPr>
      <w:i/>
      <w:iCs/>
      <w:color w:val="404040" w:themeColor="text1" w:themeTint="BF"/>
    </w:rPr>
  </w:style>
  <w:style w:type="character" w:customStyle="1" w:styleId="QuoteChar">
    <w:name w:val="Quote Char"/>
    <w:basedOn w:val="DefaultParagraphFont"/>
    <w:link w:val="Quote"/>
    <w:uiPriority w:val="29"/>
    <w:rsid w:val="006322B3"/>
    <w:rPr>
      <w:i/>
      <w:iCs/>
      <w:color w:val="404040" w:themeColor="text1" w:themeTint="BF"/>
    </w:rPr>
  </w:style>
  <w:style w:type="paragraph" w:styleId="ListParagraph">
    <w:name w:val="List Paragraph"/>
    <w:basedOn w:val="Normal"/>
    <w:uiPriority w:val="34"/>
    <w:qFormat/>
    <w:rsid w:val="006322B3"/>
    <w:pPr>
      <w:ind w:left="720"/>
      <w:contextualSpacing/>
    </w:pPr>
  </w:style>
  <w:style w:type="character" w:styleId="IntenseEmphasis">
    <w:name w:val="Intense Emphasis"/>
    <w:basedOn w:val="DefaultParagraphFont"/>
    <w:uiPriority w:val="21"/>
    <w:qFormat/>
    <w:rsid w:val="006322B3"/>
    <w:rPr>
      <w:i/>
      <w:iCs/>
      <w:color w:val="0F4761" w:themeColor="accent1" w:themeShade="BF"/>
    </w:rPr>
  </w:style>
  <w:style w:type="paragraph" w:styleId="IntenseQuote">
    <w:name w:val="Intense Quote"/>
    <w:basedOn w:val="Normal"/>
    <w:next w:val="Normal"/>
    <w:link w:val="IntenseQuoteChar"/>
    <w:uiPriority w:val="30"/>
    <w:qFormat/>
    <w:rsid w:val="006322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22B3"/>
    <w:rPr>
      <w:i/>
      <w:iCs/>
      <w:color w:val="0F4761" w:themeColor="accent1" w:themeShade="BF"/>
    </w:rPr>
  </w:style>
  <w:style w:type="character" w:styleId="IntenseReference">
    <w:name w:val="Intense Reference"/>
    <w:basedOn w:val="DefaultParagraphFont"/>
    <w:uiPriority w:val="32"/>
    <w:qFormat/>
    <w:rsid w:val="006322B3"/>
    <w:rPr>
      <w:b/>
      <w:bCs/>
      <w:smallCaps/>
      <w:color w:val="0F4761" w:themeColor="accent1" w:themeShade="BF"/>
      <w:spacing w:val="5"/>
    </w:rPr>
  </w:style>
  <w:style w:type="character" w:styleId="CommentReference">
    <w:name w:val="annotation reference"/>
    <w:basedOn w:val="DefaultParagraphFont"/>
    <w:uiPriority w:val="99"/>
    <w:semiHidden/>
    <w:unhideWhenUsed/>
    <w:rsid w:val="00522BFE"/>
    <w:rPr>
      <w:sz w:val="16"/>
      <w:szCs w:val="16"/>
    </w:rPr>
  </w:style>
  <w:style w:type="paragraph" w:styleId="CommentText">
    <w:name w:val="annotation text"/>
    <w:basedOn w:val="Normal"/>
    <w:link w:val="CommentTextChar"/>
    <w:uiPriority w:val="99"/>
    <w:unhideWhenUsed/>
    <w:rsid w:val="00522BFE"/>
    <w:pPr>
      <w:spacing w:line="240" w:lineRule="auto"/>
    </w:pPr>
    <w:rPr>
      <w:sz w:val="20"/>
      <w:szCs w:val="20"/>
    </w:rPr>
  </w:style>
  <w:style w:type="character" w:customStyle="1" w:styleId="CommentTextChar">
    <w:name w:val="Comment Text Char"/>
    <w:basedOn w:val="DefaultParagraphFont"/>
    <w:link w:val="CommentText"/>
    <w:uiPriority w:val="99"/>
    <w:rsid w:val="00522BFE"/>
    <w:rPr>
      <w:sz w:val="20"/>
      <w:szCs w:val="20"/>
    </w:rPr>
  </w:style>
  <w:style w:type="paragraph" w:styleId="CommentSubject">
    <w:name w:val="annotation subject"/>
    <w:basedOn w:val="CommentText"/>
    <w:next w:val="CommentText"/>
    <w:link w:val="CommentSubjectChar"/>
    <w:uiPriority w:val="99"/>
    <w:semiHidden/>
    <w:unhideWhenUsed/>
    <w:rsid w:val="00522BFE"/>
    <w:rPr>
      <w:b/>
      <w:bCs/>
    </w:rPr>
  </w:style>
  <w:style w:type="character" w:customStyle="1" w:styleId="CommentSubjectChar">
    <w:name w:val="Comment Subject Char"/>
    <w:basedOn w:val="CommentTextChar"/>
    <w:link w:val="CommentSubject"/>
    <w:uiPriority w:val="99"/>
    <w:semiHidden/>
    <w:rsid w:val="00522BFE"/>
    <w:rPr>
      <w:b/>
      <w:bCs/>
      <w:sz w:val="20"/>
      <w:szCs w:val="20"/>
    </w:rPr>
  </w:style>
  <w:style w:type="character" w:styleId="Hyperlink">
    <w:name w:val="Hyperlink"/>
    <w:basedOn w:val="DefaultParagraphFont"/>
    <w:uiPriority w:val="99"/>
    <w:unhideWhenUsed/>
    <w:rsid w:val="00522BFE"/>
    <w:rPr>
      <w:color w:val="467886" w:themeColor="hyperlink"/>
      <w:u w:val="single"/>
    </w:rPr>
  </w:style>
  <w:style w:type="character" w:styleId="UnresolvedMention">
    <w:name w:val="Unresolved Mention"/>
    <w:basedOn w:val="DefaultParagraphFont"/>
    <w:uiPriority w:val="99"/>
    <w:semiHidden/>
    <w:unhideWhenUsed/>
    <w:rsid w:val="00522BFE"/>
    <w:rPr>
      <w:color w:val="605E5C"/>
      <w:shd w:val="clear" w:color="auto" w:fill="E1DFDD"/>
    </w:rPr>
  </w:style>
  <w:style w:type="paragraph" w:styleId="Header">
    <w:name w:val="header"/>
    <w:basedOn w:val="Normal"/>
    <w:link w:val="HeaderChar"/>
    <w:uiPriority w:val="99"/>
    <w:unhideWhenUsed/>
    <w:rsid w:val="00CF54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46D"/>
  </w:style>
  <w:style w:type="paragraph" w:styleId="Footer">
    <w:name w:val="footer"/>
    <w:basedOn w:val="Normal"/>
    <w:link w:val="FooterChar"/>
    <w:uiPriority w:val="99"/>
    <w:unhideWhenUsed/>
    <w:rsid w:val="00CF54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46D"/>
  </w:style>
  <w:style w:type="paragraph" w:styleId="Revision">
    <w:name w:val="Revision"/>
    <w:hidden/>
    <w:uiPriority w:val="99"/>
    <w:semiHidden/>
    <w:rsid w:val="000703F8"/>
    <w:pPr>
      <w:spacing w:after="0" w:line="240" w:lineRule="auto"/>
    </w:pPr>
  </w:style>
  <w:style w:type="paragraph" w:styleId="FootnoteText">
    <w:name w:val="footnote text"/>
    <w:basedOn w:val="Normal"/>
    <w:link w:val="FootnoteTextChar"/>
    <w:uiPriority w:val="99"/>
    <w:semiHidden/>
    <w:unhideWhenUsed/>
    <w:rsid w:val="002B2CA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B2CA7"/>
    <w:rPr>
      <w:sz w:val="20"/>
      <w:szCs w:val="20"/>
    </w:rPr>
  </w:style>
  <w:style w:type="character" w:styleId="FootnoteReference">
    <w:name w:val="footnote reference"/>
    <w:basedOn w:val="DefaultParagraphFont"/>
    <w:uiPriority w:val="99"/>
    <w:semiHidden/>
    <w:unhideWhenUsed/>
    <w:rsid w:val="002B2CA7"/>
    <w:rPr>
      <w:vertAlign w:val="superscript"/>
    </w:rPr>
  </w:style>
  <w:style w:type="character" w:styleId="FollowedHyperlink">
    <w:name w:val="FollowedHyperlink"/>
    <w:basedOn w:val="DefaultParagraphFont"/>
    <w:uiPriority w:val="99"/>
    <w:semiHidden/>
    <w:unhideWhenUsed/>
    <w:rsid w:val="0035508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0be4aad1f981351f5e6e0556ada09c38">
  <xsd:schema xmlns:xsd="http://www.w3.org/2001/XMLSchema" xmlns:xs="http://www.w3.org/2001/XMLSchema" xmlns:p="http://schemas.microsoft.com/office/2006/metadata/properties" xmlns:ns3="bf244c3e-e0b4-4871-bb4e-fd032a14544d" targetNamespace="http://schemas.microsoft.com/office/2006/metadata/properties" ma:root="true" ma:fieldsID="5ca9ab1eab11ac381aa26e4b712ae91b"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67C7ECBB-B16D-4EE3-8A84-E6FAE6A557D0}">
  <ds:schemaRefs>
    <ds:schemaRef ds:uri="http://schemas.microsoft.com/sharepoint/v3/contenttype/forms"/>
  </ds:schemaRefs>
</ds:datastoreItem>
</file>

<file path=customXml/itemProps2.xml><?xml version="1.0" encoding="utf-8"?>
<ds:datastoreItem xmlns:ds="http://schemas.openxmlformats.org/officeDocument/2006/customXml" ds:itemID="{9CF4F964-E3F4-4B36-9BDB-743FBFFCC6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501C652-1511-4CC3-978C-E81B359516AB}">
  <ds:schemaRefs>
    <ds:schemaRef ds:uri="http://schemas.openxmlformats.org/officeDocument/2006/bibliography"/>
  </ds:schemaRefs>
</ds:datastoreItem>
</file>

<file path=customXml/itemProps4.xml><?xml version="1.0" encoding="utf-8"?>
<ds:datastoreItem xmlns:ds="http://schemas.openxmlformats.org/officeDocument/2006/customXml" ds:itemID="{DFC82E59-1055-4212-83E8-9E55CF402934}">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8</Pages>
  <Words>2885</Words>
  <Characters>17628</Characters>
  <Application>Microsoft Office Word</Application>
  <DocSecurity>0</DocSecurity>
  <Lines>267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Guy (2404993)</dc:creator>
  <cp:keywords/>
  <dc:description/>
  <cp:lastModifiedBy>Chris Guy (2404993)</cp:lastModifiedBy>
  <cp:revision>5</cp:revision>
  <dcterms:created xsi:type="dcterms:W3CDTF">2026-01-03T23:36:00Z</dcterms:created>
  <dcterms:modified xsi:type="dcterms:W3CDTF">2026-01-04T00:23:00Z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