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50BF7" w14:textId="30AC6616" w:rsidR="008242BA" w:rsidRDefault="008242BA" w:rsidP="0022468E">
      <w:pPr>
        <w:jc w:val="center"/>
        <w:rPr>
          <w:rFonts w:ascii="Arial" w:hAnsi="Arial" w:cs="Arial"/>
          <w:sz w:val="32"/>
          <w:szCs w:val="32"/>
        </w:rPr>
      </w:pPr>
      <w:r w:rsidRPr="006C4755">
        <w:rPr>
          <w:rFonts w:ascii="Arial" w:hAnsi="Arial" w:cs="Arial"/>
          <w:sz w:val="32"/>
          <w:szCs w:val="32"/>
        </w:rPr>
        <w:t xml:space="preserve">Nikola Sugarova </w:t>
      </w:r>
    </w:p>
    <w:p w14:paraId="0C688950" w14:textId="305E407E" w:rsidR="00252BB1" w:rsidRPr="006C4755" w:rsidRDefault="00252BB1" w:rsidP="0022468E">
      <w:pPr>
        <w:jc w:val="center"/>
        <w:rPr>
          <w:rFonts w:ascii="Arial" w:hAnsi="Arial" w:cs="Arial"/>
          <w:sz w:val="32"/>
          <w:szCs w:val="32"/>
        </w:rPr>
      </w:pPr>
      <w:r>
        <w:rPr>
          <w:rFonts w:ascii="Arial" w:hAnsi="Arial" w:cs="Arial"/>
          <w:sz w:val="32"/>
          <w:szCs w:val="32"/>
        </w:rPr>
        <w:t>Student.No</w:t>
      </w:r>
      <w:r w:rsidR="00ED1699">
        <w:rPr>
          <w:rFonts w:ascii="Arial" w:hAnsi="Arial" w:cs="Arial"/>
          <w:sz w:val="32"/>
          <w:szCs w:val="32"/>
        </w:rPr>
        <w:t>-</w:t>
      </w:r>
      <w:r>
        <w:rPr>
          <w:rFonts w:ascii="Arial" w:hAnsi="Arial" w:cs="Arial"/>
          <w:sz w:val="32"/>
          <w:szCs w:val="32"/>
        </w:rPr>
        <w:t>221993</w:t>
      </w:r>
      <w:r w:rsidR="00ED1699">
        <w:rPr>
          <w:rFonts w:ascii="Arial" w:hAnsi="Arial" w:cs="Arial"/>
          <w:sz w:val="32"/>
          <w:szCs w:val="32"/>
        </w:rPr>
        <w:t>6</w:t>
      </w:r>
    </w:p>
    <w:p w14:paraId="6B07A885" w14:textId="5158BD68" w:rsidR="008242BA" w:rsidRPr="006C4755" w:rsidRDefault="006C4755" w:rsidP="0022468E">
      <w:pPr>
        <w:jc w:val="center"/>
        <w:rPr>
          <w:rFonts w:ascii="Arial" w:hAnsi="Arial" w:cs="Arial"/>
          <w:sz w:val="32"/>
          <w:szCs w:val="32"/>
        </w:rPr>
      </w:pPr>
      <w:r w:rsidRPr="006C4755">
        <w:rPr>
          <w:rFonts w:ascii="Arial" w:hAnsi="Arial" w:cs="Arial"/>
          <w:sz w:val="32"/>
          <w:szCs w:val="32"/>
        </w:rPr>
        <w:t xml:space="preserve">Essay </w:t>
      </w:r>
    </w:p>
    <w:p w14:paraId="1552F8F7" w14:textId="1A7C3613" w:rsidR="006C4755" w:rsidRPr="006C4755" w:rsidRDefault="00041BA2" w:rsidP="0022468E">
      <w:pPr>
        <w:jc w:val="center"/>
        <w:rPr>
          <w:rFonts w:ascii="Arial" w:hAnsi="Arial" w:cs="Arial"/>
          <w:sz w:val="32"/>
          <w:szCs w:val="32"/>
        </w:rPr>
      </w:pPr>
      <w:r>
        <w:rPr>
          <w:rFonts w:ascii="Arial" w:hAnsi="Arial" w:cs="Arial"/>
          <w:sz w:val="32"/>
          <w:szCs w:val="32"/>
        </w:rPr>
        <w:t>19</w:t>
      </w:r>
      <w:r w:rsidR="00252BB1">
        <w:rPr>
          <w:rFonts w:ascii="Arial" w:hAnsi="Arial" w:cs="Arial"/>
          <w:sz w:val="32"/>
          <w:szCs w:val="32"/>
        </w:rPr>
        <w:t>/12/25</w:t>
      </w:r>
    </w:p>
    <w:p w14:paraId="575C17DF" w14:textId="77777777" w:rsidR="008242BA" w:rsidRPr="006C4755" w:rsidRDefault="008242BA" w:rsidP="0022468E">
      <w:pPr>
        <w:jc w:val="center"/>
        <w:rPr>
          <w:rFonts w:ascii="Arial" w:hAnsi="Arial" w:cs="Arial"/>
          <w:sz w:val="32"/>
          <w:szCs w:val="32"/>
        </w:rPr>
      </w:pPr>
    </w:p>
    <w:p w14:paraId="4728BB2D" w14:textId="15D5940E" w:rsidR="00754349" w:rsidRPr="006C4755" w:rsidRDefault="0022468E" w:rsidP="006C4755">
      <w:pPr>
        <w:jc w:val="center"/>
        <w:rPr>
          <w:rFonts w:ascii="Arial" w:hAnsi="Arial" w:cs="Arial"/>
          <w:sz w:val="28"/>
          <w:szCs w:val="28"/>
        </w:rPr>
      </w:pPr>
      <w:r w:rsidRPr="006C4755">
        <w:rPr>
          <w:rFonts w:ascii="Arial" w:hAnsi="Arial" w:cs="Arial"/>
          <w:sz w:val="28"/>
          <w:szCs w:val="28"/>
        </w:rPr>
        <w:t>Performing Professionalism: Workplace Dress Codes as Sites of Gender Production</w:t>
      </w:r>
    </w:p>
    <w:p w14:paraId="1C116E92" w14:textId="77777777" w:rsidR="0022468E" w:rsidRDefault="0022468E" w:rsidP="0022468E">
      <w:pPr>
        <w:jc w:val="center"/>
      </w:pPr>
    </w:p>
    <w:p w14:paraId="13E6AC1C" w14:textId="7D5BF92D" w:rsidR="0022468E" w:rsidRPr="006C4755" w:rsidRDefault="0022468E" w:rsidP="0022468E">
      <w:pPr>
        <w:rPr>
          <w:rFonts w:ascii="Arial" w:hAnsi="Arial" w:cs="Arial"/>
          <w:b/>
          <w:bCs/>
        </w:rPr>
      </w:pPr>
      <w:r w:rsidRPr="006C4755">
        <w:rPr>
          <w:rFonts w:ascii="Arial" w:hAnsi="Arial" w:cs="Arial"/>
          <w:b/>
          <w:bCs/>
        </w:rPr>
        <w:t>Introduction</w:t>
      </w:r>
    </w:p>
    <w:p w14:paraId="557A880D" w14:textId="77777777" w:rsidR="00E61388" w:rsidRPr="006C4755" w:rsidRDefault="00E61388" w:rsidP="00E61388">
      <w:pPr>
        <w:pStyle w:val="NormalWeb"/>
        <w:rPr>
          <w:rFonts w:ascii="Arial" w:hAnsi="Arial" w:cs="Arial"/>
        </w:rPr>
      </w:pPr>
      <w:r w:rsidRPr="006C4755">
        <w:rPr>
          <w:rFonts w:ascii="Arial" w:hAnsi="Arial" w:cs="Arial"/>
        </w:rPr>
        <w:t>Dress code regulations may seem like mere organizational tools intended to create an atmosphere of professionalism. However, the meanings we assign to attire, hair styles, grooming, makeup and body image are always more than just aesthetically pleasing. Rather, these standards provide a complex framework for understanding what is perceived as professional competence, professional credibility and what type of person is deemed acceptable by the organization.</w:t>
      </w:r>
    </w:p>
    <w:p w14:paraId="58C23682" w14:textId="20767F43" w:rsidR="00E61388" w:rsidRPr="006C4755" w:rsidRDefault="00E61388" w:rsidP="00E61388">
      <w:pPr>
        <w:pStyle w:val="NormalWeb"/>
        <w:rPr>
          <w:rFonts w:ascii="Arial" w:hAnsi="Arial" w:cs="Arial"/>
        </w:rPr>
      </w:pPr>
      <w:r w:rsidRPr="006C4755">
        <w:rPr>
          <w:rFonts w:ascii="Arial" w:hAnsi="Arial" w:cs="Arial"/>
        </w:rPr>
        <w:t xml:space="preserve">In this paper, I will use Judith Butlers (1990) theory on Gender Performativity to explore a singular cultural phenomenon, namely how employees in contemporary workplaces are expected to present themselves professionally. I will demonstrate that workplace expectations regarding dress and appearance do not merely reflect existing perceptions of masculinity and femininity; instead, they contribute to creating gender by requiring repeated, recognizable social </w:t>
      </w:r>
      <w:r w:rsidR="006C4755" w:rsidRPr="006C4755">
        <w:rPr>
          <w:rFonts w:ascii="Arial" w:hAnsi="Arial" w:cs="Arial"/>
        </w:rPr>
        <w:t>behaviours</w:t>
      </w:r>
      <w:r w:rsidRPr="006C4755">
        <w:rPr>
          <w:rFonts w:ascii="Arial" w:hAnsi="Arial" w:cs="Arial"/>
        </w:rPr>
        <w:t xml:space="preserve"> that reinforce the notion of consistent identities.</w:t>
      </w:r>
    </w:p>
    <w:p w14:paraId="2DB206A0" w14:textId="44C45F08" w:rsidR="00E61388" w:rsidRPr="006C4755" w:rsidRDefault="006C4755" w:rsidP="00E61388">
      <w:pPr>
        <w:pStyle w:val="NormalWeb"/>
        <w:rPr>
          <w:rFonts w:ascii="Arial" w:hAnsi="Arial" w:cs="Arial"/>
        </w:rPr>
      </w:pPr>
      <w:r w:rsidRPr="006C4755">
        <w:rPr>
          <w:rFonts w:ascii="Arial" w:hAnsi="Arial" w:cs="Arial"/>
        </w:rPr>
        <w:t>Butler’s</w:t>
      </w:r>
      <w:r w:rsidR="00E61388" w:rsidRPr="006C4755">
        <w:rPr>
          <w:rFonts w:ascii="Arial" w:hAnsi="Arial" w:cs="Arial"/>
        </w:rPr>
        <w:t xml:space="preserve"> theories are useful here because she has shifted the focus from viewing gender as an expression of some internal truth to gender being the product of repetitive norms that become normative due to continued practice. In the workplace, professional attire typically represents masculinity as authority, neutrality, and restraint, whereas femininity is represented as decoration and support or, if too visible, as non-professional and inappropriate. The maintenance of these norms is accomplished not only through formalized policies but through ongoing forms of informal evaluation including managerial feedback, peer comments, customers evaluations of the employee, and the allocation of opportunity and credibility. This is far from a trivial matter of fashion. If the definition of "professionalism" is the mechanism by which employees are legitimized as members of their respective organizations, then dress codes are a mechanism through which gendered legitimacy is constructed, recognized and </w:t>
      </w:r>
      <w:r w:rsidRPr="006C4755">
        <w:rPr>
          <w:rFonts w:ascii="Arial" w:hAnsi="Arial" w:cs="Arial"/>
        </w:rPr>
        <w:t>denied. ³</w:t>
      </w:r>
    </w:p>
    <w:p w14:paraId="4D9E185F" w14:textId="74CADE69" w:rsidR="00E61388" w:rsidRPr="006C4755" w:rsidRDefault="00E61388" w:rsidP="0022468E">
      <w:pPr>
        <w:rPr>
          <w:rFonts w:ascii="Arial" w:hAnsi="Arial" w:cs="Arial"/>
          <w:b/>
          <w:bCs/>
        </w:rPr>
      </w:pPr>
      <w:r w:rsidRPr="006C4755">
        <w:rPr>
          <w:rFonts w:ascii="Arial" w:hAnsi="Arial" w:cs="Arial"/>
          <w:b/>
          <w:bCs/>
        </w:rPr>
        <w:t>Butler's Framework: Performativity, Intelligibility, and Regulation</w:t>
      </w:r>
    </w:p>
    <w:p w14:paraId="6D5D0636" w14:textId="08654E29" w:rsidR="00E61388" w:rsidRPr="006C4755" w:rsidRDefault="00E61388" w:rsidP="00E61388">
      <w:pPr>
        <w:pStyle w:val="NormalWeb"/>
        <w:rPr>
          <w:rFonts w:ascii="Arial" w:hAnsi="Arial" w:cs="Arial"/>
        </w:rPr>
      </w:pPr>
      <w:r w:rsidRPr="006C4755">
        <w:rPr>
          <w:rFonts w:ascii="Arial" w:hAnsi="Arial" w:cs="Arial"/>
        </w:rPr>
        <w:lastRenderedPageBreak/>
        <w:t xml:space="preserve">A common misconception is that Butler’s performativity of gender is an optional "performance," as if gender could be a simple matter of putting on a costume and taking it off. Butler makes a stronger and more sociological argument that gender is created through ongoing actions that reference and recreate accepted norms of </w:t>
      </w:r>
      <w:r w:rsidR="006C4755" w:rsidRPr="006C4755">
        <w:rPr>
          <w:rFonts w:ascii="Arial" w:hAnsi="Arial" w:cs="Arial"/>
        </w:rPr>
        <w:t>behaviour</w:t>
      </w:r>
      <w:r w:rsidRPr="006C4755">
        <w:rPr>
          <w:rFonts w:ascii="Arial" w:hAnsi="Arial" w:cs="Arial"/>
        </w:rPr>
        <w:t xml:space="preserve">, creating the illusion of a fixed or natural identity.⁴ Butler states in Gender Trouble, gender is “a stylized repetition of acts,” showing how something that appears to be a fixed, internal quality is actually an outcome of social </w:t>
      </w:r>
      <w:r w:rsidR="006C4755" w:rsidRPr="006C4755">
        <w:rPr>
          <w:rFonts w:ascii="Arial" w:hAnsi="Arial" w:cs="Arial"/>
        </w:rPr>
        <w:t>behaviour</w:t>
      </w:r>
      <w:r w:rsidRPr="006C4755">
        <w:rPr>
          <w:rFonts w:ascii="Arial" w:hAnsi="Arial" w:cs="Arial"/>
        </w:rPr>
        <w:t xml:space="preserve"> over time.⁵ The importance of repetition is critical for understanding workplaces because employees have to enact workplace norms (dress code, etc.) every day and those norms are constantly open for judgment.</w:t>
      </w:r>
    </w:p>
    <w:p w14:paraId="24C4253A" w14:textId="598892B3" w:rsidR="00E61388" w:rsidRPr="006C4755" w:rsidRDefault="00E61388" w:rsidP="00E61388">
      <w:pPr>
        <w:pStyle w:val="NormalWeb"/>
        <w:rPr>
          <w:rFonts w:ascii="Arial" w:hAnsi="Arial" w:cs="Arial"/>
        </w:rPr>
      </w:pPr>
      <w:r w:rsidRPr="006C4755">
        <w:rPr>
          <w:rFonts w:ascii="Arial" w:hAnsi="Arial" w:cs="Arial"/>
        </w:rPr>
        <w:t xml:space="preserve">Butler emphasizes the need for intelligibility, i.e., the social conditions necessary for an individual to be recognized as a cohesive </w:t>
      </w:r>
      <w:r w:rsidR="006C4755" w:rsidRPr="006C4755">
        <w:rPr>
          <w:rFonts w:ascii="Arial" w:hAnsi="Arial" w:cs="Arial"/>
        </w:rPr>
        <w:t>subject. ⁶</w:t>
      </w:r>
      <w:r w:rsidRPr="006C4755">
        <w:rPr>
          <w:rFonts w:ascii="Arial" w:hAnsi="Arial" w:cs="Arial"/>
        </w:rPr>
        <w:t xml:space="preserve"> Butler believes that regulatory ideals for gender provide the framework for determining whether a body and its presentation make sense or are intelligible. These regulatory ideals are not just expressions of cultural preferences, but they are forms of power that establish who belongs and who does not belong. In organizational settings, intelligibility is typically constructed through "professionalism," which is often presented as neutral while commonly including implicit gendered requirements. If an employee presents themselves in a way that deviates from the expected norm (for example, through non-gender conformist dress, visibly presenting as trans, or even a woman dressing too "feminine"), the deviation may be interpreted as evidence of the employee's incompetence, lack of attention, or lack of seriousness. Examples such as this illustrate Butler's point that norms do not merely describe; they create the context for what is considered acceptable and </w:t>
      </w:r>
      <w:r w:rsidR="006C4755" w:rsidRPr="006C4755">
        <w:rPr>
          <w:rFonts w:ascii="Arial" w:hAnsi="Arial" w:cs="Arial"/>
        </w:rPr>
        <w:t>real. ⁷</w:t>
      </w:r>
    </w:p>
    <w:p w14:paraId="13D4F338" w14:textId="234D2D8C" w:rsidR="00E61388" w:rsidRPr="006C4755" w:rsidRDefault="00E61388" w:rsidP="00E61388">
      <w:pPr>
        <w:pStyle w:val="NormalWeb"/>
        <w:rPr>
          <w:rFonts w:ascii="Arial" w:hAnsi="Arial" w:cs="Arial"/>
        </w:rPr>
      </w:pPr>
      <w:r w:rsidRPr="006C4755">
        <w:rPr>
          <w:rFonts w:ascii="Arial" w:hAnsi="Arial" w:cs="Arial"/>
        </w:rPr>
        <w:t xml:space="preserve">In Bodies That Matter, Butler expands upon this idea by arguing that "sex" itself is not a pre-existing category, but rather is made material by the regulatory practices that stabilize bodies within cultural constructs.⁸ Dress standards in the workplace contribute to the materialization of sex by repeatedly identifying bodies as male or female in ways that are culturally intelligible. For instance, the business suit has long been seen as a key marker of masculinity in the workplace – both in terms of the way suits fit and the </w:t>
      </w:r>
      <w:r w:rsidR="006C4755" w:rsidRPr="006C4755">
        <w:rPr>
          <w:rFonts w:ascii="Arial" w:hAnsi="Arial" w:cs="Arial"/>
        </w:rPr>
        <w:t>colours</w:t>
      </w:r>
      <w:r w:rsidRPr="006C4755">
        <w:rPr>
          <w:rFonts w:ascii="Arial" w:hAnsi="Arial" w:cs="Arial"/>
        </w:rPr>
        <w:t xml:space="preserve"> and associations with authority that define the "businessman."⁹ Women who work professionally are similarly constrained by two contradictory expectations: their professional attire should sufficiently reflect traditional notions of femininity so that they are clearly identified as women, yet their clothing should also be sufficiently restrictive to avoid being viewed as overtly sexual, frivolous, or un-serious.¹⁰ In Butler’s view, these are not simply problems of individual choice, but are rather the result of systemic forces of norms that constrain the possible choices of individuals and penalize them for choosing outside the acceptable range of options.</w:t>
      </w:r>
    </w:p>
    <w:p w14:paraId="28EEC68A" w14:textId="12CC92CD" w:rsidR="00E61388" w:rsidRPr="006C4755" w:rsidRDefault="00E61388" w:rsidP="0022468E">
      <w:pPr>
        <w:rPr>
          <w:rFonts w:ascii="Arial" w:hAnsi="Arial" w:cs="Arial"/>
          <w:b/>
          <w:bCs/>
        </w:rPr>
      </w:pPr>
      <w:r w:rsidRPr="006C4755">
        <w:rPr>
          <w:rFonts w:ascii="Arial" w:hAnsi="Arial" w:cs="Arial"/>
          <w:b/>
          <w:bCs/>
        </w:rPr>
        <w:t>Professional Dress as a Gendering Regime</w:t>
      </w:r>
    </w:p>
    <w:p w14:paraId="0FD30175" w14:textId="4BA7C5A7" w:rsidR="008242BA" w:rsidRPr="006C4755" w:rsidRDefault="008242BA" w:rsidP="008242BA">
      <w:pPr>
        <w:pStyle w:val="NormalWeb"/>
        <w:rPr>
          <w:rFonts w:ascii="Arial" w:hAnsi="Arial" w:cs="Arial"/>
        </w:rPr>
      </w:pPr>
      <w:r w:rsidRPr="006C4755">
        <w:rPr>
          <w:rFonts w:ascii="Arial" w:hAnsi="Arial" w:cs="Arial"/>
        </w:rPr>
        <w:t xml:space="preserve">In this regard, work attire is a gendering technology. Clothing is more than just adorning </w:t>
      </w:r>
      <w:r w:rsidR="006C4755" w:rsidRPr="006C4755">
        <w:rPr>
          <w:rFonts w:ascii="Arial" w:hAnsi="Arial" w:cs="Arial"/>
        </w:rPr>
        <w:t>oneself</w:t>
      </w:r>
      <w:r w:rsidRPr="006C4755">
        <w:rPr>
          <w:rFonts w:ascii="Arial" w:hAnsi="Arial" w:cs="Arial"/>
        </w:rPr>
        <w:t xml:space="preserve">; it is a form of embodiment that reproduces and negotiates social categories. Entwistle explains that clothing is a situational bodily practice that is socially regulated. That is, clothes have a regulatory quality based on the context of wear and </w:t>
      </w:r>
      <w:r w:rsidR="006C4755" w:rsidRPr="006C4755">
        <w:rPr>
          <w:rFonts w:ascii="Arial" w:hAnsi="Arial" w:cs="Arial"/>
        </w:rPr>
        <w:t>interpretation. ¹</w:t>
      </w:r>
      <w:r w:rsidRPr="006C4755">
        <w:rPr>
          <w:rFonts w:ascii="Arial" w:hAnsi="Arial" w:cs="Arial"/>
        </w:rPr>
        <w:t xml:space="preserve">¹ In most professional settings, there is a "default" standard for competency that has been historically male-oriented: limited ornamentation, </w:t>
      </w:r>
      <w:r w:rsidRPr="006C4755">
        <w:rPr>
          <w:rFonts w:ascii="Arial" w:hAnsi="Arial" w:cs="Arial"/>
        </w:rPr>
        <w:lastRenderedPageBreak/>
        <w:t xml:space="preserve">darker </w:t>
      </w:r>
      <w:r w:rsidR="006C4755" w:rsidRPr="006C4755">
        <w:rPr>
          <w:rFonts w:ascii="Arial" w:hAnsi="Arial" w:cs="Arial"/>
        </w:rPr>
        <w:t>colours</w:t>
      </w:r>
      <w:r w:rsidRPr="006C4755">
        <w:rPr>
          <w:rFonts w:ascii="Arial" w:hAnsi="Arial" w:cs="Arial"/>
        </w:rPr>
        <w:t xml:space="preserve">, little expression, and bodily constraint. The neutrality of these standards is themselves a gendered accomplishment. When masculinity is represented as simply being "professional," it </w:t>
      </w:r>
      <w:r w:rsidR="006C4755" w:rsidRPr="006C4755">
        <w:rPr>
          <w:rFonts w:ascii="Arial" w:hAnsi="Arial" w:cs="Arial"/>
        </w:rPr>
        <w:t>can</w:t>
      </w:r>
      <w:r w:rsidRPr="006C4755">
        <w:rPr>
          <w:rFonts w:ascii="Arial" w:hAnsi="Arial" w:cs="Arial"/>
        </w:rPr>
        <w:t xml:space="preserve"> hide its own normative structure and represent itself as universal.</w:t>
      </w:r>
    </w:p>
    <w:p w14:paraId="2CEB9070" w14:textId="6BE05A59" w:rsidR="008242BA" w:rsidRPr="006C4755" w:rsidRDefault="008242BA" w:rsidP="008242BA">
      <w:pPr>
        <w:pStyle w:val="NormalWeb"/>
        <w:rPr>
          <w:rFonts w:ascii="Arial" w:hAnsi="Arial" w:cs="Arial"/>
        </w:rPr>
      </w:pPr>
      <w:r w:rsidRPr="006C4755">
        <w:rPr>
          <w:rFonts w:ascii="Arial" w:hAnsi="Arial" w:cs="Arial"/>
        </w:rPr>
        <w:t xml:space="preserve">Butler’s concept of citationality allows us to understand how these standards become authoritative. “Professional” styles are cited in hiring practices, organizational images, examples of leaders, and informal mentorship. Often, employees are educated (without explicit guidance) about what constitutes appropriate grooming, clothing, and the amount of emotional expression/restraint. This process of citation occurs collectively among coworkers and managers, as they cite the normative style by praising an individual's “polish,” or signal disapproval by making jokes, comments, or evaluating job performance. Over time, the organization develops a recognizable type of worker-subject: the competent employee whose body is governed by organizational </w:t>
      </w:r>
      <w:r w:rsidR="006C4755" w:rsidRPr="006C4755">
        <w:rPr>
          <w:rFonts w:ascii="Arial" w:hAnsi="Arial" w:cs="Arial"/>
        </w:rPr>
        <w:t>norms. ¹</w:t>
      </w:r>
      <w:r w:rsidRPr="006C4755">
        <w:rPr>
          <w:rFonts w:ascii="Arial" w:hAnsi="Arial" w:cs="Arial"/>
        </w:rPr>
        <w:t>²</w:t>
      </w:r>
    </w:p>
    <w:p w14:paraId="6410F599" w14:textId="384751F1" w:rsidR="008242BA" w:rsidRPr="006C4755" w:rsidRDefault="008242BA" w:rsidP="008242BA">
      <w:pPr>
        <w:pStyle w:val="NormalWeb"/>
        <w:rPr>
          <w:rFonts w:ascii="Arial" w:hAnsi="Arial" w:cs="Arial"/>
        </w:rPr>
      </w:pPr>
      <w:r w:rsidRPr="006C4755">
        <w:rPr>
          <w:rFonts w:ascii="Arial" w:hAnsi="Arial" w:cs="Arial"/>
        </w:rPr>
        <w:t xml:space="preserve">Additionally, this method of citation interacts with forms of power and inequality. Gendered dress codes do not affect all bodies equally. Workers who are coded as feminine, for example, may be asked to produce additional aesthetic </w:t>
      </w:r>
      <w:r w:rsidR="006C4755" w:rsidRPr="006C4755">
        <w:rPr>
          <w:rFonts w:ascii="Arial" w:hAnsi="Arial" w:cs="Arial"/>
        </w:rPr>
        <w:t>labour</w:t>
      </w:r>
      <w:r w:rsidRPr="006C4755">
        <w:rPr>
          <w:rFonts w:ascii="Arial" w:hAnsi="Arial" w:cs="Arial"/>
        </w:rPr>
        <w:t xml:space="preserve"> </w:t>
      </w:r>
      <w:r w:rsidR="006C4755" w:rsidRPr="006C4755">
        <w:rPr>
          <w:rFonts w:ascii="Arial" w:hAnsi="Arial" w:cs="Arial"/>
        </w:rPr>
        <w:t>,</w:t>
      </w:r>
      <w:r w:rsidRPr="006C4755">
        <w:rPr>
          <w:rFonts w:ascii="Arial" w:hAnsi="Arial" w:cs="Arial"/>
        </w:rPr>
        <w:t xml:space="preserve">hair, makeup, heels, etc., that takes time and money, and increases the visibility of the body.¹³ At the same time, workers who cannot or will not cite normative masculinity or femininity - especially transgender, gender non-conforming, or non-binary workers </w:t>
      </w:r>
      <w:r w:rsidR="006C4755" w:rsidRPr="006C4755">
        <w:rPr>
          <w:rFonts w:ascii="Arial" w:hAnsi="Arial" w:cs="Arial"/>
        </w:rPr>
        <w:t>,</w:t>
      </w:r>
      <w:r w:rsidRPr="006C4755">
        <w:rPr>
          <w:rFonts w:ascii="Arial" w:hAnsi="Arial" w:cs="Arial"/>
        </w:rPr>
        <w:t>may experience increased scrutiny because their style disrupts the assumption that gender is immediately readable.¹⁴ Therefore, workplaces become sites in which gender is constantly produced as a prerequisite for both recognition and employment. The “professional image” serves as a sorting mechanism: It differentially allocates credibility and authority, while presenting these allocations as the result of personal effort.</w:t>
      </w:r>
    </w:p>
    <w:p w14:paraId="776E6057" w14:textId="43438623" w:rsidR="008242BA" w:rsidRPr="006C4755" w:rsidRDefault="008242BA" w:rsidP="0022468E">
      <w:pPr>
        <w:rPr>
          <w:rFonts w:ascii="Arial" w:hAnsi="Arial" w:cs="Arial"/>
          <w:b/>
          <w:bCs/>
        </w:rPr>
      </w:pPr>
      <w:r w:rsidRPr="006C4755">
        <w:rPr>
          <w:rFonts w:ascii="Arial" w:hAnsi="Arial" w:cs="Arial"/>
          <w:b/>
          <w:bCs/>
        </w:rPr>
        <w:t>Case Studies: The Double Bind and the Masculine Default</w:t>
      </w:r>
    </w:p>
    <w:p w14:paraId="78B6A725" w14:textId="60C0371B" w:rsidR="008242BA" w:rsidRPr="006C4755" w:rsidRDefault="008242BA" w:rsidP="008242BA">
      <w:pPr>
        <w:pStyle w:val="NormalWeb"/>
        <w:rPr>
          <w:rFonts w:ascii="Arial" w:hAnsi="Arial" w:cs="Arial"/>
        </w:rPr>
      </w:pPr>
      <w:r w:rsidRPr="006C4755">
        <w:rPr>
          <w:rFonts w:ascii="Arial" w:hAnsi="Arial" w:cs="Arial"/>
        </w:rPr>
        <w:t>To illustrate these factors with specific examples, we can look at gendered-dress regulations. Women working in professional fields dominated by males experience the "</w:t>
      </w:r>
      <w:r w:rsidR="006C4755" w:rsidRPr="006C4755">
        <w:rPr>
          <w:rFonts w:ascii="Arial" w:hAnsi="Arial" w:cs="Arial"/>
        </w:rPr>
        <w:t>double bind</w:t>
      </w:r>
      <w:r w:rsidRPr="006C4755">
        <w:rPr>
          <w:rFonts w:ascii="Arial" w:hAnsi="Arial" w:cs="Arial"/>
        </w:rPr>
        <w:t xml:space="preserve">" that sociologists describe: They need to indicate enough femininity so others recognize them as women, yet too much femininity would undermine their authority. For example, a female lawyer who wears casual pants and little makeup might be perceived as having too little femininity and therefore risk social penalties for gender deviance. On the other hand, if she dresses in a skirt, </w:t>
      </w:r>
      <w:r w:rsidR="006C4755" w:rsidRPr="006C4755">
        <w:rPr>
          <w:rFonts w:ascii="Arial" w:hAnsi="Arial" w:cs="Arial"/>
        </w:rPr>
        <w:t>jewellery</w:t>
      </w:r>
      <w:r w:rsidRPr="006C4755">
        <w:rPr>
          <w:rFonts w:ascii="Arial" w:hAnsi="Arial" w:cs="Arial"/>
        </w:rPr>
        <w:t xml:space="preserve">, and styled hair, she risks being judged as less serious and/or competent than her male peers. Goffman's (1959) concept of the "presentation of self" is helpful when explaining how professional identity is conveyed </w:t>
      </w:r>
      <w:r w:rsidR="006C4755" w:rsidRPr="006C4755">
        <w:rPr>
          <w:rFonts w:ascii="Arial" w:hAnsi="Arial" w:cs="Arial"/>
        </w:rPr>
        <w:t>using</w:t>
      </w:r>
      <w:r w:rsidRPr="006C4755">
        <w:rPr>
          <w:rFonts w:ascii="Arial" w:hAnsi="Arial" w:cs="Arial"/>
        </w:rPr>
        <w:t xml:space="preserve"> appearance cues that people interpret based on existing cultural scripts. When those cultural scripts are gendered, the </w:t>
      </w:r>
      <w:r w:rsidR="006C4755" w:rsidRPr="006C4755">
        <w:rPr>
          <w:rFonts w:ascii="Arial" w:hAnsi="Arial" w:cs="Arial"/>
        </w:rPr>
        <w:t>labour</w:t>
      </w:r>
      <w:r w:rsidRPr="006C4755">
        <w:rPr>
          <w:rFonts w:ascii="Arial" w:hAnsi="Arial" w:cs="Arial"/>
        </w:rPr>
        <w:t xml:space="preserve"> involved in presenting oneself becomes asymmetric.</w:t>
      </w:r>
    </w:p>
    <w:p w14:paraId="12373A18" w14:textId="1DCB18BB" w:rsidR="008242BA" w:rsidRPr="006C4755" w:rsidRDefault="008242BA" w:rsidP="008242BA">
      <w:pPr>
        <w:pStyle w:val="NormalWeb"/>
        <w:rPr>
          <w:rFonts w:ascii="Arial" w:hAnsi="Arial" w:cs="Arial"/>
        </w:rPr>
      </w:pPr>
      <w:r w:rsidRPr="006C4755">
        <w:rPr>
          <w:rFonts w:ascii="Arial" w:hAnsi="Arial" w:cs="Arial"/>
        </w:rPr>
        <w:t>The fact that this symmetry exists reveals the way that Connell (2005) describes as "hegemonic masculinity." Hegemonic masculinity refers to the culturally idealized form of manhood that subjugates both women and men who do not embody it. The dark-</w:t>
      </w:r>
      <w:r w:rsidR="006C4755" w:rsidRPr="006C4755">
        <w:rPr>
          <w:rFonts w:ascii="Arial" w:hAnsi="Arial" w:cs="Arial"/>
        </w:rPr>
        <w:t>coloured</w:t>
      </w:r>
      <w:r w:rsidRPr="006C4755">
        <w:rPr>
          <w:rFonts w:ascii="Arial" w:hAnsi="Arial" w:cs="Arial"/>
        </w:rPr>
        <w:t xml:space="preserve"> business suit, crisp white dress-shirt, and polished black oxfords used in most corporate environments represent the embodiment of hegemonic masculinity. These items carry an unspoken message that the person wearing them </w:t>
      </w:r>
      <w:r w:rsidRPr="006C4755">
        <w:rPr>
          <w:rFonts w:ascii="Arial" w:hAnsi="Arial" w:cs="Arial"/>
        </w:rPr>
        <w:lastRenderedPageBreak/>
        <w:t xml:space="preserve">is rational, competent and has earned the right to take part in the </w:t>
      </w:r>
      <w:r w:rsidR="006C4755" w:rsidRPr="006C4755">
        <w:rPr>
          <w:rFonts w:ascii="Arial" w:hAnsi="Arial" w:cs="Arial"/>
        </w:rPr>
        <w:t>decision-making</w:t>
      </w:r>
      <w:r w:rsidRPr="006C4755">
        <w:rPr>
          <w:rFonts w:ascii="Arial" w:hAnsi="Arial" w:cs="Arial"/>
        </w:rPr>
        <w:t xml:space="preserve"> processes. While women adopting similar styles may earn greater levels of professional credibility, they are almost never viewed as neutral. This is because a woman who chooses to wear masculine-coded dress is seen as choosing to act outside the expectations associated with the female baseline, and therefore the act of dressing in this manner will always be recognizable as </w:t>
      </w:r>
      <w:r w:rsidR="006C4755" w:rsidRPr="006C4755">
        <w:rPr>
          <w:rFonts w:ascii="Arial" w:hAnsi="Arial" w:cs="Arial"/>
        </w:rPr>
        <w:t>labour</w:t>
      </w:r>
      <w:r w:rsidRPr="006C4755">
        <w:rPr>
          <w:rFonts w:ascii="Arial" w:hAnsi="Arial" w:cs="Arial"/>
        </w:rPr>
        <w:t xml:space="preserve"> related to gender.</w:t>
      </w:r>
    </w:p>
    <w:p w14:paraId="6BBC63BD" w14:textId="77777777" w:rsidR="008242BA" w:rsidRPr="006C4755" w:rsidRDefault="008242BA" w:rsidP="008242BA">
      <w:pPr>
        <w:pStyle w:val="NormalWeb"/>
        <w:rPr>
          <w:rFonts w:ascii="Arial" w:hAnsi="Arial" w:cs="Arial"/>
        </w:rPr>
      </w:pPr>
      <w:r w:rsidRPr="006C4755">
        <w:rPr>
          <w:rFonts w:ascii="Arial" w:hAnsi="Arial" w:cs="Arial"/>
        </w:rPr>
        <w:t>The experiences of trans and gender non-conforming workers help demonstrate the coercive nature of dress code rules more clearly. Workers who appear to be neither male nor female in terms of their attire may experience direct resistance: They may be told that their clothing is "not acceptable," they may be denied access to jobs where they would interact directly with clients, or they may be asked intrusive questions about their gender. Butler's (1990) concept of "gender intelligibility" is also relevant here. To be unintelligible is to be understood as not legitimate - to have your existence challenged or rejected. Similarly, in the context of dress codes, there is no difference between regulating the type of clothing someone wears and regulating whose body can exist as a subject of professional activity.</w:t>
      </w:r>
    </w:p>
    <w:p w14:paraId="1EFCE246" w14:textId="63FFB33E" w:rsidR="008242BA" w:rsidRPr="006C4755" w:rsidRDefault="008242BA" w:rsidP="0022468E">
      <w:pPr>
        <w:rPr>
          <w:rFonts w:ascii="Arial" w:hAnsi="Arial" w:cs="Arial"/>
          <w:b/>
          <w:bCs/>
        </w:rPr>
      </w:pPr>
      <w:r w:rsidRPr="006C4755">
        <w:rPr>
          <w:rFonts w:ascii="Arial" w:hAnsi="Arial" w:cs="Arial"/>
          <w:b/>
          <w:bCs/>
        </w:rPr>
        <w:t>Emotional Labour and the Aesthetics of Femininity</w:t>
      </w:r>
    </w:p>
    <w:p w14:paraId="3A141FB6" w14:textId="4FB0AAD8" w:rsidR="008242BA" w:rsidRPr="006C4755" w:rsidRDefault="008242BA" w:rsidP="008242BA">
      <w:pPr>
        <w:pStyle w:val="NormalWeb"/>
        <w:rPr>
          <w:rFonts w:ascii="Arial" w:hAnsi="Arial" w:cs="Arial"/>
        </w:rPr>
      </w:pPr>
      <w:r w:rsidRPr="006C4755">
        <w:rPr>
          <w:rFonts w:ascii="Arial" w:hAnsi="Arial" w:cs="Arial"/>
        </w:rPr>
        <w:t>The role of emotional labour described by Hochschild in her book (</w:t>
      </w:r>
      <w:r w:rsidR="006C4755" w:rsidRPr="006C4755">
        <w:rPr>
          <w:rFonts w:ascii="Arial" w:hAnsi="Arial" w:cs="Arial"/>
        </w:rPr>
        <w:t>1983) ¹</w:t>
      </w:r>
      <w:r w:rsidRPr="006C4755">
        <w:rPr>
          <w:rFonts w:ascii="Arial" w:hAnsi="Arial" w:cs="Arial"/>
        </w:rPr>
        <w:t xml:space="preserve">³ complements Butler's theoretical framework. In addition to managing their actions, workers in service jobs identified as traditionally female flight attendants, receptionists, retail clerks, etc. must also manage how they feel and appear to customers. Service workers in the </w:t>
      </w:r>
      <w:r w:rsidR="006C4755" w:rsidRPr="006C4755">
        <w:rPr>
          <w:rFonts w:ascii="Arial" w:hAnsi="Arial" w:cs="Arial"/>
        </w:rPr>
        <w:t>above-mentioned</w:t>
      </w:r>
      <w:r w:rsidRPr="006C4755">
        <w:rPr>
          <w:rFonts w:ascii="Arial" w:hAnsi="Arial" w:cs="Arial"/>
        </w:rPr>
        <w:t xml:space="preserve"> categories must present themselves as attractive, warm and deferential. It is not uncommon for such workers to be required to wear 'flattering' clothes and use cosmetics (makeup, hair styling). The nature of the labour is gendered as it relies on societal values of what it means to be </w:t>
      </w:r>
      <w:r w:rsidR="006C4755" w:rsidRPr="006C4755">
        <w:rPr>
          <w:rFonts w:ascii="Arial" w:hAnsi="Arial" w:cs="Arial"/>
        </w:rPr>
        <w:t>feminine,</w:t>
      </w:r>
      <w:r w:rsidRPr="006C4755">
        <w:rPr>
          <w:rFonts w:ascii="Arial" w:hAnsi="Arial" w:cs="Arial"/>
        </w:rPr>
        <w:t xml:space="preserve">  caring, beautiful and emotionally available.</w:t>
      </w:r>
    </w:p>
    <w:p w14:paraId="31115027" w14:textId="77777777" w:rsidR="008242BA" w:rsidRPr="006C4755" w:rsidRDefault="008242BA" w:rsidP="008242BA">
      <w:pPr>
        <w:pStyle w:val="NormalWeb"/>
        <w:rPr>
          <w:rFonts w:ascii="Arial" w:hAnsi="Arial" w:cs="Arial"/>
        </w:rPr>
      </w:pPr>
      <w:r w:rsidRPr="006C4755">
        <w:rPr>
          <w:rFonts w:ascii="Arial" w:hAnsi="Arial" w:cs="Arial"/>
        </w:rPr>
        <w:t>In professional settings this dynamic occurs, but less obviously. Professional women are expected to perform a form of femininity which indicates approachability and camaraderie, without undermining male authority. While the expectation of a woman performing appropriate femininity is rarely articulated it is made real through the ways in which women are recognized or marginalized based on how they are perceived to have performed; women who are too harsh in their presentation may be labelled as being 'difficult' or 'unfeminine', whereas women who are too soft will likely be considered unqualified for positions of leadership. For Butler, this represents the regulatory function of gender norms: norms of gender do not simply restrict behaviour, but actively create specific types of subjects, by establishing the parameters of recognition.¹⁴ Workers who are able to effectively negotiate these expectations are rewarded with social capital, opportunities for advancement and inclusion, while workers who resist or fail to meet these expectations are marginalized.</w:t>
      </w:r>
    </w:p>
    <w:p w14:paraId="1FB95E8F" w14:textId="3C181E43" w:rsidR="008242BA" w:rsidRPr="006C4755" w:rsidRDefault="008242BA" w:rsidP="0022468E">
      <w:pPr>
        <w:rPr>
          <w:rFonts w:ascii="Arial" w:hAnsi="Arial" w:cs="Arial"/>
          <w:b/>
          <w:bCs/>
        </w:rPr>
      </w:pPr>
      <w:r w:rsidRPr="006C4755">
        <w:rPr>
          <w:rFonts w:ascii="Arial" w:hAnsi="Arial" w:cs="Arial"/>
          <w:b/>
          <w:bCs/>
        </w:rPr>
        <w:t>Resistance, Subversion, and the Limits of Individual Agency</w:t>
      </w:r>
    </w:p>
    <w:p w14:paraId="694AD53D" w14:textId="77777777" w:rsidR="008242BA" w:rsidRPr="006C4755" w:rsidRDefault="008242BA" w:rsidP="008242BA">
      <w:pPr>
        <w:pStyle w:val="NormalWeb"/>
        <w:rPr>
          <w:rFonts w:ascii="Arial" w:hAnsi="Arial" w:cs="Arial"/>
        </w:rPr>
      </w:pPr>
      <w:r w:rsidRPr="006C4755">
        <w:rPr>
          <w:rFonts w:ascii="Arial" w:hAnsi="Arial" w:cs="Arial"/>
        </w:rPr>
        <w:t xml:space="preserve">What opportunities exist for resistance, or even transformation of, a technology of gender, if a technology of gender operates as a technology of gender production? Butler’s explanation has been interpreted as a form of determinism; however, Butler </w:t>
      </w:r>
      <w:r w:rsidRPr="006C4755">
        <w:rPr>
          <w:rFonts w:ascii="Arial" w:hAnsi="Arial" w:cs="Arial"/>
        </w:rPr>
        <w:lastRenderedPageBreak/>
        <w:t>clearly states that performativity is also capable of creating the opportunity for subversion because gender is not a fixed essence but an ongoing process of citation; therefore, there exists always the possibility of “failure” or recontextualization—moments at which the norms are reiterated differently (and thereby expose the contingency of those norms).⁴ Such moments in workplace settings could include the following: deliberately challenging the dress code, i.e., wearing gender-non-conformist clothing, refusing the requirement of makeup, and/or advocating for policy changes that would allow for a variety of ways of presenting oneself professionally.</w:t>
      </w:r>
    </w:p>
    <w:p w14:paraId="76E38788" w14:textId="77777777" w:rsidR="008242BA" w:rsidRPr="006C4755" w:rsidRDefault="008242BA" w:rsidP="008242BA">
      <w:pPr>
        <w:pStyle w:val="NormalWeb"/>
        <w:rPr>
          <w:rFonts w:ascii="Arial" w:hAnsi="Arial" w:cs="Arial"/>
        </w:rPr>
      </w:pPr>
      <w:r w:rsidRPr="006C4755">
        <w:rPr>
          <w:rFonts w:ascii="Arial" w:hAnsi="Arial" w:cs="Arial"/>
        </w:rPr>
        <w:t>Individual resistance does come with its own set of risk factors. Those employees who visibly deviate from the acceptable dress norms may suffer various forms of professional penalties: failing to receive a promotion, being denied an assignment based on client preference, experiencing a hostile work environment, etc. It is important to consider Butler’s structural dimension in this regard: Gender norms are not created nor maintained solely by individual prejudices, but rather by institutional structures and arrangements that create conditions in which conformity becomes a prerequisite to inclusion. West and Zimmerman’s “Doing Gender,” demonstrates how gender is an interactive accomplishment that occurs through the daily interactions among individuals that produce expectations of what constitutes appropriate behavior.¹² In the context of the workplace, the nature of these expectations is intensified due to the hierarchical relationships of power and the dependency on the job for one’s livelihood. Therefore, an entry-level employee will not be able to “opt-out” of dress norms, as doing so may place his/her employment status at jeopardy.</w:t>
      </w:r>
    </w:p>
    <w:p w14:paraId="11D36EB6" w14:textId="079A2887" w:rsidR="008242BA" w:rsidRPr="006C4755" w:rsidRDefault="008242BA" w:rsidP="008242BA">
      <w:pPr>
        <w:pStyle w:val="NormalWeb"/>
        <w:rPr>
          <w:rFonts w:ascii="Arial" w:hAnsi="Arial" w:cs="Arial"/>
        </w:rPr>
      </w:pPr>
      <w:r w:rsidRPr="006C4755">
        <w:rPr>
          <w:rFonts w:ascii="Arial" w:hAnsi="Arial" w:cs="Arial"/>
        </w:rPr>
        <w:t xml:space="preserve">Collective actions and institutional reforms represent more viable options for changing a technology of gender. Challenges to employers under Title VII regarding discriminatory dress codes, organizing unions for the purpose of promoting workplace dignity, and/or providing advocacy within organizations for more inclusive workplace dress policies can all serve to challenge the norms that regulate professional attire. In recent years, many organizations have relaxed the gender-based requirements of their dress codes. Some organizations now permit employees to wear clothing that reflects their gender identity as opposed to their biological sex. Other organizations have eliminated appearance-based workplace standards that have proven to disproportionately burden marginalized populations. While such changes do not eliminate gender as a regulative system, they may decrease the level of coercion associated with </w:t>
      </w:r>
      <w:r w:rsidR="006C4755" w:rsidRPr="006C4755">
        <w:rPr>
          <w:rFonts w:ascii="Arial" w:hAnsi="Arial" w:cs="Arial"/>
        </w:rPr>
        <w:t>gender and</w:t>
      </w:r>
      <w:r w:rsidRPr="006C4755">
        <w:rPr>
          <w:rFonts w:ascii="Arial" w:hAnsi="Arial" w:cs="Arial"/>
        </w:rPr>
        <w:t xml:space="preserve"> provide employees with more options for expressing their identity as a worker.</w:t>
      </w:r>
    </w:p>
    <w:p w14:paraId="3435C978" w14:textId="6AA1EB3E" w:rsidR="008242BA" w:rsidRPr="006C4755" w:rsidRDefault="008242BA" w:rsidP="0022468E">
      <w:pPr>
        <w:rPr>
          <w:rFonts w:ascii="Arial" w:hAnsi="Arial" w:cs="Arial"/>
          <w:b/>
          <w:bCs/>
        </w:rPr>
      </w:pPr>
      <w:r w:rsidRPr="006C4755">
        <w:rPr>
          <w:rFonts w:ascii="Arial" w:hAnsi="Arial" w:cs="Arial"/>
          <w:b/>
          <w:bCs/>
        </w:rPr>
        <w:t>Conclusion</w:t>
      </w:r>
    </w:p>
    <w:p w14:paraId="07470489" w14:textId="77777777" w:rsidR="008242BA" w:rsidRPr="006C4755" w:rsidRDefault="008242BA" w:rsidP="008242BA">
      <w:pPr>
        <w:pStyle w:val="NormalWeb"/>
        <w:rPr>
          <w:rFonts w:ascii="Arial" w:hAnsi="Arial" w:cs="Arial"/>
        </w:rPr>
      </w:pPr>
      <w:r w:rsidRPr="006C4755">
        <w:rPr>
          <w:rFonts w:ascii="Arial" w:hAnsi="Arial" w:cs="Arial"/>
        </w:rPr>
        <w:t>Workplace attire is more than just an aspect of one's profession — it serves as a place in which gender is constructed, bodies are formed into recognizable forms, and power is unequally distributed among individuals who have been dressed in their respective “professional” attire.</w:t>
      </w:r>
    </w:p>
    <w:p w14:paraId="04BDBFC7" w14:textId="488A3B45" w:rsidR="008242BA" w:rsidRPr="006C4755" w:rsidRDefault="008242BA" w:rsidP="008242BA">
      <w:pPr>
        <w:pStyle w:val="NormalWeb"/>
        <w:rPr>
          <w:rFonts w:ascii="Arial" w:hAnsi="Arial" w:cs="Arial"/>
        </w:rPr>
      </w:pPr>
      <w:r w:rsidRPr="006C4755">
        <w:rPr>
          <w:rFonts w:ascii="Arial" w:hAnsi="Arial" w:cs="Arial"/>
        </w:rPr>
        <w:t xml:space="preserve">Butler’s idea of performativity illustrates how gender is not something you are, but rather something you perform repeatedly in a manner consistent with the social regulations and surveillance present within society. In the workplace, the performance of gender is influenced by professional institutional norms that award </w:t>
      </w:r>
      <w:r w:rsidRPr="006C4755">
        <w:rPr>
          <w:rFonts w:ascii="Arial" w:hAnsi="Arial" w:cs="Arial"/>
        </w:rPr>
        <w:lastRenderedPageBreak/>
        <w:t>various citations of masculine and feminine while penalizing other citations. The business suit, the business skirt, the neatly groomed appearance are not neutral clothing choices, but rather, they represent embodied practices that define employees as gendered persons.</w:t>
      </w:r>
      <w:r w:rsidR="006C4755" w:rsidRPr="006C4755">
        <w:rPr>
          <w:rFonts w:ascii="Arial" w:hAnsi="Arial" w:cs="Arial"/>
        </w:rPr>
        <w:t xml:space="preserve"> Analysing</w:t>
      </w:r>
      <w:r w:rsidRPr="006C4755">
        <w:rPr>
          <w:rFonts w:ascii="Arial" w:hAnsi="Arial" w:cs="Arial"/>
        </w:rPr>
        <w:t xml:space="preserve"> workplace attire through Butler’s lens also demonstrates the collective and repetitive nature of gender formation the development of norms occurs </w:t>
      </w:r>
      <w:r w:rsidR="006C4755" w:rsidRPr="006C4755">
        <w:rPr>
          <w:rFonts w:ascii="Arial" w:hAnsi="Arial" w:cs="Arial"/>
        </w:rPr>
        <w:t>because of</w:t>
      </w:r>
      <w:r w:rsidRPr="006C4755">
        <w:rPr>
          <w:rFonts w:ascii="Arial" w:hAnsi="Arial" w:cs="Arial"/>
        </w:rPr>
        <w:t xml:space="preserve"> the structure of the institution and daily interactions between co-workers that continually recite the standards of acceptance.</w:t>
      </w:r>
    </w:p>
    <w:p w14:paraId="7E72FAF9" w14:textId="0FAC69E0" w:rsidR="008242BA" w:rsidRPr="006C4755" w:rsidRDefault="008242BA" w:rsidP="008242BA">
      <w:pPr>
        <w:pStyle w:val="NormalWeb"/>
        <w:rPr>
          <w:rFonts w:ascii="Arial" w:hAnsi="Arial" w:cs="Arial"/>
        </w:rPr>
      </w:pPr>
      <w:r w:rsidRPr="006C4755">
        <w:rPr>
          <w:rFonts w:ascii="Arial" w:hAnsi="Arial" w:cs="Arial"/>
        </w:rPr>
        <w:t xml:space="preserve">This understanding expands beyond the confines of workplace attire to include the organization of work as a whole. If we recognize that gender is formed through regulatory </w:t>
      </w:r>
      <w:r w:rsidR="006C4755" w:rsidRPr="006C4755">
        <w:rPr>
          <w:rFonts w:ascii="Arial" w:hAnsi="Arial" w:cs="Arial"/>
        </w:rPr>
        <w:t>practices,</w:t>
      </w:r>
      <w:r w:rsidRPr="006C4755">
        <w:rPr>
          <w:rFonts w:ascii="Arial" w:hAnsi="Arial" w:cs="Arial"/>
        </w:rPr>
        <w:t xml:space="preserve"> then we can conceptualize strategies that will intervene to challenge or alter such regulatory practices. Challenging policies that regulate employee attire, establishing areas in which employees can express their gender differently, and challenging the notion that “Professionalism” has its roots in a gendered and exclusionary paradigm would be examples of such interventions. These types of interventions are not merely about granting individual freedoms but rather about transforming the structural parameters in which workers become recognized, valued, and included. In Butler’s words, such efforts would expand the boundaries of gendered intelligibility and allow more ways of being and more ways of dressing to be considered legitimate as professional.</w:t>
      </w:r>
    </w:p>
    <w:p w14:paraId="4E213B18" w14:textId="77777777" w:rsidR="008242BA" w:rsidRPr="008242BA" w:rsidRDefault="008242BA" w:rsidP="008242BA">
      <w:pPr>
        <w:spacing w:before="100" w:beforeAutospacing="1" w:after="100" w:afterAutospacing="1" w:line="240" w:lineRule="auto"/>
        <w:outlineLvl w:val="1"/>
        <w:rPr>
          <w:rFonts w:ascii="Arial" w:eastAsia="Times New Roman" w:hAnsi="Arial" w:cs="Arial"/>
          <w:b/>
          <w:bCs/>
          <w:kern w:val="0"/>
          <w:lang w:eastAsia="en-GB"/>
          <w14:ligatures w14:val="none"/>
        </w:rPr>
      </w:pPr>
      <w:r w:rsidRPr="008242BA">
        <w:rPr>
          <w:rFonts w:ascii="Arial" w:eastAsia="Times New Roman" w:hAnsi="Arial" w:cs="Arial"/>
          <w:b/>
          <w:bCs/>
          <w:kern w:val="0"/>
          <w:lang w:eastAsia="en-GB"/>
          <w14:ligatures w14:val="none"/>
        </w:rPr>
        <w:t>Footnotes</w:t>
      </w:r>
    </w:p>
    <w:p w14:paraId="6BE4F4F6"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Judith Butler, </w:t>
      </w:r>
      <w:r w:rsidRPr="008242BA">
        <w:rPr>
          <w:rFonts w:ascii="Arial" w:eastAsia="Times New Roman" w:hAnsi="Arial" w:cs="Arial"/>
          <w:i/>
          <w:iCs/>
          <w:kern w:val="0"/>
          <w:lang w:eastAsia="en-GB"/>
          <w14:ligatures w14:val="none"/>
        </w:rPr>
        <w:t>Gender Trouble: Feminism and the Subversion of Identity</w:t>
      </w:r>
      <w:r w:rsidRPr="008242BA">
        <w:rPr>
          <w:rFonts w:ascii="Arial" w:eastAsia="Times New Roman" w:hAnsi="Arial" w:cs="Arial"/>
          <w:kern w:val="0"/>
          <w:lang w:eastAsia="en-GB"/>
          <w14:ligatures w14:val="none"/>
        </w:rPr>
        <w:t xml:space="preserve"> (New York: Routledge, 1990).</w:t>
      </w:r>
    </w:p>
    <w:p w14:paraId="49967B20"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w:t>
      </w:r>
      <w:r w:rsidRPr="008242BA">
        <w:rPr>
          <w:rFonts w:ascii="Arial" w:eastAsia="Times New Roman" w:hAnsi="Arial" w:cs="Arial"/>
          <w:i/>
          <w:iCs/>
          <w:kern w:val="0"/>
          <w:lang w:eastAsia="en-GB"/>
          <w14:ligatures w14:val="none"/>
        </w:rPr>
        <w:t>Gender Trouble</w:t>
      </w:r>
      <w:r w:rsidRPr="008242BA">
        <w:rPr>
          <w:rFonts w:ascii="Arial" w:eastAsia="Times New Roman" w:hAnsi="Arial" w:cs="Arial"/>
          <w:kern w:val="0"/>
          <w:lang w:eastAsia="en-GB"/>
          <w14:ligatures w14:val="none"/>
        </w:rPr>
        <w:t>.</w:t>
      </w:r>
    </w:p>
    <w:p w14:paraId="2CFE5AE9"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Joan Acker, 'Hierarchies, Jobs, Bodies: A Theory of Gendered Organizations', </w:t>
      </w:r>
      <w:r w:rsidRPr="008242BA">
        <w:rPr>
          <w:rFonts w:ascii="Arial" w:eastAsia="Times New Roman" w:hAnsi="Arial" w:cs="Arial"/>
          <w:i/>
          <w:iCs/>
          <w:kern w:val="0"/>
          <w:lang w:eastAsia="en-GB"/>
          <w14:ligatures w14:val="none"/>
        </w:rPr>
        <w:t>Gender &amp; Society</w:t>
      </w:r>
      <w:r w:rsidRPr="008242BA">
        <w:rPr>
          <w:rFonts w:ascii="Arial" w:eastAsia="Times New Roman" w:hAnsi="Arial" w:cs="Arial"/>
          <w:kern w:val="0"/>
          <w:lang w:eastAsia="en-GB"/>
          <w14:ligatures w14:val="none"/>
        </w:rPr>
        <w:t>, 4.2 (1990), 139–58.</w:t>
      </w:r>
    </w:p>
    <w:p w14:paraId="34F25FC8"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w:t>
      </w:r>
      <w:r w:rsidRPr="008242BA">
        <w:rPr>
          <w:rFonts w:ascii="Arial" w:eastAsia="Times New Roman" w:hAnsi="Arial" w:cs="Arial"/>
          <w:i/>
          <w:iCs/>
          <w:kern w:val="0"/>
          <w:lang w:eastAsia="en-GB"/>
          <w14:ligatures w14:val="none"/>
        </w:rPr>
        <w:t>Gender Trouble</w:t>
      </w:r>
      <w:r w:rsidRPr="008242BA">
        <w:rPr>
          <w:rFonts w:ascii="Arial" w:eastAsia="Times New Roman" w:hAnsi="Arial" w:cs="Arial"/>
          <w:kern w:val="0"/>
          <w:lang w:eastAsia="en-GB"/>
          <w14:ligatures w14:val="none"/>
        </w:rPr>
        <w:t>.</w:t>
      </w:r>
    </w:p>
    <w:p w14:paraId="51514BE7"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w:t>
      </w:r>
      <w:r w:rsidRPr="008242BA">
        <w:rPr>
          <w:rFonts w:ascii="Arial" w:eastAsia="Times New Roman" w:hAnsi="Arial" w:cs="Arial"/>
          <w:i/>
          <w:iCs/>
          <w:kern w:val="0"/>
          <w:lang w:eastAsia="en-GB"/>
          <w14:ligatures w14:val="none"/>
        </w:rPr>
        <w:t>Gender Trouble</w:t>
      </w:r>
      <w:r w:rsidRPr="008242BA">
        <w:rPr>
          <w:rFonts w:ascii="Arial" w:eastAsia="Times New Roman" w:hAnsi="Arial" w:cs="Arial"/>
          <w:kern w:val="0"/>
          <w:lang w:eastAsia="en-GB"/>
          <w14:ligatures w14:val="none"/>
        </w:rPr>
        <w:t>, p. 191.</w:t>
      </w:r>
    </w:p>
    <w:p w14:paraId="36D9CB5D"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Judith Butler, </w:t>
      </w:r>
      <w:r w:rsidRPr="008242BA">
        <w:rPr>
          <w:rFonts w:ascii="Arial" w:eastAsia="Times New Roman" w:hAnsi="Arial" w:cs="Arial"/>
          <w:i/>
          <w:iCs/>
          <w:kern w:val="0"/>
          <w:lang w:eastAsia="en-GB"/>
          <w14:ligatures w14:val="none"/>
        </w:rPr>
        <w:t>Undoing Gender</w:t>
      </w:r>
      <w:r w:rsidRPr="008242BA">
        <w:rPr>
          <w:rFonts w:ascii="Arial" w:eastAsia="Times New Roman" w:hAnsi="Arial" w:cs="Arial"/>
          <w:kern w:val="0"/>
          <w:lang w:eastAsia="en-GB"/>
          <w14:ligatures w14:val="none"/>
        </w:rPr>
        <w:t xml:space="preserve"> (New York: Routledge, 2004).</w:t>
      </w:r>
    </w:p>
    <w:p w14:paraId="5C5B7E95"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w:t>
      </w:r>
      <w:r w:rsidRPr="008242BA">
        <w:rPr>
          <w:rFonts w:ascii="Arial" w:eastAsia="Times New Roman" w:hAnsi="Arial" w:cs="Arial"/>
          <w:i/>
          <w:iCs/>
          <w:kern w:val="0"/>
          <w:lang w:eastAsia="en-GB"/>
          <w14:ligatures w14:val="none"/>
        </w:rPr>
        <w:t>Undoing Gender</w:t>
      </w:r>
      <w:r w:rsidRPr="008242BA">
        <w:rPr>
          <w:rFonts w:ascii="Arial" w:eastAsia="Times New Roman" w:hAnsi="Arial" w:cs="Arial"/>
          <w:kern w:val="0"/>
          <w:lang w:eastAsia="en-GB"/>
          <w14:ligatures w14:val="none"/>
        </w:rPr>
        <w:t>.</w:t>
      </w:r>
    </w:p>
    <w:p w14:paraId="3D140521"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Judith Butler, </w:t>
      </w:r>
      <w:r w:rsidRPr="008242BA">
        <w:rPr>
          <w:rFonts w:ascii="Arial" w:eastAsia="Times New Roman" w:hAnsi="Arial" w:cs="Arial"/>
          <w:i/>
          <w:iCs/>
          <w:kern w:val="0"/>
          <w:lang w:eastAsia="en-GB"/>
          <w14:ligatures w14:val="none"/>
        </w:rPr>
        <w:t>Bodies That Matter: On the Discursive Limits of "Sex"</w:t>
      </w:r>
      <w:r w:rsidRPr="008242BA">
        <w:rPr>
          <w:rFonts w:ascii="Arial" w:eastAsia="Times New Roman" w:hAnsi="Arial" w:cs="Arial"/>
          <w:kern w:val="0"/>
          <w:lang w:eastAsia="en-GB"/>
          <w14:ligatures w14:val="none"/>
        </w:rPr>
        <w:t xml:space="preserve"> (New York: Routledge, 1993).</w:t>
      </w:r>
    </w:p>
    <w:p w14:paraId="44158526"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R. W. Connell, </w:t>
      </w:r>
      <w:r w:rsidRPr="008242BA">
        <w:rPr>
          <w:rFonts w:ascii="Arial" w:eastAsia="Times New Roman" w:hAnsi="Arial" w:cs="Arial"/>
          <w:i/>
          <w:iCs/>
          <w:kern w:val="0"/>
          <w:lang w:eastAsia="en-GB"/>
          <w14:ligatures w14:val="none"/>
        </w:rPr>
        <w:t>Masculinities</w:t>
      </w:r>
      <w:r w:rsidRPr="008242BA">
        <w:rPr>
          <w:rFonts w:ascii="Arial" w:eastAsia="Times New Roman" w:hAnsi="Arial" w:cs="Arial"/>
          <w:kern w:val="0"/>
          <w:lang w:eastAsia="en-GB"/>
          <w14:ligatures w14:val="none"/>
        </w:rPr>
        <w:t xml:space="preserve">, 2nd </w:t>
      </w:r>
      <w:proofErr w:type="spellStart"/>
      <w:r w:rsidRPr="008242BA">
        <w:rPr>
          <w:rFonts w:ascii="Arial" w:eastAsia="Times New Roman" w:hAnsi="Arial" w:cs="Arial"/>
          <w:kern w:val="0"/>
          <w:lang w:eastAsia="en-GB"/>
          <w14:ligatures w14:val="none"/>
        </w:rPr>
        <w:t>edn</w:t>
      </w:r>
      <w:proofErr w:type="spellEnd"/>
      <w:r w:rsidRPr="008242BA">
        <w:rPr>
          <w:rFonts w:ascii="Arial" w:eastAsia="Times New Roman" w:hAnsi="Arial" w:cs="Arial"/>
          <w:kern w:val="0"/>
          <w:lang w:eastAsia="en-GB"/>
          <w14:ligatures w14:val="none"/>
        </w:rPr>
        <w:t xml:space="preserve"> (Cambridge: Polity, 2005).</w:t>
      </w:r>
    </w:p>
    <w:p w14:paraId="08A1EB8F"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Erving Goffman, </w:t>
      </w:r>
      <w:r w:rsidRPr="008242BA">
        <w:rPr>
          <w:rFonts w:ascii="Arial" w:eastAsia="Times New Roman" w:hAnsi="Arial" w:cs="Arial"/>
          <w:i/>
          <w:iCs/>
          <w:kern w:val="0"/>
          <w:lang w:eastAsia="en-GB"/>
          <w14:ligatures w14:val="none"/>
        </w:rPr>
        <w:t>The Presentation of Self in Everyday Life</w:t>
      </w:r>
      <w:r w:rsidRPr="008242BA">
        <w:rPr>
          <w:rFonts w:ascii="Arial" w:eastAsia="Times New Roman" w:hAnsi="Arial" w:cs="Arial"/>
          <w:kern w:val="0"/>
          <w:lang w:eastAsia="en-GB"/>
          <w14:ligatures w14:val="none"/>
        </w:rPr>
        <w:t xml:space="preserve"> (Edinburgh: University of Edinburgh Social Sciences Research Centre, 1956).</w:t>
      </w:r>
    </w:p>
    <w:p w14:paraId="46D67DE1"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Joanne Entwistle, </w:t>
      </w:r>
      <w:r w:rsidRPr="008242BA">
        <w:rPr>
          <w:rFonts w:ascii="Arial" w:eastAsia="Times New Roman" w:hAnsi="Arial" w:cs="Arial"/>
          <w:i/>
          <w:iCs/>
          <w:kern w:val="0"/>
          <w:lang w:eastAsia="en-GB"/>
          <w14:ligatures w14:val="none"/>
        </w:rPr>
        <w:t>The Fashioned Body: Fashion, Dress and Modern Social Theory</w:t>
      </w:r>
      <w:r w:rsidRPr="008242BA">
        <w:rPr>
          <w:rFonts w:ascii="Arial" w:eastAsia="Times New Roman" w:hAnsi="Arial" w:cs="Arial"/>
          <w:kern w:val="0"/>
          <w:lang w:eastAsia="en-GB"/>
          <w14:ligatures w14:val="none"/>
        </w:rPr>
        <w:t xml:space="preserve"> (Cambridge: Polity, 2000).</w:t>
      </w:r>
    </w:p>
    <w:p w14:paraId="2DA7EBAB"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Candace West and Don H. Zimmerman, 'Doing Gender', </w:t>
      </w:r>
      <w:r w:rsidRPr="008242BA">
        <w:rPr>
          <w:rFonts w:ascii="Arial" w:eastAsia="Times New Roman" w:hAnsi="Arial" w:cs="Arial"/>
          <w:i/>
          <w:iCs/>
          <w:kern w:val="0"/>
          <w:lang w:eastAsia="en-GB"/>
          <w14:ligatures w14:val="none"/>
        </w:rPr>
        <w:t>Gender &amp; Society</w:t>
      </w:r>
      <w:r w:rsidRPr="008242BA">
        <w:rPr>
          <w:rFonts w:ascii="Arial" w:eastAsia="Times New Roman" w:hAnsi="Arial" w:cs="Arial"/>
          <w:kern w:val="0"/>
          <w:lang w:eastAsia="en-GB"/>
          <w14:ligatures w14:val="none"/>
        </w:rPr>
        <w:t>, 1.2 (1987), 125–51.</w:t>
      </w:r>
    </w:p>
    <w:p w14:paraId="1E08CB2D"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Arlie Russell Hochschild, </w:t>
      </w:r>
      <w:r w:rsidRPr="008242BA">
        <w:rPr>
          <w:rFonts w:ascii="Arial" w:eastAsia="Times New Roman" w:hAnsi="Arial" w:cs="Arial"/>
          <w:i/>
          <w:iCs/>
          <w:kern w:val="0"/>
          <w:lang w:eastAsia="en-GB"/>
          <w14:ligatures w14:val="none"/>
        </w:rPr>
        <w:t>The Managed Heart: Commercialization of Human Feeling</w:t>
      </w:r>
      <w:r w:rsidRPr="008242BA">
        <w:rPr>
          <w:rFonts w:ascii="Arial" w:eastAsia="Times New Roman" w:hAnsi="Arial" w:cs="Arial"/>
          <w:kern w:val="0"/>
          <w:lang w:eastAsia="en-GB"/>
          <w14:ligatures w14:val="none"/>
        </w:rPr>
        <w:t xml:space="preserve"> (Berkeley: University of California Press, 1983).</w:t>
      </w:r>
    </w:p>
    <w:p w14:paraId="52673ED6" w14:textId="77777777" w:rsidR="008242BA" w:rsidRPr="008242BA" w:rsidRDefault="008242BA" w:rsidP="008242BA">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w:t>
      </w:r>
      <w:r w:rsidRPr="008242BA">
        <w:rPr>
          <w:rFonts w:ascii="Arial" w:eastAsia="Times New Roman" w:hAnsi="Arial" w:cs="Arial"/>
          <w:i/>
          <w:iCs/>
          <w:kern w:val="0"/>
          <w:lang w:eastAsia="en-GB"/>
          <w14:ligatures w14:val="none"/>
        </w:rPr>
        <w:t>Undoing Gender</w:t>
      </w:r>
      <w:r w:rsidRPr="008242BA">
        <w:rPr>
          <w:rFonts w:ascii="Arial" w:eastAsia="Times New Roman" w:hAnsi="Arial" w:cs="Arial"/>
          <w:kern w:val="0"/>
          <w:lang w:eastAsia="en-GB"/>
          <w14:ligatures w14:val="none"/>
        </w:rPr>
        <w:t>.</w:t>
      </w:r>
    </w:p>
    <w:p w14:paraId="5DE26824" w14:textId="77777777" w:rsidR="008242BA" w:rsidRPr="008242BA" w:rsidRDefault="00041BA2" w:rsidP="008242BA">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r>
      <w:r w:rsidR="00041BA2">
        <w:rPr>
          <w:rFonts w:ascii="Arial" w:eastAsia="Times New Roman" w:hAnsi="Arial" w:cs="Arial"/>
          <w:noProof/>
          <w:kern w:val="0"/>
          <w:lang w:eastAsia="en-GB"/>
          <w14:ligatures w14:val="none"/>
        </w:rPr>
        <w:pict w14:anchorId="13E187BE">
          <v:rect id="_x0000_i1025" style="width:0;height:1.5pt" o:hralign="center" o:hrstd="t" o:hr="t" fillcolor="#a0a0a0" stroked="f"/>
        </w:pict>
      </w:r>
    </w:p>
    <w:p w14:paraId="51C20318" w14:textId="77777777" w:rsidR="008242BA" w:rsidRPr="008242BA" w:rsidRDefault="008242BA" w:rsidP="008242BA">
      <w:pPr>
        <w:spacing w:before="100" w:beforeAutospacing="1" w:after="100" w:afterAutospacing="1" w:line="240" w:lineRule="auto"/>
        <w:outlineLvl w:val="1"/>
        <w:rPr>
          <w:rFonts w:ascii="Arial" w:eastAsia="Times New Roman" w:hAnsi="Arial" w:cs="Arial"/>
          <w:b/>
          <w:bCs/>
          <w:kern w:val="0"/>
          <w:lang w:eastAsia="en-GB"/>
          <w14:ligatures w14:val="none"/>
        </w:rPr>
      </w:pPr>
      <w:r w:rsidRPr="008242BA">
        <w:rPr>
          <w:rFonts w:ascii="Arial" w:eastAsia="Times New Roman" w:hAnsi="Arial" w:cs="Arial"/>
          <w:b/>
          <w:bCs/>
          <w:kern w:val="0"/>
          <w:lang w:eastAsia="en-GB"/>
          <w14:ligatures w14:val="none"/>
        </w:rPr>
        <w:t>Bibliography</w:t>
      </w:r>
    </w:p>
    <w:p w14:paraId="1AFD9DA4"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lastRenderedPageBreak/>
        <w:t xml:space="preserve">Acker, Joan, 'Hierarchies, Jobs, Bodies: A Theory of Gendered Organizations', </w:t>
      </w:r>
      <w:r w:rsidRPr="008242BA">
        <w:rPr>
          <w:rFonts w:ascii="Arial" w:eastAsia="Times New Roman" w:hAnsi="Arial" w:cs="Arial"/>
          <w:i/>
          <w:iCs/>
          <w:kern w:val="0"/>
          <w:lang w:eastAsia="en-GB"/>
          <w14:ligatures w14:val="none"/>
        </w:rPr>
        <w:t>Gender &amp; Society</w:t>
      </w:r>
      <w:r w:rsidRPr="008242BA">
        <w:rPr>
          <w:rFonts w:ascii="Arial" w:eastAsia="Times New Roman" w:hAnsi="Arial" w:cs="Arial"/>
          <w:kern w:val="0"/>
          <w:lang w:eastAsia="en-GB"/>
          <w14:ligatures w14:val="none"/>
        </w:rPr>
        <w:t>, 4.2 (1990), 139–58</w:t>
      </w:r>
    </w:p>
    <w:p w14:paraId="0E9561F7"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Butler, Judith, </w:t>
      </w:r>
      <w:r w:rsidRPr="008242BA">
        <w:rPr>
          <w:rFonts w:ascii="Arial" w:eastAsia="Times New Roman" w:hAnsi="Arial" w:cs="Arial"/>
          <w:i/>
          <w:iCs/>
          <w:kern w:val="0"/>
          <w:lang w:eastAsia="en-GB"/>
          <w14:ligatures w14:val="none"/>
        </w:rPr>
        <w:t>Bodies That Matter: On the Discursive Limits of "Sex"</w:t>
      </w:r>
      <w:r w:rsidRPr="008242BA">
        <w:rPr>
          <w:rFonts w:ascii="Arial" w:eastAsia="Times New Roman" w:hAnsi="Arial" w:cs="Arial"/>
          <w:kern w:val="0"/>
          <w:lang w:eastAsia="en-GB"/>
          <w14:ligatures w14:val="none"/>
        </w:rPr>
        <w:t xml:space="preserve"> (New York: Routledge, 1993)</w:t>
      </w:r>
    </w:p>
    <w:p w14:paraId="13DBFBDA" w14:textId="36D25792" w:rsidR="008242BA" w:rsidRPr="008242BA" w:rsidRDefault="006C4755"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Butler, Judith</w:t>
      </w:r>
      <w:r w:rsidR="008242BA" w:rsidRPr="008242BA">
        <w:rPr>
          <w:rFonts w:ascii="Arial" w:eastAsia="Times New Roman" w:hAnsi="Arial" w:cs="Arial"/>
          <w:kern w:val="0"/>
          <w:lang w:eastAsia="en-GB"/>
          <w14:ligatures w14:val="none"/>
        </w:rPr>
        <w:t xml:space="preserve">, </w:t>
      </w:r>
      <w:r w:rsidR="008242BA" w:rsidRPr="008242BA">
        <w:rPr>
          <w:rFonts w:ascii="Arial" w:eastAsia="Times New Roman" w:hAnsi="Arial" w:cs="Arial"/>
          <w:i/>
          <w:iCs/>
          <w:kern w:val="0"/>
          <w:lang w:eastAsia="en-GB"/>
          <w14:ligatures w14:val="none"/>
        </w:rPr>
        <w:t>Gender Trouble: Feminism and the Subversion of Identity</w:t>
      </w:r>
      <w:r w:rsidR="008242BA" w:rsidRPr="008242BA">
        <w:rPr>
          <w:rFonts w:ascii="Arial" w:eastAsia="Times New Roman" w:hAnsi="Arial" w:cs="Arial"/>
          <w:kern w:val="0"/>
          <w:lang w:eastAsia="en-GB"/>
          <w14:ligatures w14:val="none"/>
        </w:rPr>
        <w:t xml:space="preserve"> (New York: Routledge, 1990)</w:t>
      </w:r>
    </w:p>
    <w:p w14:paraId="795999BB" w14:textId="61EC237E" w:rsidR="008242BA" w:rsidRPr="008242BA" w:rsidRDefault="006C4755"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Butler, Judith</w:t>
      </w:r>
      <w:r w:rsidR="008242BA" w:rsidRPr="008242BA">
        <w:rPr>
          <w:rFonts w:ascii="Arial" w:eastAsia="Times New Roman" w:hAnsi="Arial" w:cs="Arial"/>
          <w:kern w:val="0"/>
          <w:lang w:eastAsia="en-GB"/>
          <w14:ligatures w14:val="none"/>
        </w:rPr>
        <w:t xml:space="preserve">, </w:t>
      </w:r>
      <w:r w:rsidR="008242BA" w:rsidRPr="008242BA">
        <w:rPr>
          <w:rFonts w:ascii="Arial" w:eastAsia="Times New Roman" w:hAnsi="Arial" w:cs="Arial"/>
          <w:i/>
          <w:iCs/>
          <w:kern w:val="0"/>
          <w:lang w:eastAsia="en-GB"/>
          <w14:ligatures w14:val="none"/>
        </w:rPr>
        <w:t>Undoing Gender</w:t>
      </w:r>
      <w:r w:rsidR="008242BA" w:rsidRPr="008242BA">
        <w:rPr>
          <w:rFonts w:ascii="Arial" w:eastAsia="Times New Roman" w:hAnsi="Arial" w:cs="Arial"/>
          <w:kern w:val="0"/>
          <w:lang w:eastAsia="en-GB"/>
          <w14:ligatures w14:val="none"/>
        </w:rPr>
        <w:t xml:space="preserve"> (New York: Routledge, 2004)</w:t>
      </w:r>
    </w:p>
    <w:p w14:paraId="7D6B9C55"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Connell, R. W., </w:t>
      </w:r>
      <w:r w:rsidRPr="008242BA">
        <w:rPr>
          <w:rFonts w:ascii="Arial" w:eastAsia="Times New Roman" w:hAnsi="Arial" w:cs="Arial"/>
          <w:i/>
          <w:iCs/>
          <w:kern w:val="0"/>
          <w:lang w:eastAsia="en-GB"/>
          <w14:ligatures w14:val="none"/>
        </w:rPr>
        <w:t>Masculinities</w:t>
      </w:r>
      <w:r w:rsidRPr="008242BA">
        <w:rPr>
          <w:rFonts w:ascii="Arial" w:eastAsia="Times New Roman" w:hAnsi="Arial" w:cs="Arial"/>
          <w:kern w:val="0"/>
          <w:lang w:eastAsia="en-GB"/>
          <w14:ligatures w14:val="none"/>
        </w:rPr>
        <w:t xml:space="preserve">, 2nd </w:t>
      </w:r>
      <w:proofErr w:type="spellStart"/>
      <w:r w:rsidRPr="008242BA">
        <w:rPr>
          <w:rFonts w:ascii="Arial" w:eastAsia="Times New Roman" w:hAnsi="Arial" w:cs="Arial"/>
          <w:kern w:val="0"/>
          <w:lang w:eastAsia="en-GB"/>
          <w14:ligatures w14:val="none"/>
        </w:rPr>
        <w:t>edn</w:t>
      </w:r>
      <w:proofErr w:type="spellEnd"/>
      <w:r w:rsidRPr="008242BA">
        <w:rPr>
          <w:rFonts w:ascii="Arial" w:eastAsia="Times New Roman" w:hAnsi="Arial" w:cs="Arial"/>
          <w:kern w:val="0"/>
          <w:lang w:eastAsia="en-GB"/>
          <w14:ligatures w14:val="none"/>
        </w:rPr>
        <w:t xml:space="preserve"> (Cambridge: Polity, 2005)</w:t>
      </w:r>
    </w:p>
    <w:p w14:paraId="24595D65"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Entwistle, Joanne, </w:t>
      </w:r>
      <w:r w:rsidRPr="008242BA">
        <w:rPr>
          <w:rFonts w:ascii="Arial" w:eastAsia="Times New Roman" w:hAnsi="Arial" w:cs="Arial"/>
          <w:i/>
          <w:iCs/>
          <w:kern w:val="0"/>
          <w:lang w:eastAsia="en-GB"/>
          <w14:ligatures w14:val="none"/>
        </w:rPr>
        <w:t>The Fashioned Body: Fashion, Dress and Modern Social Theory</w:t>
      </w:r>
      <w:r w:rsidRPr="008242BA">
        <w:rPr>
          <w:rFonts w:ascii="Arial" w:eastAsia="Times New Roman" w:hAnsi="Arial" w:cs="Arial"/>
          <w:kern w:val="0"/>
          <w:lang w:eastAsia="en-GB"/>
          <w14:ligatures w14:val="none"/>
        </w:rPr>
        <w:t xml:space="preserve"> (Cambridge: Polity, 2000)</w:t>
      </w:r>
    </w:p>
    <w:p w14:paraId="1360B08E"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Goffman, Erving, </w:t>
      </w:r>
      <w:r w:rsidRPr="008242BA">
        <w:rPr>
          <w:rFonts w:ascii="Arial" w:eastAsia="Times New Roman" w:hAnsi="Arial" w:cs="Arial"/>
          <w:i/>
          <w:iCs/>
          <w:kern w:val="0"/>
          <w:lang w:eastAsia="en-GB"/>
          <w14:ligatures w14:val="none"/>
        </w:rPr>
        <w:t>The Presentation of Self in Everyday Life</w:t>
      </w:r>
      <w:r w:rsidRPr="008242BA">
        <w:rPr>
          <w:rFonts w:ascii="Arial" w:eastAsia="Times New Roman" w:hAnsi="Arial" w:cs="Arial"/>
          <w:kern w:val="0"/>
          <w:lang w:eastAsia="en-GB"/>
          <w14:ligatures w14:val="none"/>
        </w:rPr>
        <w:t xml:space="preserve"> (Edinburgh: University of Edinburgh Social Sciences Research Centre, 1956)</w:t>
      </w:r>
    </w:p>
    <w:p w14:paraId="7F61E849"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Hochschild, Arlie Russell, </w:t>
      </w:r>
      <w:r w:rsidRPr="008242BA">
        <w:rPr>
          <w:rFonts w:ascii="Arial" w:eastAsia="Times New Roman" w:hAnsi="Arial" w:cs="Arial"/>
          <w:i/>
          <w:iCs/>
          <w:kern w:val="0"/>
          <w:lang w:eastAsia="en-GB"/>
          <w14:ligatures w14:val="none"/>
        </w:rPr>
        <w:t>The Managed Heart: Commercialization of Human Feeling</w:t>
      </w:r>
      <w:r w:rsidRPr="008242BA">
        <w:rPr>
          <w:rFonts w:ascii="Arial" w:eastAsia="Times New Roman" w:hAnsi="Arial" w:cs="Arial"/>
          <w:kern w:val="0"/>
          <w:lang w:eastAsia="en-GB"/>
          <w14:ligatures w14:val="none"/>
        </w:rPr>
        <w:t xml:space="preserve"> (Berkeley: University of California Press, 1983)</w:t>
      </w:r>
    </w:p>
    <w:p w14:paraId="6A193B44" w14:textId="77777777" w:rsidR="008242BA" w:rsidRPr="008242BA" w:rsidRDefault="008242BA" w:rsidP="008242BA">
      <w:pPr>
        <w:spacing w:before="100" w:beforeAutospacing="1" w:after="100" w:afterAutospacing="1" w:line="240" w:lineRule="auto"/>
        <w:rPr>
          <w:rFonts w:ascii="Arial" w:eastAsia="Times New Roman" w:hAnsi="Arial" w:cs="Arial"/>
          <w:kern w:val="0"/>
          <w:lang w:eastAsia="en-GB"/>
          <w14:ligatures w14:val="none"/>
        </w:rPr>
      </w:pPr>
      <w:r w:rsidRPr="008242BA">
        <w:rPr>
          <w:rFonts w:ascii="Arial" w:eastAsia="Times New Roman" w:hAnsi="Arial" w:cs="Arial"/>
          <w:kern w:val="0"/>
          <w:lang w:eastAsia="en-GB"/>
          <w14:ligatures w14:val="none"/>
        </w:rPr>
        <w:t xml:space="preserve">West, Candace, and Don H. Zimmerman, 'Doing Gender', </w:t>
      </w:r>
      <w:r w:rsidRPr="008242BA">
        <w:rPr>
          <w:rFonts w:ascii="Arial" w:eastAsia="Times New Roman" w:hAnsi="Arial" w:cs="Arial"/>
          <w:i/>
          <w:iCs/>
          <w:kern w:val="0"/>
          <w:lang w:eastAsia="en-GB"/>
          <w14:ligatures w14:val="none"/>
        </w:rPr>
        <w:t>Gender &amp; Society</w:t>
      </w:r>
      <w:r w:rsidRPr="008242BA">
        <w:rPr>
          <w:rFonts w:ascii="Arial" w:eastAsia="Times New Roman" w:hAnsi="Arial" w:cs="Arial"/>
          <w:kern w:val="0"/>
          <w:lang w:eastAsia="en-GB"/>
          <w14:ligatures w14:val="none"/>
        </w:rPr>
        <w:t>, 1.2 (1987), 125–51</w:t>
      </w:r>
    </w:p>
    <w:p w14:paraId="2C008578" w14:textId="77777777" w:rsidR="008242BA" w:rsidRPr="006C4755" w:rsidRDefault="008242BA" w:rsidP="0022468E">
      <w:pPr>
        <w:rPr>
          <w:rFonts w:ascii="Arial" w:hAnsi="Arial" w:cs="Arial"/>
        </w:rPr>
      </w:pPr>
    </w:p>
    <w:sectPr w:rsidR="008242BA" w:rsidRPr="006C47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00498" w14:textId="77777777" w:rsidR="001E3C49" w:rsidRDefault="001E3C49" w:rsidP="00E24883">
      <w:pPr>
        <w:spacing w:after="0" w:line="240" w:lineRule="auto"/>
      </w:pPr>
      <w:r>
        <w:separator/>
      </w:r>
    </w:p>
  </w:endnote>
  <w:endnote w:type="continuationSeparator" w:id="0">
    <w:p w14:paraId="67555F20" w14:textId="77777777" w:rsidR="001E3C49" w:rsidRDefault="001E3C49" w:rsidP="00E2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D44E3" w14:textId="77777777" w:rsidR="001E3C49" w:rsidRDefault="001E3C49" w:rsidP="00E24883">
      <w:pPr>
        <w:spacing w:after="0" w:line="240" w:lineRule="auto"/>
      </w:pPr>
      <w:r>
        <w:separator/>
      </w:r>
    </w:p>
  </w:footnote>
  <w:footnote w:type="continuationSeparator" w:id="0">
    <w:p w14:paraId="6388025D" w14:textId="77777777" w:rsidR="001E3C49" w:rsidRDefault="001E3C49" w:rsidP="00E2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6298A"/>
    <w:multiLevelType w:val="multilevel"/>
    <w:tmpl w:val="854E9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6900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68E"/>
    <w:rsid w:val="00041BA2"/>
    <w:rsid w:val="001E3C49"/>
    <w:rsid w:val="0022468E"/>
    <w:rsid w:val="00252BB1"/>
    <w:rsid w:val="00571953"/>
    <w:rsid w:val="00642D91"/>
    <w:rsid w:val="006C4755"/>
    <w:rsid w:val="00754349"/>
    <w:rsid w:val="008242BA"/>
    <w:rsid w:val="00DA3E23"/>
    <w:rsid w:val="00E24883"/>
    <w:rsid w:val="00E57157"/>
    <w:rsid w:val="00E61388"/>
    <w:rsid w:val="00ED1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1220D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4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46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6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46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46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6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6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6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6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46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46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6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6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6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6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6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68E"/>
    <w:rPr>
      <w:rFonts w:eastAsiaTheme="majorEastAsia" w:cstheme="majorBidi"/>
      <w:color w:val="272727" w:themeColor="text1" w:themeTint="D8"/>
    </w:rPr>
  </w:style>
  <w:style w:type="paragraph" w:styleId="Title">
    <w:name w:val="Title"/>
    <w:basedOn w:val="Normal"/>
    <w:next w:val="Normal"/>
    <w:link w:val="TitleChar"/>
    <w:uiPriority w:val="10"/>
    <w:qFormat/>
    <w:rsid w:val="00224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6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6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68E"/>
    <w:pPr>
      <w:spacing w:before="160"/>
      <w:jc w:val="center"/>
    </w:pPr>
    <w:rPr>
      <w:i/>
      <w:iCs/>
      <w:color w:val="404040" w:themeColor="text1" w:themeTint="BF"/>
    </w:rPr>
  </w:style>
  <w:style w:type="character" w:customStyle="1" w:styleId="QuoteChar">
    <w:name w:val="Quote Char"/>
    <w:basedOn w:val="DefaultParagraphFont"/>
    <w:link w:val="Quote"/>
    <w:uiPriority w:val="29"/>
    <w:rsid w:val="0022468E"/>
    <w:rPr>
      <w:i/>
      <w:iCs/>
      <w:color w:val="404040" w:themeColor="text1" w:themeTint="BF"/>
    </w:rPr>
  </w:style>
  <w:style w:type="paragraph" w:styleId="ListParagraph">
    <w:name w:val="List Paragraph"/>
    <w:basedOn w:val="Normal"/>
    <w:uiPriority w:val="34"/>
    <w:qFormat/>
    <w:rsid w:val="0022468E"/>
    <w:pPr>
      <w:ind w:left="720"/>
      <w:contextualSpacing/>
    </w:pPr>
  </w:style>
  <w:style w:type="character" w:styleId="IntenseEmphasis">
    <w:name w:val="Intense Emphasis"/>
    <w:basedOn w:val="DefaultParagraphFont"/>
    <w:uiPriority w:val="21"/>
    <w:qFormat/>
    <w:rsid w:val="0022468E"/>
    <w:rPr>
      <w:i/>
      <w:iCs/>
      <w:color w:val="0F4761" w:themeColor="accent1" w:themeShade="BF"/>
    </w:rPr>
  </w:style>
  <w:style w:type="paragraph" w:styleId="IntenseQuote">
    <w:name w:val="Intense Quote"/>
    <w:basedOn w:val="Normal"/>
    <w:next w:val="Normal"/>
    <w:link w:val="IntenseQuoteChar"/>
    <w:uiPriority w:val="30"/>
    <w:qFormat/>
    <w:rsid w:val="00224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68E"/>
    <w:rPr>
      <w:i/>
      <w:iCs/>
      <w:color w:val="0F4761" w:themeColor="accent1" w:themeShade="BF"/>
    </w:rPr>
  </w:style>
  <w:style w:type="character" w:styleId="IntenseReference">
    <w:name w:val="Intense Reference"/>
    <w:basedOn w:val="DefaultParagraphFont"/>
    <w:uiPriority w:val="32"/>
    <w:qFormat/>
    <w:rsid w:val="0022468E"/>
    <w:rPr>
      <w:b/>
      <w:bCs/>
      <w:smallCaps/>
      <w:color w:val="0F4761" w:themeColor="accent1" w:themeShade="BF"/>
      <w:spacing w:val="5"/>
    </w:rPr>
  </w:style>
  <w:style w:type="paragraph" w:styleId="NormalWeb">
    <w:name w:val="Normal (Web)"/>
    <w:basedOn w:val="Normal"/>
    <w:uiPriority w:val="99"/>
    <w:semiHidden/>
    <w:unhideWhenUsed/>
    <w:rsid w:val="00E613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24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883"/>
  </w:style>
  <w:style w:type="paragraph" w:styleId="Footer">
    <w:name w:val="footer"/>
    <w:basedOn w:val="Normal"/>
    <w:link w:val="FooterChar"/>
    <w:uiPriority w:val="99"/>
    <w:unhideWhenUsed/>
    <w:rsid w:val="00E24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2935</Words>
  <Characters>16732</Characters>
  <Application>Microsoft Office Word</Application>
  <DocSecurity>0</DocSecurity>
  <Lines>139</Lines>
  <Paragraphs>39</Paragraphs>
  <ScaleCrop>false</ScaleCrop>
  <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2026-01-01T21:06:00Z</dcterms:created>
  <dcterms:modified xsi:type="dcterms:W3CDTF">2026-01-01T21:06:00Z</dcterms:modified>
</cp:coreProperties>
</file>